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9D6B1" w14:textId="77777777" w:rsidR="00F06BEB" w:rsidRPr="001F446A" w:rsidRDefault="00F06BEB" w:rsidP="000811FE">
      <w:pPr>
        <w:widowControl w:val="0"/>
        <w:tabs>
          <w:tab w:val="center" w:pos="4680"/>
        </w:tabs>
        <w:autoSpaceDE w:val="0"/>
        <w:autoSpaceDN w:val="0"/>
        <w:adjustRightInd w:val="0"/>
        <w:spacing w:line="240" w:lineRule="atLeast"/>
        <w:jc w:val="both"/>
        <w:rPr>
          <w:rFonts w:asciiTheme="minorHAnsi" w:eastAsia="Times New Roman" w:hAnsiTheme="minorHAnsi" w:cs="Times New Roman"/>
          <w:bCs/>
          <w:szCs w:val="24"/>
        </w:rPr>
      </w:pPr>
      <w:bookmarkStart w:id="0" w:name="_GoBack"/>
      <w:bookmarkEnd w:id="0"/>
      <w:r w:rsidRPr="00F06BEB">
        <w:rPr>
          <w:rFonts w:eastAsia="Times New Roman" w:cs="Times New Roman"/>
          <w:bCs/>
          <w:szCs w:val="24"/>
        </w:rPr>
        <w:tab/>
      </w:r>
      <w:r w:rsidRPr="001F446A">
        <w:rPr>
          <w:rFonts w:asciiTheme="minorHAnsi" w:eastAsia="Times New Roman" w:hAnsiTheme="minorHAnsi" w:cs="Times New Roman"/>
          <w:bCs/>
          <w:szCs w:val="24"/>
        </w:rPr>
        <w:t>SUPPORTING STATEMENT</w:t>
      </w:r>
    </w:p>
    <w:p w14:paraId="141E2FC0" w14:textId="77777777" w:rsidR="00087869" w:rsidRPr="001F446A" w:rsidRDefault="00087869" w:rsidP="00087869">
      <w:pPr>
        <w:widowControl w:val="0"/>
        <w:tabs>
          <w:tab w:val="center" w:pos="4680"/>
        </w:tabs>
        <w:autoSpaceDE w:val="0"/>
        <w:autoSpaceDN w:val="0"/>
        <w:adjustRightInd w:val="0"/>
        <w:spacing w:line="240" w:lineRule="atLeast"/>
        <w:jc w:val="center"/>
        <w:rPr>
          <w:rFonts w:asciiTheme="minorHAnsi" w:eastAsia="Times New Roman" w:hAnsiTheme="minorHAnsi" w:cs="Times New Roman"/>
          <w:bCs/>
          <w:szCs w:val="24"/>
        </w:rPr>
      </w:pPr>
      <w:r w:rsidRPr="001F446A">
        <w:rPr>
          <w:rFonts w:asciiTheme="minorHAnsi" w:eastAsia="Times New Roman" w:hAnsiTheme="minorHAnsi" w:cs="Times New Roman"/>
          <w:bCs/>
          <w:szCs w:val="24"/>
        </w:rPr>
        <w:t>Internal Revenue Service</w:t>
      </w:r>
    </w:p>
    <w:p w14:paraId="651A9E5B" w14:textId="77777777" w:rsidR="007002E0" w:rsidRPr="001F446A" w:rsidRDefault="007002E0" w:rsidP="00656A04">
      <w:pPr>
        <w:widowControl w:val="0"/>
        <w:tabs>
          <w:tab w:val="center" w:pos="4680"/>
        </w:tabs>
        <w:autoSpaceDE w:val="0"/>
        <w:autoSpaceDN w:val="0"/>
        <w:adjustRightInd w:val="0"/>
        <w:spacing w:line="240" w:lineRule="atLeast"/>
        <w:jc w:val="center"/>
        <w:rPr>
          <w:rFonts w:asciiTheme="minorHAnsi" w:eastAsia="Times New Roman" w:hAnsiTheme="minorHAnsi" w:cs="Times New Roman"/>
          <w:bCs/>
          <w:szCs w:val="24"/>
        </w:rPr>
      </w:pPr>
      <w:r w:rsidRPr="001F446A">
        <w:rPr>
          <w:rFonts w:asciiTheme="minorHAnsi" w:eastAsia="Times New Roman" w:hAnsiTheme="minorHAnsi" w:cs="Times New Roman"/>
          <w:bCs/>
          <w:szCs w:val="24"/>
        </w:rPr>
        <w:t>U. S. Business Income Tax Return</w:t>
      </w:r>
      <w:r w:rsidR="00656A04" w:rsidRPr="001F446A">
        <w:rPr>
          <w:rFonts w:asciiTheme="minorHAnsi" w:eastAsia="Times New Roman" w:hAnsiTheme="minorHAnsi" w:cs="Times New Roman"/>
          <w:bCs/>
          <w:szCs w:val="24"/>
        </w:rPr>
        <w:t>s</w:t>
      </w:r>
    </w:p>
    <w:p w14:paraId="4939FF72" w14:textId="77777777" w:rsidR="00F06BEB" w:rsidRPr="001F446A" w:rsidRDefault="00F06BEB" w:rsidP="00656A04">
      <w:pPr>
        <w:widowControl w:val="0"/>
        <w:tabs>
          <w:tab w:val="center" w:pos="4680"/>
        </w:tabs>
        <w:autoSpaceDE w:val="0"/>
        <w:autoSpaceDN w:val="0"/>
        <w:adjustRightInd w:val="0"/>
        <w:spacing w:line="240" w:lineRule="atLeast"/>
        <w:jc w:val="center"/>
        <w:rPr>
          <w:rFonts w:asciiTheme="minorHAnsi" w:eastAsia="Times New Roman" w:hAnsiTheme="minorHAnsi" w:cs="Times New Roman"/>
          <w:bCs/>
          <w:szCs w:val="24"/>
        </w:rPr>
      </w:pPr>
      <w:r w:rsidRPr="001F446A">
        <w:rPr>
          <w:rFonts w:asciiTheme="minorHAnsi" w:eastAsia="Times New Roman" w:hAnsiTheme="minorHAnsi" w:cs="Times New Roman"/>
          <w:bCs/>
          <w:szCs w:val="24"/>
        </w:rPr>
        <w:t>OMB</w:t>
      </w:r>
      <w:r w:rsidR="00656A04" w:rsidRPr="001F446A">
        <w:rPr>
          <w:rFonts w:asciiTheme="minorHAnsi" w:eastAsia="Times New Roman" w:hAnsiTheme="minorHAnsi" w:cs="Times New Roman"/>
          <w:bCs/>
          <w:szCs w:val="24"/>
        </w:rPr>
        <w:t xml:space="preserve"> Control Number </w:t>
      </w:r>
      <w:r w:rsidRPr="001F446A">
        <w:rPr>
          <w:rFonts w:asciiTheme="minorHAnsi" w:eastAsia="Times New Roman" w:hAnsiTheme="minorHAnsi" w:cs="Times New Roman"/>
          <w:bCs/>
          <w:szCs w:val="24"/>
        </w:rPr>
        <w:t>1545-0123</w:t>
      </w:r>
    </w:p>
    <w:p w14:paraId="510991F4" w14:textId="77777777" w:rsidR="007002E0" w:rsidRPr="00F06BEB" w:rsidRDefault="007002E0" w:rsidP="00F06BEB">
      <w:pPr>
        <w:widowControl w:val="0"/>
        <w:tabs>
          <w:tab w:val="center" w:pos="4680"/>
        </w:tabs>
        <w:autoSpaceDE w:val="0"/>
        <w:autoSpaceDN w:val="0"/>
        <w:adjustRightInd w:val="0"/>
        <w:jc w:val="center"/>
        <w:rPr>
          <w:rFonts w:eastAsia="Times New Roman" w:cs="Times New Roman"/>
          <w:bCs/>
          <w:szCs w:val="24"/>
        </w:rPr>
      </w:pPr>
    </w:p>
    <w:p w14:paraId="773119CD" w14:textId="77777777" w:rsidR="00F06BEB" w:rsidRPr="001F446A" w:rsidRDefault="00F06BEB" w:rsidP="00F06BEB">
      <w:pPr>
        <w:widowControl w:val="0"/>
        <w:tabs>
          <w:tab w:val="center" w:pos="4680"/>
        </w:tabs>
        <w:autoSpaceDE w:val="0"/>
        <w:autoSpaceDN w:val="0"/>
        <w:adjustRightInd w:val="0"/>
        <w:jc w:val="center"/>
        <w:rPr>
          <w:rFonts w:asciiTheme="minorHAnsi" w:eastAsia="Times New Roman" w:hAnsiTheme="minorHAnsi" w:cs="Times New Roman"/>
          <w:bCs/>
          <w:szCs w:val="24"/>
        </w:rPr>
      </w:pPr>
      <w:r w:rsidRPr="001F446A">
        <w:rPr>
          <w:rFonts w:asciiTheme="minorHAnsi" w:eastAsia="Times New Roman" w:hAnsiTheme="minorHAnsi" w:cs="Times New Roman"/>
          <w:iCs/>
          <w:color w:val="000000"/>
          <w:szCs w:val="24"/>
        </w:rPr>
        <w:t xml:space="preserve">    Forms: 1065, 1065-B, 1066, 1120, 1120-C, 1120-F, </w:t>
      </w:r>
      <w:r w:rsidR="00656A04" w:rsidRPr="001F446A">
        <w:rPr>
          <w:rFonts w:asciiTheme="minorHAnsi" w:eastAsia="Times New Roman" w:hAnsiTheme="minorHAnsi" w:cs="Times New Roman"/>
          <w:iCs/>
          <w:color w:val="000000"/>
          <w:szCs w:val="24"/>
        </w:rPr>
        <w:t xml:space="preserve">1120-FSC, </w:t>
      </w:r>
      <w:r w:rsidRPr="001F446A">
        <w:rPr>
          <w:rFonts w:asciiTheme="minorHAnsi" w:eastAsia="Times New Roman" w:hAnsiTheme="minorHAnsi" w:cs="Times New Roman"/>
          <w:iCs/>
          <w:color w:val="000000"/>
          <w:szCs w:val="24"/>
        </w:rPr>
        <w:t>1120-H,</w:t>
      </w:r>
      <w:r w:rsidR="00656A04" w:rsidRPr="001F446A">
        <w:rPr>
          <w:rFonts w:asciiTheme="minorHAnsi" w:eastAsia="Times New Roman" w:hAnsiTheme="minorHAnsi" w:cs="Times New Roman"/>
          <w:iCs/>
          <w:color w:val="000000"/>
          <w:szCs w:val="24"/>
        </w:rPr>
        <w:t xml:space="preserve"> 1120-L, </w:t>
      </w:r>
      <w:r w:rsidRPr="001F446A">
        <w:rPr>
          <w:rFonts w:asciiTheme="minorHAnsi" w:eastAsia="Times New Roman" w:hAnsiTheme="minorHAnsi" w:cs="Times New Roman"/>
          <w:iCs/>
          <w:color w:val="000000"/>
          <w:szCs w:val="24"/>
        </w:rPr>
        <w:t xml:space="preserve">1120-ND, </w:t>
      </w:r>
      <w:r w:rsidR="00656A04" w:rsidRPr="001F446A">
        <w:rPr>
          <w:rFonts w:asciiTheme="minorHAnsi" w:eastAsia="Times New Roman" w:hAnsiTheme="minorHAnsi" w:cs="Times New Roman"/>
          <w:iCs/>
          <w:color w:val="000000"/>
          <w:szCs w:val="24"/>
        </w:rPr>
        <w:t xml:space="preserve">1120-PC, 1120-POL, </w:t>
      </w:r>
      <w:r w:rsidRPr="001F446A">
        <w:rPr>
          <w:rFonts w:asciiTheme="minorHAnsi" w:eastAsia="Times New Roman" w:hAnsiTheme="minorHAnsi" w:cs="Times New Roman"/>
          <w:iCs/>
          <w:color w:val="000000"/>
          <w:szCs w:val="24"/>
        </w:rPr>
        <w:t xml:space="preserve">1120-REIT, 1120-RIC, </w:t>
      </w:r>
      <w:r w:rsidR="00656A04" w:rsidRPr="001F446A">
        <w:rPr>
          <w:rFonts w:asciiTheme="minorHAnsi" w:eastAsia="Times New Roman" w:hAnsiTheme="minorHAnsi" w:cs="Times New Roman"/>
          <w:iCs/>
          <w:color w:val="000000"/>
          <w:szCs w:val="24"/>
        </w:rPr>
        <w:t>1120-S, 1120-SF</w:t>
      </w:r>
      <w:r w:rsidR="00656A04" w:rsidRPr="001F446A">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rPr>
        <w:t>and related attachments.</w:t>
      </w:r>
    </w:p>
    <w:p w14:paraId="31B7B75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0019E22"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1.       </w:t>
      </w:r>
      <w:r w:rsidRPr="001F446A">
        <w:rPr>
          <w:rFonts w:asciiTheme="minorHAnsi" w:eastAsia="Times New Roman" w:hAnsiTheme="minorHAnsi" w:cs="Times New Roman"/>
          <w:bCs/>
          <w:szCs w:val="24"/>
          <w:u w:val="single"/>
        </w:rPr>
        <w:t>CIRCUMSTANCES NECESSITATING COLLECTION OF INFORMATION</w:t>
      </w:r>
    </w:p>
    <w:p w14:paraId="091C5F2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07B7573" w14:textId="77777777" w:rsidR="00302D8B" w:rsidRPr="001F446A" w:rsidRDefault="00302D8B" w:rsidP="00302D8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 xml:space="preserve">Section 6011and 6012 of the Internal Revenue Code requires businesses to prepare and file income tax returns. </w:t>
      </w:r>
      <w:r w:rsidR="007002E0" w:rsidRPr="001F446A">
        <w:rPr>
          <w:rFonts w:asciiTheme="minorHAnsi" w:eastAsia="Times New Roman" w:hAnsiTheme="minorHAnsi" w:cs="Times New Roman"/>
          <w:szCs w:val="24"/>
        </w:rPr>
        <w:t xml:space="preserve">These forms are used by businesses to report their income tax liability. </w:t>
      </w:r>
    </w:p>
    <w:p w14:paraId="3B55702E" w14:textId="77777777" w:rsidR="007002E0" w:rsidRPr="001F446A" w:rsidRDefault="007002E0" w:rsidP="00302D8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The data is used to verify that the items reported on the forms are correct, and also for general statistics use.</w:t>
      </w:r>
    </w:p>
    <w:p w14:paraId="57BD5F6A" w14:textId="77777777" w:rsidR="00302D8B" w:rsidRPr="001F446A" w:rsidRDefault="00302D8B" w:rsidP="00302D8B">
      <w:pPr>
        <w:widowControl w:val="0"/>
        <w:autoSpaceDE w:val="0"/>
        <w:autoSpaceDN w:val="0"/>
        <w:adjustRightInd w:val="0"/>
        <w:rPr>
          <w:rFonts w:asciiTheme="minorHAnsi" w:eastAsia="Times New Roman" w:hAnsiTheme="minorHAnsi" w:cs="Times New Roman"/>
          <w:szCs w:val="24"/>
        </w:rPr>
      </w:pPr>
    </w:p>
    <w:p w14:paraId="17024305" w14:textId="77777777" w:rsidR="003B5F9D" w:rsidRPr="001F446A" w:rsidRDefault="003B5F9D" w:rsidP="003B5F9D">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As is done with the individual tax form burden estimates (Forms 1040, 1040-EZ, 1040-A, 1040-X and 1040-NR), clearance for the burden estimate will be requested retroactively, and is sought </w:t>
      </w:r>
      <w:r w:rsidR="00656A04" w:rsidRPr="001F446A">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rPr>
        <w:t xml:space="preserve"> on an annual basis instead of on the regular 3-year </w:t>
      </w:r>
      <w:r w:rsidR="00302D8B" w:rsidRPr="001F446A">
        <w:rPr>
          <w:rFonts w:asciiTheme="minorHAnsi" w:eastAsia="Times New Roman" w:hAnsiTheme="minorHAnsi" w:cs="Times New Roman"/>
          <w:szCs w:val="24"/>
        </w:rPr>
        <w:t>Paperwork Reduction Act (</w:t>
      </w:r>
      <w:r w:rsidRPr="001F446A">
        <w:rPr>
          <w:rFonts w:asciiTheme="minorHAnsi" w:eastAsia="Times New Roman" w:hAnsiTheme="minorHAnsi" w:cs="Times New Roman"/>
          <w:szCs w:val="24"/>
        </w:rPr>
        <w:t>PRA</w:t>
      </w:r>
      <w:r w:rsidR="00302D8B" w:rsidRPr="001F446A">
        <w:rPr>
          <w:rFonts w:asciiTheme="minorHAnsi" w:eastAsia="Times New Roman" w:hAnsiTheme="minorHAnsi" w:cs="Times New Roman"/>
          <w:szCs w:val="24"/>
        </w:rPr>
        <w:t>)</w:t>
      </w:r>
      <w:r w:rsidRPr="001F446A">
        <w:rPr>
          <w:rFonts w:asciiTheme="minorHAnsi" w:eastAsia="Times New Roman" w:hAnsiTheme="minorHAnsi" w:cs="Times New Roman"/>
          <w:szCs w:val="24"/>
        </w:rPr>
        <w:t xml:space="preserve"> cycle. Doing so ensures that new and updated business forms can be made available for use</w:t>
      </w:r>
      <w:r w:rsidR="003B7D16" w:rsidRPr="001F446A">
        <w:rPr>
          <w:rFonts w:asciiTheme="minorHAnsi" w:eastAsia="Times New Roman" w:hAnsiTheme="minorHAnsi" w:cs="Times New Roman"/>
          <w:szCs w:val="24"/>
        </w:rPr>
        <w:t xml:space="preserve"> on a timelier basis. </w:t>
      </w:r>
    </w:p>
    <w:p w14:paraId="4CD1E4AB" w14:textId="77777777" w:rsidR="003B5F9D" w:rsidRPr="001F446A" w:rsidRDefault="003B5F9D" w:rsidP="003B5F9D">
      <w:pPr>
        <w:widowControl w:val="0"/>
        <w:autoSpaceDE w:val="0"/>
        <w:autoSpaceDN w:val="0"/>
        <w:adjustRightInd w:val="0"/>
        <w:rPr>
          <w:rFonts w:asciiTheme="minorHAnsi" w:eastAsia="Times New Roman" w:hAnsiTheme="minorHAnsi" w:cs="Times New Roman"/>
          <w:szCs w:val="24"/>
        </w:rPr>
      </w:pPr>
    </w:p>
    <w:p w14:paraId="2B3E4366" w14:textId="77777777" w:rsidR="003B5F9D" w:rsidRPr="001F446A" w:rsidRDefault="003B5F9D" w:rsidP="003B5F9D">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A list of forms related to OMB 1545-0123 is provided below.  Forms that are used by other tax filers (e.g., individuals, tax-exempt organizations) are marked with an asterisk (*). These forms will continue to report burden for other taxpayers under separate OMB numbers.</w:t>
      </w:r>
    </w:p>
    <w:p w14:paraId="0EAC5A47" w14:textId="77777777" w:rsidR="00CB3026" w:rsidRPr="001F446A" w:rsidRDefault="00CB3026" w:rsidP="00F06BEB">
      <w:pPr>
        <w:widowControl w:val="0"/>
        <w:autoSpaceDE w:val="0"/>
        <w:autoSpaceDN w:val="0"/>
        <w:adjustRightInd w:val="0"/>
        <w:rPr>
          <w:rFonts w:asciiTheme="minorHAnsi" w:eastAsia="Times New Roman" w:hAnsiTheme="minorHAnsi" w:cs="Times New Roman"/>
          <w:bCs/>
          <w:szCs w:val="24"/>
        </w:rPr>
      </w:pPr>
    </w:p>
    <w:p w14:paraId="05100E71"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Form 1065 and related schedules, are used for</w:t>
      </w:r>
      <w:r w:rsidRPr="001F446A">
        <w:rPr>
          <w:rFonts w:asciiTheme="minorHAnsi" w:eastAsia="Times New Roman" w:hAnsiTheme="minorHAnsi" w:cs="Times New Roman"/>
          <w:szCs w:val="24"/>
        </w:rPr>
        <w:t xml:space="preserve"> reporting the income of every domestic partnership (syndicates, groups, pools, joint ventures, etc. and every foreign partnership doing business in the U</w:t>
      </w:r>
      <w:r w:rsidR="00C513B2" w:rsidRPr="001F446A">
        <w:rPr>
          <w:rFonts w:asciiTheme="minorHAnsi" w:eastAsia="Times New Roman" w:hAnsiTheme="minorHAnsi" w:cs="Times New Roman"/>
          <w:szCs w:val="24"/>
        </w:rPr>
        <w:t xml:space="preserve">nited </w:t>
      </w:r>
      <w:r w:rsidRPr="001F446A">
        <w:rPr>
          <w:rFonts w:asciiTheme="minorHAnsi" w:eastAsia="Times New Roman" w:hAnsiTheme="minorHAnsi" w:cs="Times New Roman"/>
          <w:szCs w:val="24"/>
        </w:rPr>
        <w:t>S</w:t>
      </w:r>
      <w:r w:rsidR="00C513B2" w:rsidRPr="001F446A">
        <w:rPr>
          <w:rFonts w:asciiTheme="minorHAnsi" w:eastAsia="Times New Roman" w:hAnsiTheme="minorHAnsi" w:cs="Times New Roman"/>
          <w:szCs w:val="24"/>
        </w:rPr>
        <w:t>tates</w:t>
      </w:r>
      <w:r w:rsidRPr="001F446A">
        <w:rPr>
          <w:rFonts w:asciiTheme="minorHAnsi" w:eastAsia="Times New Roman" w:hAnsiTheme="minorHAnsi" w:cs="Times New Roman"/>
          <w:szCs w:val="24"/>
        </w:rPr>
        <w:t xml:space="preserve"> or receiving income from U.S. sources). IRC Sec. 6031; Reg</w:t>
      </w:r>
      <w:r w:rsidR="00087869" w:rsidRPr="001F446A">
        <w:rPr>
          <w:rFonts w:asciiTheme="minorHAnsi" w:eastAsia="Times New Roman" w:hAnsiTheme="minorHAnsi" w:cs="Times New Roman"/>
          <w:szCs w:val="24"/>
        </w:rPr>
        <w:t>.</w:t>
      </w:r>
      <w:r w:rsidRPr="001F446A">
        <w:rPr>
          <w:rFonts w:asciiTheme="minorHAnsi" w:eastAsia="Times New Roman" w:hAnsiTheme="minorHAnsi" w:cs="Times New Roman"/>
          <w:szCs w:val="24"/>
        </w:rPr>
        <w:t>-Sec. 1.761-1(a)(2)(IV)(a); 1.6031-1; 1.6033-1(a)(5);</w:t>
      </w:r>
      <w:r w:rsidR="00C513B2" w:rsidRPr="001F446A">
        <w:rPr>
          <w:rFonts w:asciiTheme="minorHAnsi" w:eastAsia="Times New Roman" w:hAnsiTheme="minorHAnsi" w:cs="Times New Roman"/>
          <w:szCs w:val="24"/>
        </w:rPr>
        <w:t xml:space="preserve"> and</w:t>
      </w:r>
      <w:r w:rsidRPr="001F446A">
        <w:rPr>
          <w:rFonts w:asciiTheme="minorHAnsi" w:eastAsia="Times New Roman" w:hAnsiTheme="minorHAnsi" w:cs="Times New Roman"/>
          <w:szCs w:val="24"/>
        </w:rPr>
        <w:t xml:space="preserve"> Separate Instructions.</w:t>
      </w:r>
    </w:p>
    <w:p w14:paraId="5406C4D0"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22B94F82"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B-1 is used by partnerships to provide the information applicable to certain entities, individuals, and estates that own, directly or indirectly, an interest of 50% or more in the profit, loss, or capital of the partnership.</w:t>
      </w:r>
    </w:p>
    <w:p w14:paraId="3A2BEFF0"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2A0AF7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C is used to provide answers to additional questions for filers of Schedule M-3 (Form 1065), Net Income (Loss) Reconciliation for Certain Partnerships.</w:t>
      </w:r>
    </w:p>
    <w:p w14:paraId="29793E6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2B5CCAA5"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D is used to report sales/exchanges of capital assets, capital gain distributions, and nonbusiness bad debts that are not specially allocated to partners.</w:t>
      </w:r>
    </w:p>
    <w:p w14:paraId="21D6D6C3"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9F9C0D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K-1 is used for reporting the distributive share of a partnership income, credits, etc.</w:t>
      </w:r>
    </w:p>
    <w:p w14:paraId="0D68F02D"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0DD29491" w14:textId="77777777" w:rsidR="00F06BEB" w:rsidRPr="001F446A" w:rsidRDefault="00416109"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 Schedule M-3 is filed by all partnerships with total assets of $10 million or more on Form 1065, Schedule L, Line 14, column (d).</w:t>
      </w:r>
    </w:p>
    <w:p w14:paraId="629A2437"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E6C2BE5"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 xml:space="preserve">Form 1065-B </w:t>
      </w:r>
      <w:r w:rsidRPr="001F446A">
        <w:rPr>
          <w:rFonts w:asciiTheme="minorHAnsi" w:eastAsia="Times New Roman" w:hAnsiTheme="minorHAnsi" w:cs="Times New Roman"/>
          <w:szCs w:val="24"/>
        </w:rPr>
        <w:t>is an information return used to report the income, deductions, gains, losses, etc., from the operation of an electing large partnership as defined in section 775</w:t>
      </w:r>
    </w:p>
    <w:p w14:paraId="26DCC8D5"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7F1168A5"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1065-B Schedule K-1 is used to report a partner's share of the partnership's income, credits, deductions, etc.</w:t>
      </w:r>
    </w:p>
    <w:p w14:paraId="59E876E7"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6266A96"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1065-X is used (by entities not filing electronically) to correct items on a previously filed Form 1065, Form 1065-B, or Form 1066; or to make an administrative adjustment request for a previously filed Form 1065, Form 1065-B, or Form 1066.</w:t>
      </w:r>
    </w:p>
    <w:p w14:paraId="4AD3E132"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3D7319CD"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           </w:t>
      </w:r>
    </w:p>
    <w:p w14:paraId="03B190C3"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1066 is used to report the income, deductions, and gains and losses from the                        operation of a real estate mortgage investment conduit (REMIC). In addition, the form is              used by the REMIC to report and pay tax on net income from prohibited transactions.</w:t>
      </w:r>
    </w:p>
    <w:p w14:paraId="4E0B40A9" w14:textId="77777777" w:rsidR="00FC7451" w:rsidRPr="001F446A" w:rsidRDefault="00FC7451" w:rsidP="00F06BEB">
      <w:pPr>
        <w:widowControl w:val="0"/>
        <w:autoSpaceDE w:val="0"/>
        <w:autoSpaceDN w:val="0"/>
        <w:adjustRightInd w:val="0"/>
        <w:rPr>
          <w:rFonts w:asciiTheme="minorHAnsi" w:eastAsia="Times New Roman" w:hAnsiTheme="minorHAnsi" w:cs="Times New Roman"/>
          <w:szCs w:val="24"/>
        </w:rPr>
      </w:pPr>
    </w:p>
    <w:p w14:paraId="20BC7999" w14:textId="77777777" w:rsidR="00C7555D" w:rsidRPr="001F446A" w:rsidRDefault="008F6EB3" w:rsidP="00C7555D">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w:t>
      </w:r>
      <w:r w:rsidR="00FC7451" w:rsidRPr="001F446A">
        <w:rPr>
          <w:rFonts w:asciiTheme="minorHAnsi" w:eastAsia="Times New Roman" w:hAnsiTheme="minorHAnsi" w:cs="Times New Roman"/>
          <w:szCs w:val="24"/>
        </w:rPr>
        <w:t xml:space="preserve">Form 1066  Schedule Q </w:t>
      </w:r>
      <w:r w:rsidR="00C7555D" w:rsidRPr="001F446A">
        <w:rPr>
          <w:rFonts w:asciiTheme="minorHAnsi" w:eastAsia="Times New Roman" w:hAnsiTheme="minorHAnsi" w:cs="Times New Roman"/>
          <w:szCs w:val="24"/>
        </w:rPr>
        <w:t xml:space="preserve">is used to by </w:t>
      </w:r>
      <w:r w:rsidR="00C7555D" w:rsidRPr="001F446A">
        <w:rPr>
          <w:rFonts w:asciiTheme="minorHAnsi" w:hAnsiTheme="minorHAnsi" w:cs="Times New Roman"/>
        </w:rPr>
        <w:t>real estate mortgage investment conduits (REMICs)  to notify the residual interest holders of their share of the REMIC's quarterly taxable income (or net loss), excess inclusion, and section 212 expenses.</w:t>
      </w:r>
    </w:p>
    <w:p w14:paraId="7991B320" w14:textId="77777777" w:rsidR="00C7555D" w:rsidRPr="001F446A" w:rsidRDefault="00C7555D" w:rsidP="00C7555D">
      <w:pPr>
        <w:widowControl w:val="0"/>
        <w:autoSpaceDE w:val="0"/>
        <w:autoSpaceDN w:val="0"/>
        <w:adjustRightInd w:val="0"/>
        <w:rPr>
          <w:rFonts w:asciiTheme="minorHAnsi" w:eastAsia="Times New Roman" w:hAnsiTheme="minorHAnsi" w:cs="Times New Roman"/>
          <w:szCs w:val="24"/>
        </w:rPr>
      </w:pPr>
    </w:p>
    <w:p w14:paraId="6591DCF1"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1118 is used to compute the amount of foreign tax credit claimed on corporation income tax returns.</w:t>
      </w:r>
    </w:p>
    <w:p w14:paraId="27D5EF61"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554D304F"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1118 Schedule I is used by corporations claiming a credit for any tax paid or accrued on foreign oil and gas extraction to determine any reduction in the amount of the credit.</w:t>
      </w:r>
    </w:p>
    <w:p w14:paraId="0D4318E6"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621EECF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1118 Schedule J is used by Corporations claiming foreign tax credit to compute adjustments to separate limitation income (losses) and year-end account balances.</w:t>
      </w:r>
    </w:p>
    <w:p w14:paraId="5776CA60"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033EB99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Form 1118 Schedule K  is used to reconcile the corporation's prior year foreign tax carryover with its current year foreign tax carryover. </w:t>
      </w:r>
    </w:p>
    <w:p w14:paraId="186395B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F73C44F"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 xml:space="preserve">Form 1120 and related forms are used </w:t>
      </w:r>
      <w:r w:rsidRPr="001F446A">
        <w:rPr>
          <w:rFonts w:asciiTheme="minorHAnsi" w:eastAsia="Times New Roman" w:hAnsiTheme="minorHAnsi" w:cs="Times New Roman"/>
          <w:szCs w:val="24"/>
        </w:rPr>
        <w:t xml:space="preserve">to report the income, gains, losses, deductions, credits, and to figure the income tax liability of a corporation. Also see Publication 542, Corporations, for more information. </w:t>
      </w:r>
    </w:p>
    <w:p w14:paraId="573EDCF8"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21B000D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 Schedule B is used to provide answers to additional questions for filers of Schedule M-3 (Form 1120), Net Income (Loss) Reconciliation for corporations With Total Assets of $10 Million or More.</w:t>
      </w:r>
    </w:p>
    <w:p w14:paraId="781E1844"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3595DDD1"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 Schedule D is used by corporations to report sales and exchanges of capital assets and gains on distributions to shareholders of appreciated capital assets.</w:t>
      </w:r>
    </w:p>
    <w:p w14:paraId="516B712B"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21E15B16"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 Schedule G is used to provide information applicable to certain entities, individuals, and estates that own, directly, 20% or more, or own, directly, 50% or 50% or more of the total voting power of all classes of the corporation's stock entitled to vote. more of the total voting power of all classes of the corporation's stock entitled to vote.</w:t>
      </w:r>
    </w:p>
    <w:p w14:paraId="5D701403"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2FBC99B2"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 </w:t>
      </w:r>
    </w:p>
    <w:p w14:paraId="71611D00"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 Schedule  H is by Personal service corporations (PSCs) that elected to have a tax year other than a calendar year use Schedule H to report if they met the minimum distribution requirement and, if not, the limits on deductions.</w:t>
      </w:r>
    </w:p>
    <w:p w14:paraId="35A272F3"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3420A82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 Schedule M-3, is required to be filed by all corporations with total assets of $10 million or more on Form 1120,Schedule L, line 15, column (d).</w:t>
      </w:r>
    </w:p>
    <w:p w14:paraId="63DE90E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C6A512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 Schedule N is used by Corporations that, at any time during the tax year, had assets in or operated a business in a foreign country or a U.S. possession may have to file Schedule N.</w:t>
      </w:r>
    </w:p>
    <w:p w14:paraId="45B901F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58D39A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 Schedule O is used by a controlled group of corporations filing Form 1120 or other corporate return to consent to an apportionment plan and allocated income, taxes, and other items.</w:t>
      </w:r>
    </w:p>
    <w:p w14:paraId="75EA464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7965CD2"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Form 1120 Schedule PH is used to compute Personal Holding Company tax. </w:t>
      </w:r>
    </w:p>
    <w:p w14:paraId="1E73AE1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6EAA55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 Schedule UTP is used to provide information about tax positions that affect the U. S. federal income tax liabilities of certain corporations that issue or are included in audited financial statements and have assets that equal or exceed $100 million.</w:t>
      </w:r>
    </w:p>
    <w:p w14:paraId="02D5AD3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A61AED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H, is used by a foreign corporation that files Form 1120-F to report the amount of the foreign corporation's deductible expenses that are allocated and apportioned under Regulations sections 1.861-8 and 1.861-17 and Temporary Regulations section 1.861-8T between ECI and non-ECI.</w:t>
      </w:r>
    </w:p>
    <w:p w14:paraId="707DC5A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4155E9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I is used by foreign corporations to document allocation of interest expense in satisfaction of requirements of Regulations section 1.882-5.</w:t>
      </w:r>
    </w:p>
    <w:p w14:paraId="62DA40C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9F443D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M-1 &amp; Schedule M-2 are used to provide analysis information on how foreign corporation's net income (loss), and retained earnings reported on its books differ from figures reported on Form 1120-F return.</w:t>
      </w:r>
    </w:p>
    <w:p w14:paraId="5ADCAE9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F226B8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M-3 is used by filers of Form 1120-F with total assets of $10 million or more would file Schedule M-3 (Form 1120-F) for the purpose of providing detailed information on differences between income per books and income per tax return.</w:t>
      </w:r>
    </w:p>
    <w:p w14:paraId="468445B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B72E98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P is used by foreign corporations to disclose foreign partner interests in partnerships; documenting compliance with requirements of IRC sections 705 and 702, and Regulations section 1.884-1(d)(3).</w:t>
      </w:r>
    </w:p>
    <w:p w14:paraId="627693E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A15AC6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S is used by foreign corporations to claim an exclusion of income under section 883 and to provide reporting information required by the section 883 regulations.</w:t>
      </w:r>
    </w:p>
    <w:p w14:paraId="2C85072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6701B2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 Schedule V is used to report required information for each vessel or aircraft with respect to which the corporation is subject to the 4% rate of tax on U.S. Source Gross Transportation Income (USSGTI) under section 887.</w:t>
      </w:r>
    </w:p>
    <w:p w14:paraId="15CE01D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B29F6D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3F060F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1120-FSC Schedule P is used to figure the allowable transfer price to charge or the allowable commission to pay a foreign sales corporation under the administrative pricing rules.</w:t>
      </w:r>
    </w:p>
    <w:p w14:paraId="27C5A88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4DFC62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1120-IC DISC is an information return filed by interest charge domestic international sales corporations (IC-DISCs), former DISCs and former IC-DISCs.</w:t>
      </w:r>
    </w:p>
    <w:p w14:paraId="77C157A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F4B7B5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 Form 1120-IC DISC Schedule K is a shareholder's statement of IC-DISC distribution.</w:t>
      </w:r>
    </w:p>
    <w:p w14:paraId="1DC7161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9A647C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1120-IC DISC Schedule P is attached to Form 1120-IC-DISC to show the computation of IC-DISC taxable income used in computing: (1) the transfer price from a related supplier to an IC-DISC (Part II) or (2) the IC-DISC commission from a related supplier (Part III).</w:t>
      </w:r>
    </w:p>
    <w:p w14:paraId="7B1C0FE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E9A174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Form 1120-IC DISC Schedule Q is used by IC-DISC corporations to certify that the borrower is in compliance with the rules for producer's loans.</w:t>
      </w:r>
    </w:p>
    <w:p w14:paraId="787D132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7155B1B0"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1120-C is used by Cooperative Associations to report income, gains, losses, deductions, credits, and to figure the income tax liability of subchapter T cooperatives.</w:t>
      </w:r>
    </w:p>
    <w:p w14:paraId="7F8E8F04"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1B1183D1"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1120-F is used to report the income, gains, losses, deductions, credits, and to figure the U.S. income tax liability of a foreign corporation.</w:t>
      </w:r>
    </w:p>
    <w:p w14:paraId="09FAAA0B"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705A158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szCs w:val="24"/>
        </w:rPr>
        <w:t xml:space="preserve">Form 1120-H, homeowners association uses Form 1120-H as its income tax return to take advantage of certain tax benefits that, in effect, allow it to exclude exempt function income from its gross income.  </w:t>
      </w:r>
      <w:r w:rsidRPr="001F446A">
        <w:rPr>
          <w:rFonts w:asciiTheme="minorHAnsi" w:eastAsia="Times New Roman" w:hAnsiTheme="minorHAnsi" w:cs="Times New Roman"/>
          <w:bCs/>
          <w:szCs w:val="24"/>
        </w:rPr>
        <w:t xml:space="preserve"> </w:t>
      </w:r>
    </w:p>
    <w:p w14:paraId="4AF9ACD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768C697" w14:textId="77777777" w:rsidR="00F06BEB" w:rsidRPr="001F446A" w:rsidRDefault="00D93C3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1120-ND </w:t>
      </w:r>
      <w:r w:rsidR="00F06BEB" w:rsidRPr="001F446A">
        <w:rPr>
          <w:rFonts w:asciiTheme="minorHAnsi" w:eastAsia="Times New Roman" w:hAnsiTheme="minorHAnsi" w:cs="Times New Roman"/>
          <w:szCs w:val="24"/>
        </w:rPr>
        <w:t>is used by nuclear decommissioning funds to report contributions received, income earned, administration expenses, and the tax on modified gross income. It is also sometimes used to report and pay the section 4951 taxes on self-dealing.</w:t>
      </w:r>
    </w:p>
    <w:p w14:paraId="39976CD1"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01365F3A"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Form 1120-S, Corporations that elect to be S corporations use Form 1120-S to report income, deductions, gains, losses, etc.   </w:t>
      </w:r>
    </w:p>
    <w:p w14:paraId="1DEFEA9F" w14:textId="77777777" w:rsidR="00960AAC" w:rsidRPr="001F446A" w:rsidRDefault="00960AAC" w:rsidP="00F06BEB">
      <w:pPr>
        <w:widowControl w:val="0"/>
        <w:autoSpaceDE w:val="0"/>
        <w:autoSpaceDN w:val="0"/>
        <w:adjustRightInd w:val="0"/>
        <w:rPr>
          <w:rFonts w:asciiTheme="minorHAnsi" w:eastAsia="Times New Roman" w:hAnsiTheme="minorHAnsi" w:cs="Times New Roman"/>
          <w:szCs w:val="24"/>
        </w:rPr>
      </w:pPr>
    </w:p>
    <w:p w14:paraId="1808923C" w14:textId="77777777" w:rsidR="00960AAC" w:rsidRPr="001F446A" w:rsidRDefault="00960AAC"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Form 1120-S Schedule B-1  is used to provide the information applicable to any shareholder in the S corporation that was a disregarded entity, a trust, an estate, or a nominee or similar person at any time during the tax year.  </w:t>
      </w:r>
    </w:p>
    <w:p w14:paraId="1BDEB6D1"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A1835C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1120-S Schedule D is used to report sales or exchanges of capital assets and gains on distributions to shareholders of appreciated capital assets.</w:t>
      </w:r>
    </w:p>
    <w:p w14:paraId="1DD4A85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24AEFD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1120-S Schedule K-1 is used to report shareholders' pro rata shares of the corporation's income, credits, deductions, etc.</w:t>
      </w:r>
    </w:p>
    <w:p w14:paraId="0FE0DE7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0C2FAE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1120-S Schedule M-3 must be filed by corporations with total assets of $10 million or more on the last day of the tax year.</w:t>
      </w:r>
    </w:p>
    <w:p w14:paraId="132177CC" w14:textId="77777777" w:rsidR="00FF267F" w:rsidRPr="001F446A" w:rsidRDefault="00FF267F" w:rsidP="00F06BEB">
      <w:pPr>
        <w:widowControl w:val="0"/>
        <w:autoSpaceDE w:val="0"/>
        <w:autoSpaceDN w:val="0"/>
        <w:adjustRightInd w:val="0"/>
        <w:rPr>
          <w:rFonts w:asciiTheme="minorHAnsi" w:eastAsia="Times New Roman" w:hAnsiTheme="minorHAnsi" w:cs="Times New Roman"/>
          <w:bCs/>
          <w:szCs w:val="24"/>
        </w:rPr>
      </w:pPr>
    </w:p>
    <w:p w14:paraId="05FD7FD7"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 xml:space="preserve">Form 1120-SF </w:t>
      </w:r>
      <w:r w:rsidRPr="001F446A">
        <w:rPr>
          <w:rFonts w:asciiTheme="minorHAnsi" w:eastAsia="Times New Roman" w:hAnsiTheme="minorHAnsi" w:cs="Times New Roman"/>
          <w:szCs w:val="24"/>
        </w:rPr>
        <w:t>is used to report transfers received, income earned, deductions claimed, distributions made, and the income tax liability of a designated or qualified settlement fund.</w:t>
      </w:r>
    </w:p>
    <w:p w14:paraId="691E0D75"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0F71DB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szCs w:val="24"/>
        </w:rPr>
        <w:t>Form 1120-FSC is used to report the income, deductions, gains, losses, credits and tax liability of a foreign sales corporation.</w:t>
      </w:r>
    </w:p>
    <w:p w14:paraId="633CCC8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E7E3978"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 xml:space="preserve">Form 1120-L is used </w:t>
      </w:r>
      <w:r w:rsidRPr="001F446A">
        <w:rPr>
          <w:rFonts w:asciiTheme="minorHAnsi" w:eastAsia="Times New Roman" w:hAnsiTheme="minorHAnsi" w:cs="Times New Roman"/>
          <w:szCs w:val="24"/>
        </w:rPr>
        <w:t>to report the income, gains, losses, deductions, credits, and to figure the income tax liability of life insurance companies.</w:t>
      </w:r>
    </w:p>
    <w:p w14:paraId="3B6F8ACF"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12CF55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szCs w:val="24"/>
        </w:rPr>
        <w:t>Form 1120-L, Schedule M-3 is used to reconcile financial statement net income (loss) with taxable income reported on Form 1120-L. It must be filed by life insurance companies with total assets of $10 million or more, and may be voluntarily filed by life insurance companies that are not otherwise required to file Schedule M-3 (Form 1120-L).</w:t>
      </w:r>
    </w:p>
    <w:p w14:paraId="74CD427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17C38C9"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Form 1120-PC is u</w:t>
      </w:r>
      <w:r w:rsidRPr="001F446A">
        <w:rPr>
          <w:rFonts w:asciiTheme="minorHAnsi" w:eastAsia="Times New Roman" w:hAnsiTheme="minorHAnsi" w:cs="Times New Roman"/>
          <w:szCs w:val="24"/>
        </w:rPr>
        <w:t>sed to report the income, gains, losses, deductions, credits, and to figure the income tax liability of insurance companies, other than life insurance companies.</w:t>
      </w:r>
    </w:p>
    <w:p w14:paraId="159B313E" w14:textId="77777777" w:rsidR="0043757D" w:rsidRPr="001F446A" w:rsidRDefault="0043757D" w:rsidP="00F06BEB">
      <w:pPr>
        <w:widowControl w:val="0"/>
        <w:autoSpaceDE w:val="0"/>
        <w:autoSpaceDN w:val="0"/>
        <w:adjustRightInd w:val="0"/>
        <w:rPr>
          <w:rFonts w:asciiTheme="minorHAnsi" w:eastAsia="Times New Roman" w:hAnsiTheme="minorHAnsi" w:cs="Times New Roman"/>
          <w:szCs w:val="24"/>
        </w:rPr>
      </w:pPr>
    </w:p>
    <w:p w14:paraId="7DBCD02B" w14:textId="77777777" w:rsidR="0043757D" w:rsidRPr="001F446A" w:rsidRDefault="0043757D"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1120-PC Schedule M-3</w:t>
      </w:r>
      <w:r w:rsidRPr="001F446A">
        <w:rPr>
          <w:rFonts w:asciiTheme="minorHAnsi" w:hAnsiTheme="minorHAnsi" w:cs="Times New Roman"/>
        </w:rPr>
        <w:t xml:space="preserve"> </w:t>
      </w:r>
      <w:r w:rsidR="00C7555D" w:rsidRPr="001F446A">
        <w:rPr>
          <w:rFonts w:asciiTheme="minorHAnsi" w:hAnsiTheme="minorHAnsi" w:cs="Times New Roman"/>
        </w:rPr>
        <w:t>is used to reconcile</w:t>
      </w:r>
      <w:r w:rsidRPr="001F446A">
        <w:rPr>
          <w:rFonts w:asciiTheme="minorHAnsi" w:hAnsiTheme="minorHAnsi" w:cs="Times New Roman"/>
        </w:rPr>
        <w:t xml:space="preserve"> financial statement net income (loss) with taxable income reported on Form 1120-PC. It must be filed by non-life insurance companies with total assets of $10 million or more, and may be voluntarily filed by non-life insurance companies that are not otherwise required to file Schedule M-3 (Form 1120-PC).</w:t>
      </w:r>
    </w:p>
    <w:p w14:paraId="4F8AF340"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20A2B698"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Form 1120-REIT is used to report the income, gains, losses, deductions, credits and to figure the income tax liability of real estate investment trusts (REIT) as defined in section 856.  </w:t>
      </w:r>
    </w:p>
    <w:p w14:paraId="1D439E9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628CC1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1120-RIC Annual return of tax payable on or before the 15th day of the 3rd month following the close of company's taxable year. Used with Form 2439, Notice to Shareholder of Undistributed Long-Term Capital Gains. Prescribing instructions: IRC Sec. 52(b)(3)(d)(iv); Regs. Sec. 1.852-9.</w:t>
      </w:r>
    </w:p>
    <w:p w14:paraId="262B87FF"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6F0D0718"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Form 1120-POL is used by Political organizations and certain exempt organizations to report their political organization taxable income and income tax liability.</w:t>
      </w:r>
    </w:p>
    <w:p w14:paraId="61D60C2B"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6B9DAF8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1120-W is used by a corporation to assist the corporation in determining its tax liability and required installment payments.</w:t>
      </w:r>
    </w:p>
    <w:p w14:paraId="1B649D9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DFDD2D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Form 1120-X is used to amend a previously filed Form 1120 or 1120-A to make certain elections after the prescribed deadline. </w:t>
      </w:r>
    </w:p>
    <w:p w14:paraId="0D8F468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C922FD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1122 is an authorization by a subsidiary to be included in consolidated return and consent to the consolidated regulations.</w:t>
      </w:r>
    </w:p>
    <w:p w14:paraId="1F413F4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1125-A  is used by filers of Form 1120, 1120-C, 1120-F, 1120-S, 1065, or 1065-B, to calculate and claim a deduction for Costs of Goods Sold.</w:t>
      </w:r>
    </w:p>
    <w:p w14:paraId="2525D5F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78E6E0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1125-E is used by filers of Form 1120, 1120-C, or 1120-F, or 1120-RIC, whose gross receipts are $500,000 or more, if claiming a deduction for compensation of officers.</w:t>
      </w:r>
    </w:p>
    <w:p w14:paraId="6E1EC6D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DBF4C4C" w14:textId="77777777" w:rsidR="00F06BEB" w:rsidRPr="001F446A" w:rsidRDefault="00D93C3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1127 is used to request extension of time to pay taxes. The conditions under which extensions may be granted under Section 6161 of the Internal Revenue Code are printed on the reverse of the application.</w:t>
      </w:r>
    </w:p>
    <w:p w14:paraId="1EDED4F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59C6A35" w14:textId="77777777" w:rsidR="00F06BEB" w:rsidRPr="001F446A" w:rsidRDefault="00D93C3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1128 is used to adopt, change or retain a certain tax year. </w:t>
      </w:r>
    </w:p>
    <w:p w14:paraId="3CA35DB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24F86A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1138 is used by a corporation expecting a net operating loss for the current year to request an extension of time for payment of tax for the immediately preceding tax year.</w:t>
      </w:r>
    </w:p>
    <w:p w14:paraId="1FEEA072"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08E0A1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1139 is used to apply for a quick refund of taxes from: carryback of a net operating loss, net capital loss, unused general business credit, or an overpayment of tax from a claim of right adjustment.</w:t>
      </w:r>
    </w:p>
    <w:p w14:paraId="0425AB3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425F97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2220 is used by corporations, certain tax-exempt organizations, and private foundations to determine whether they are subject to the penalty for underpayment of estimated tax and, if so, the amount of the penalty.</w:t>
      </w:r>
    </w:p>
    <w:p w14:paraId="2FDFB1E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3B7DD4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2438 is used by regulated investment companies or real estate investment to figure income tax on certain undistributed capital gains.</w:t>
      </w:r>
    </w:p>
    <w:p w14:paraId="2FB1C7A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2448AE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2553 is filed by qualifying small business corporations and limited liability companies to make the election prescribed by Sec. 1362.</w:t>
      </w:r>
    </w:p>
    <w:p w14:paraId="2A92E10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FD04440"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2848 is used to authorize a person eligible to practice before the IRS to represent you before the IRS. </w:t>
      </w:r>
    </w:p>
    <w:p w14:paraId="53D7429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4234214"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3115 is used to request a change in either an overall accounting method or the accounting treatment of any item.</w:t>
      </w:r>
    </w:p>
    <w:p w14:paraId="57AA9FD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7C35CF0"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3468 is used to claim the investment credit, which includes rehabilitation, energy, qualifying advanced coal project, qualifying gasification project, and qualifying advanced energy project credits.</w:t>
      </w:r>
    </w:p>
    <w:p w14:paraId="2CD14ED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4CB286F"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3520 is used to report certain transactions with foreign trusts, and receipt of certain large gifts of bequests from certain foreign persons.</w:t>
      </w:r>
    </w:p>
    <w:p w14:paraId="30DB145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FA87512"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3800 is used to claim any of the general business credits.</w:t>
      </w:r>
    </w:p>
    <w:p w14:paraId="5CA00C1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2FD361D"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4136 is used by Taxpayers (other than partnerships that are not electing large partnerships) to claim a credit for certain nontaxable uses or sales of fuel during the tax year.</w:t>
      </w:r>
    </w:p>
    <w:p w14:paraId="4711A2E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AA2F30E"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4255 is used by Taxpayers who dispose of (or whose property ceases to be) investment credit property before the end of the useful life used in computing the investment credit, to figure the increase in tax for the recapture of investment credit claimed.</w:t>
      </w:r>
    </w:p>
    <w:p w14:paraId="28530B9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4F19AB2"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4466 is used by corporations that overpaid their estimated tax for the year to apply for a quick refund. The overpayment must be at least $500 and at least 10% of the expected tax liability.</w:t>
      </w:r>
    </w:p>
    <w:p w14:paraId="13C8608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92BE7EC"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4562 is used to claim a deduction for depreciation or amortization, to make the section 179 election to expense certain property, and to provide information on the business/investment use of cars and other listed property.</w:t>
      </w:r>
    </w:p>
    <w:p w14:paraId="746D0A2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62B1D3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4626 is used to figure the alternative minimum tax (AMT) under section 55 for a corporation that is not exempt from the AMT.</w:t>
      </w:r>
    </w:p>
    <w:p w14:paraId="0F0D60F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F4C9E5F"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4684 is used as a guide for reporting gains and losses resulting from casualties and thefts.</w:t>
      </w:r>
    </w:p>
    <w:p w14:paraId="09646B6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C79B798"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assets not reported on Schedule D.</w:t>
      </w:r>
    </w:p>
    <w:p w14:paraId="1485264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3192B9B"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4810 is prepared by a fiduciary representing a dissolving corporation or a decedent's estate to request a prompt assessment of tax.</w:t>
      </w:r>
    </w:p>
    <w:p w14:paraId="07AAC8A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DE0855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4876-A is used to elect to be treated as an interest charge domestic international sales corporation (IC-DISC) .</w:t>
      </w:r>
    </w:p>
    <w:p w14:paraId="6968FA5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B58558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5452 is used if the corporations made non</w:t>
      </w:r>
      <w:r w:rsidR="00E44B88" w:rsidRPr="001F446A">
        <w:rPr>
          <w:rFonts w:asciiTheme="minorHAnsi" w:eastAsia="Times New Roman" w:hAnsiTheme="minorHAnsi" w:cs="Times New Roman"/>
          <w:bCs/>
          <w:szCs w:val="24"/>
        </w:rPr>
        <w:t xml:space="preserve"> </w:t>
      </w:r>
      <w:r w:rsidRPr="001F446A">
        <w:rPr>
          <w:rFonts w:asciiTheme="minorHAnsi" w:eastAsia="Times New Roman" w:hAnsiTheme="minorHAnsi" w:cs="Times New Roman"/>
          <w:bCs/>
          <w:szCs w:val="24"/>
        </w:rPr>
        <w:t>dividend distributions to their shareholders under section 301, section 1368 (c)(3) or section 1371.</w:t>
      </w:r>
    </w:p>
    <w:p w14:paraId="06D64DA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66CB97B" w14:textId="76E5F86F" w:rsidR="00F06BEB" w:rsidRPr="001F446A" w:rsidRDefault="00435B6F"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5471 is used to satisfy the reporting requirements of section 6038 and 6046.</w:t>
      </w:r>
    </w:p>
    <w:p w14:paraId="7414930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4594A3C" w14:textId="15042CE3" w:rsidR="00F06BEB" w:rsidRPr="001F446A" w:rsidRDefault="00435B6F"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From 5471, Schedule J is used by filers of Form 5471 to report accumulated Earnings and Profits (E&amp;P), in functional currency, computed under sections 964(a) and 986(b).</w:t>
      </w:r>
    </w:p>
    <w:p w14:paraId="0081BFC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CA72949" w14:textId="7C510B1A" w:rsidR="00F06BEB" w:rsidRPr="001F446A" w:rsidRDefault="00435B6F"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5471, Schedule M is used by U.S. persons who had control of a foreign corporation for an uninterrupted period of at least 30 days to report certain transactions that occurred during the corporation's annual accounting period.</w:t>
      </w:r>
    </w:p>
    <w:p w14:paraId="03E78FE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587EFE9" w14:textId="3C9F84DC" w:rsidR="00F06BEB" w:rsidRPr="001F446A" w:rsidRDefault="00435B6F"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5471 Schedule O is used by certain officers, directors, and shareholders of foreign corporations to report reorganization and acquisition/disposition of its stock.</w:t>
      </w:r>
    </w:p>
    <w:p w14:paraId="2B0BAA2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98C717C" w14:textId="282560D8" w:rsidR="00F06BEB" w:rsidRPr="001F446A" w:rsidRDefault="00435B6F"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5472  is used to provide to provide required information under sections 6038A and 6038C for reportable transactions that occur during the tax year with a foreign or domestic related party.</w:t>
      </w:r>
    </w:p>
    <w:p w14:paraId="1BEAACE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4F770A3"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56 is used by persons acting as a fiduciary to notify IRS of the creation or termination of the fiduciary relationship.</w:t>
      </w:r>
    </w:p>
    <w:p w14:paraId="73A8CD7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DDF4D89"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56F is used to notify the IRS of a fiduciary relationship only if that relationship is with respect to a financial institution (i.e., a bank or a thrift).</w:t>
      </w:r>
    </w:p>
    <w:p w14:paraId="6AAE4B9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B97FE36"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5713 is used by persons having operations in or related to countries which require participation in or cooperation with an international boycott, to report these operations.</w:t>
      </w:r>
    </w:p>
    <w:p w14:paraId="5100233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D543819"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w:t>
      </w:r>
      <w:r w:rsidR="00D93C3B" w:rsidRPr="001F446A">
        <w:rPr>
          <w:rFonts w:asciiTheme="minorHAnsi" w:eastAsia="Times New Roman" w:hAnsiTheme="minorHAnsi" w:cs="Times New Roman"/>
          <w:bCs/>
          <w:szCs w:val="24"/>
        </w:rPr>
        <w:t>r</w:t>
      </w:r>
      <w:r w:rsidR="00F06BEB" w:rsidRPr="001F446A">
        <w:rPr>
          <w:rFonts w:asciiTheme="minorHAnsi" w:eastAsia="Times New Roman" w:hAnsiTheme="minorHAnsi" w:cs="Times New Roman"/>
          <w:bCs/>
          <w:szCs w:val="24"/>
        </w:rPr>
        <w:t>m 5713, Schedule A is used by persons who participated in or cooperated with an international boycott to figure the international boycott factor to use in figuring the loss of tax benefits.</w:t>
      </w:r>
    </w:p>
    <w:p w14:paraId="72F8CA41" w14:textId="77777777" w:rsidR="00D80F5B" w:rsidRPr="001F446A" w:rsidRDefault="00D80F5B" w:rsidP="00F06BEB">
      <w:pPr>
        <w:widowControl w:val="0"/>
        <w:autoSpaceDE w:val="0"/>
        <w:autoSpaceDN w:val="0"/>
        <w:adjustRightInd w:val="0"/>
        <w:rPr>
          <w:rFonts w:asciiTheme="minorHAnsi" w:eastAsia="Times New Roman" w:hAnsiTheme="minorHAnsi" w:cs="Times New Roman"/>
          <w:bCs/>
          <w:szCs w:val="24"/>
        </w:rPr>
      </w:pPr>
    </w:p>
    <w:p w14:paraId="4D742223" w14:textId="77777777" w:rsidR="00D80F5B" w:rsidRPr="001F446A" w:rsidRDefault="00D80F5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5713, Schedule B</w:t>
      </w:r>
      <w:r w:rsidR="00C74712" w:rsidRPr="001F446A">
        <w:rPr>
          <w:rFonts w:asciiTheme="minorHAnsi" w:eastAsia="Times New Roman" w:hAnsiTheme="minorHAnsi" w:cs="Times New Roman"/>
          <w:bCs/>
          <w:szCs w:val="24"/>
        </w:rPr>
        <w:t xml:space="preserve"> is used by p</w:t>
      </w:r>
      <w:r w:rsidRPr="001F446A">
        <w:rPr>
          <w:rFonts w:asciiTheme="minorHAnsi" w:hAnsiTheme="minorHAnsi" w:cs="Times New Roman"/>
        </w:rPr>
        <w:t>ersons who participated in or cooperated with an international boyco</w:t>
      </w:r>
      <w:r w:rsidR="00C74712" w:rsidRPr="001F446A">
        <w:rPr>
          <w:rFonts w:asciiTheme="minorHAnsi" w:hAnsiTheme="minorHAnsi" w:cs="Times New Roman"/>
        </w:rPr>
        <w:t>tt</w:t>
      </w:r>
      <w:r w:rsidRPr="001F446A">
        <w:rPr>
          <w:rFonts w:asciiTheme="minorHAnsi" w:hAnsiTheme="minorHAnsi" w:cs="Times New Roman"/>
        </w:rPr>
        <w:t xml:space="preserve"> to specifically attribute taxes and income in order to figure the loss of tax benefits.</w:t>
      </w:r>
    </w:p>
    <w:p w14:paraId="7B4E82B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DFA6754"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5713, Schedule C is used to compute the loss of tax benefits from participation in or cooperation with an international boycott.</w:t>
      </w:r>
    </w:p>
    <w:p w14:paraId="5A5AACE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3A7D3E9"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5735 used to figure the American Samoa economic development credit under section 30A. The credit is generally allowed against income tax imposed by Chapter 1.</w:t>
      </w:r>
    </w:p>
    <w:p w14:paraId="3879821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8815EAA"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5884 is used to claim the work opportunity credit for the first year wages paid to or incurred for targeted group employees (including Hurricane Katrina employees) during the tax year.</w:t>
      </w:r>
    </w:p>
    <w:p w14:paraId="0619683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7BFD243"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5884-B is used for a new hire retention credit up to $1,000.00 is allow for each retained worker. A retained worker generally is a qualified employee whose first 52 consecutive weeks of employment ended in the current tax year. </w:t>
      </w:r>
    </w:p>
    <w:p w14:paraId="34F2045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39E748C"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6198 is used by individuals, estates, trusts, and certain corporations to figure the profit (loss) from an at-risk activity, the amount at risk, and the deductible amount of the loss.</w:t>
      </w:r>
    </w:p>
    <w:p w14:paraId="30E9F60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A8F415C"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6478 is used to figure the biofuel producer credit for the tax year in which the sale or use occurs.</w:t>
      </w:r>
    </w:p>
    <w:p w14:paraId="04CB145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DD8A7CB" w14:textId="77777777" w:rsidR="00F06BEB" w:rsidRPr="001F446A" w:rsidRDefault="00D93C3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6627 is used to figure the environmental tax on petroleum, ODCs, imported products that used ODCs as materials in the manufacture or production of the product, and the floor stocks tax on ODCs.</w:t>
      </w:r>
    </w:p>
    <w:p w14:paraId="7BAA148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6E33E2A"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6765 is used to figure and claim the credit for increasing research activities.</w:t>
      </w:r>
    </w:p>
    <w:p w14:paraId="16D49C1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575C99E"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6781 is used to report gains and losses on section 1256 contracts under the mark-to-market rules and under section 1092 from straddle positions.</w:t>
      </w:r>
    </w:p>
    <w:p w14:paraId="42C49E5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BFC729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EC5AB2D" w14:textId="77777777" w:rsidR="00F06BEB" w:rsidRPr="001F446A" w:rsidRDefault="00D93C3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7004 is used to request an automatic 6-month extension of time to file certain business income tax, information and other returns shown on the form.</w:t>
      </w:r>
    </w:p>
    <w:p w14:paraId="3044DBC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CAF3F12"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8023 is used by purchasing corporations to elect section 338 treatment for the qualified stock purchase of another (target) corporation.</w:t>
      </w:r>
    </w:p>
    <w:p w14:paraId="4A138C1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AF19C6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8050 is used to request that the IRS deposit a corporate income tax refund (including a refund of $1 million or more) directly into an account at any U.S. bank or other financial institution (such as a mutual fund or brokerage firm) that accepts direct deposits.  It is also used to request an electronic funds transfer of an income tax refund to the corporation’s bank account for a corporation filing Form 1120, 1120-A or 1120s.</w:t>
      </w:r>
    </w:p>
    <w:p w14:paraId="5209092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FB12E28" w14:textId="77777777" w:rsidR="00D93C3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D93C3B" w:rsidRPr="001F446A">
        <w:rPr>
          <w:rFonts w:asciiTheme="minorHAnsi" w:eastAsia="Times New Roman" w:hAnsiTheme="minorHAnsi" w:cs="Times New Roman"/>
          <w:bCs/>
          <w:szCs w:val="24"/>
        </w:rPr>
        <w:t>Form 8082</w:t>
      </w:r>
      <w:r w:rsidR="0058347F" w:rsidRPr="001F446A">
        <w:rPr>
          <w:rFonts w:asciiTheme="minorHAnsi" w:eastAsia="Times New Roman" w:hAnsiTheme="minorHAnsi" w:cs="Times New Roman"/>
          <w:bCs/>
          <w:szCs w:val="24"/>
        </w:rPr>
        <w:t xml:space="preserve"> is used when a Taxpayer reports an item on a K-1 differently that </w:t>
      </w:r>
      <w:r w:rsidR="00416109" w:rsidRPr="001F446A">
        <w:rPr>
          <w:rFonts w:asciiTheme="minorHAnsi" w:eastAsia="Times New Roman" w:hAnsiTheme="minorHAnsi" w:cs="Times New Roman"/>
          <w:bCs/>
          <w:szCs w:val="24"/>
        </w:rPr>
        <w:t>is</w:t>
      </w:r>
      <w:r w:rsidR="0058347F" w:rsidRPr="001F446A">
        <w:rPr>
          <w:rFonts w:asciiTheme="minorHAnsi" w:eastAsia="Times New Roman" w:hAnsiTheme="minorHAnsi" w:cs="Times New Roman"/>
          <w:bCs/>
          <w:szCs w:val="24"/>
        </w:rPr>
        <w:t xml:space="preserve"> shown on the K-1.</w:t>
      </w:r>
    </w:p>
    <w:p w14:paraId="0B447A38" w14:textId="77777777" w:rsidR="00D93C3B" w:rsidRPr="001F446A" w:rsidRDefault="00D93C3B" w:rsidP="00F06BEB">
      <w:pPr>
        <w:widowControl w:val="0"/>
        <w:autoSpaceDE w:val="0"/>
        <w:autoSpaceDN w:val="0"/>
        <w:adjustRightInd w:val="0"/>
        <w:rPr>
          <w:rFonts w:asciiTheme="minorHAnsi" w:eastAsia="Times New Roman" w:hAnsiTheme="minorHAnsi" w:cs="Times New Roman"/>
          <w:bCs/>
          <w:szCs w:val="24"/>
        </w:rPr>
      </w:pPr>
    </w:p>
    <w:p w14:paraId="5D1166F9" w14:textId="77777777" w:rsidR="00097E26" w:rsidRPr="001F446A" w:rsidRDefault="00D93C3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8275 is used to disclose items or positions, except those taken contrary to a regulation, that are not otherwise adequately disclosed on a tax return to avoid certain penalties. </w:t>
      </w:r>
    </w:p>
    <w:p w14:paraId="7FA833DF" w14:textId="77777777" w:rsidR="00097E26" w:rsidRPr="001F446A" w:rsidRDefault="00097E26" w:rsidP="00F06BEB">
      <w:pPr>
        <w:widowControl w:val="0"/>
        <w:autoSpaceDE w:val="0"/>
        <w:autoSpaceDN w:val="0"/>
        <w:adjustRightInd w:val="0"/>
        <w:rPr>
          <w:rFonts w:asciiTheme="minorHAnsi" w:eastAsia="Times New Roman" w:hAnsiTheme="minorHAnsi" w:cs="Times New Roman"/>
          <w:bCs/>
          <w:szCs w:val="24"/>
        </w:rPr>
      </w:pPr>
    </w:p>
    <w:p w14:paraId="72DAF4E9" w14:textId="77777777" w:rsidR="00F06BEB" w:rsidRPr="001F446A" w:rsidRDefault="0043757D"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 Form 8275R is used to disclose positions taken on a tax return that are contrary to Treasury regulations, to avoid certain portions of the accuracy-related penalty, if the return position has a reasonable basis.</w:t>
      </w:r>
    </w:p>
    <w:p w14:paraId="54F27512"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4821910"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8283 is used to claim a deduction for a charitable contribution of property or similar items of property, the claimed value of which exceeds $500.</w:t>
      </w:r>
    </w:p>
    <w:p w14:paraId="3E087FB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7193220" w14:textId="77777777" w:rsidR="0043757D"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8288 is used to report and transmit the amount withheld by buyers or transferees of U.S. real property interests, and a corporation, partnership, or fiduciary required to withhold tax.</w:t>
      </w:r>
    </w:p>
    <w:p w14:paraId="4CA4E5DE" w14:textId="77777777" w:rsidR="0043757D"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 </w:t>
      </w:r>
    </w:p>
    <w:p w14:paraId="6D13533B" w14:textId="5937A5B7" w:rsidR="00F06BEB" w:rsidRPr="001F446A" w:rsidRDefault="007543AB"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8288 B is used to apply for a withholding certificate to reduce or eliminate withholding on dispositions by foreign persons of U.S. real property interests.</w:t>
      </w:r>
    </w:p>
    <w:p w14:paraId="196CF99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4B0ED8E"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8300 is used by persons who, in the course of their business, receive more than $10,000 in cash in one transaction or in related transactions to report information on the transaction(s).</w:t>
      </w:r>
    </w:p>
    <w:p w14:paraId="12961B2F" w14:textId="77777777" w:rsidR="001044CB" w:rsidRPr="001F446A" w:rsidRDefault="001044CB" w:rsidP="00F06BEB">
      <w:pPr>
        <w:widowControl w:val="0"/>
        <w:autoSpaceDE w:val="0"/>
        <w:autoSpaceDN w:val="0"/>
        <w:adjustRightInd w:val="0"/>
        <w:rPr>
          <w:rFonts w:asciiTheme="minorHAnsi" w:eastAsia="Times New Roman" w:hAnsiTheme="minorHAnsi" w:cs="Times New Roman"/>
          <w:bCs/>
          <w:szCs w:val="24"/>
        </w:rPr>
      </w:pPr>
    </w:p>
    <w:p w14:paraId="239D8F33" w14:textId="77777777" w:rsidR="00F06BEB" w:rsidRPr="001F446A" w:rsidRDefault="00FF267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8302 is used to request an electronic funds transfer of an income tax refund of $1 million or more to the taxpayers’ bank account for a taxpayer filing Form 1045, 1139 or a tax return other than Form 1040, 1120, 1120-A 0r 1120-S.</w:t>
      </w:r>
    </w:p>
    <w:p w14:paraId="6E8B690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549E32C" w14:textId="77777777" w:rsidR="00F06BEB" w:rsidRPr="001F446A" w:rsidRDefault="00D93C3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8308 is used by Partnerships to report the sale or exchange of a partnership interest involving unrealized receivables or inventory items.</w:t>
      </w:r>
    </w:p>
    <w:p w14:paraId="2E9D0BE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9DDFBE0" w14:textId="77777777" w:rsidR="00F06BEB" w:rsidRPr="001F446A" w:rsidRDefault="00D93C3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8329 is used by lenders of certified indebtedness amounts to provide the IRS with information regarding the issuance of Mortgage Credit Certificates (MCCs) under section 25.</w:t>
      </w:r>
    </w:p>
    <w:p w14:paraId="3414963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4D4A882" w14:textId="77777777" w:rsidR="00F06BEB" w:rsidRPr="001F446A" w:rsidRDefault="001F37E9"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8404 is used by shareholders of Interest Charge Domestic International Sales Corporations (IC-DISCs) to figure and report their interest on DISC-related deferred tax liability. Authority is Treasury reg. 1.995(f).</w:t>
      </w:r>
    </w:p>
    <w:p w14:paraId="3D5150D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3979BE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8453-B is used to authenticate an electronic Form 1065-B, and to authorize an electronic return originator or intermediate service provider to transmit via a third party transmitter.</w:t>
      </w:r>
    </w:p>
    <w:p w14:paraId="1A45C00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0E5440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8453-C is used to authenticate an electronic Form 1120, authorize an ERO or ISP to transmit via a third-party, and authorize a corporation's consent to direct deposit any refund or electronic funds withdrawal for payment of federal taxes owed.</w:t>
      </w:r>
    </w:p>
    <w:p w14:paraId="766FBF2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805D3C7" w14:textId="75C4FB49" w:rsidR="00F06BEB" w:rsidRPr="001F446A" w:rsidRDefault="007543AB"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8453-I is used to: authenticate an electronic Form 1120-F, provide the corporation's consent to directly deposit any refund and/or authorize an electronic funds withdrawal for payment of federal taxes owed; authorize the ERO, if any, to transmit via a third-party transmitter;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14:paraId="529A41B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2D92F0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8453-PE is used by partnerships to authenticate an electronic Form 1065, U.S. Return of Partnership's Income and authorize the intermediate service provider (ISP) to transmit via a third-party transmitter if you are filing online (not using an ERO).</w:t>
      </w:r>
    </w:p>
    <w:p w14:paraId="60EDF5E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400BC3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8453-S is used by S Corporations to authenticate an electronic Form 1120-S, U.S. Income Tax Return for an S Corporation;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14:paraId="4B41C4D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529B97C" w14:textId="6604B394" w:rsidR="00F06BEB" w:rsidRPr="001F446A" w:rsidRDefault="007543AB"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8453-X is used to certify electronic filing of form 8871.</w:t>
      </w:r>
    </w:p>
    <w:p w14:paraId="1CBD9F2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18FF54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851 is used by the parent corporation of an affiliated group to identify the parent and affiliated members, report allocated amounts of payments, and determine that each subsidiary qualifies for the affiliated group.</w:t>
      </w:r>
    </w:p>
    <w:p w14:paraId="7AC1C1FD" w14:textId="77777777" w:rsidR="00D93C3B" w:rsidRPr="001F446A" w:rsidRDefault="00D93C3B" w:rsidP="00F06BEB">
      <w:pPr>
        <w:widowControl w:val="0"/>
        <w:autoSpaceDE w:val="0"/>
        <w:autoSpaceDN w:val="0"/>
        <w:adjustRightInd w:val="0"/>
        <w:rPr>
          <w:rFonts w:asciiTheme="minorHAnsi" w:eastAsia="Times New Roman" w:hAnsiTheme="minorHAnsi" w:cs="Times New Roman"/>
          <w:bCs/>
          <w:szCs w:val="24"/>
        </w:rPr>
      </w:pPr>
    </w:p>
    <w:p w14:paraId="763C0A42" w14:textId="77777777" w:rsidR="00F06BEB" w:rsidRPr="001F446A" w:rsidRDefault="001F37E9"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8586 is used by owners of qualified residential rental buildings in low-income housing projects to figure the amount of their low-income housing credit.</w:t>
      </w:r>
    </w:p>
    <w:p w14:paraId="78626FD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369CAFE" w14:textId="77777777" w:rsidR="00F06BEB" w:rsidRPr="001F446A" w:rsidRDefault="001F37E9"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8594 is used by both seller and purchaser of a group of assets that makes up a trade of business to report such a sale when goodwill or going concern value attaches or could attach to such assets and if the purchasers’ basis in the assets is determined by the amount paid for the assets.</w:t>
      </w:r>
    </w:p>
    <w:p w14:paraId="3C9D798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04BB7EA" w14:textId="77777777" w:rsidR="00F06BEB" w:rsidRPr="001F446A" w:rsidRDefault="001F37E9"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8609 is used to obtain a housing credit allocation from the housing credit agency. In addition, the form contains the first-year certification completed by building owners with respect to the first year of the credit period.</w:t>
      </w:r>
    </w:p>
    <w:p w14:paraId="73DB424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D89A4F0" w14:textId="77777777" w:rsidR="00F06BEB" w:rsidRPr="001F446A" w:rsidRDefault="001F37E9"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8609-A must be completed by the building owner each year of the 15-year compliance period, whether or not a low-income housing credit (LIHC) is claimed for the tax year.</w:t>
      </w:r>
    </w:p>
    <w:p w14:paraId="64894DA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274B792" w14:textId="77777777" w:rsidR="00F06BEB" w:rsidRPr="001F446A" w:rsidRDefault="001F37E9"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8611 is used by owners of residential low-income rental buildings to recapture the low-income housing credit taken in previous years due to a decrease in the qualified basis of a building or its disposition without posting a satisfactory bond.</w:t>
      </w:r>
    </w:p>
    <w:p w14:paraId="52B2FC7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78CED7A"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8621 is used by direct or indirect shareholder of a passive foreign investment company or qualified electing fund each tax year in which the shareholder holds stock in a passive foreign investment company or qualified electing fund.</w:t>
      </w:r>
    </w:p>
    <w:p w14:paraId="347F364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F528DFA"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w:t>
      </w:r>
      <w:r w:rsidR="00F10218" w:rsidRPr="001F446A">
        <w:rPr>
          <w:rFonts w:asciiTheme="minorHAnsi" w:eastAsia="Times New Roman" w:hAnsiTheme="minorHAnsi" w:cs="Times New Roman"/>
          <w:bCs/>
          <w:szCs w:val="24"/>
        </w:rPr>
        <w:t xml:space="preserve"> </w:t>
      </w:r>
      <w:r w:rsidR="00F06BEB" w:rsidRPr="001F446A">
        <w:rPr>
          <w:rFonts w:asciiTheme="minorHAnsi" w:eastAsia="Times New Roman" w:hAnsiTheme="minorHAnsi" w:cs="Times New Roman"/>
          <w:bCs/>
          <w:szCs w:val="24"/>
        </w:rPr>
        <w:t>8621-A is used by shareholders of a former Passive Foreign Investment Company (PFIC) or a Section 1297(e)PFIC to make a late purging election under Section 1298(b)(1) to terminate their subjection to taxation under Section 1291.</w:t>
      </w:r>
    </w:p>
    <w:p w14:paraId="6D1D622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B4C0E39"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8655 is used to designate a reporting agent to file certain tax returns electronically or on magnetic tape. </w:t>
      </w:r>
    </w:p>
    <w:p w14:paraId="4FCA6B4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381B8EA" w14:textId="77777777" w:rsidR="00D93C3B" w:rsidRPr="001F446A" w:rsidRDefault="00D93C3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8693</w:t>
      </w:r>
      <w:r w:rsidR="00732539" w:rsidRPr="001F446A">
        <w:rPr>
          <w:rFonts w:asciiTheme="minorHAnsi" w:eastAsia="Times New Roman" w:hAnsiTheme="minorHAnsi" w:cs="Times New Roman"/>
          <w:bCs/>
          <w:szCs w:val="24"/>
        </w:rPr>
        <w:t xml:space="preserve"> is used by Taxpayers to post bond related to certain dispositions of residential rental buildings. </w:t>
      </w:r>
    </w:p>
    <w:p w14:paraId="429FBF1A" w14:textId="77777777" w:rsidR="00D93C3B" w:rsidRPr="001F446A" w:rsidRDefault="00D93C3B" w:rsidP="00F06BEB">
      <w:pPr>
        <w:widowControl w:val="0"/>
        <w:autoSpaceDE w:val="0"/>
        <w:autoSpaceDN w:val="0"/>
        <w:adjustRightInd w:val="0"/>
        <w:rPr>
          <w:rFonts w:asciiTheme="minorHAnsi" w:eastAsia="Times New Roman" w:hAnsiTheme="minorHAnsi" w:cs="Times New Roman"/>
          <w:bCs/>
          <w:szCs w:val="24"/>
        </w:rPr>
      </w:pPr>
    </w:p>
    <w:p w14:paraId="057316F9"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8697 is used by persons who complete long-term contracts that were accounted for using the percentage of completion or completion-capitalized cost methods to figure the interest due or to be refunded under the look-back method.</w:t>
      </w:r>
    </w:p>
    <w:p w14:paraId="2B450FB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378E7B4"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8703 is used by operators of residential rental projects to provide annual information used to determine if projects continue to be qualified residential projects under section 142(d) and whose bonds are considered exempt facility bonds.</w:t>
      </w:r>
    </w:p>
    <w:p w14:paraId="205DA06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2DFA294" w14:textId="125A7C1B" w:rsidR="00D93C3B" w:rsidRPr="001F446A" w:rsidRDefault="00D711E4"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D93C3B" w:rsidRPr="001F446A">
        <w:rPr>
          <w:rFonts w:asciiTheme="minorHAnsi" w:eastAsia="Times New Roman" w:hAnsiTheme="minorHAnsi" w:cs="Times New Roman"/>
          <w:bCs/>
          <w:szCs w:val="24"/>
        </w:rPr>
        <w:t>Form 8716</w:t>
      </w:r>
      <w:r w:rsidR="00732539" w:rsidRPr="001F446A">
        <w:rPr>
          <w:rFonts w:asciiTheme="minorHAnsi" w:eastAsia="Times New Roman" w:hAnsiTheme="minorHAnsi" w:cs="Times New Roman"/>
          <w:bCs/>
          <w:szCs w:val="24"/>
        </w:rPr>
        <w:t xml:space="preserve"> is filed by business entities to elect to have a tax year other than a required tax year.</w:t>
      </w:r>
    </w:p>
    <w:p w14:paraId="186CD7B8" w14:textId="77777777" w:rsidR="00D93C3B" w:rsidRPr="001F446A" w:rsidRDefault="00D93C3B" w:rsidP="00F06BEB">
      <w:pPr>
        <w:widowControl w:val="0"/>
        <w:autoSpaceDE w:val="0"/>
        <w:autoSpaceDN w:val="0"/>
        <w:adjustRightInd w:val="0"/>
        <w:rPr>
          <w:rFonts w:asciiTheme="minorHAnsi" w:eastAsia="Times New Roman" w:hAnsiTheme="minorHAnsi" w:cs="Times New Roman"/>
          <w:bCs/>
          <w:szCs w:val="24"/>
        </w:rPr>
      </w:pPr>
    </w:p>
    <w:p w14:paraId="6337850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3F660D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8752 is used by Partnerships and S corporations that elected to have a tax year other than a required tax year to figure and report the payment required under section 7519 or to obtain a refund of net prior year payments.</w:t>
      </w:r>
    </w:p>
    <w:p w14:paraId="7DEECE8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D7625D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8804 is used by Partnerships to report the total liability under section 1446 for the partnership's tax year.</w:t>
      </w:r>
    </w:p>
    <w:p w14:paraId="4896EC2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0EE1A0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8804 Schedule A is used by Partnerships that have effectively connected taxable income (ECTI) allocable to foreign partners to determine whether they are subject to the penalty for underpayment of estimated tax and, if so, the amount of the underpayment penalty.</w:t>
      </w:r>
    </w:p>
    <w:p w14:paraId="2968C56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368B70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8804 Schedule W is used by Partnerships to determine their foreign partners' tax liability and their estimated tax payments.</w:t>
      </w:r>
    </w:p>
    <w:p w14:paraId="5341BE56" w14:textId="77777777" w:rsidR="005C0385" w:rsidRPr="001F446A" w:rsidRDefault="005C0385" w:rsidP="00F06BEB">
      <w:pPr>
        <w:widowControl w:val="0"/>
        <w:autoSpaceDE w:val="0"/>
        <w:autoSpaceDN w:val="0"/>
        <w:adjustRightInd w:val="0"/>
        <w:rPr>
          <w:rFonts w:asciiTheme="minorHAnsi" w:eastAsia="Times New Roman" w:hAnsiTheme="minorHAnsi" w:cs="Times New Roman"/>
          <w:bCs/>
          <w:szCs w:val="24"/>
        </w:rPr>
      </w:pPr>
    </w:p>
    <w:p w14:paraId="1C2FD7B0" w14:textId="77777777" w:rsidR="005C0385" w:rsidRPr="001F446A" w:rsidRDefault="005C0385" w:rsidP="005C0385">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8805 is used to show the amount of effectively connected taxable income and the tax payments allocable to the foreign partner for the partnership's tax year.</w:t>
      </w:r>
    </w:p>
    <w:p w14:paraId="72724ABC" w14:textId="77777777" w:rsidR="005C0385" w:rsidRPr="001F446A" w:rsidRDefault="005C0385" w:rsidP="00F06BEB">
      <w:pPr>
        <w:widowControl w:val="0"/>
        <w:autoSpaceDE w:val="0"/>
        <w:autoSpaceDN w:val="0"/>
        <w:adjustRightInd w:val="0"/>
        <w:rPr>
          <w:rFonts w:asciiTheme="minorHAnsi" w:eastAsia="Times New Roman" w:hAnsiTheme="minorHAnsi" w:cs="Times New Roman"/>
          <w:bCs/>
          <w:szCs w:val="24"/>
        </w:rPr>
      </w:pPr>
    </w:p>
    <w:p w14:paraId="25A9F94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4CD9AC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EB7605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8806 is to report an acquisition of control or a substantial change in the capital structure of a domestic corporation.</w:t>
      </w:r>
    </w:p>
    <w:p w14:paraId="3BF6DAB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8318FC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8810 is used by closely held C corporations and personal service corporations that have passive activity losses and/or credits.</w:t>
      </w:r>
    </w:p>
    <w:p w14:paraId="70656AF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DC6070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108B4D2" w14:textId="77777777" w:rsidR="00F06BEB" w:rsidRPr="001F446A" w:rsidRDefault="00F06BEB" w:rsidP="009E10FA">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Form 8813 is used to pay the withholding tax under section 1446 to the United States Treasury. </w:t>
      </w:r>
    </w:p>
    <w:p w14:paraId="360D99F5" w14:textId="77777777" w:rsidR="00F06BEB" w:rsidRPr="001F446A" w:rsidRDefault="00F06BEB" w:rsidP="009E10FA">
      <w:pPr>
        <w:widowControl w:val="0"/>
        <w:autoSpaceDE w:val="0"/>
        <w:autoSpaceDN w:val="0"/>
        <w:adjustRightInd w:val="0"/>
        <w:rPr>
          <w:rFonts w:asciiTheme="minorHAnsi" w:eastAsia="Times New Roman" w:hAnsiTheme="minorHAnsi" w:cs="Times New Roman"/>
          <w:bCs/>
          <w:szCs w:val="24"/>
        </w:rPr>
      </w:pPr>
    </w:p>
    <w:p w14:paraId="42D81249" w14:textId="77777777" w:rsidR="00F06BEB" w:rsidRPr="001F446A" w:rsidRDefault="00F06BEB" w:rsidP="009E10FA">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8816 is used by insurance companies that elect to take an additional deduction under section 847.</w:t>
      </w:r>
    </w:p>
    <w:p w14:paraId="764262E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BD8C601"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8819 is used to elect the U.S. dollar as the functional currency of an eligible qualified business unit (QBU), as defined in Regulations Section 1.985-2(b)(1).</w:t>
      </w:r>
    </w:p>
    <w:p w14:paraId="7630F3E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F0988CF"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8820 is used to claim an orphan drug credit.</w:t>
      </w:r>
    </w:p>
    <w:p w14:paraId="3BD2475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D079BCA" w14:textId="576926A3" w:rsidR="00F06BEB" w:rsidRPr="001F446A" w:rsidRDefault="007543AB"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8822-B is used by business taxpayers to report a change of address or business location.</w:t>
      </w:r>
    </w:p>
    <w:p w14:paraId="77F05D4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B37AF9B"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8824 is used to report each exchange of business or investment property for property of a like kind.</w:t>
      </w:r>
    </w:p>
    <w:p w14:paraId="0258B15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F981CE4"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8825 is used to report income and deductible expenses from rental real estate activities, including those that flow through from partnerships, estates, or trusts.</w:t>
      </w:r>
    </w:p>
    <w:p w14:paraId="299918D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15AE1EB"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8826 is used by eligible small businesses to claim the disabled access credit, a part of the general business credit.</w:t>
      </w:r>
    </w:p>
    <w:p w14:paraId="4699F13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AC7230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8827</w:t>
      </w:r>
      <w:r w:rsidR="00914A59" w:rsidRPr="001F446A">
        <w:rPr>
          <w:rFonts w:asciiTheme="minorHAnsi" w:eastAsia="Times New Roman" w:hAnsiTheme="minorHAnsi" w:cs="Times New Roman"/>
          <w:bCs/>
          <w:szCs w:val="24"/>
        </w:rPr>
        <w:t xml:space="preserve"> is </w:t>
      </w:r>
      <w:r w:rsidRPr="001F446A">
        <w:rPr>
          <w:rFonts w:asciiTheme="minorHAnsi" w:eastAsia="Times New Roman" w:hAnsiTheme="minorHAnsi" w:cs="Times New Roman"/>
          <w:bCs/>
          <w:szCs w:val="24"/>
        </w:rPr>
        <w:t>used by corporations to figure the minimum tax credit, if any, for alternative minimum tax incurred in prior tax years and to figure any minimum tax credit carryforward.</w:t>
      </w:r>
    </w:p>
    <w:p w14:paraId="64983DF4" w14:textId="77777777" w:rsidR="009A79D8" w:rsidRPr="001F446A" w:rsidRDefault="009A79D8" w:rsidP="00F06BEB">
      <w:pPr>
        <w:widowControl w:val="0"/>
        <w:autoSpaceDE w:val="0"/>
        <w:autoSpaceDN w:val="0"/>
        <w:adjustRightInd w:val="0"/>
        <w:rPr>
          <w:rFonts w:asciiTheme="minorHAnsi" w:eastAsia="Times New Roman" w:hAnsiTheme="minorHAnsi" w:cs="Times New Roman"/>
          <w:bCs/>
          <w:szCs w:val="24"/>
        </w:rPr>
      </w:pPr>
    </w:p>
    <w:p w14:paraId="3F8D9521" w14:textId="7725D287" w:rsidR="009A79D8" w:rsidRPr="001F446A" w:rsidRDefault="007543AB"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9A79D8" w:rsidRPr="001F446A">
        <w:rPr>
          <w:rFonts w:asciiTheme="minorHAnsi" w:eastAsia="Times New Roman" w:hAnsiTheme="minorHAnsi" w:cs="Times New Roman"/>
          <w:bCs/>
          <w:szCs w:val="24"/>
        </w:rPr>
        <w:t>Form 8830</w:t>
      </w:r>
      <w:r w:rsidR="00914A59" w:rsidRPr="001F446A">
        <w:rPr>
          <w:rFonts w:asciiTheme="minorHAnsi" w:eastAsia="Times New Roman" w:hAnsiTheme="minorHAnsi" w:cs="Times New Roman"/>
          <w:bCs/>
          <w:szCs w:val="24"/>
        </w:rPr>
        <w:t xml:space="preserve"> is used to claim the enhanced oil recovery credit, a part of the general business credit. </w:t>
      </w:r>
    </w:p>
    <w:p w14:paraId="359EE48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BB1410B" w14:textId="77777777" w:rsidR="00F06BEB" w:rsidRPr="001F446A" w:rsidRDefault="00D66A27"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8832 is used by eligible entities to choose how they are classified for Federal tax purposes: as an association taxable as a corporation or as a partnership, or as an entity inseparable from its owner.</w:t>
      </w:r>
    </w:p>
    <w:p w14:paraId="4A19197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FF2B53C"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8833 is used to make the treaty-based return position disclosure.</w:t>
      </w:r>
    </w:p>
    <w:p w14:paraId="5D1F91D1" w14:textId="77777777" w:rsidR="00914A59" w:rsidRPr="001F446A" w:rsidRDefault="00914A59"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*Form 8834 is used by taxpayers to claim any qualified electric vehicle passive activity credit allowed for the current tax year. </w:t>
      </w:r>
    </w:p>
    <w:p w14:paraId="1F29E2A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4E917CE"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8835 is used to claim the renewable electricity, refined coal, and Indian coal production credit. The credit is allowed only for the sale of electricity, refined coal, or Indian coal produced in the United States or U.S. possessions from qualified energy resources at a qualified facility.</w:t>
      </w:r>
    </w:p>
    <w:p w14:paraId="1D430C5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03CF232" w14:textId="77777777" w:rsidR="00F06BEB" w:rsidRPr="001F446A" w:rsidRDefault="00D66A27"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8838 is used by U.S. transferors that entered into a gain recognition agreement under section 367(a) and 367(e)(2).</w:t>
      </w:r>
    </w:p>
    <w:p w14:paraId="2D242F6C" w14:textId="77777777" w:rsidR="00754D08" w:rsidRPr="001F446A" w:rsidRDefault="00754D08" w:rsidP="00F06BEB">
      <w:pPr>
        <w:widowControl w:val="0"/>
        <w:autoSpaceDE w:val="0"/>
        <w:autoSpaceDN w:val="0"/>
        <w:adjustRightInd w:val="0"/>
        <w:rPr>
          <w:rFonts w:asciiTheme="minorHAnsi" w:eastAsia="Times New Roman" w:hAnsiTheme="minorHAnsi" w:cs="Times New Roman"/>
          <w:bCs/>
          <w:szCs w:val="24"/>
        </w:rPr>
      </w:pPr>
    </w:p>
    <w:p w14:paraId="603C121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8842 is used by corporations to elect one of the two annualization options that can be elected under section 6655(e)(2)(C) to figure the corporation's estimated tax payments under the annualized income installment method.</w:t>
      </w:r>
    </w:p>
    <w:p w14:paraId="7B8F87C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C589B55"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8844 is used by employers to claim the empowerment zone and renewal community employment credit.</w:t>
      </w:r>
    </w:p>
    <w:p w14:paraId="7E4BF50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302FB22"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8845 is used by Employers of American Indians who are qualified employees to claim the Indian employment credit.</w:t>
      </w:r>
    </w:p>
    <w:p w14:paraId="6469243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09E214D" w14:textId="77777777" w:rsidR="00F06BEB"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8846 is used by certain food and beverage establishments to claim a credit for social security and Medicare taxes paid or incurred by the employer on certain employees' tips.</w:t>
      </w:r>
    </w:p>
    <w:p w14:paraId="0D580A3F" w14:textId="77777777" w:rsidR="009F2364" w:rsidRPr="001F446A" w:rsidRDefault="009F2364" w:rsidP="00F06BEB">
      <w:pPr>
        <w:widowControl w:val="0"/>
        <w:autoSpaceDE w:val="0"/>
        <w:autoSpaceDN w:val="0"/>
        <w:adjustRightInd w:val="0"/>
        <w:rPr>
          <w:rFonts w:asciiTheme="minorHAnsi" w:eastAsia="Times New Roman" w:hAnsiTheme="minorHAnsi" w:cs="Times New Roman"/>
          <w:bCs/>
          <w:szCs w:val="24"/>
        </w:rPr>
      </w:pPr>
    </w:p>
    <w:p w14:paraId="3D7054F9" w14:textId="195F8546" w:rsidR="00F06BEB" w:rsidRDefault="009F2364"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Form 8848 is used by foreign corporations if they completely terminated all of their U.S. trade or business according to regulations section 1.884-2(a) and (c) during the tax year.</w:t>
      </w:r>
    </w:p>
    <w:p w14:paraId="24EF59E2" w14:textId="77777777" w:rsidR="009F2364" w:rsidRPr="001F446A" w:rsidRDefault="009F2364" w:rsidP="00F06BEB">
      <w:pPr>
        <w:widowControl w:val="0"/>
        <w:autoSpaceDE w:val="0"/>
        <w:autoSpaceDN w:val="0"/>
        <w:adjustRightInd w:val="0"/>
        <w:rPr>
          <w:rFonts w:asciiTheme="minorHAnsi" w:eastAsia="Times New Roman" w:hAnsiTheme="minorHAnsi" w:cs="Times New Roman"/>
          <w:bCs/>
          <w:szCs w:val="24"/>
        </w:rPr>
      </w:pPr>
    </w:p>
    <w:p w14:paraId="1978B1AC"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8858 and schedules are used by certain U.S. persons that own a foreign disregarded entity (FDE) directly or, in certain circumstances, indirectly or constructively. The Form and schedules are used to satisfy the reporting requirements of sections 6011, 6012, 6031, and 6038, and related regulations.</w:t>
      </w:r>
    </w:p>
    <w:p w14:paraId="4644C576" w14:textId="77777777" w:rsidR="001044CB" w:rsidRPr="001F446A" w:rsidRDefault="001044CB" w:rsidP="00F06BEB">
      <w:pPr>
        <w:widowControl w:val="0"/>
        <w:autoSpaceDE w:val="0"/>
        <w:autoSpaceDN w:val="0"/>
        <w:adjustRightInd w:val="0"/>
        <w:rPr>
          <w:rFonts w:asciiTheme="minorHAnsi" w:eastAsia="Times New Roman" w:hAnsiTheme="minorHAnsi" w:cs="Times New Roman"/>
          <w:bCs/>
          <w:szCs w:val="24"/>
        </w:rPr>
      </w:pPr>
    </w:p>
    <w:p w14:paraId="57581FA0" w14:textId="77777777" w:rsidR="001044CB" w:rsidRPr="001F446A" w:rsidRDefault="00CD2E8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1044CB" w:rsidRPr="001F446A">
        <w:rPr>
          <w:rFonts w:asciiTheme="minorHAnsi" w:eastAsia="Times New Roman" w:hAnsiTheme="minorHAnsi" w:cs="Times New Roman"/>
          <w:bCs/>
          <w:szCs w:val="24"/>
        </w:rPr>
        <w:t>Form 8858 (Sch</w:t>
      </w:r>
      <w:r w:rsidR="00E150C5" w:rsidRPr="001F446A">
        <w:rPr>
          <w:rFonts w:asciiTheme="minorHAnsi" w:eastAsia="Times New Roman" w:hAnsiTheme="minorHAnsi" w:cs="Times New Roman"/>
          <w:bCs/>
          <w:szCs w:val="24"/>
        </w:rPr>
        <w:t>.</w:t>
      </w:r>
      <w:r w:rsidR="001044CB" w:rsidRPr="001F446A">
        <w:rPr>
          <w:rFonts w:asciiTheme="minorHAnsi" w:eastAsia="Times New Roman" w:hAnsiTheme="minorHAnsi" w:cs="Times New Roman"/>
          <w:bCs/>
          <w:szCs w:val="24"/>
        </w:rPr>
        <w:t xml:space="preserve"> M) is</w:t>
      </w:r>
      <w:r w:rsidR="001044CB" w:rsidRPr="001F446A">
        <w:rPr>
          <w:rFonts w:asciiTheme="minorHAnsi" w:hAnsiTheme="minorHAnsi"/>
        </w:rPr>
        <w:t xml:space="preserve"> used by certain U.S. persons that are required to file Form 5471 with respect to a CFC or Form 8865 with respect to a CFP, that is a tax owner of an FDE, such as Category 4 filers of Form 5471, and Category 1 filers of Form 8865, must file Schedule M.</w:t>
      </w:r>
    </w:p>
    <w:p w14:paraId="6AC21C3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3C10A5A"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8864 is used to claim the biodiesel and renewable diesel fuels credit.</w:t>
      </w:r>
    </w:p>
    <w:p w14:paraId="0FB6E42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65B949D"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8865 is used to report the information required under section 6038 (reporting with respect to controlled foreign partnerships), section 6038B (reporting of transfers to foreign partnerships), or section 6046A (reporting acquisitions, dispositions, and changes in foreign partnership interests).</w:t>
      </w:r>
    </w:p>
    <w:p w14:paraId="3261532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AC0E732" w14:textId="77777777" w:rsidR="00F06BEB" w:rsidRPr="001F446A" w:rsidRDefault="00D66A27"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8865, </w:t>
      </w:r>
      <w:r w:rsidR="00311623" w:rsidRPr="001F446A">
        <w:rPr>
          <w:rFonts w:asciiTheme="minorHAnsi" w:eastAsia="Times New Roman" w:hAnsiTheme="minorHAnsi" w:cs="Times New Roman"/>
          <w:bCs/>
          <w:szCs w:val="24"/>
        </w:rPr>
        <w:t>Schedules K</w:t>
      </w:r>
      <w:r w:rsidR="00F06BEB" w:rsidRPr="001F446A">
        <w:rPr>
          <w:rFonts w:asciiTheme="minorHAnsi" w:eastAsia="Times New Roman" w:hAnsiTheme="minorHAnsi" w:cs="Times New Roman"/>
          <w:bCs/>
          <w:szCs w:val="24"/>
        </w:rPr>
        <w:t>-1, O, and Schedule P are used to report the information required under section 6038, section 6038B, or section 6046A.</w:t>
      </w:r>
    </w:p>
    <w:p w14:paraId="3572610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001FB2E"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8866 is used by taxpayers who depreciated certain property using the income forecast method (generally limited to motion picture films, video tapes, sound recordings, copyrights, books and patents) to figure the interest due or to be refunded under the look-back method.</w:t>
      </w:r>
    </w:p>
    <w:p w14:paraId="670DC3D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61DF3E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8869 is used by a parent S corporation to elect to treat one or more of its eligible subsidiaries as a qualified subchapter S subsidiary (Q</w:t>
      </w:r>
      <w:r w:rsidR="00E150C5" w:rsidRPr="001F446A">
        <w:rPr>
          <w:rFonts w:asciiTheme="minorHAnsi" w:eastAsia="Times New Roman" w:hAnsiTheme="minorHAnsi" w:cs="Times New Roman"/>
          <w:bCs/>
          <w:szCs w:val="24"/>
        </w:rPr>
        <w:t>-</w:t>
      </w:r>
      <w:r w:rsidRPr="001F446A">
        <w:rPr>
          <w:rFonts w:asciiTheme="minorHAnsi" w:eastAsia="Times New Roman" w:hAnsiTheme="minorHAnsi" w:cs="Times New Roman"/>
          <w:bCs/>
          <w:szCs w:val="24"/>
        </w:rPr>
        <w:t>Sub).</w:t>
      </w:r>
    </w:p>
    <w:p w14:paraId="1623D259" w14:textId="77777777" w:rsidR="00311623" w:rsidRPr="001F446A" w:rsidRDefault="00311623" w:rsidP="00F06BEB">
      <w:pPr>
        <w:widowControl w:val="0"/>
        <w:autoSpaceDE w:val="0"/>
        <w:autoSpaceDN w:val="0"/>
        <w:adjustRightInd w:val="0"/>
        <w:rPr>
          <w:rFonts w:asciiTheme="minorHAnsi" w:eastAsia="Times New Roman" w:hAnsiTheme="minorHAnsi" w:cs="Times New Roman"/>
          <w:bCs/>
          <w:szCs w:val="24"/>
        </w:rPr>
      </w:pPr>
    </w:p>
    <w:p w14:paraId="77494E7C" w14:textId="065E88FE" w:rsidR="00311623" w:rsidRPr="001F446A" w:rsidRDefault="007543AB"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311623" w:rsidRPr="001F446A">
        <w:rPr>
          <w:rFonts w:asciiTheme="minorHAnsi" w:eastAsia="Times New Roman" w:hAnsiTheme="minorHAnsi" w:cs="Times New Roman"/>
          <w:bCs/>
          <w:szCs w:val="24"/>
        </w:rPr>
        <w:t>Form 8871 is used by political organizations to notify the IRS that the organization is to be treated as a tax-exempt section 527 organization.</w:t>
      </w:r>
    </w:p>
    <w:p w14:paraId="5254E70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E30CF3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Form 8872 is used by </w:t>
      </w:r>
      <w:r w:rsidR="00311623" w:rsidRPr="001F446A">
        <w:rPr>
          <w:rFonts w:asciiTheme="minorHAnsi" w:eastAsia="Times New Roman" w:hAnsiTheme="minorHAnsi" w:cs="Times New Roman"/>
          <w:bCs/>
          <w:szCs w:val="24"/>
        </w:rPr>
        <w:t xml:space="preserve">political </w:t>
      </w:r>
      <w:r w:rsidRPr="001F446A">
        <w:rPr>
          <w:rFonts w:asciiTheme="minorHAnsi" w:eastAsia="Times New Roman" w:hAnsiTheme="minorHAnsi" w:cs="Times New Roman"/>
          <w:bCs/>
          <w:szCs w:val="24"/>
        </w:rPr>
        <w:t>organizations must use to report certain contributions received and expenditures made after July 1, 2000 (unless otherwise excluded).</w:t>
      </w:r>
    </w:p>
    <w:p w14:paraId="518B381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4F4B262"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8873 is used to figure the amount of extraterritorial income excluded from gross income for the tax year.</w:t>
      </w:r>
    </w:p>
    <w:p w14:paraId="1A6C517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87EF3DD"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8874 is used to claim the new markets credit for qualified equity investments made in qualified community development entities (CDEs).</w:t>
      </w:r>
    </w:p>
    <w:p w14:paraId="495E3BC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F27261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Form 8875 is used by a corporation (other than a REIT or an ineligible corporation) and a REIT to jointly elect to have the corporation treated as a taxable REIT subsidiary under section 856(l). </w:t>
      </w:r>
    </w:p>
    <w:p w14:paraId="5BEE1FE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94B5E19"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8878-A is used by persons authorized to sign an electronic funds withdrawal authorization and an electronic return originator (ERO) to use a personal identification number (PIN) to authorize an electronic funds withdrawal of the balance due on an electronic Form 7004.</w:t>
      </w:r>
    </w:p>
    <w:p w14:paraId="3B65DC3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DBE22D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8879-B is used by an electronic return originator (ERO) and a general partner or limited liability company member manager when the general partner or limited liability company member manager wants to use a personal identification number (PIN) to electronically sign an electing large partnership electronic income tax return, and, if applicable, consent to electronic funds withdrawal.</w:t>
      </w:r>
    </w:p>
    <w:p w14:paraId="124B6B6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264D57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8879-C is used by a corporate officer and an electronic return originator when the corporate officer wants to use a PIN to electronically sign a corporation's electronic income tax return.</w:t>
      </w:r>
    </w:p>
    <w:p w14:paraId="215F12A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75B360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8879-I used by foreign corporations to facilitate use of a corporate officer's PIN to electronically sign an electronically transmitted Form 1120-F.</w:t>
      </w:r>
    </w:p>
    <w:p w14:paraId="6135A96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2B19B7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8879-PE is used by an electronic return originator (ERO) and a general partner or limited liability company member when the general partner or limited liability company member wants to use a personal identification number (PIN) to electronically sign a partnership's electronic income tax return.</w:t>
      </w:r>
    </w:p>
    <w:p w14:paraId="52A6923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B43AA8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8879-S is used by an electronic return originator (ERO) and a corporate officer when the corporate officer wants to use a personal identification number (PIN) to electronically sign a corporation's electronic income tax return, and if applicable, consent to electronic funds withdrawal.</w:t>
      </w:r>
    </w:p>
    <w:p w14:paraId="4DF214D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B16A2D2" w14:textId="3AA7A2F8" w:rsidR="00F06BEB" w:rsidRPr="001F446A" w:rsidRDefault="007543AB"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8881 is used to claim the credit f under section 45E or qualified startup costs incurred in establishing or administering an eligible employer plan. </w:t>
      </w:r>
    </w:p>
    <w:p w14:paraId="0E7131E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79415B4"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8882 is used by employers to claim the credit for qualified childcare facility and resource and referral expenditures.</w:t>
      </w:r>
    </w:p>
    <w:p w14:paraId="7711695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203FFDB" w14:textId="77777777" w:rsidR="00F06BEB" w:rsidRPr="001F446A" w:rsidRDefault="00D66A27"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8883 is used to report information about transactions involving the deemed sale of corporate assets under Section 338.</w:t>
      </w:r>
    </w:p>
    <w:p w14:paraId="1E7B642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EBD0B4B"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8886 is used to disclose participation in reportable transactions by taxpayers as described in regulations 1.6011-4.</w:t>
      </w:r>
    </w:p>
    <w:p w14:paraId="35673D2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4A0B84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8893 is used by small partnerships electing the unified audit and litigation procedures as set forth in Section 6231(a)(1)(B)(ii).</w:t>
      </w:r>
    </w:p>
    <w:p w14:paraId="34CAA32F"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CE313A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8894 is used by small partnerships revoking a prior election of the unified audit and litigation procedures as set forth in Section 6231(a)(1)(B)(ii).</w:t>
      </w:r>
    </w:p>
    <w:p w14:paraId="0E767FE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315B9A0" w14:textId="77777777" w:rsidR="00F06BEB" w:rsidRPr="001F446A" w:rsidRDefault="00754D08" w:rsidP="00821D37">
      <w:pPr>
        <w:widowControl w:val="0"/>
        <w:autoSpaceDE w:val="0"/>
        <w:autoSpaceDN w:val="0"/>
        <w:adjustRightInd w:val="0"/>
        <w:jc w:val="both"/>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8896 is used to claim the credit for qualified low sulfur diesel fuel production costs.</w:t>
      </w:r>
    </w:p>
    <w:p w14:paraId="237F20D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F1CB44C"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8900 is used to claim the railroad track maintenance credit (RTMC) with respect to qualified railroad track maintenance expenditures (QRTME) paid or incurred during the tax year.</w:t>
      </w:r>
    </w:p>
    <w:p w14:paraId="6B3DA4A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6E324E4"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8902 is used by qualifying vessel operators (defined below) who are making an alternative tax election under section 1354(a) or who have made such an election previously.</w:t>
      </w:r>
    </w:p>
    <w:p w14:paraId="430B008A"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8209370"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8903 is used by corporations, individuals, partners (including partners of electing large partnerships), S corporation shareholders, estate and trusts, beneficiaries of estates and trusts, cooperatives and patrons of cooperatives to calculate and report the domestic production activities deduction.</w:t>
      </w:r>
    </w:p>
    <w:p w14:paraId="34C4F95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39E6DA7"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8906 is used to claim the distilled spirits credit,</w:t>
      </w:r>
    </w:p>
    <w:p w14:paraId="6FE15A7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3593771"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8907 is used to determine the amount of credit that can be claimed for the production and sale of qualified nonconventional source fuel.</w:t>
      </w:r>
    </w:p>
    <w:p w14:paraId="00B0AF3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53E7732"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 xml:space="preserve">Form 8908 is used to claim a credit for each qualified energy efficient home sold or leased to another person during the tax year for use as a residence. </w:t>
      </w:r>
    </w:p>
    <w:p w14:paraId="186F8512"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950C298"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8909 is used by manufacturers of qualified energy efficient appliances (eligible dishwashers, clothes washers, and refrigerators (discussed below)) to claim the energy efficient appliance credit.</w:t>
      </w:r>
    </w:p>
    <w:p w14:paraId="7A46022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ACD1B1F"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8910 is used to figure your credit for alternative motor vehicles you placed in service during your tax year.</w:t>
      </w:r>
    </w:p>
    <w:p w14:paraId="5996560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76FBF7B"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8911 is used to figure your credit for alternative fuel vehicle refueling property placed in service during the tax year.</w:t>
      </w:r>
    </w:p>
    <w:p w14:paraId="1511C992"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66EB17D"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8912 is used to claim the credit for holding tax credit bonds.</w:t>
      </w:r>
    </w:p>
    <w:p w14:paraId="3F9C053E"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F81E68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8916 is a required attachment to the Form 1120, 1120-L, or 1120-PC Schedule M-3 for certain filers referred to as mixed groups. It provides a reconciliation of the Schedule M-3 for Form 1120, 1120-L or 1120-PC with the corresponding consolidated Form 1120, Form 1120-L, or Form 1120-PC.</w:t>
      </w:r>
    </w:p>
    <w:p w14:paraId="15759C11" w14:textId="77777777" w:rsidR="00BB2AD7" w:rsidRPr="001F446A" w:rsidRDefault="00BB2AD7" w:rsidP="00F06BEB">
      <w:pPr>
        <w:widowControl w:val="0"/>
        <w:autoSpaceDE w:val="0"/>
        <w:autoSpaceDN w:val="0"/>
        <w:adjustRightInd w:val="0"/>
        <w:rPr>
          <w:rFonts w:asciiTheme="minorHAnsi" w:eastAsia="Times New Roman" w:hAnsiTheme="minorHAnsi" w:cs="Times New Roman"/>
          <w:bCs/>
          <w:szCs w:val="24"/>
        </w:rPr>
      </w:pPr>
    </w:p>
    <w:p w14:paraId="5BF0F58A" w14:textId="77777777" w:rsidR="00BB2AD7" w:rsidRPr="001F446A" w:rsidRDefault="00BB2AD7" w:rsidP="00D309A4">
      <w:pPr>
        <w:pStyle w:val="Default"/>
        <w:rPr>
          <w:rFonts w:asciiTheme="minorHAnsi" w:hAnsiTheme="minorHAnsi" w:cs="Times New Roman"/>
          <w:bCs/>
        </w:rPr>
      </w:pPr>
      <w:r w:rsidRPr="001F446A">
        <w:rPr>
          <w:rFonts w:asciiTheme="minorHAnsi" w:hAnsiTheme="minorHAnsi" w:cs="Times New Roman"/>
          <w:bCs/>
        </w:rPr>
        <w:t>Form 8916-A</w:t>
      </w:r>
      <w:r w:rsidR="00893BAD" w:rsidRPr="001F446A">
        <w:rPr>
          <w:rFonts w:asciiTheme="minorHAnsi" w:hAnsiTheme="minorHAnsi" w:cs="Times New Roman"/>
        </w:rPr>
        <w:t xml:space="preserve">  is used to provide a detailed schedule of the amounts reported on the applicable Schedule M-3 for cost of goods sold, interest income and interest expense.</w:t>
      </w:r>
    </w:p>
    <w:p w14:paraId="4608A64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4DF7790"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8918 is used by materials advisors with respect to disclose certain information about the reportable transaction with the IRS.</w:t>
      </w:r>
    </w:p>
    <w:p w14:paraId="1BFAA8A1" w14:textId="77777777" w:rsidR="00754D08" w:rsidRPr="001F446A" w:rsidRDefault="00754D08" w:rsidP="00F06BEB">
      <w:pPr>
        <w:widowControl w:val="0"/>
        <w:autoSpaceDE w:val="0"/>
        <w:autoSpaceDN w:val="0"/>
        <w:adjustRightInd w:val="0"/>
        <w:rPr>
          <w:rFonts w:asciiTheme="minorHAnsi" w:eastAsia="Times New Roman" w:hAnsiTheme="minorHAnsi" w:cs="Times New Roman"/>
          <w:bCs/>
          <w:szCs w:val="24"/>
        </w:rPr>
      </w:pPr>
    </w:p>
    <w:p w14:paraId="7A23EFBE"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8923 is used by employers of  underground mines in the US to claim a credit for the cost of training employees to serve as mine rescue team members.</w:t>
      </w:r>
    </w:p>
    <w:p w14:paraId="4FB14242"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E47D017"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8925 is to report all employer-owned life insurance contracts.</w:t>
      </w:r>
    </w:p>
    <w:p w14:paraId="0406F4B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9E6318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8926 is used to figure the amount of any corporate interest expense deduction disallowed by section 163(j).</w:t>
      </w:r>
    </w:p>
    <w:p w14:paraId="2F079C6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2070AE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8927 is used by a regulated investment company or real estate investment trust to make a self-determination for the purpose of paying deficiency dividends.</w:t>
      </w:r>
    </w:p>
    <w:p w14:paraId="73394B2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805FDB2"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8931 to claim the agricultural chemicals security credit.</w:t>
      </w:r>
    </w:p>
    <w:p w14:paraId="18E29BB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87C6D4F"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8932 is used to claim the credit for eligible differential wage payments you made to qualified employees during the tax year.</w:t>
      </w:r>
    </w:p>
    <w:p w14:paraId="687A418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353072A5"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8933 is used to claim the carbon dioxide sequestration credit.</w:t>
      </w:r>
    </w:p>
    <w:p w14:paraId="1EAAE9E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DDCF59A"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8936 is used to figure your credit for qualified plug-in electric drive motor vehicles you placed in service during your tax year.</w:t>
      </w:r>
    </w:p>
    <w:p w14:paraId="40C6D9E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7A16AC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8937 is filed by an issuer of a specified security that takes an organizational action that affects the basis of that security.</w:t>
      </w:r>
    </w:p>
    <w:p w14:paraId="768A063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81C84F5"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8938 is filed to Report Foreign Financial Assets to comply with IRC section 6038D.</w:t>
      </w:r>
    </w:p>
    <w:p w14:paraId="692567EB"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B10960F"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8941 is used to figure the credit for small employer health insurance premiums for tax years beginning after 2009.</w:t>
      </w:r>
    </w:p>
    <w:p w14:paraId="2659A8A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8A8A58D"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8947 is used to report the following information for all branded prescription drugs sold by covered entities to specified government programs (or sales due to coverage under the programs) during calendar year 2010.</w:t>
      </w:r>
    </w:p>
    <w:p w14:paraId="58E3EE9C" w14:textId="77777777" w:rsidR="00BA055F" w:rsidRPr="001F446A" w:rsidRDefault="00BA055F" w:rsidP="00F06BEB">
      <w:pPr>
        <w:widowControl w:val="0"/>
        <w:autoSpaceDE w:val="0"/>
        <w:autoSpaceDN w:val="0"/>
        <w:adjustRightInd w:val="0"/>
        <w:rPr>
          <w:rFonts w:asciiTheme="minorHAnsi" w:eastAsia="Times New Roman" w:hAnsiTheme="minorHAnsi" w:cs="Times New Roman"/>
          <w:bCs/>
          <w:szCs w:val="24"/>
        </w:rPr>
      </w:pPr>
    </w:p>
    <w:p w14:paraId="3B45AF16" w14:textId="7BADDD33" w:rsidR="00BA055F" w:rsidRPr="001F446A" w:rsidRDefault="007543AB" w:rsidP="00F06BEB">
      <w:pPr>
        <w:widowControl w:val="0"/>
        <w:autoSpaceDE w:val="0"/>
        <w:autoSpaceDN w:val="0"/>
        <w:adjustRightInd w:val="0"/>
        <w:rPr>
          <w:rFonts w:asciiTheme="minorHAnsi" w:eastAsia="Times New Roman" w:hAnsiTheme="minorHAnsi" w:cs="Times New Roman"/>
          <w:bCs/>
          <w:szCs w:val="24"/>
        </w:rPr>
      </w:pPr>
      <w:r>
        <w:rPr>
          <w:rFonts w:asciiTheme="minorHAnsi" w:eastAsia="Times New Roman" w:hAnsiTheme="minorHAnsi" w:cs="Times New Roman"/>
          <w:bCs/>
          <w:szCs w:val="24"/>
        </w:rPr>
        <w:t>*</w:t>
      </w:r>
      <w:r w:rsidR="00CD2E8F" w:rsidRPr="001F446A">
        <w:rPr>
          <w:rFonts w:asciiTheme="minorHAnsi" w:eastAsia="Times New Roman" w:hAnsiTheme="minorHAnsi" w:cs="Times New Roman"/>
          <w:bCs/>
          <w:szCs w:val="24"/>
        </w:rPr>
        <w:t xml:space="preserve">Form 8949 </w:t>
      </w:r>
      <w:r w:rsidR="00CD2E8F" w:rsidRPr="001F446A">
        <w:rPr>
          <w:rFonts w:asciiTheme="minorHAnsi" w:hAnsiTheme="minorHAnsi" w:cs="Times New Roman"/>
        </w:rPr>
        <w:t>is used to list all capital gain and loss transactions. The subtotals from this form will then be carried over to Schedule D (Form 1040), where gain or loss will be calculated in aggregate.</w:t>
      </w:r>
    </w:p>
    <w:p w14:paraId="7B5AC5B7"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45FFECE"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926 is used to re</w:t>
      </w:r>
      <w:r w:rsidR="00D13B22" w:rsidRPr="001F446A">
        <w:rPr>
          <w:rFonts w:asciiTheme="minorHAnsi" w:eastAsia="Times New Roman" w:hAnsiTheme="minorHAnsi" w:cs="Times New Roman"/>
          <w:bCs/>
          <w:szCs w:val="24"/>
        </w:rPr>
        <w:t>p</w:t>
      </w:r>
      <w:r w:rsidR="00F06BEB" w:rsidRPr="001F446A">
        <w:rPr>
          <w:rFonts w:asciiTheme="minorHAnsi" w:eastAsia="Times New Roman" w:hAnsiTheme="minorHAnsi" w:cs="Times New Roman"/>
          <w:bCs/>
          <w:szCs w:val="24"/>
        </w:rPr>
        <w:t>ort certain transfers by individuals, partnerships, corporations, or estates or trusts of tangible or intangible property to a foreign corporation as required by IRC section 6038B.</w:t>
      </w:r>
    </w:p>
    <w:p w14:paraId="51BF127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A33E26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966 is used by a corporation if it is to be dissolved or if any of its stock is to be liquidated.</w:t>
      </w:r>
    </w:p>
    <w:p w14:paraId="23806ED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1291283"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970 is used to elect to use the last-in, first-out (LIFO) inventory method.</w:t>
      </w:r>
    </w:p>
    <w:p w14:paraId="6FB7EE59" w14:textId="77777777" w:rsidR="00893BAD" w:rsidRPr="001F446A" w:rsidRDefault="00893BAD" w:rsidP="00F06BEB">
      <w:pPr>
        <w:widowControl w:val="0"/>
        <w:autoSpaceDE w:val="0"/>
        <w:autoSpaceDN w:val="0"/>
        <w:adjustRightInd w:val="0"/>
        <w:rPr>
          <w:rFonts w:asciiTheme="minorHAnsi" w:eastAsia="Times New Roman" w:hAnsiTheme="minorHAnsi" w:cs="Times New Roman"/>
          <w:bCs/>
          <w:szCs w:val="24"/>
        </w:rPr>
      </w:pPr>
    </w:p>
    <w:p w14:paraId="7E3FC676" w14:textId="77777777" w:rsidR="00893BAD" w:rsidRPr="001F446A" w:rsidRDefault="00CD2E8F" w:rsidP="00893BAD">
      <w:pPr>
        <w:pStyle w:val="Default"/>
        <w:rPr>
          <w:rFonts w:asciiTheme="minorHAnsi" w:hAnsiTheme="minorHAnsi" w:cs="Times New Roman"/>
          <w:bCs/>
        </w:rPr>
      </w:pPr>
      <w:r w:rsidRPr="001F446A">
        <w:rPr>
          <w:rFonts w:asciiTheme="minorHAnsi" w:hAnsiTheme="minorHAnsi" w:cs="Times New Roman"/>
          <w:bCs/>
        </w:rPr>
        <w:t>*</w:t>
      </w:r>
      <w:r w:rsidR="00893BAD" w:rsidRPr="001F446A">
        <w:rPr>
          <w:rFonts w:asciiTheme="minorHAnsi" w:hAnsiTheme="minorHAnsi" w:cs="Times New Roman"/>
          <w:bCs/>
        </w:rPr>
        <w:t>Form 972</w:t>
      </w:r>
      <w:r w:rsidR="00893BAD" w:rsidRPr="001F446A">
        <w:rPr>
          <w:rFonts w:asciiTheme="minorHAnsi" w:hAnsiTheme="minorHAnsi" w:cs="Times New Roman"/>
        </w:rPr>
        <w:t xml:space="preserve"> is used by a shareholder who agrees to report a consent dividend as taxable income in the form of a dividend on the shareholder’s own tax return even though the shareholder receives no actual cash distribution of the consented amounts.</w:t>
      </w:r>
    </w:p>
    <w:p w14:paraId="6FADA010" w14:textId="77777777" w:rsidR="00D66A27" w:rsidRPr="001F446A" w:rsidRDefault="00D66A27" w:rsidP="00F06BEB">
      <w:pPr>
        <w:widowControl w:val="0"/>
        <w:autoSpaceDE w:val="0"/>
        <w:autoSpaceDN w:val="0"/>
        <w:adjustRightInd w:val="0"/>
        <w:rPr>
          <w:rFonts w:asciiTheme="minorHAnsi" w:eastAsia="Times New Roman" w:hAnsiTheme="minorHAnsi" w:cs="Times New Roman"/>
          <w:bCs/>
          <w:szCs w:val="24"/>
        </w:rPr>
      </w:pPr>
    </w:p>
    <w:p w14:paraId="72E2881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973 is used by corporations to claim a consent deduction in their tax returns.</w:t>
      </w:r>
    </w:p>
    <w:p w14:paraId="778C9593"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67532EE6"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976 is used by personal holding companies, regulated investment companies, and real estate investment trusts to claim a deficiency dividends deduction.</w:t>
      </w:r>
    </w:p>
    <w:p w14:paraId="7D3B093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CDC7C42" w14:textId="77777777" w:rsidR="00F06BEB" w:rsidRPr="001F446A" w:rsidRDefault="00D66A27"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982 is used to determine under certain circumstances described in section 108 the amount of discharged indebtedness that can be excluded from gross income.</w:t>
      </w:r>
    </w:p>
    <w:p w14:paraId="1197D9B4" w14:textId="77777777" w:rsidR="00893BAD" w:rsidRPr="001F446A" w:rsidRDefault="00893BAD" w:rsidP="00F06BEB">
      <w:pPr>
        <w:widowControl w:val="0"/>
        <w:autoSpaceDE w:val="0"/>
        <w:autoSpaceDN w:val="0"/>
        <w:adjustRightInd w:val="0"/>
        <w:rPr>
          <w:rFonts w:asciiTheme="minorHAnsi" w:eastAsia="Times New Roman" w:hAnsiTheme="minorHAnsi" w:cs="Times New Roman"/>
          <w:bCs/>
          <w:szCs w:val="24"/>
        </w:rPr>
      </w:pPr>
    </w:p>
    <w:p w14:paraId="09878D2F" w14:textId="77777777" w:rsidR="004E75B3" w:rsidRPr="001F446A" w:rsidRDefault="00CD2E8F" w:rsidP="004E75B3">
      <w:pPr>
        <w:widowControl w:val="0"/>
        <w:autoSpaceDE w:val="0"/>
        <w:autoSpaceDN w:val="0"/>
        <w:adjustRightInd w:val="0"/>
        <w:rPr>
          <w:rFonts w:asciiTheme="minorHAnsi" w:hAnsiTheme="minorHAnsi" w:cs="Times New Roman"/>
        </w:rPr>
      </w:pPr>
      <w:r w:rsidRPr="001F446A">
        <w:rPr>
          <w:rFonts w:asciiTheme="minorHAnsi" w:eastAsia="Times New Roman" w:hAnsiTheme="minorHAnsi" w:cs="Times New Roman"/>
          <w:bCs/>
          <w:szCs w:val="24"/>
        </w:rPr>
        <w:t>*</w:t>
      </w:r>
      <w:r w:rsidR="004E75B3" w:rsidRPr="001F446A">
        <w:rPr>
          <w:rFonts w:asciiTheme="minorHAnsi" w:eastAsia="Times New Roman" w:hAnsiTheme="minorHAnsi" w:cs="Times New Roman"/>
          <w:bCs/>
          <w:szCs w:val="24"/>
        </w:rPr>
        <w:t xml:space="preserve">Form 1000 is </w:t>
      </w:r>
      <w:r w:rsidR="004E75B3" w:rsidRPr="001F446A">
        <w:rPr>
          <w:rFonts w:asciiTheme="minorHAnsi" w:hAnsiTheme="minorHAnsi" w:cs="Times New Roman"/>
        </w:rPr>
        <w:t>used by a citizen, resident individual, fiduciary, partnership or nonresident partnership all of whose members are citizens or residents in connection with interest on bonds of a domestic or resident corporation containing a tax-free covenant and issued before January 1, 1934.</w:t>
      </w:r>
    </w:p>
    <w:p w14:paraId="303FFFCB" w14:textId="77777777" w:rsidR="004E75B3" w:rsidRPr="001F446A" w:rsidRDefault="004E75B3" w:rsidP="004E75B3">
      <w:pPr>
        <w:widowControl w:val="0"/>
        <w:autoSpaceDE w:val="0"/>
        <w:autoSpaceDN w:val="0"/>
        <w:adjustRightInd w:val="0"/>
        <w:rPr>
          <w:rFonts w:asciiTheme="minorHAnsi" w:hAnsiTheme="minorHAnsi" w:cs="Times New Roman"/>
        </w:rPr>
      </w:pPr>
    </w:p>
    <w:p w14:paraId="2244DFAC" w14:textId="77777777" w:rsidR="004E75B3" w:rsidRPr="001F446A" w:rsidRDefault="00CD2E8F" w:rsidP="004E75B3">
      <w:pPr>
        <w:widowControl w:val="0"/>
        <w:autoSpaceDE w:val="0"/>
        <w:autoSpaceDN w:val="0"/>
        <w:adjustRightInd w:val="0"/>
        <w:rPr>
          <w:rFonts w:asciiTheme="minorHAnsi" w:hAnsiTheme="minorHAnsi" w:cs="Times New Roman"/>
        </w:rPr>
      </w:pPr>
      <w:r w:rsidRPr="001F446A">
        <w:rPr>
          <w:rFonts w:asciiTheme="minorHAnsi" w:hAnsiTheme="minorHAnsi" w:cs="Times New Roman"/>
        </w:rPr>
        <w:t>*</w:t>
      </w:r>
      <w:r w:rsidR="004E75B3" w:rsidRPr="001F446A">
        <w:rPr>
          <w:rFonts w:asciiTheme="minorHAnsi" w:hAnsiTheme="minorHAnsi" w:cs="Times New Roman"/>
        </w:rPr>
        <w:t xml:space="preserve">Form 1042 is </w:t>
      </w:r>
      <w:r w:rsidR="004E75B3" w:rsidRPr="001F446A">
        <w:rPr>
          <w:rFonts w:asciiTheme="minorHAnsi" w:hAnsiTheme="minorHAnsi"/>
        </w:rPr>
        <w:t>used by withholding agents to report tax withheld at source on certain income paid to nonresident alien individuals, foreign partnerships, or corporations not engaged in trade or business in the United States</w:t>
      </w:r>
      <w:r w:rsidR="00E74359" w:rsidRPr="001F446A">
        <w:rPr>
          <w:rFonts w:asciiTheme="minorHAnsi" w:hAnsiTheme="minorHAnsi"/>
        </w:rPr>
        <w:t>.</w:t>
      </w:r>
    </w:p>
    <w:p w14:paraId="4745838E" w14:textId="77777777" w:rsidR="00893BAD" w:rsidRPr="001F446A" w:rsidRDefault="00893BAD" w:rsidP="00F06BEB">
      <w:pPr>
        <w:widowControl w:val="0"/>
        <w:autoSpaceDE w:val="0"/>
        <w:autoSpaceDN w:val="0"/>
        <w:adjustRightInd w:val="0"/>
        <w:rPr>
          <w:rFonts w:asciiTheme="minorHAnsi" w:eastAsia="Times New Roman" w:hAnsiTheme="minorHAnsi" w:cs="Times New Roman"/>
          <w:bCs/>
          <w:szCs w:val="24"/>
        </w:rPr>
      </w:pPr>
    </w:p>
    <w:p w14:paraId="50D4AFA8"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0A63AE67"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SS-4 is used to apply for an employer identification number (EIN), a nine-digit number assigned for tax filing and reporting purposes.</w:t>
      </w:r>
    </w:p>
    <w:p w14:paraId="2D266E40" w14:textId="77777777" w:rsidR="00F36EDA" w:rsidRPr="001F446A" w:rsidRDefault="00F36EDA" w:rsidP="00F06BEB">
      <w:pPr>
        <w:widowControl w:val="0"/>
        <w:autoSpaceDE w:val="0"/>
        <w:autoSpaceDN w:val="0"/>
        <w:adjustRightInd w:val="0"/>
        <w:rPr>
          <w:rFonts w:asciiTheme="minorHAnsi" w:eastAsia="Times New Roman" w:hAnsiTheme="minorHAnsi" w:cs="Times New Roman"/>
          <w:bCs/>
          <w:szCs w:val="24"/>
        </w:rPr>
      </w:pPr>
    </w:p>
    <w:p w14:paraId="36605602" w14:textId="77777777" w:rsidR="00F36EDA" w:rsidRPr="001F446A" w:rsidRDefault="00F36EDA"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SS-4PR</w:t>
      </w:r>
      <w:r w:rsidR="002C3406" w:rsidRPr="001F446A">
        <w:rPr>
          <w:rFonts w:asciiTheme="minorHAnsi" w:eastAsia="Times New Roman" w:hAnsiTheme="minorHAnsi" w:cs="Times New Roman"/>
          <w:bCs/>
          <w:szCs w:val="24"/>
        </w:rPr>
        <w:t xml:space="preserve"> </w:t>
      </w:r>
      <w:r w:rsidR="002C3406" w:rsidRPr="001F446A">
        <w:rPr>
          <w:rFonts w:asciiTheme="minorHAnsi" w:hAnsiTheme="minorHAnsi" w:cs="Times New Roman"/>
        </w:rPr>
        <w:t>is used by employers in Puerto Rico who have not obtained an EIN before &amp; pay wages to one or more employee, or non-employers who are required to have a EIN number on certain returns or documents.</w:t>
      </w:r>
    </w:p>
    <w:p w14:paraId="28D04C8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5A1429DC" w14:textId="77777777" w:rsidR="00F06BEB" w:rsidRPr="001F446A" w:rsidRDefault="00754D08"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w:t>
      </w:r>
      <w:r w:rsidR="00F06BEB" w:rsidRPr="001F446A">
        <w:rPr>
          <w:rFonts w:asciiTheme="minorHAnsi" w:eastAsia="Times New Roman" w:hAnsiTheme="minorHAnsi" w:cs="Times New Roman"/>
          <w:bCs/>
          <w:szCs w:val="24"/>
        </w:rPr>
        <w:t>Form T is used to provide information on timber accounts when a sale or deemed sale under sections 631(a), 631(b), or other exchange has occurred during the tax year.</w:t>
      </w:r>
    </w:p>
    <w:p w14:paraId="5296C8D1" w14:textId="77777777" w:rsidR="00F36EDA" w:rsidRPr="001F446A" w:rsidRDefault="00F36EDA" w:rsidP="00F06BEB">
      <w:pPr>
        <w:widowControl w:val="0"/>
        <w:autoSpaceDE w:val="0"/>
        <w:autoSpaceDN w:val="0"/>
        <w:adjustRightInd w:val="0"/>
        <w:rPr>
          <w:rFonts w:asciiTheme="minorHAnsi" w:eastAsia="Times New Roman" w:hAnsiTheme="minorHAnsi" w:cs="Times New Roman"/>
          <w:bCs/>
          <w:szCs w:val="24"/>
        </w:rPr>
      </w:pPr>
    </w:p>
    <w:p w14:paraId="7DA2E957" w14:textId="77777777" w:rsidR="00F36EDA" w:rsidRPr="001F446A" w:rsidRDefault="00F36EDA"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W-8BEN</w:t>
      </w:r>
      <w:r w:rsidR="00EC110C" w:rsidRPr="001F446A">
        <w:rPr>
          <w:rFonts w:asciiTheme="minorHAnsi" w:eastAsia="Times New Roman" w:hAnsiTheme="minorHAnsi" w:cs="Times New Roman"/>
          <w:bCs/>
          <w:szCs w:val="24"/>
        </w:rPr>
        <w:t xml:space="preserve"> is used by f</w:t>
      </w:r>
      <w:r w:rsidR="00EC110C" w:rsidRPr="001F446A">
        <w:rPr>
          <w:rFonts w:asciiTheme="minorHAnsi" w:hAnsiTheme="minorHAnsi" w:cs="Times New Roman"/>
        </w:rPr>
        <w:t>oreign persons who are subject to U.S. tax at a 30% rate of income they receive from U.S. sources that consists of; interests, dividends, rents, royalties, premiums, annuities, compensation of services performed, substitute payments in a securities lending transactions or other fixed or determinable annual or periodical gains, profits, or income.</w:t>
      </w:r>
    </w:p>
    <w:p w14:paraId="6DDEB2A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1377A66E" w14:textId="77777777" w:rsidR="00CD2E8F" w:rsidRPr="001F446A" w:rsidRDefault="00CD2E8F"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*Form W-8 BEN-E </w:t>
      </w:r>
      <w:r w:rsidRPr="001F446A">
        <w:rPr>
          <w:rFonts w:asciiTheme="minorHAnsi" w:hAnsiTheme="minorHAnsi" w:cs="Times New Roman"/>
        </w:rPr>
        <w:t>is used as a withholding certificate for foreign en</w:t>
      </w:r>
      <w:r w:rsidR="003004C6" w:rsidRPr="001F446A">
        <w:rPr>
          <w:rFonts w:asciiTheme="minorHAnsi" w:hAnsiTheme="minorHAnsi" w:cs="Times New Roman"/>
        </w:rPr>
        <w:t>tities.</w:t>
      </w:r>
      <w:r w:rsidRPr="001F446A">
        <w:rPr>
          <w:rFonts w:asciiTheme="minorHAnsi" w:hAnsiTheme="minorHAnsi" w:cs="Times New Roman"/>
        </w:rPr>
        <w:t xml:space="preserve"> The form is provided to U.S. tax payers so that the correct amount of tax (if any) is withheld or to claim exemption from withholding. Previously, entities would use Form W-8BEN for this purpose..</w:t>
      </w:r>
    </w:p>
    <w:p w14:paraId="703878A3" w14:textId="77777777" w:rsidR="00CD2E8F" w:rsidRPr="001F446A" w:rsidRDefault="00CD2E8F" w:rsidP="00F06BEB">
      <w:pPr>
        <w:widowControl w:val="0"/>
        <w:autoSpaceDE w:val="0"/>
        <w:autoSpaceDN w:val="0"/>
        <w:adjustRightInd w:val="0"/>
        <w:rPr>
          <w:rFonts w:asciiTheme="minorHAnsi" w:eastAsia="Times New Roman" w:hAnsiTheme="minorHAnsi" w:cs="Times New Roman"/>
          <w:bCs/>
          <w:szCs w:val="24"/>
        </w:rPr>
      </w:pPr>
    </w:p>
    <w:p w14:paraId="41790BA3" w14:textId="77777777" w:rsidR="00CD2E8F" w:rsidRPr="001F446A" w:rsidRDefault="00CD2E8F" w:rsidP="00F06BEB">
      <w:pPr>
        <w:widowControl w:val="0"/>
        <w:autoSpaceDE w:val="0"/>
        <w:autoSpaceDN w:val="0"/>
        <w:adjustRightInd w:val="0"/>
        <w:rPr>
          <w:rFonts w:asciiTheme="minorHAnsi" w:hAnsiTheme="minorHAnsi"/>
        </w:rPr>
      </w:pPr>
      <w:r w:rsidRPr="001F446A">
        <w:rPr>
          <w:rFonts w:asciiTheme="minorHAnsi" w:eastAsia="Times New Roman" w:hAnsiTheme="minorHAnsi" w:cs="Times New Roman"/>
          <w:bCs/>
          <w:szCs w:val="24"/>
        </w:rPr>
        <w:t xml:space="preserve">*Form W-8 ECI </w:t>
      </w:r>
      <w:r w:rsidRPr="001F446A">
        <w:rPr>
          <w:rFonts w:asciiTheme="minorHAnsi" w:hAnsiTheme="minorHAnsi" w:cs="Times New Roman"/>
        </w:rPr>
        <w:t>is used by Foreign persons who are generally subject to U.S. tax at a 30% rate on income they receive from U.S. sources</w:t>
      </w:r>
      <w:r w:rsidRPr="001F446A">
        <w:rPr>
          <w:rFonts w:asciiTheme="minorHAnsi" w:hAnsiTheme="minorHAnsi"/>
        </w:rPr>
        <w:t>.</w:t>
      </w:r>
    </w:p>
    <w:p w14:paraId="5BC040F5" w14:textId="77777777" w:rsidR="00CD2E8F" w:rsidRPr="001F446A" w:rsidRDefault="00CD2E8F" w:rsidP="00F06BEB">
      <w:pPr>
        <w:widowControl w:val="0"/>
        <w:autoSpaceDE w:val="0"/>
        <w:autoSpaceDN w:val="0"/>
        <w:adjustRightInd w:val="0"/>
        <w:rPr>
          <w:rFonts w:asciiTheme="minorHAnsi" w:hAnsiTheme="minorHAnsi"/>
        </w:rPr>
      </w:pPr>
    </w:p>
    <w:p w14:paraId="7988E18C" w14:textId="77777777" w:rsidR="00CD2E8F" w:rsidRPr="001F446A" w:rsidRDefault="00CD2E8F" w:rsidP="00CD2E8F">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*Form W-8IMY is used by f</w:t>
      </w:r>
      <w:r w:rsidRPr="001F446A">
        <w:rPr>
          <w:rFonts w:asciiTheme="minorHAnsi" w:hAnsiTheme="minorHAnsi" w:cs="Times New Roman"/>
        </w:rPr>
        <w:t>oreign persons who are subject to U.S. tax at a 30% rate on income they receive from U.S. sources that consists of interest (including certain original issue discount (OID)), dividends, rent, premiu</w:t>
      </w:r>
      <w:r w:rsidR="003004C6" w:rsidRPr="001F446A">
        <w:rPr>
          <w:rFonts w:asciiTheme="minorHAnsi" w:hAnsiTheme="minorHAnsi" w:cs="Times New Roman"/>
        </w:rPr>
        <w:t>ms, annuities, compensation for</w:t>
      </w:r>
      <w:r w:rsidRPr="001F446A">
        <w:rPr>
          <w:rFonts w:asciiTheme="minorHAnsi" w:hAnsiTheme="minorHAnsi" w:cs="Times New Roman"/>
        </w:rPr>
        <w:t xml:space="preserve"> or on expe</w:t>
      </w:r>
      <w:r w:rsidR="003004C6" w:rsidRPr="001F446A">
        <w:rPr>
          <w:rFonts w:asciiTheme="minorHAnsi" w:hAnsiTheme="minorHAnsi" w:cs="Times New Roman"/>
        </w:rPr>
        <w:t xml:space="preserve">ctation of, services performed </w:t>
      </w:r>
      <w:r w:rsidRPr="001F446A">
        <w:rPr>
          <w:rFonts w:asciiTheme="minorHAnsi" w:hAnsiTheme="minorHAnsi" w:cs="Times New Roman"/>
        </w:rPr>
        <w:t>or other fixed or determinable annual or periodical gains profits, or income.</w:t>
      </w:r>
    </w:p>
    <w:p w14:paraId="1341C34E" w14:textId="77777777" w:rsidR="00CD2E8F" w:rsidRPr="001F446A" w:rsidRDefault="00CD2E8F" w:rsidP="00F06BEB">
      <w:pPr>
        <w:widowControl w:val="0"/>
        <w:autoSpaceDE w:val="0"/>
        <w:autoSpaceDN w:val="0"/>
        <w:adjustRightInd w:val="0"/>
        <w:rPr>
          <w:rFonts w:asciiTheme="minorHAnsi" w:eastAsia="Times New Roman" w:hAnsiTheme="minorHAnsi" w:cs="Times New Roman"/>
          <w:bCs/>
          <w:szCs w:val="24"/>
        </w:rPr>
      </w:pPr>
    </w:p>
    <w:p w14:paraId="5CEE3C29" w14:textId="77777777" w:rsidR="00CD2E8F" w:rsidRPr="001F446A" w:rsidRDefault="00CD2E8F" w:rsidP="00F06BEB">
      <w:pPr>
        <w:widowControl w:val="0"/>
        <w:autoSpaceDE w:val="0"/>
        <w:autoSpaceDN w:val="0"/>
        <w:adjustRightInd w:val="0"/>
        <w:rPr>
          <w:rFonts w:asciiTheme="minorHAnsi" w:eastAsia="Times New Roman" w:hAnsiTheme="minorHAnsi" w:cs="Times New Roman"/>
          <w:bCs/>
          <w:szCs w:val="24"/>
        </w:rPr>
      </w:pPr>
    </w:p>
    <w:p w14:paraId="3A86CCE8"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p>
    <w:p w14:paraId="606FBC37"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As noted above, forms marked with an asterisk (*) are also filed by other taxpayers (e.g., individuals, tax-exempt organizations). </w:t>
      </w:r>
    </w:p>
    <w:p w14:paraId="39948550"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p>
    <w:p w14:paraId="11CB2728"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To prevent duplicate reporting of taxpayer burden, the following regulations should continue to be assigned to OMB 1545-0123. The burden imposed by these regulations is entirely reflected in the business estimated burden for the Forms listed above. </w:t>
      </w:r>
    </w:p>
    <w:p w14:paraId="39A9DBE2"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p>
    <w:p w14:paraId="44654957"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1.468A-3                </w:t>
      </w:r>
    </w:p>
    <w:p w14:paraId="7CBB5915"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1.468A-4                </w:t>
      </w:r>
    </w:p>
    <w:p w14:paraId="3A556999"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1.468A-4(d)(1)</w:t>
      </w:r>
    </w:p>
    <w:p w14:paraId="79C0ECDE"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1.468A-7                </w:t>
      </w:r>
    </w:p>
    <w:p w14:paraId="794BFC21"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1.468A-8</w:t>
      </w:r>
    </w:p>
    <w:p w14:paraId="73146503"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1.528-8(a)</w:t>
      </w:r>
    </w:p>
    <w:p w14:paraId="70741B00"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1.6011(c)</w:t>
      </w:r>
    </w:p>
    <w:p w14:paraId="313CB308"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1.6012(a)</w:t>
      </w:r>
    </w:p>
    <w:p w14:paraId="00AD0045"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1.6012(a)(2)</w:t>
      </w:r>
    </w:p>
    <w:p w14:paraId="07EFF9B0"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1.6012(a)(3)</w:t>
      </w:r>
    </w:p>
    <w:p w14:paraId="1C4A8545"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1.6012</w:t>
      </w:r>
      <w:r w:rsidRPr="001F446A">
        <w:rPr>
          <w:rFonts w:asciiTheme="minorHAnsi" w:eastAsia="Times New Roman" w:hAnsiTheme="minorHAnsi" w:cs="Times New Roman"/>
          <w:bCs/>
          <w:szCs w:val="24"/>
        </w:rPr>
        <w:noBreakHyphen/>
        <w:t>2(b)</w:t>
      </w:r>
    </w:p>
    <w:p w14:paraId="71E76D1C"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1.6012</w:t>
      </w:r>
      <w:r w:rsidRPr="001F446A">
        <w:rPr>
          <w:rFonts w:asciiTheme="minorHAnsi" w:eastAsia="Times New Roman" w:hAnsiTheme="minorHAnsi" w:cs="Times New Roman"/>
          <w:bCs/>
          <w:szCs w:val="24"/>
        </w:rPr>
        <w:noBreakHyphen/>
        <w:t>6(b)</w:t>
      </w:r>
    </w:p>
    <w:p w14:paraId="5651C6D7"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1.6012-2(c)(1)</w:t>
      </w:r>
    </w:p>
    <w:p w14:paraId="1A460B7C"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1.6031-1</w:t>
      </w:r>
    </w:p>
    <w:p w14:paraId="0C3364AC" w14:textId="77777777" w:rsidR="00EB7931" w:rsidRPr="001F446A" w:rsidRDefault="00EB7931"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1.6033-1(a)(5)</w:t>
      </w:r>
    </w:p>
    <w:p w14:paraId="2AA9DF0C"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1.280H</w:t>
      </w:r>
    </w:p>
    <w:p w14:paraId="51DE8A8D"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All regs related to IRC sections 771-777</w:t>
      </w:r>
    </w:p>
    <w:p w14:paraId="61763017"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All regs related to IRC section 801</w:t>
      </w:r>
    </w:p>
    <w:p w14:paraId="0E1FDFA4"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All regs related to IRC section 831</w:t>
      </w:r>
    </w:p>
    <w:p w14:paraId="77D33EA9"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All regs related to IRC sections 860A – 860G</w:t>
      </w:r>
    </w:p>
    <w:p w14:paraId="7E17E069"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1.851-2(a)</w:t>
      </w:r>
    </w:p>
    <w:p w14:paraId="750928A2"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1.856-2(b)</w:t>
      </w:r>
    </w:p>
    <w:p w14:paraId="7B68BEDE"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All regs related to IRC sections 861–897</w:t>
      </w:r>
    </w:p>
    <w:p w14:paraId="7C6F39C4"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All regs related to IRC sections 881-882</w:t>
      </w:r>
    </w:p>
    <w:p w14:paraId="5207FC6D"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All regs related to IRC section 884</w:t>
      </w:r>
    </w:p>
    <w:p w14:paraId="176BD4EA"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301.7701-2 and 3</w:t>
      </w:r>
    </w:p>
    <w:p w14:paraId="1ED3DD64" w14:textId="77777777" w:rsidR="00F06EBB" w:rsidRPr="001F446A" w:rsidRDefault="00F06EBB" w:rsidP="00F06EBB">
      <w:pPr>
        <w:widowControl w:val="0"/>
        <w:autoSpaceDE w:val="0"/>
        <w:autoSpaceDN w:val="0"/>
        <w:adjustRightInd w:val="0"/>
        <w:rPr>
          <w:rFonts w:asciiTheme="minorHAnsi" w:eastAsia="Times New Roman" w:hAnsiTheme="minorHAnsi" w:cs="Times New Roman"/>
          <w:bCs/>
          <w:szCs w:val="24"/>
        </w:rPr>
      </w:pPr>
    </w:p>
    <w:p w14:paraId="40E10AA3" w14:textId="77777777" w:rsidR="007D03E2" w:rsidRPr="001F446A" w:rsidRDefault="007D03E2" w:rsidP="00F06BEB">
      <w:pPr>
        <w:widowControl w:val="0"/>
        <w:autoSpaceDE w:val="0"/>
        <w:autoSpaceDN w:val="0"/>
        <w:adjustRightInd w:val="0"/>
        <w:rPr>
          <w:rFonts w:asciiTheme="minorHAnsi" w:eastAsia="Times New Roman" w:hAnsiTheme="minorHAnsi" w:cs="Times New Roman"/>
          <w:bCs/>
          <w:szCs w:val="24"/>
        </w:rPr>
      </w:pPr>
    </w:p>
    <w:p w14:paraId="1461E9BB" w14:textId="77777777" w:rsidR="002F09D8"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rPr>
        <w:t xml:space="preserve">2.        </w:t>
      </w:r>
      <w:r w:rsidRPr="001F446A">
        <w:rPr>
          <w:rFonts w:asciiTheme="minorHAnsi" w:eastAsia="Times New Roman" w:hAnsiTheme="minorHAnsi" w:cs="Times New Roman"/>
          <w:bCs/>
          <w:szCs w:val="24"/>
          <w:u w:val="single"/>
        </w:rPr>
        <w:t>USE OF DATA</w:t>
      </w:r>
      <w:r w:rsidRPr="001F446A">
        <w:rPr>
          <w:rFonts w:asciiTheme="minorHAnsi" w:eastAsia="Times New Roman" w:hAnsiTheme="minorHAnsi" w:cs="Times New Roman"/>
          <w:szCs w:val="24"/>
        </w:rPr>
        <w:t xml:space="preserve">      </w:t>
      </w:r>
    </w:p>
    <w:p w14:paraId="0B506E99"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szCs w:val="24"/>
        </w:rPr>
        <w:t xml:space="preserve">   </w:t>
      </w:r>
    </w:p>
    <w:p w14:paraId="27AF97E2"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iCs/>
          <w:color w:val="000000"/>
          <w:szCs w:val="24"/>
        </w:rPr>
        <w:t xml:space="preserve">Forms 1065, 1065-B, 1066, 1120, 1120-C, 1120-F, 1120-H, 1120-ND, 1120-S, 1120-SF,             1120-FSC, 1120-L, 1120-PC, 1120-REIT, 1120-RIC, 1120-POL </w:t>
      </w:r>
      <w:r w:rsidRPr="001F446A">
        <w:rPr>
          <w:rFonts w:asciiTheme="minorHAnsi" w:eastAsia="Times New Roman" w:hAnsiTheme="minorHAnsi" w:cs="Times New Roman"/>
          <w:szCs w:val="24"/>
        </w:rPr>
        <w:t>and all attachments to                these forms, are used by businesses to report their income tax liability. The data is used to            verify that the items reported on the forms are allowable, and also for general statistics use.</w:t>
      </w:r>
    </w:p>
    <w:p w14:paraId="16628AB4" w14:textId="77777777" w:rsidR="00F06EBB" w:rsidRPr="001F446A" w:rsidRDefault="00F06EBB" w:rsidP="00F06BEB">
      <w:pPr>
        <w:widowControl w:val="0"/>
        <w:autoSpaceDE w:val="0"/>
        <w:autoSpaceDN w:val="0"/>
        <w:adjustRightInd w:val="0"/>
        <w:rPr>
          <w:rFonts w:asciiTheme="minorHAnsi" w:eastAsia="Times New Roman" w:hAnsiTheme="minorHAnsi" w:cs="Times New Roman"/>
          <w:szCs w:val="24"/>
        </w:rPr>
      </w:pPr>
    </w:p>
    <w:p w14:paraId="5D6FC772" w14:textId="77777777" w:rsidR="00F06EBB" w:rsidRPr="001F446A" w:rsidRDefault="00F06EBB" w:rsidP="00F06BEB">
      <w:pPr>
        <w:widowControl w:val="0"/>
        <w:autoSpaceDE w:val="0"/>
        <w:autoSpaceDN w:val="0"/>
        <w:adjustRightInd w:val="0"/>
        <w:rPr>
          <w:rFonts w:asciiTheme="minorHAnsi" w:eastAsia="Times New Roman" w:hAnsiTheme="minorHAnsi" w:cs="Times New Roman"/>
          <w:szCs w:val="24"/>
        </w:rPr>
      </w:pPr>
    </w:p>
    <w:p w14:paraId="24435920"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46BEEC01"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3.      </w:t>
      </w:r>
      <w:r w:rsidRPr="001F446A">
        <w:rPr>
          <w:rFonts w:asciiTheme="minorHAnsi" w:eastAsia="Times New Roman" w:hAnsiTheme="minorHAnsi" w:cs="Times New Roman"/>
          <w:bCs/>
          <w:szCs w:val="24"/>
          <w:u w:val="single"/>
        </w:rPr>
        <w:t>USE OF IMPROVED INFORMATION TECHNOLOGY TO REDUCE BURDEN</w:t>
      </w:r>
    </w:p>
    <w:p w14:paraId="2570B1DD"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321A0CA" w14:textId="5F0EEF44" w:rsidR="00F06BEB" w:rsidRPr="001F446A" w:rsidRDefault="005952F0" w:rsidP="00E8326D">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A</w:t>
      </w:r>
      <w:r w:rsidR="00AB1039" w:rsidRPr="001F446A">
        <w:rPr>
          <w:rFonts w:asciiTheme="minorHAnsi" w:eastAsia="Times New Roman" w:hAnsiTheme="minorHAnsi" w:cs="Times New Roman"/>
          <w:bCs/>
          <w:szCs w:val="24"/>
        </w:rPr>
        <w:t xml:space="preserve">pproximately </w:t>
      </w:r>
      <w:r w:rsidR="00FC625F">
        <w:rPr>
          <w:rFonts w:asciiTheme="minorHAnsi" w:eastAsia="Times New Roman" w:hAnsiTheme="minorHAnsi" w:cs="Times New Roman"/>
          <w:bCs/>
          <w:szCs w:val="24"/>
        </w:rPr>
        <w:t>85</w:t>
      </w:r>
      <w:r w:rsidRPr="001F446A">
        <w:rPr>
          <w:rFonts w:asciiTheme="minorHAnsi" w:eastAsia="Times New Roman" w:hAnsiTheme="minorHAnsi" w:cs="Times New Roman"/>
          <w:bCs/>
          <w:szCs w:val="24"/>
        </w:rPr>
        <w:t>% of this collection is filed electronically.</w:t>
      </w:r>
      <w:r w:rsidR="00AB1039" w:rsidRPr="001F446A">
        <w:rPr>
          <w:rFonts w:asciiTheme="minorHAnsi" w:eastAsia="Times New Roman" w:hAnsiTheme="minorHAnsi" w:cs="Times New Roman"/>
          <w:bCs/>
          <w:szCs w:val="24"/>
        </w:rPr>
        <w:t xml:space="preserve"> For more information, see the OMB E-File Data in supplementary documents.</w:t>
      </w:r>
      <w:r w:rsidR="0050213D" w:rsidRPr="001F446A">
        <w:rPr>
          <w:rFonts w:asciiTheme="minorHAnsi" w:eastAsia="Times New Roman" w:hAnsiTheme="minorHAnsi" w:cs="Times New Roman"/>
          <w:bCs/>
          <w:szCs w:val="24"/>
        </w:rPr>
        <w:t xml:space="preserve"> </w:t>
      </w:r>
      <w:r w:rsidR="00C944BB" w:rsidRPr="001F446A">
        <w:rPr>
          <w:rFonts w:asciiTheme="minorHAnsi" w:eastAsia="Times New Roman" w:hAnsiTheme="minorHAnsi" w:cs="Times New Roman"/>
          <w:bCs/>
          <w:szCs w:val="24"/>
        </w:rPr>
        <w:t xml:space="preserve">  </w:t>
      </w:r>
    </w:p>
    <w:p w14:paraId="6C224CB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7AE5A82C"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r w:rsidRPr="001F446A">
        <w:rPr>
          <w:rFonts w:asciiTheme="minorHAnsi" w:eastAsia="Times New Roman" w:hAnsiTheme="minorHAnsi" w:cs="Times New Roman"/>
          <w:bCs/>
          <w:szCs w:val="24"/>
        </w:rPr>
        <w:t xml:space="preserve">4.       </w:t>
      </w:r>
      <w:r w:rsidRPr="001F446A">
        <w:rPr>
          <w:rFonts w:asciiTheme="minorHAnsi" w:eastAsia="Times New Roman" w:hAnsiTheme="minorHAnsi" w:cs="Times New Roman"/>
          <w:bCs/>
          <w:szCs w:val="24"/>
          <w:u w:val="single"/>
        </w:rPr>
        <w:t>EFFORTS TO IDENTIFY DUPLICATION</w:t>
      </w:r>
    </w:p>
    <w:p w14:paraId="577199E4"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pPr>
    </w:p>
    <w:p w14:paraId="2606E39E" w14:textId="1470D017" w:rsidR="00F06BEB" w:rsidRDefault="00CC356E" w:rsidP="00F06BEB">
      <w:pPr>
        <w:widowControl w:val="0"/>
        <w:tabs>
          <w:tab w:val="left" w:pos="-1440"/>
        </w:tabs>
        <w:autoSpaceDE w:val="0"/>
        <w:autoSpaceDN w:val="0"/>
        <w:adjustRightInd w:val="0"/>
        <w:rPr>
          <w:rFonts w:asciiTheme="minorHAnsi" w:eastAsia="Times New Roman" w:hAnsiTheme="minorHAnsi" w:cs="Times New Roman"/>
          <w:bCs/>
          <w:szCs w:val="24"/>
        </w:rPr>
      </w:pPr>
      <w:r w:rsidRPr="00E8326D">
        <w:rPr>
          <w:rFonts w:asciiTheme="minorHAnsi" w:eastAsia="Times New Roman" w:hAnsiTheme="minorHAnsi" w:cs="Times New Roman"/>
          <w:bCs/>
          <w:szCs w:val="24"/>
        </w:rPr>
        <w:t>The information obtained through this collection is unique and is not already available for use or adaptation from another source.</w:t>
      </w:r>
    </w:p>
    <w:p w14:paraId="46EBBAA0" w14:textId="77777777" w:rsidR="00B10431" w:rsidRPr="001F446A" w:rsidRDefault="00B10431" w:rsidP="00F06BEB">
      <w:pPr>
        <w:widowControl w:val="0"/>
        <w:tabs>
          <w:tab w:val="left" w:pos="-1440"/>
        </w:tabs>
        <w:autoSpaceDE w:val="0"/>
        <w:autoSpaceDN w:val="0"/>
        <w:adjustRightInd w:val="0"/>
        <w:rPr>
          <w:rFonts w:asciiTheme="minorHAnsi" w:eastAsia="Times New Roman" w:hAnsiTheme="minorHAnsi" w:cs="Times New Roman"/>
          <w:bCs/>
          <w:szCs w:val="24"/>
        </w:rPr>
      </w:pPr>
    </w:p>
    <w:p w14:paraId="7156F565" w14:textId="77777777" w:rsidR="00F06BEB" w:rsidRPr="001F446A" w:rsidRDefault="00F06BEB" w:rsidP="00F06BEB">
      <w:pPr>
        <w:widowControl w:val="0"/>
        <w:autoSpaceDE w:val="0"/>
        <w:autoSpaceDN w:val="0"/>
        <w:adjustRightInd w:val="0"/>
        <w:rPr>
          <w:rFonts w:asciiTheme="minorHAnsi" w:eastAsia="Times New Roman" w:hAnsiTheme="minorHAnsi" w:cs="Times New Roman"/>
          <w:bCs/>
          <w:szCs w:val="24"/>
        </w:rPr>
        <w:sectPr w:rsidR="00F06BEB" w:rsidRPr="001F446A" w:rsidSect="00821D3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440" w:footer="1440" w:gutter="0"/>
          <w:cols w:space="720"/>
          <w:noEndnote/>
        </w:sectPr>
      </w:pPr>
    </w:p>
    <w:p w14:paraId="30110B18" w14:textId="0E42ECEC" w:rsidR="00F06BEB" w:rsidRPr="001F446A" w:rsidRDefault="00F06BEB" w:rsidP="00F06BEB">
      <w:pPr>
        <w:widowControl w:val="0"/>
        <w:numPr>
          <w:ilvl w:val="0"/>
          <w:numId w:val="1"/>
        </w:numPr>
        <w:tabs>
          <w:tab w:val="left" w:pos="-1440"/>
        </w:tabs>
        <w:autoSpaceDE w:val="0"/>
        <w:autoSpaceDN w:val="0"/>
        <w:adjustRightInd w:val="0"/>
        <w:ind w:left="720" w:hanging="720"/>
        <w:outlineLvl w:val="0"/>
        <w:rPr>
          <w:rFonts w:asciiTheme="minorHAnsi" w:eastAsia="Times New Roman" w:hAnsiTheme="minorHAnsi" w:cs="Times New Roman"/>
          <w:szCs w:val="24"/>
        </w:rPr>
      </w:pPr>
      <w:r w:rsidRPr="001F446A">
        <w:rPr>
          <w:rFonts w:asciiTheme="minorHAnsi" w:eastAsia="Times New Roman" w:hAnsiTheme="minorHAnsi" w:cs="Times New Roman"/>
          <w:szCs w:val="24"/>
          <w:u w:val="single"/>
        </w:rPr>
        <w:t>METHODS TO MINIMIZE BURDEN ON SMALL BUSINESSES OR OTHER</w:t>
      </w:r>
      <w:r w:rsidR="00CC356E">
        <w:rPr>
          <w:rFonts w:asciiTheme="minorHAnsi" w:eastAsia="Times New Roman" w:hAnsiTheme="minorHAnsi" w:cs="Times New Roman"/>
          <w:szCs w:val="24"/>
          <w:u w:val="single"/>
        </w:rPr>
        <w:t xml:space="preserve"> </w:t>
      </w:r>
      <w:r w:rsidRPr="001F446A">
        <w:rPr>
          <w:rFonts w:asciiTheme="minorHAnsi" w:eastAsia="Times New Roman" w:hAnsiTheme="minorHAnsi" w:cs="Times New Roman"/>
          <w:szCs w:val="24"/>
          <w:u w:val="single"/>
        </w:rPr>
        <w:t>SMALL ENTITIES</w:t>
      </w:r>
    </w:p>
    <w:p w14:paraId="18E364AC" w14:textId="77777777" w:rsidR="006E6E4B" w:rsidRPr="001F446A" w:rsidRDefault="006E6E4B" w:rsidP="00F06BEB">
      <w:pPr>
        <w:widowControl w:val="0"/>
        <w:autoSpaceDE w:val="0"/>
        <w:autoSpaceDN w:val="0"/>
        <w:adjustRightInd w:val="0"/>
        <w:rPr>
          <w:rFonts w:asciiTheme="minorHAnsi" w:eastAsia="Times New Roman" w:hAnsiTheme="minorHAnsi" w:cs="Times New Roman"/>
          <w:szCs w:val="24"/>
        </w:rPr>
      </w:pPr>
    </w:p>
    <w:p w14:paraId="6699E2DD" w14:textId="77777777" w:rsidR="005A3D02" w:rsidRPr="001F446A" w:rsidRDefault="00667887" w:rsidP="00E8326D">
      <w:pPr>
        <w:autoSpaceDE w:val="0"/>
        <w:autoSpaceDN w:val="0"/>
        <w:adjustRightInd w:val="0"/>
        <w:rPr>
          <w:rFonts w:asciiTheme="minorHAnsi" w:hAnsiTheme="minorHAnsi" w:cs="MinionPro-Regular"/>
          <w:sz w:val="21"/>
          <w:szCs w:val="21"/>
        </w:rPr>
      </w:pPr>
      <w:r w:rsidRPr="001F446A">
        <w:rPr>
          <w:rFonts w:asciiTheme="minorHAnsi" w:eastAsia="Times New Roman" w:hAnsiTheme="minorHAnsi" w:cs="Times New Roman"/>
          <w:szCs w:val="24"/>
        </w:rPr>
        <w:t>It is not possible to reduce reporting requirements for small</w:t>
      </w:r>
      <w:r w:rsidR="00FC625F">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rPr>
        <w:t xml:space="preserve"> businesses,</w:t>
      </w:r>
      <w:r w:rsidR="00FC625F">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rPr>
        <w:t xml:space="preserve"> however the burden on a given entity will depend on the complexity of their enterprise. Small businesses will generally have a much lower burden of compliance than large and complex businesses.</w:t>
      </w:r>
    </w:p>
    <w:p w14:paraId="38A123F5" w14:textId="77777777" w:rsidR="00F06BEB" w:rsidRPr="001F446A" w:rsidRDefault="00F06BEB" w:rsidP="006E6E4B">
      <w:pPr>
        <w:widowControl w:val="0"/>
        <w:autoSpaceDE w:val="0"/>
        <w:autoSpaceDN w:val="0"/>
        <w:adjustRightInd w:val="0"/>
        <w:ind w:firstLine="720"/>
        <w:rPr>
          <w:rFonts w:asciiTheme="minorHAnsi" w:eastAsia="Times New Roman" w:hAnsiTheme="minorHAnsi" w:cs="Times New Roman"/>
          <w:szCs w:val="24"/>
        </w:rPr>
      </w:pPr>
    </w:p>
    <w:p w14:paraId="18ED4885"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6203D9FA" w14:textId="77777777" w:rsidR="00F06BEB" w:rsidRPr="001F446A" w:rsidRDefault="00F06BEB" w:rsidP="00F06BEB">
      <w:pPr>
        <w:widowControl w:val="0"/>
        <w:numPr>
          <w:ilvl w:val="0"/>
          <w:numId w:val="1"/>
        </w:numPr>
        <w:tabs>
          <w:tab w:val="left" w:pos="-1440"/>
        </w:tabs>
        <w:autoSpaceDE w:val="0"/>
        <w:autoSpaceDN w:val="0"/>
        <w:adjustRightInd w:val="0"/>
        <w:ind w:left="720" w:hanging="720"/>
        <w:outlineLvl w:val="0"/>
        <w:rPr>
          <w:rFonts w:asciiTheme="minorHAnsi" w:eastAsia="Times New Roman" w:hAnsiTheme="minorHAnsi" w:cs="Times New Roman"/>
          <w:szCs w:val="24"/>
        </w:rPr>
      </w:pPr>
      <w:r w:rsidRPr="001F446A">
        <w:rPr>
          <w:rFonts w:asciiTheme="minorHAnsi" w:eastAsia="Times New Roman" w:hAnsiTheme="minorHAnsi" w:cs="Times New Roman"/>
          <w:szCs w:val="24"/>
          <w:u w:val="single"/>
        </w:rPr>
        <w:t>CONSEQUENCES OF LESS FREQUENT COLLECTION ON FEDERAL PROGRAMS OR POLICY ACTIVITIES</w:t>
      </w:r>
    </w:p>
    <w:p w14:paraId="48CE267C"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27A734A5" w14:textId="77777777" w:rsidR="00D67BCE" w:rsidRPr="001F446A" w:rsidRDefault="00D67BCE" w:rsidP="00E8326D">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Consequences of less frequent collection on federal programs or policy activities could consist of a decrease in the amount of taxes collected by the Service, inaccurate and untimely filing of tax returns, and an increase in tax violations.</w:t>
      </w:r>
    </w:p>
    <w:p w14:paraId="549B705D" w14:textId="77777777" w:rsidR="00F06BEB" w:rsidRPr="001F446A" w:rsidRDefault="00F06BEB" w:rsidP="00A1338D">
      <w:pPr>
        <w:widowControl w:val="0"/>
        <w:autoSpaceDE w:val="0"/>
        <w:autoSpaceDN w:val="0"/>
        <w:adjustRightInd w:val="0"/>
        <w:ind w:firstLine="720"/>
        <w:rPr>
          <w:rFonts w:asciiTheme="minorHAnsi" w:eastAsia="Times New Roman" w:hAnsiTheme="minorHAnsi" w:cs="Times New Roman"/>
          <w:szCs w:val="24"/>
        </w:rPr>
      </w:pPr>
    </w:p>
    <w:p w14:paraId="6A327221" w14:textId="77777777" w:rsidR="00F06BEB" w:rsidRPr="001F446A" w:rsidRDefault="00F06BEB" w:rsidP="00F06BEB">
      <w:pPr>
        <w:widowControl w:val="0"/>
        <w:numPr>
          <w:ilvl w:val="0"/>
          <w:numId w:val="1"/>
        </w:numPr>
        <w:tabs>
          <w:tab w:val="left" w:pos="-1440"/>
        </w:tabs>
        <w:autoSpaceDE w:val="0"/>
        <w:autoSpaceDN w:val="0"/>
        <w:adjustRightInd w:val="0"/>
        <w:ind w:left="720" w:hanging="720"/>
        <w:outlineLvl w:val="0"/>
        <w:rPr>
          <w:rFonts w:asciiTheme="minorHAnsi" w:eastAsia="Times New Roman" w:hAnsiTheme="minorHAnsi" w:cs="Times New Roman"/>
          <w:szCs w:val="24"/>
        </w:rPr>
      </w:pPr>
      <w:r w:rsidRPr="001F446A">
        <w:rPr>
          <w:rFonts w:asciiTheme="minorHAnsi" w:eastAsia="Times New Roman" w:hAnsiTheme="minorHAnsi" w:cs="Times New Roman"/>
          <w:szCs w:val="24"/>
          <w:u w:val="single"/>
        </w:rPr>
        <w:t>SPECIAL CIRCUMSTANCES REQUIRING DATA COLLECTION TO BE</w:t>
      </w:r>
      <w:r w:rsidRPr="001F446A">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u w:val="single"/>
        </w:rPr>
        <w:t>INCONSISTENT WITH GUIDELINES IN 5 CFR 1320.5(d)(2)</w:t>
      </w:r>
    </w:p>
    <w:p w14:paraId="2C514DBB"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61FCE6F" w14:textId="77777777" w:rsidR="00F06BEB" w:rsidRPr="001F446A" w:rsidRDefault="00D67BCE" w:rsidP="00CC356E">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There are no special circumstances requiring data collection to be inconsistent with guidelines in 5 CFR 1320.5(d)(2)</w:t>
      </w:r>
      <w:r w:rsidR="00F06BEB" w:rsidRPr="001F446A">
        <w:rPr>
          <w:rFonts w:asciiTheme="minorHAnsi" w:eastAsia="Times New Roman" w:hAnsiTheme="minorHAnsi" w:cs="Times New Roman"/>
          <w:szCs w:val="24"/>
        </w:rPr>
        <w:t>.</w:t>
      </w:r>
    </w:p>
    <w:p w14:paraId="4D3F4773"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0FA4D96D" w14:textId="77777777" w:rsidR="00F06BEB" w:rsidRPr="001F446A" w:rsidRDefault="00F06BEB" w:rsidP="00A1338D">
      <w:pPr>
        <w:widowControl w:val="0"/>
        <w:tabs>
          <w:tab w:val="left" w:pos="-1440"/>
        </w:tabs>
        <w:autoSpaceDE w:val="0"/>
        <w:autoSpaceDN w:val="0"/>
        <w:adjustRightInd w:val="0"/>
        <w:ind w:left="720" w:hanging="720"/>
        <w:rPr>
          <w:rFonts w:asciiTheme="minorHAnsi" w:eastAsia="Times New Roman" w:hAnsiTheme="minorHAnsi" w:cs="Times New Roman"/>
          <w:szCs w:val="24"/>
        </w:rPr>
      </w:pPr>
      <w:r w:rsidRPr="001F446A">
        <w:rPr>
          <w:rFonts w:asciiTheme="minorHAnsi" w:eastAsia="Times New Roman" w:hAnsiTheme="minorHAnsi" w:cs="Times New Roman"/>
          <w:szCs w:val="24"/>
        </w:rPr>
        <w:t>8.</w:t>
      </w:r>
      <w:r w:rsidRPr="001F446A">
        <w:rPr>
          <w:rFonts w:asciiTheme="minorHAnsi" w:eastAsia="Times New Roman" w:hAnsiTheme="minorHAnsi" w:cs="Times New Roman"/>
          <w:szCs w:val="24"/>
        </w:rPr>
        <w:tab/>
      </w:r>
      <w:r w:rsidRPr="001F446A">
        <w:rPr>
          <w:rFonts w:asciiTheme="minorHAnsi" w:eastAsia="Times New Roman" w:hAnsiTheme="minorHAnsi" w:cs="Times New Roman"/>
          <w:szCs w:val="24"/>
          <w:u w:val="single"/>
        </w:rPr>
        <w:t>CONSULTATION WITH INDIVIDUALS OUTSIDE OF THE AGENCY ON AVAILABILITY OF DATA, FREQUENCY OF COLLECTION, CLARITY</w:t>
      </w:r>
      <w:r w:rsidRPr="001F446A">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u w:val="single"/>
        </w:rPr>
        <w:t>OF INSTRUCTIONS AND FORMS, AND DATA ELEMENTS</w:t>
      </w:r>
    </w:p>
    <w:p w14:paraId="4235EB7C" w14:textId="77777777" w:rsidR="00F06BEB" w:rsidRDefault="00F06BEB" w:rsidP="00B22A1C">
      <w:pPr>
        <w:widowControl w:val="0"/>
        <w:autoSpaceDE w:val="0"/>
        <w:autoSpaceDN w:val="0"/>
        <w:adjustRightInd w:val="0"/>
        <w:ind w:firstLine="720"/>
        <w:rPr>
          <w:rFonts w:asciiTheme="minorHAnsi" w:eastAsia="Times New Roman" w:hAnsiTheme="minorHAnsi" w:cs="Times New Roman"/>
          <w:szCs w:val="24"/>
        </w:rPr>
      </w:pPr>
    </w:p>
    <w:p w14:paraId="72BE7E43" w14:textId="19149513" w:rsidR="00B22A1C" w:rsidRPr="001F446A" w:rsidRDefault="00B22A1C" w:rsidP="00E8326D">
      <w:pPr>
        <w:widowControl w:val="0"/>
        <w:tabs>
          <w:tab w:val="center" w:pos="4680"/>
        </w:tabs>
        <w:autoSpaceDE w:val="0"/>
        <w:autoSpaceDN w:val="0"/>
        <w:adjustRightInd w:val="0"/>
        <w:rPr>
          <w:rFonts w:asciiTheme="minorHAnsi" w:eastAsia="Times New Roman" w:hAnsiTheme="minorHAnsi" w:cs="Times New Roman"/>
          <w:bCs/>
          <w:szCs w:val="24"/>
        </w:rPr>
      </w:pPr>
      <w:r w:rsidRPr="00687BE5">
        <w:t xml:space="preserve">Periodic meeting are held between IRS personnel and representatives of the American </w:t>
      </w:r>
      <w:r w:rsidR="00FC1B4C">
        <w:t xml:space="preserve"> </w:t>
      </w:r>
      <w:r w:rsidRPr="00687BE5">
        <w:t xml:space="preserve">Bar Association, the National Society of Public Accountants, the American Institute </w:t>
      </w:r>
      <w:r w:rsidR="00FC1B4C">
        <w:tab/>
      </w:r>
      <w:r w:rsidRPr="00687BE5">
        <w:t>Certified Public Accountants,</w:t>
      </w:r>
      <w:r w:rsidR="00FC1B4C">
        <w:t xml:space="preserve"> </w:t>
      </w:r>
      <w:r w:rsidRPr="00687BE5">
        <w:t xml:space="preserve"> and </w:t>
      </w:r>
      <w:r w:rsidR="00FC1B4C">
        <w:t xml:space="preserve"> </w:t>
      </w:r>
      <w:r w:rsidRPr="00687BE5">
        <w:t>other professional groups to discuss tax law and tax forms.</w:t>
      </w:r>
      <w:r w:rsidR="00FC1B4C">
        <w:t xml:space="preserve"> </w:t>
      </w:r>
      <w:r w:rsidRPr="00687BE5">
        <w:t xml:space="preserve">During these meetings, there is an opportunity for those attending to make comments </w:t>
      </w:r>
      <w:r w:rsidR="00FC1B4C">
        <w:t xml:space="preserve"> </w:t>
      </w:r>
      <w:r w:rsidRPr="00687BE5">
        <w:t xml:space="preserve">regarding </w:t>
      </w:r>
      <w:r w:rsidR="00FC1B4C">
        <w:t xml:space="preserve"> </w:t>
      </w:r>
      <w:r>
        <w:t xml:space="preserve">Forms </w:t>
      </w:r>
      <w:r w:rsidRPr="001F446A">
        <w:rPr>
          <w:rFonts w:asciiTheme="minorHAnsi" w:eastAsia="Times New Roman" w:hAnsiTheme="minorHAnsi" w:cs="Times New Roman"/>
          <w:iCs/>
          <w:color w:val="000000"/>
          <w:szCs w:val="24"/>
        </w:rPr>
        <w:t>1065, 1065-B, 1066, 1120, 1120-C, 1120-F, 1120-FSC, 1120-H, 1120-L, 1120-ND, 1120-PC, 1120-POL, 1120-REIT, 1120-RIC, 1120-S, 1120-SF</w:t>
      </w:r>
      <w:r w:rsidRPr="001F446A">
        <w:rPr>
          <w:rFonts w:asciiTheme="minorHAnsi" w:eastAsia="Times New Roman" w:hAnsiTheme="minorHAnsi" w:cs="Times New Roman"/>
          <w:szCs w:val="24"/>
        </w:rPr>
        <w:t xml:space="preserve"> and related attachments.</w:t>
      </w:r>
    </w:p>
    <w:p w14:paraId="10FED843" w14:textId="449B9C35" w:rsidR="00B22A1C" w:rsidRDefault="00B22A1C" w:rsidP="00CC356E">
      <w:r w:rsidRPr="00687BE5">
        <w:t>.</w:t>
      </w:r>
    </w:p>
    <w:p w14:paraId="0C0F8ABA" w14:textId="093964FF" w:rsidR="00C21427" w:rsidRDefault="00C21427" w:rsidP="00C21427">
      <w:pPr>
        <w:autoSpaceDE w:val="0"/>
        <w:autoSpaceDN w:val="0"/>
      </w:pPr>
      <w:r>
        <w:t xml:space="preserve">In </w:t>
      </w:r>
      <w:r w:rsidRPr="00C21427">
        <w:t>response to the Federal Register Notices dated May 26, 2017 (82 FR 24447) and August 30, 2017 (82 FR 41310), we received  three comments. One of these comments was  from the National Association of Real Estate Investment Trusts (NAREIT) and contained identical comments from NAREIT during both comment periods (82 FR 24447 and 82 FR 41310). The comment focused on forms 1120, 1120-C, 1120-F, 1120-L, 1120-REIT, 1120-RIC, 1120-S and related attachments.  Below is a summary of the comments received from NAREIT:</w:t>
      </w:r>
    </w:p>
    <w:p w14:paraId="4B49C00F" w14:textId="77777777" w:rsidR="00C21427" w:rsidRDefault="00C21427" w:rsidP="00C21427">
      <w:pPr>
        <w:autoSpaceDE w:val="0"/>
        <w:autoSpaceDN w:val="0"/>
      </w:pPr>
    </w:p>
    <w:p w14:paraId="6759EC05" w14:textId="77777777" w:rsidR="00C21427" w:rsidRPr="00C21427" w:rsidRDefault="00C21427" w:rsidP="00C21427">
      <w:pPr>
        <w:autoSpaceDE w:val="0"/>
        <w:autoSpaceDN w:val="0"/>
        <w:rPr>
          <w:iCs/>
        </w:rPr>
      </w:pPr>
      <w:r w:rsidRPr="00C21427">
        <w:rPr>
          <w:iCs/>
        </w:rPr>
        <w:t xml:space="preserve">The National Association of Real Estate Investment Trusts (NAREIT) had comments regarding; </w:t>
      </w:r>
    </w:p>
    <w:p w14:paraId="7FC05D38" w14:textId="77777777" w:rsidR="00C21427" w:rsidRPr="00C21427" w:rsidRDefault="00C21427" w:rsidP="00C21427">
      <w:pPr>
        <w:pStyle w:val="Default"/>
        <w:widowControl/>
        <w:numPr>
          <w:ilvl w:val="0"/>
          <w:numId w:val="7"/>
        </w:numPr>
        <w:adjustRightInd/>
        <w:rPr>
          <w:rFonts w:ascii="Calibri" w:hAnsi="Calibri"/>
          <w:iCs/>
          <w:color w:val="auto"/>
        </w:rPr>
      </w:pPr>
      <w:r w:rsidRPr="00C21427">
        <w:rPr>
          <w:rFonts w:ascii="Calibri" w:hAnsi="Calibri"/>
          <w:iCs/>
          <w:color w:val="auto"/>
        </w:rPr>
        <w:t xml:space="preserve">Form 1120-REIT -  </w:t>
      </w:r>
    </w:p>
    <w:p w14:paraId="11C532A5" w14:textId="77777777" w:rsidR="00C21427" w:rsidRPr="00C21427" w:rsidRDefault="00C21427" w:rsidP="00C21427">
      <w:pPr>
        <w:pStyle w:val="Default"/>
        <w:widowControl/>
        <w:numPr>
          <w:ilvl w:val="1"/>
          <w:numId w:val="7"/>
        </w:numPr>
        <w:adjustRightInd/>
        <w:rPr>
          <w:rFonts w:ascii="Calibri" w:hAnsi="Calibri"/>
          <w:iCs/>
          <w:color w:val="auto"/>
        </w:rPr>
      </w:pPr>
      <w:r w:rsidRPr="00C21427">
        <w:rPr>
          <w:rFonts w:ascii="Calibri" w:hAnsi="Calibri"/>
          <w:iCs/>
          <w:color w:val="auto"/>
        </w:rPr>
        <w:t xml:space="preserve">Part I lines 21 </w:t>
      </w:r>
      <w:r w:rsidRPr="00C21427">
        <w:rPr>
          <w:iCs/>
          <w:color w:val="auto"/>
          <w:sz w:val="23"/>
          <w:szCs w:val="23"/>
        </w:rPr>
        <w:t xml:space="preserve">(a)-(c) Should be changed to follow the same order as the statutory language. </w:t>
      </w:r>
    </w:p>
    <w:p w14:paraId="55349CD0" w14:textId="77777777" w:rsidR="00C21427" w:rsidRPr="00C21427" w:rsidRDefault="00C21427" w:rsidP="00C21427">
      <w:pPr>
        <w:pStyle w:val="Default"/>
        <w:widowControl/>
        <w:numPr>
          <w:ilvl w:val="1"/>
          <w:numId w:val="7"/>
        </w:numPr>
        <w:adjustRightInd/>
        <w:rPr>
          <w:rFonts w:ascii="Calibri" w:hAnsi="Calibri"/>
          <w:iCs/>
          <w:color w:val="auto"/>
        </w:rPr>
      </w:pPr>
      <w:r w:rsidRPr="00C21427">
        <w:rPr>
          <w:rFonts w:ascii="Calibri" w:hAnsi="Calibri"/>
          <w:iCs/>
          <w:color w:val="auto"/>
        </w:rPr>
        <w:t>Part III Should Be Modified to Calculate a REIT’s Gross Income for Purposes of Section 857(b)(5)</w:t>
      </w:r>
    </w:p>
    <w:p w14:paraId="5E70AC3B" w14:textId="77777777" w:rsidR="00C21427" w:rsidRPr="00C21427" w:rsidRDefault="00C21427" w:rsidP="00C21427">
      <w:pPr>
        <w:pStyle w:val="Default"/>
        <w:widowControl/>
        <w:numPr>
          <w:ilvl w:val="1"/>
          <w:numId w:val="7"/>
        </w:numPr>
        <w:adjustRightInd/>
        <w:rPr>
          <w:rFonts w:ascii="Calibri" w:hAnsi="Calibri"/>
          <w:iCs/>
          <w:color w:val="auto"/>
        </w:rPr>
      </w:pPr>
      <w:r w:rsidRPr="00C21427">
        <w:rPr>
          <w:iCs/>
          <w:color w:val="auto"/>
          <w:sz w:val="23"/>
          <w:szCs w:val="23"/>
        </w:rPr>
        <w:t>Part III Should Exclude Income from Hedging Transactions under Section 856(c)(5)(G) for Purposes of Section 857(b)(5)</w:t>
      </w:r>
    </w:p>
    <w:p w14:paraId="238C3704" w14:textId="77777777" w:rsidR="00C21427" w:rsidRPr="00C21427" w:rsidRDefault="00C21427" w:rsidP="00C21427">
      <w:pPr>
        <w:pStyle w:val="Default"/>
        <w:widowControl/>
        <w:numPr>
          <w:ilvl w:val="1"/>
          <w:numId w:val="7"/>
        </w:numPr>
        <w:adjustRightInd/>
        <w:rPr>
          <w:rFonts w:ascii="Calibri" w:hAnsi="Calibri"/>
          <w:iCs/>
          <w:color w:val="auto"/>
        </w:rPr>
      </w:pPr>
      <w:r w:rsidRPr="00C21427">
        <w:rPr>
          <w:iCs/>
          <w:color w:val="auto"/>
          <w:sz w:val="23"/>
          <w:szCs w:val="23"/>
        </w:rPr>
        <w:t>Part III Should Include a Line for Taxable Income that is Excluded from Gross Income</w:t>
      </w:r>
    </w:p>
    <w:p w14:paraId="5527574A" w14:textId="77777777" w:rsidR="00C21427" w:rsidRPr="00C21427" w:rsidRDefault="00C21427" w:rsidP="00C21427">
      <w:pPr>
        <w:pStyle w:val="Default"/>
        <w:widowControl/>
        <w:numPr>
          <w:ilvl w:val="1"/>
          <w:numId w:val="7"/>
        </w:numPr>
        <w:adjustRightInd/>
        <w:rPr>
          <w:rFonts w:ascii="Calibri" w:hAnsi="Calibri"/>
          <w:iCs/>
          <w:color w:val="auto"/>
        </w:rPr>
      </w:pPr>
      <w:r w:rsidRPr="00C21427">
        <w:rPr>
          <w:iCs/>
          <w:color w:val="auto"/>
          <w:sz w:val="23"/>
          <w:szCs w:val="23"/>
        </w:rPr>
        <w:t>Changes to the Instructions</w:t>
      </w:r>
    </w:p>
    <w:p w14:paraId="614C8C9F" w14:textId="77777777" w:rsidR="00C21427" w:rsidRPr="00C21427" w:rsidRDefault="00C21427" w:rsidP="00C21427">
      <w:pPr>
        <w:pStyle w:val="ListParagraph"/>
        <w:numPr>
          <w:ilvl w:val="0"/>
          <w:numId w:val="7"/>
        </w:numPr>
        <w:autoSpaceDE w:val="0"/>
        <w:autoSpaceDN w:val="0"/>
        <w:rPr>
          <w:iCs/>
        </w:rPr>
      </w:pPr>
      <w:r w:rsidRPr="00C21427">
        <w:rPr>
          <w:iCs/>
          <w:sz w:val="24"/>
          <w:szCs w:val="24"/>
        </w:rPr>
        <w:t xml:space="preserve">Form 8875 – </w:t>
      </w:r>
    </w:p>
    <w:p w14:paraId="50BB8854" w14:textId="77777777" w:rsidR="00C21427" w:rsidRPr="00C21427" w:rsidRDefault="00C21427" w:rsidP="00C21427">
      <w:pPr>
        <w:pStyle w:val="ListParagraph"/>
        <w:numPr>
          <w:ilvl w:val="1"/>
          <w:numId w:val="7"/>
        </w:numPr>
        <w:autoSpaceDE w:val="0"/>
        <w:autoSpaceDN w:val="0"/>
        <w:rPr>
          <w:iCs/>
          <w:sz w:val="24"/>
          <w:szCs w:val="24"/>
        </w:rPr>
      </w:pPr>
      <w:r w:rsidRPr="00C21427">
        <w:rPr>
          <w:iCs/>
          <w:sz w:val="23"/>
          <w:szCs w:val="23"/>
        </w:rPr>
        <w:t>Part I of Form 8875 should be amended to require contact information of an officer or legal representative of the TRS.</w:t>
      </w:r>
    </w:p>
    <w:p w14:paraId="4569CCD1" w14:textId="77777777" w:rsidR="00C21427" w:rsidRPr="00C21427" w:rsidRDefault="00C21427" w:rsidP="00C21427">
      <w:pPr>
        <w:pStyle w:val="ListParagraph"/>
        <w:numPr>
          <w:ilvl w:val="1"/>
          <w:numId w:val="7"/>
        </w:numPr>
        <w:autoSpaceDE w:val="0"/>
        <w:autoSpaceDN w:val="0"/>
        <w:rPr>
          <w:iCs/>
          <w:sz w:val="24"/>
          <w:szCs w:val="24"/>
        </w:rPr>
      </w:pPr>
      <w:r w:rsidRPr="00C21427">
        <w:rPr>
          <w:iCs/>
          <w:sz w:val="23"/>
          <w:szCs w:val="23"/>
        </w:rPr>
        <w:t>Changes to Part III Line 16</w:t>
      </w:r>
    </w:p>
    <w:p w14:paraId="06E340A7" w14:textId="77777777" w:rsidR="00C21427" w:rsidRPr="00C21427" w:rsidRDefault="00C21427" w:rsidP="00C21427">
      <w:pPr>
        <w:pStyle w:val="ListParagraph"/>
        <w:numPr>
          <w:ilvl w:val="1"/>
          <w:numId w:val="7"/>
        </w:numPr>
        <w:autoSpaceDE w:val="0"/>
        <w:autoSpaceDN w:val="0"/>
        <w:rPr>
          <w:iCs/>
          <w:sz w:val="24"/>
          <w:szCs w:val="24"/>
        </w:rPr>
      </w:pPr>
      <w:r w:rsidRPr="00C21427">
        <w:rPr>
          <w:iCs/>
          <w:sz w:val="23"/>
          <w:szCs w:val="23"/>
        </w:rPr>
        <w:t>Changes to the instructions</w:t>
      </w:r>
    </w:p>
    <w:p w14:paraId="5733E829" w14:textId="77777777" w:rsidR="00C21427" w:rsidRPr="00C21427" w:rsidRDefault="00C21427" w:rsidP="00C21427">
      <w:pPr>
        <w:pStyle w:val="ListParagraph"/>
        <w:numPr>
          <w:ilvl w:val="1"/>
          <w:numId w:val="7"/>
        </w:numPr>
        <w:autoSpaceDE w:val="0"/>
        <w:autoSpaceDN w:val="0"/>
        <w:rPr>
          <w:iCs/>
          <w:sz w:val="24"/>
          <w:szCs w:val="24"/>
        </w:rPr>
      </w:pPr>
      <w:r w:rsidRPr="00C21427">
        <w:rPr>
          <w:iCs/>
          <w:sz w:val="23"/>
          <w:szCs w:val="23"/>
        </w:rPr>
        <w:t>Changes to the election.</w:t>
      </w:r>
    </w:p>
    <w:p w14:paraId="7D5E4E26" w14:textId="77777777" w:rsidR="00C21427" w:rsidRPr="00C21427" w:rsidRDefault="00C21427" w:rsidP="00C21427">
      <w:pPr>
        <w:autoSpaceDE w:val="0"/>
        <w:autoSpaceDN w:val="0"/>
        <w:rPr>
          <w:iCs/>
          <w:szCs w:val="24"/>
        </w:rPr>
      </w:pPr>
    </w:p>
    <w:p w14:paraId="25E8FF2B" w14:textId="77777777" w:rsidR="00C21427" w:rsidRPr="00C21427" w:rsidRDefault="00C21427" w:rsidP="00C21427">
      <w:pPr>
        <w:autoSpaceDE w:val="0"/>
        <w:autoSpaceDN w:val="0"/>
        <w:rPr>
          <w:iCs/>
          <w:sz w:val="22"/>
        </w:rPr>
      </w:pPr>
      <w:r w:rsidRPr="00C21427">
        <w:rPr>
          <w:iCs/>
        </w:rPr>
        <w:t>IRS made some of the changes to the Form1120-REIT and its instructions. IRS will consider the additional suggested changes. The changes that have been made to Form 1120-REIT in Part III to exclude the incomes for 856(c)(5)(J), Hedging transaction referred to 856(c)(5)(G), real estate foreign exchange gain referred to 856(n)(2) and passive foreign exchange gain referred to 856(n)(3).</w:t>
      </w:r>
    </w:p>
    <w:p w14:paraId="7691D5BB" w14:textId="77777777" w:rsidR="00C21427" w:rsidRPr="00C21427" w:rsidRDefault="00C21427" w:rsidP="00C21427">
      <w:pPr>
        <w:autoSpaceDE w:val="0"/>
        <w:autoSpaceDN w:val="0"/>
        <w:rPr>
          <w:iCs/>
        </w:rPr>
      </w:pPr>
    </w:p>
    <w:p w14:paraId="53C16137" w14:textId="77777777" w:rsidR="00C21427" w:rsidRPr="00C21427" w:rsidRDefault="00C21427" w:rsidP="00C21427">
      <w:pPr>
        <w:autoSpaceDE w:val="0"/>
        <w:autoSpaceDN w:val="0"/>
        <w:rPr>
          <w:iCs/>
        </w:rPr>
      </w:pPr>
      <w:r w:rsidRPr="00C21427">
        <w:rPr>
          <w:iCs/>
        </w:rPr>
        <w:t>Regarding Form 8875, IRS is not scheduled to revised this year and will look into the suggested changes next year. IRS is unable to give a detailed response as to whether or not we are going to adopt these changes at this time.</w:t>
      </w:r>
    </w:p>
    <w:p w14:paraId="3CBB659B" w14:textId="77777777" w:rsidR="00C21427" w:rsidRPr="00C21427" w:rsidRDefault="00C21427" w:rsidP="00C21427"/>
    <w:p w14:paraId="7C35B0FD" w14:textId="77777777" w:rsidR="00C21427" w:rsidRPr="00C21427" w:rsidRDefault="00C21427" w:rsidP="00C21427">
      <w:r w:rsidRPr="00C21427">
        <w:t xml:space="preserve">The third comment received was a letter of support from the Bureau of Economic Analysis. BEA utilizes data IRS form 1118, which are crucial to BEA’s economic statistics and has asked that their support for this collection be formally acknowledged. </w:t>
      </w:r>
    </w:p>
    <w:p w14:paraId="32D3D744" w14:textId="77777777" w:rsidR="00C21427" w:rsidRPr="00C21427" w:rsidRDefault="00C21427" w:rsidP="00C21427"/>
    <w:p w14:paraId="66776E27" w14:textId="77777777" w:rsidR="009F5999" w:rsidRPr="00C21427" w:rsidRDefault="009F5999" w:rsidP="00F06BEB">
      <w:pPr>
        <w:widowControl w:val="0"/>
        <w:autoSpaceDE w:val="0"/>
        <w:autoSpaceDN w:val="0"/>
        <w:adjustRightInd w:val="0"/>
        <w:rPr>
          <w:rFonts w:asciiTheme="minorHAnsi" w:eastAsia="Times New Roman" w:hAnsiTheme="minorHAnsi" w:cs="Times New Roman"/>
          <w:szCs w:val="24"/>
        </w:rPr>
      </w:pPr>
    </w:p>
    <w:p w14:paraId="11F4160D" w14:textId="77777777" w:rsidR="00F06BEB" w:rsidRPr="001F446A" w:rsidRDefault="00F06BEB" w:rsidP="00F06BEB">
      <w:pPr>
        <w:widowControl w:val="0"/>
        <w:numPr>
          <w:ilvl w:val="0"/>
          <w:numId w:val="2"/>
        </w:numPr>
        <w:tabs>
          <w:tab w:val="left" w:pos="-1440"/>
        </w:tabs>
        <w:autoSpaceDE w:val="0"/>
        <w:autoSpaceDN w:val="0"/>
        <w:adjustRightInd w:val="0"/>
        <w:ind w:left="720" w:hanging="720"/>
        <w:outlineLvl w:val="0"/>
        <w:rPr>
          <w:rFonts w:asciiTheme="minorHAnsi" w:eastAsia="Times New Roman" w:hAnsiTheme="minorHAnsi" w:cs="Times New Roman"/>
          <w:szCs w:val="24"/>
        </w:rPr>
      </w:pPr>
      <w:r w:rsidRPr="001F446A">
        <w:rPr>
          <w:rFonts w:asciiTheme="minorHAnsi" w:eastAsia="Times New Roman" w:hAnsiTheme="minorHAnsi" w:cs="Times New Roman"/>
          <w:szCs w:val="24"/>
          <w:u w:val="single"/>
        </w:rPr>
        <w:t>EXPLANATION OF DECISION TO PROVIDE ANY PAYMENT OR GIFT TO</w:t>
      </w:r>
      <w:r w:rsidRPr="001F446A">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u w:val="single"/>
        </w:rPr>
        <w:t>RESPONDENTS</w:t>
      </w:r>
    </w:p>
    <w:p w14:paraId="5BFEB834"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55ED87AB" w14:textId="77777777" w:rsidR="00F06BEB" w:rsidRPr="001F446A" w:rsidRDefault="00BA4DD7" w:rsidP="00CC356E">
      <w:pPr>
        <w:widowControl w:val="0"/>
        <w:tabs>
          <w:tab w:val="left" w:pos="-1440"/>
        </w:tabs>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No payment or gift has been provided to any respondents</w:t>
      </w:r>
      <w:r w:rsidR="00F06BEB" w:rsidRPr="001F446A">
        <w:rPr>
          <w:rFonts w:asciiTheme="minorHAnsi" w:eastAsia="Times New Roman" w:hAnsiTheme="minorHAnsi" w:cs="Times New Roman"/>
          <w:szCs w:val="24"/>
        </w:rPr>
        <w:t>.</w:t>
      </w:r>
    </w:p>
    <w:p w14:paraId="147A90BA"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3D0EEEBC" w14:textId="77777777" w:rsidR="00F06BEB" w:rsidRPr="001F446A" w:rsidRDefault="00F06BEB" w:rsidP="00F06BEB">
      <w:pPr>
        <w:widowControl w:val="0"/>
        <w:numPr>
          <w:ilvl w:val="0"/>
          <w:numId w:val="2"/>
        </w:numPr>
        <w:tabs>
          <w:tab w:val="left" w:pos="-1440"/>
        </w:tabs>
        <w:autoSpaceDE w:val="0"/>
        <w:autoSpaceDN w:val="0"/>
        <w:adjustRightInd w:val="0"/>
        <w:ind w:left="720" w:hanging="720"/>
        <w:outlineLvl w:val="0"/>
        <w:rPr>
          <w:rFonts w:asciiTheme="minorHAnsi" w:eastAsia="Times New Roman" w:hAnsiTheme="minorHAnsi" w:cs="Times New Roman"/>
          <w:szCs w:val="24"/>
        </w:rPr>
      </w:pPr>
      <w:r w:rsidRPr="001F446A">
        <w:rPr>
          <w:rFonts w:asciiTheme="minorHAnsi" w:eastAsia="Times New Roman" w:hAnsiTheme="minorHAnsi" w:cs="Times New Roman"/>
          <w:szCs w:val="24"/>
          <w:u w:val="single"/>
        </w:rPr>
        <w:t>ASSURANCE OF CONFIDENTIALITY OF RESPONSES</w:t>
      </w:r>
    </w:p>
    <w:p w14:paraId="00E980DC" w14:textId="77777777" w:rsidR="00F06BEB" w:rsidRPr="001F446A" w:rsidRDefault="00F06BEB" w:rsidP="00F06BEB">
      <w:pPr>
        <w:widowControl w:val="0"/>
        <w:tabs>
          <w:tab w:val="left" w:pos="720"/>
        </w:tabs>
        <w:autoSpaceDE w:val="0"/>
        <w:autoSpaceDN w:val="0"/>
        <w:adjustRightInd w:val="0"/>
        <w:rPr>
          <w:rFonts w:asciiTheme="minorHAnsi" w:eastAsia="Times New Roman" w:hAnsiTheme="minorHAnsi" w:cs="Times New Roman"/>
          <w:szCs w:val="24"/>
        </w:rPr>
      </w:pPr>
    </w:p>
    <w:p w14:paraId="1901343E" w14:textId="389A5295" w:rsidR="00F06BEB" w:rsidRPr="001F446A" w:rsidRDefault="00F06BEB" w:rsidP="0071117C">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Generally, tax returns and tax return information are confidential as required by 26 USC 6103.</w:t>
      </w:r>
    </w:p>
    <w:p w14:paraId="5E3DEA77"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0858C890" w14:textId="77777777" w:rsidR="00F06BEB" w:rsidRPr="001F446A" w:rsidRDefault="00F06BEB" w:rsidP="00F06BEB">
      <w:pPr>
        <w:widowControl w:val="0"/>
        <w:numPr>
          <w:ilvl w:val="0"/>
          <w:numId w:val="2"/>
        </w:numPr>
        <w:tabs>
          <w:tab w:val="left" w:pos="-1440"/>
        </w:tabs>
        <w:autoSpaceDE w:val="0"/>
        <w:autoSpaceDN w:val="0"/>
        <w:adjustRightInd w:val="0"/>
        <w:ind w:left="720" w:hanging="720"/>
        <w:outlineLvl w:val="0"/>
        <w:rPr>
          <w:rFonts w:asciiTheme="minorHAnsi" w:eastAsia="Times New Roman" w:hAnsiTheme="minorHAnsi" w:cs="Times New Roman"/>
          <w:szCs w:val="24"/>
          <w:u w:val="single"/>
        </w:rPr>
      </w:pPr>
      <w:r w:rsidRPr="001F446A">
        <w:rPr>
          <w:rFonts w:asciiTheme="minorHAnsi" w:eastAsia="Times New Roman" w:hAnsiTheme="minorHAnsi" w:cs="Times New Roman"/>
          <w:szCs w:val="24"/>
          <w:u w:val="single"/>
        </w:rPr>
        <w:t>JUSTIFICATION OF SENSITIVE QUESTIONS</w:t>
      </w:r>
    </w:p>
    <w:p w14:paraId="5112F8B4"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u w:val="single"/>
        </w:rPr>
      </w:pPr>
      <w:r w:rsidRPr="001F446A">
        <w:rPr>
          <w:rFonts w:asciiTheme="minorHAnsi" w:eastAsia="Times New Roman" w:hAnsiTheme="minorHAnsi" w:cs="Times New Roman"/>
          <w:szCs w:val="24"/>
          <w:u w:val="single"/>
        </w:rPr>
        <w:t xml:space="preserve">     </w:t>
      </w:r>
    </w:p>
    <w:p w14:paraId="5FDBFAAA" w14:textId="135EFEDD" w:rsidR="00F06BEB" w:rsidRPr="001F446A" w:rsidRDefault="00F06BEB" w:rsidP="00C605C9">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A privacy impact assessment (PIA) has been conducted for information collected under this request as part of the “ Business Master File  (BMF) ”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w:t>
      </w:r>
      <w:r w:rsidR="00E65CD9" w:rsidRPr="001F446A">
        <w:rPr>
          <w:rFonts w:asciiTheme="minorHAnsi" w:eastAsia="Times New Roman" w:hAnsiTheme="minorHAnsi" w:cs="Times New Roman"/>
          <w:szCs w:val="24"/>
        </w:rPr>
        <w:t>Internal Revenue Service</w:t>
      </w:r>
      <w:r w:rsidRPr="001F446A">
        <w:rPr>
          <w:rFonts w:asciiTheme="minorHAnsi" w:eastAsia="Times New Roman" w:hAnsiTheme="minorHAnsi" w:cs="Times New Roman"/>
          <w:szCs w:val="24"/>
        </w:rPr>
        <w:t xml:space="preserve"> PIAs can be found at </w:t>
      </w:r>
      <w:hyperlink r:id="rId15" w:history="1">
        <w:r w:rsidR="00C944BB" w:rsidRPr="001F446A">
          <w:rPr>
            <w:rStyle w:val="Hyperlink"/>
            <w:rFonts w:asciiTheme="minorHAnsi" w:eastAsia="Times New Roman" w:hAnsiTheme="minorHAnsi" w:cs="Times New Roman"/>
            <w:szCs w:val="24"/>
          </w:rPr>
          <w:t>http://www.IRS.gov/privacy/PIAs/Pages/default.aspx</w:t>
        </w:r>
      </w:hyperlink>
    </w:p>
    <w:p w14:paraId="152C2D78" w14:textId="77777777" w:rsidR="00F06BEB" w:rsidRPr="001F446A" w:rsidRDefault="00F06BEB" w:rsidP="00C605C9">
      <w:pPr>
        <w:widowControl w:val="0"/>
        <w:autoSpaceDE w:val="0"/>
        <w:autoSpaceDN w:val="0"/>
        <w:adjustRightInd w:val="0"/>
        <w:rPr>
          <w:rFonts w:asciiTheme="minorHAnsi" w:eastAsia="Times New Roman" w:hAnsiTheme="minorHAnsi" w:cs="Times New Roman"/>
          <w:szCs w:val="24"/>
        </w:rPr>
      </w:pPr>
    </w:p>
    <w:p w14:paraId="5AD902AC" w14:textId="77777777" w:rsidR="00F06BEB" w:rsidRPr="001F446A" w:rsidRDefault="00F06BEB" w:rsidP="00C605C9">
      <w:pPr>
        <w:widowControl w:val="0"/>
        <w:autoSpaceDE w:val="0"/>
        <w:autoSpaceDN w:val="0"/>
        <w:adjustRightInd w:val="0"/>
        <w:rPr>
          <w:rFonts w:asciiTheme="minorHAnsi" w:eastAsia="Times New Roman" w:hAnsiTheme="minorHAnsi" w:cs="Times New Roman"/>
          <w:color w:val="000000"/>
          <w:szCs w:val="24"/>
        </w:rPr>
      </w:pPr>
      <w:r w:rsidRPr="001F446A">
        <w:rPr>
          <w:rFonts w:asciiTheme="minorHAnsi" w:eastAsia="Times New Roman" w:hAnsiTheme="minorHAnsi" w:cs="Times New Roman"/>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1F446A">
        <w:rPr>
          <w:rFonts w:asciiTheme="minorHAnsi" w:eastAsia="Times New Roman" w:hAnsiTheme="minorHAnsi" w:cs="Times New Roman"/>
          <w:color w:val="000000"/>
          <w:szCs w:val="24"/>
        </w:rPr>
        <w:t xml:space="preserve">  </w:t>
      </w:r>
    </w:p>
    <w:p w14:paraId="52487586" w14:textId="77777777" w:rsidR="00F06BEB" w:rsidRPr="001F446A" w:rsidRDefault="00F06BEB" w:rsidP="00F06BEB">
      <w:pPr>
        <w:widowControl w:val="0"/>
        <w:autoSpaceDE w:val="0"/>
        <w:autoSpaceDN w:val="0"/>
        <w:adjustRightInd w:val="0"/>
        <w:rPr>
          <w:rFonts w:asciiTheme="minorHAnsi" w:eastAsia="Times New Roman" w:hAnsiTheme="minorHAnsi" w:cs="Times New Roman"/>
          <w:color w:val="000000"/>
          <w:szCs w:val="24"/>
        </w:rPr>
      </w:pPr>
    </w:p>
    <w:p w14:paraId="40D164E1" w14:textId="77777777" w:rsidR="00F06BEB" w:rsidRPr="001F446A" w:rsidRDefault="00F06BEB" w:rsidP="00F06BEB">
      <w:pPr>
        <w:widowControl w:val="0"/>
        <w:numPr>
          <w:ilvl w:val="12"/>
          <w:numId w:val="0"/>
        </w:numPr>
        <w:autoSpaceDE w:val="0"/>
        <w:autoSpaceDN w:val="0"/>
        <w:adjustRightInd w:val="0"/>
        <w:rPr>
          <w:rFonts w:asciiTheme="minorHAnsi" w:eastAsia="Times New Roman" w:hAnsiTheme="minorHAnsi" w:cs="Times New Roman"/>
          <w:szCs w:val="24"/>
        </w:rPr>
      </w:pPr>
    </w:p>
    <w:p w14:paraId="3C17E55A"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sectPr w:rsidR="00F06BEB" w:rsidRPr="001F446A">
          <w:footerReference w:type="default" r:id="rId16"/>
          <w:type w:val="continuous"/>
          <w:pgSz w:w="12240" w:h="15840"/>
          <w:pgMar w:top="1440" w:right="1440" w:bottom="1440" w:left="1440" w:header="1440" w:footer="1440" w:gutter="0"/>
          <w:cols w:space="720"/>
          <w:noEndnote/>
        </w:sectPr>
      </w:pPr>
    </w:p>
    <w:p w14:paraId="7BC690D2" w14:textId="77777777" w:rsidR="00F06BEB" w:rsidRPr="001F446A" w:rsidRDefault="00F06BEB" w:rsidP="00F06BEB">
      <w:pPr>
        <w:widowControl w:val="0"/>
        <w:numPr>
          <w:ilvl w:val="0"/>
          <w:numId w:val="2"/>
        </w:numPr>
        <w:tabs>
          <w:tab w:val="left" w:pos="-1440"/>
        </w:tabs>
        <w:autoSpaceDE w:val="0"/>
        <w:autoSpaceDN w:val="0"/>
        <w:adjustRightInd w:val="0"/>
        <w:ind w:left="720" w:hanging="720"/>
        <w:outlineLvl w:val="0"/>
        <w:rPr>
          <w:rFonts w:asciiTheme="minorHAnsi" w:eastAsia="Times New Roman" w:hAnsiTheme="minorHAnsi" w:cs="Times New Roman"/>
          <w:szCs w:val="24"/>
        </w:rPr>
      </w:pPr>
      <w:r w:rsidRPr="001F446A">
        <w:rPr>
          <w:rFonts w:asciiTheme="minorHAnsi" w:eastAsia="Times New Roman" w:hAnsiTheme="minorHAnsi" w:cs="Times New Roman"/>
          <w:szCs w:val="24"/>
          <w:u w:val="single"/>
        </w:rPr>
        <w:t>ESTIMATED BURDEN OF INFORMATION COLLECTION</w:t>
      </w:r>
    </w:p>
    <w:p w14:paraId="0BAED469"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D176708" w14:textId="77777777" w:rsidR="00C506FB" w:rsidRPr="001F446A" w:rsidRDefault="00C506FB" w:rsidP="00C605C9">
      <w:pPr>
        <w:autoSpaceDE w:val="0"/>
        <w:autoSpaceDN w:val="0"/>
        <w:adjustRightInd w:val="0"/>
        <w:rPr>
          <w:rFonts w:asciiTheme="minorHAnsi" w:hAnsiTheme="minorHAnsi" w:cs="Times New Roman"/>
          <w:szCs w:val="24"/>
        </w:rPr>
      </w:pPr>
      <w:r w:rsidRPr="001F446A">
        <w:rPr>
          <w:rFonts w:asciiTheme="minorHAnsi" w:hAnsiTheme="minorHAnsi" w:cs="Times New Roman"/>
          <w:szCs w:val="24"/>
        </w:rPr>
        <w:t>IRS is approaching burden estimation using a</w:t>
      </w:r>
      <w:r w:rsidR="00E4625A" w:rsidRPr="001F446A">
        <w:rPr>
          <w:rFonts w:asciiTheme="minorHAnsi" w:hAnsiTheme="minorHAnsi" w:cs="Times New Roman"/>
          <w:szCs w:val="24"/>
        </w:rPr>
        <w:t>n app</w:t>
      </w:r>
      <w:r w:rsidRPr="001F446A">
        <w:rPr>
          <w:rFonts w:asciiTheme="minorHAnsi" w:hAnsiTheme="minorHAnsi" w:cs="Times New Roman"/>
          <w:szCs w:val="24"/>
        </w:rPr>
        <w:t>roach called the Business Taxpayer Burden Model. The IRS Research burden estimation method (a.k.a, the RAS model)</w:t>
      </w:r>
      <w:r w:rsidR="00416109" w:rsidRPr="001F446A">
        <w:rPr>
          <w:rFonts w:asciiTheme="minorHAnsi" w:hAnsiTheme="minorHAnsi" w:cs="Times New Roman"/>
          <w:strike/>
          <w:szCs w:val="24"/>
        </w:rPr>
        <w:t>,</w:t>
      </w:r>
      <w:r w:rsidRPr="001F446A">
        <w:rPr>
          <w:rFonts w:asciiTheme="minorHAnsi" w:hAnsiTheme="minorHAnsi" w:cs="Times New Roman"/>
          <w:strike/>
          <w:szCs w:val="24"/>
        </w:rPr>
        <w:t xml:space="preserve"> </w:t>
      </w:r>
      <w:r w:rsidRPr="001F446A">
        <w:rPr>
          <w:rFonts w:asciiTheme="minorHAnsi" w:hAnsiTheme="minorHAnsi" w:cs="Times New Roman"/>
          <w:szCs w:val="24"/>
        </w:rPr>
        <w:t>represents a leading practice in burden modeling. Important features of the RAS model are listed below.</w:t>
      </w:r>
    </w:p>
    <w:p w14:paraId="15D8822A" w14:textId="77777777" w:rsidR="00C506FB" w:rsidRPr="001F446A" w:rsidRDefault="00C506FB" w:rsidP="00C605C9">
      <w:pPr>
        <w:rPr>
          <w:rFonts w:asciiTheme="minorHAnsi" w:hAnsiTheme="minorHAnsi" w:cs="Times New Roman"/>
          <w:szCs w:val="24"/>
        </w:rPr>
      </w:pPr>
    </w:p>
    <w:p w14:paraId="2E063A15" w14:textId="77777777" w:rsidR="00C506FB" w:rsidRPr="001F446A" w:rsidRDefault="00C506FB" w:rsidP="00C605C9">
      <w:pPr>
        <w:numPr>
          <w:ilvl w:val="0"/>
          <w:numId w:val="4"/>
        </w:numPr>
        <w:kinsoku w:val="0"/>
        <w:overflowPunct w:val="0"/>
        <w:ind w:left="0" w:firstLine="0"/>
        <w:contextualSpacing/>
        <w:textAlignment w:val="baseline"/>
        <w:rPr>
          <w:rFonts w:asciiTheme="minorHAnsi" w:eastAsia="Times New Roman" w:hAnsiTheme="minorHAnsi" w:cs="Times New Roman"/>
          <w:szCs w:val="24"/>
        </w:rPr>
      </w:pPr>
      <w:r w:rsidRPr="001F446A">
        <w:rPr>
          <w:rFonts w:asciiTheme="minorHAnsi" w:eastAsiaTheme="minorEastAsia" w:hAnsiTheme="minorHAnsi" w:cs="Times New Roman"/>
          <w:szCs w:val="24"/>
        </w:rPr>
        <w:t>Considers recent differences in tax population and preparation methods</w:t>
      </w:r>
    </w:p>
    <w:p w14:paraId="3FEF13A4" w14:textId="77777777" w:rsidR="00C506FB" w:rsidRPr="001F446A" w:rsidRDefault="00C506FB" w:rsidP="00C605C9">
      <w:pPr>
        <w:numPr>
          <w:ilvl w:val="0"/>
          <w:numId w:val="4"/>
        </w:numPr>
        <w:kinsoku w:val="0"/>
        <w:overflowPunct w:val="0"/>
        <w:ind w:left="0" w:firstLine="0"/>
        <w:contextualSpacing/>
        <w:textAlignment w:val="baseline"/>
        <w:rPr>
          <w:rFonts w:asciiTheme="minorHAnsi" w:eastAsia="Times New Roman" w:hAnsiTheme="minorHAnsi" w:cs="Times New Roman"/>
          <w:szCs w:val="24"/>
        </w:rPr>
      </w:pPr>
      <w:r w:rsidRPr="001F446A">
        <w:rPr>
          <w:rFonts w:asciiTheme="minorHAnsi" w:eastAsiaTheme="minorEastAsia" w:hAnsiTheme="minorHAnsi" w:cs="Times New Roman"/>
          <w:szCs w:val="24"/>
        </w:rPr>
        <w:t>Uses taxpayer survey data used as inputs</w:t>
      </w:r>
    </w:p>
    <w:p w14:paraId="51D15684" w14:textId="77777777" w:rsidR="00C506FB" w:rsidRPr="001F446A" w:rsidRDefault="00C506FB" w:rsidP="00C605C9">
      <w:pPr>
        <w:numPr>
          <w:ilvl w:val="0"/>
          <w:numId w:val="4"/>
        </w:numPr>
        <w:kinsoku w:val="0"/>
        <w:overflowPunct w:val="0"/>
        <w:ind w:left="0" w:firstLine="0"/>
        <w:contextualSpacing/>
        <w:textAlignment w:val="baseline"/>
        <w:rPr>
          <w:rFonts w:asciiTheme="minorHAnsi" w:eastAsia="Times New Roman" w:hAnsiTheme="minorHAnsi" w:cs="Times New Roman"/>
          <w:szCs w:val="24"/>
        </w:rPr>
      </w:pPr>
      <w:r w:rsidRPr="001F446A">
        <w:rPr>
          <w:rFonts w:asciiTheme="minorHAnsi" w:eastAsiaTheme="minorEastAsia" w:hAnsiTheme="minorHAnsi" w:cs="Times New Roman"/>
          <w:szCs w:val="24"/>
        </w:rPr>
        <w:t>Is based on academic work done by leading public finance economists</w:t>
      </w:r>
    </w:p>
    <w:p w14:paraId="66F0DAEB" w14:textId="77777777" w:rsidR="00C506FB" w:rsidRPr="001F446A" w:rsidRDefault="00C506FB" w:rsidP="00C605C9">
      <w:pPr>
        <w:numPr>
          <w:ilvl w:val="0"/>
          <w:numId w:val="4"/>
        </w:numPr>
        <w:kinsoku w:val="0"/>
        <w:overflowPunct w:val="0"/>
        <w:ind w:left="0" w:firstLine="0"/>
        <w:contextualSpacing/>
        <w:textAlignment w:val="baseline"/>
        <w:rPr>
          <w:rFonts w:asciiTheme="minorHAnsi" w:eastAsia="Times New Roman" w:hAnsiTheme="minorHAnsi" w:cs="Times New Roman"/>
          <w:szCs w:val="24"/>
        </w:rPr>
      </w:pPr>
      <w:r w:rsidRPr="001F446A">
        <w:rPr>
          <w:rFonts w:asciiTheme="minorHAnsi" w:eastAsiaTheme="minorEastAsia" w:hAnsiTheme="minorHAnsi" w:cs="Times New Roman"/>
          <w:szCs w:val="24"/>
        </w:rPr>
        <w:t>Was developed with oversight by Treasury Office of Tax Analysis</w:t>
      </w:r>
    </w:p>
    <w:p w14:paraId="410B68D3" w14:textId="77777777" w:rsidR="00C506FB" w:rsidRPr="001F446A" w:rsidRDefault="00C506FB" w:rsidP="00C605C9">
      <w:pPr>
        <w:pStyle w:val="ListParagraph"/>
        <w:numPr>
          <w:ilvl w:val="0"/>
          <w:numId w:val="4"/>
        </w:numPr>
        <w:ind w:left="0" w:firstLine="0"/>
        <w:rPr>
          <w:rFonts w:asciiTheme="minorHAnsi" w:hAnsiTheme="minorHAnsi" w:cs="Times New Roman"/>
          <w:sz w:val="24"/>
          <w:szCs w:val="24"/>
        </w:rPr>
      </w:pPr>
      <w:r w:rsidRPr="001F446A">
        <w:rPr>
          <w:rFonts w:asciiTheme="minorHAnsi" w:hAnsiTheme="minorHAnsi" w:cs="Times New Roman"/>
          <w:sz w:val="24"/>
          <w:szCs w:val="24"/>
        </w:rPr>
        <w:t>Incorporates the four major burden drivers (taxpayer characteristics, volume of activity, data sources and technology infrastructure) related to taxpayer reporting requirements.</w:t>
      </w:r>
    </w:p>
    <w:p w14:paraId="6DC13F5D" w14:textId="77777777" w:rsidR="00C506FB" w:rsidRPr="001F446A" w:rsidRDefault="00C506FB" w:rsidP="00C605C9">
      <w:pPr>
        <w:pStyle w:val="ListParagraph"/>
        <w:numPr>
          <w:ilvl w:val="0"/>
          <w:numId w:val="4"/>
        </w:numPr>
        <w:ind w:left="0" w:firstLine="0"/>
        <w:rPr>
          <w:rFonts w:asciiTheme="minorHAnsi" w:hAnsiTheme="minorHAnsi" w:cs="Times New Roman"/>
          <w:sz w:val="24"/>
          <w:szCs w:val="24"/>
        </w:rPr>
      </w:pPr>
      <w:r w:rsidRPr="001F446A">
        <w:rPr>
          <w:rFonts w:asciiTheme="minorHAnsi" w:hAnsiTheme="minorHAnsi" w:cs="Times New Roman"/>
          <w:sz w:val="24"/>
          <w:szCs w:val="24"/>
        </w:rPr>
        <w:t>Allows burden to be expressed in terms of time and out-of-pocket costs.</w:t>
      </w:r>
    </w:p>
    <w:p w14:paraId="29A8D563" w14:textId="77777777" w:rsidR="00C506FB" w:rsidRPr="001F446A" w:rsidRDefault="00C506FB" w:rsidP="00C605C9">
      <w:pPr>
        <w:pStyle w:val="ListParagraph"/>
        <w:numPr>
          <w:ilvl w:val="0"/>
          <w:numId w:val="4"/>
        </w:numPr>
        <w:ind w:left="0" w:firstLine="0"/>
        <w:rPr>
          <w:rFonts w:asciiTheme="minorHAnsi" w:hAnsiTheme="minorHAnsi" w:cs="Times New Roman"/>
          <w:sz w:val="24"/>
          <w:szCs w:val="24"/>
        </w:rPr>
      </w:pPr>
      <w:r w:rsidRPr="001F446A">
        <w:rPr>
          <w:rFonts w:asciiTheme="minorHAnsi" w:hAnsiTheme="minorHAnsi" w:cs="Times New Roman"/>
          <w:sz w:val="24"/>
          <w:szCs w:val="24"/>
        </w:rPr>
        <w:t>Can be used to estimate and better understand the impact of legislative and administrative changes (even proposed changes) on taxpayer burden.</w:t>
      </w:r>
    </w:p>
    <w:p w14:paraId="4D0F0185" w14:textId="77777777" w:rsidR="00C506FB" w:rsidRPr="001F446A" w:rsidRDefault="00C506FB" w:rsidP="00C605C9">
      <w:pPr>
        <w:pStyle w:val="ListParagraph"/>
        <w:numPr>
          <w:ilvl w:val="0"/>
          <w:numId w:val="4"/>
        </w:numPr>
        <w:ind w:left="0" w:firstLine="0"/>
        <w:rPr>
          <w:rFonts w:asciiTheme="minorHAnsi" w:hAnsiTheme="minorHAnsi" w:cs="Times New Roman"/>
          <w:sz w:val="24"/>
          <w:szCs w:val="24"/>
        </w:rPr>
      </w:pPr>
      <w:r w:rsidRPr="001F446A">
        <w:rPr>
          <w:rFonts w:asciiTheme="minorHAnsi" w:hAnsiTheme="minorHAnsi" w:cs="Times New Roman"/>
          <w:sz w:val="24"/>
          <w:szCs w:val="24"/>
        </w:rPr>
        <w:t>Allows for analysis of differential burden across sub-populations.</w:t>
      </w:r>
    </w:p>
    <w:p w14:paraId="53BA1AE4" w14:textId="77777777" w:rsidR="00C506FB" w:rsidRPr="001F446A" w:rsidRDefault="00C506FB" w:rsidP="00C605C9">
      <w:pPr>
        <w:pStyle w:val="ListParagraph"/>
        <w:ind w:left="0"/>
        <w:rPr>
          <w:rFonts w:asciiTheme="minorHAnsi" w:hAnsiTheme="minorHAnsi" w:cs="Times New Roman"/>
          <w:sz w:val="24"/>
          <w:szCs w:val="24"/>
        </w:rPr>
      </w:pPr>
    </w:p>
    <w:p w14:paraId="25A672EC" w14:textId="77777777" w:rsidR="00C506FB" w:rsidRPr="001F446A" w:rsidRDefault="00C506FB" w:rsidP="00C605C9">
      <w:pPr>
        <w:rPr>
          <w:rFonts w:asciiTheme="minorHAnsi" w:hAnsiTheme="minorHAnsi" w:cs="Times New Roman"/>
          <w:szCs w:val="24"/>
        </w:rPr>
      </w:pPr>
      <w:r w:rsidRPr="001F446A">
        <w:rPr>
          <w:rFonts w:asciiTheme="minorHAnsi" w:hAnsiTheme="minorHAnsi" w:cs="Times New Roman"/>
          <w:szCs w:val="24"/>
        </w:rPr>
        <w:t>Please see the supplementary documents section for the document “Business Burden Model.pdf” for additional information on development of the Business Taxpayer Burden Model, which was used to estimate burden for this collection. See also “Small Business Burden.pdf” attached for more information on how the model can be used.</w:t>
      </w:r>
    </w:p>
    <w:p w14:paraId="7D939641" w14:textId="77777777" w:rsidR="00C506FB" w:rsidRPr="001F446A" w:rsidRDefault="00C506FB" w:rsidP="00F06BEB">
      <w:pPr>
        <w:widowControl w:val="0"/>
        <w:autoSpaceDE w:val="0"/>
        <w:autoSpaceDN w:val="0"/>
        <w:adjustRightInd w:val="0"/>
        <w:rPr>
          <w:rFonts w:asciiTheme="minorHAnsi" w:eastAsia="Times New Roman" w:hAnsiTheme="minorHAnsi" w:cs="Times New Roman"/>
          <w:szCs w:val="24"/>
        </w:rPr>
      </w:pPr>
    </w:p>
    <w:p w14:paraId="21F8499B" w14:textId="23CD6489" w:rsidR="00F06EBB" w:rsidRPr="001F446A" w:rsidRDefault="00F06EBB" w:rsidP="00F06EB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Tables 1, 2, and 3 below show the burden model estimates for each of the three classifications of business taxpayers: Partnerships (Table 1), corporations (Table 2) and S corporations (Table 3). As the tables show, the average filing compliance is different for the three forms of business. Showing a combined average burden for all businesses would understate the burden for corporations and overstate the burden for the two pass-through entities (partnerships and corporations). In addition, the burden for small and large businesses is shown separately for each type of business entity in order to clearly convey the substantially higher burden faced by the largest businesses. </w:t>
      </w:r>
    </w:p>
    <w:p w14:paraId="4D2C7AE0" w14:textId="77777777" w:rsidR="00F06BEB" w:rsidRPr="001F446A" w:rsidRDefault="00E0315D" w:rsidP="00F06BEB">
      <w:pPr>
        <w:spacing w:before="100" w:beforeAutospacing="1" w:after="100" w:afterAutospacing="1"/>
        <w:rPr>
          <w:rFonts w:asciiTheme="minorHAnsi" w:eastAsia="Times New Roman" w:hAnsiTheme="minorHAnsi" w:cs="Times New Roman"/>
          <w:b/>
          <w:szCs w:val="24"/>
        </w:rPr>
      </w:pPr>
      <w:r w:rsidRPr="001F446A">
        <w:rPr>
          <w:rFonts w:asciiTheme="minorHAnsi" w:eastAsia="Times New Roman" w:hAnsiTheme="minorHAnsi" w:cs="Times New Roman"/>
          <w:b/>
          <w:szCs w:val="24"/>
        </w:rPr>
        <w:t>Note:</w:t>
      </w:r>
      <w:r w:rsidRPr="001F446A">
        <w:rPr>
          <w:rFonts w:asciiTheme="minorHAnsi" w:eastAsia="Times New Roman" w:hAnsiTheme="minorHAnsi" w:cs="Times New Roman"/>
          <w:szCs w:val="24"/>
        </w:rPr>
        <w:t xml:space="preserve"> </w:t>
      </w:r>
      <w:r w:rsidR="00F06BEB" w:rsidRPr="001F446A">
        <w:rPr>
          <w:rFonts w:asciiTheme="minorHAnsi" w:eastAsia="Times New Roman" w:hAnsiTheme="minorHAnsi" w:cs="Times New Roman"/>
          <w:szCs w:val="24"/>
        </w:rPr>
        <w:t xml:space="preserve">The data shown are the best estimates for </w:t>
      </w:r>
      <w:r w:rsidR="004E4E99" w:rsidRPr="001F446A">
        <w:rPr>
          <w:rFonts w:asciiTheme="minorHAnsi" w:eastAsia="Times New Roman" w:hAnsiTheme="minorHAnsi" w:cs="Times New Roman"/>
          <w:szCs w:val="24"/>
        </w:rPr>
        <w:t>201</w:t>
      </w:r>
      <w:r w:rsidRPr="001F446A">
        <w:rPr>
          <w:rFonts w:asciiTheme="minorHAnsi" w:eastAsia="Times New Roman" w:hAnsiTheme="minorHAnsi" w:cs="Times New Roman"/>
          <w:szCs w:val="24"/>
        </w:rPr>
        <w:t>7</w:t>
      </w:r>
      <w:r w:rsidR="004E4E99" w:rsidRPr="001F446A">
        <w:rPr>
          <w:rFonts w:asciiTheme="minorHAnsi" w:eastAsia="Times New Roman" w:hAnsiTheme="minorHAnsi" w:cs="Times New Roman"/>
          <w:szCs w:val="24"/>
        </w:rPr>
        <w:t xml:space="preserve"> </w:t>
      </w:r>
      <w:r w:rsidR="00F06BEB" w:rsidRPr="001F446A">
        <w:rPr>
          <w:rFonts w:asciiTheme="minorHAnsi" w:eastAsia="Times New Roman" w:hAnsiTheme="minorHAnsi" w:cs="Times New Roman"/>
          <w:szCs w:val="24"/>
        </w:rPr>
        <w:t>business entity income tax returns</w:t>
      </w:r>
      <w:r w:rsidRPr="001F446A">
        <w:rPr>
          <w:rFonts w:asciiTheme="minorHAnsi" w:eastAsia="Times New Roman" w:hAnsiTheme="minorHAnsi" w:cs="Times New Roman"/>
          <w:szCs w:val="24"/>
        </w:rPr>
        <w:t>.</w:t>
      </w:r>
      <w:r w:rsidR="00F06BEB" w:rsidRPr="001F446A">
        <w:rPr>
          <w:rFonts w:asciiTheme="minorHAnsi" w:eastAsia="Times New Roman" w:hAnsiTheme="minorHAnsi" w:cs="Times New Roman"/>
          <w:szCs w:val="24"/>
        </w:rPr>
        <w:t xml:space="preserve"> </w:t>
      </w:r>
      <w:r w:rsidRPr="001F446A">
        <w:rPr>
          <w:rFonts w:asciiTheme="minorHAnsi" w:eastAsia="Times New Roman" w:hAnsiTheme="minorHAnsi" w:cs="Times New Roman"/>
          <w:szCs w:val="24"/>
        </w:rPr>
        <w:t>Reported time and cost burdens are national a</w:t>
      </w:r>
      <w:r w:rsidR="0045533B" w:rsidRPr="001F446A">
        <w:rPr>
          <w:rFonts w:asciiTheme="minorHAnsi" w:eastAsia="Times New Roman" w:hAnsiTheme="minorHAnsi" w:cs="Times New Roman"/>
          <w:szCs w:val="24"/>
        </w:rPr>
        <w:t>verage</w:t>
      </w:r>
      <w:r w:rsidRPr="001F446A">
        <w:rPr>
          <w:rFonts w:asciiTheme="minorHAnsi" w:eastAsia="Times New Roman" w:hAnsiTheme="minorHAnsi" w:cs="Times New Roman"/>
          <w:szCs w:val="24"/>
        </w:rPr>
        <w:t xml:space="preserve">s and do not reflect a “typical” case. Most taxpayers experience lower than average burden varying considerably by </w:t>
      </w:r>
      <w:r w:rsidR="0045533B" w:rsidRPr="001F446A">
        <w:rPr>
          <w:rFonts w:asciiTheme="minorHAnsi" w:eastAsia="Times New Roman" w:hAnsiTheme="minorHAnsi" w:cs="Times New Roman"/>
          <w:szCs w:val="24"/>
        </w:rPr>
        <w:t>taxpayer</w:t>
      </w:r>
      <w:r w:rsidR="007A570E" w:rsidRPr="001F446A">
        <w:rPr>
          <w:rFonts w:asciiTheme="minorHAnsi" w:eastAsia="Times New Roman" w:hAnsiTheme="minorHAnsi" w:cs="Times New Roman"/>
          <w:szCs w:val="24"/>
        </w:rPr>
        <w:t xml:space="preserve"> type</w:t>
      </w:r>
      <w:r w:rsidR="0045533B" w:rsidRPr="001F446A">
        <w:rPr>
          <w:rFonts w:asciiTheme="minorHAnsi" w:eastAsia="Times New Roman" w:hAnsiTheme="minorHAnsi" w:cs="Times New Roman"/>
          <w:szCs w:val="24"/>
        </w:rPr>
        <w:t xml:space="preserve">. </w:t>
      </w:r>
      <w:r w:rsidR="00F06BEB" w:rsidRPr="001F446A">
        <w:rPr>
          <w:rFonts w:asciiTheme="minorHAnsi" w:eastAsia="Times New Roman" w:hAnsiTheme="minorHAnsi" w:cs="Times New Roman"/>
          <w:szCs w:val="24"/>
        </w:rPr>
        <w:t>The estimates are subject to change as new forms and data become available.</w:t>
      </w:r>
    </w:p>
    <w:p w14:paraId="3E72CCB9" w14:textId="77777777" w:rsidR="00F06BEB" w:rsidRPr="001F446A" w:rsidRDefault="00F06BEB" w:rsidP="00F06BEB">
      <w:pPr>
        <w:widowControl w:val="0"/>
        <w:autoSpaceDE w:val="0"/>
        <w:autoSpaceDN w:val="0"/>
        <w:adjustRightInd w:val="0"/>
        <w:rPr>
          <w:rFonts w:asciiTheme="minorHAnsi" w:eastAsia="Times New Roman" w:hAnsiTheme="minorHAnsi" w:cs="Courier New"/>
          <w:sz w:val="20"/>
          <w:szCs w:val="20"/>
        </w:rPr>
      </w:pPr>
    </w:p>
    <w:p w14:paraId="5524BDE2" w14:textId="77777777" w:rsidR="00F06BEB" w:rsidRPr="001F446A" w:rsidRDefault="00F06BEB" w:rsidP="00F06BEB">
      <w:pPr>
        <w:tabs>
          <w:tab w:val="left" w:pos="1035"/>
        </w:tabs>
        <w:rPr>
          <w:rFonts w:asciiTheme="minorHAnsi" w:eastAsia="Times New Roman" w:hAnsiTheme="minorHAnsi" w:cs="Times New Roman"/>
          <w:szCs w:val="24"/>
          <w:lang w:eastAsia="ja-JP"/>
        </w:rPr>
      </w:pPr>
      <w:r w:rsidRPr="001F446A">
        <w:rPr>
          <w:rFonts w:asciiTheme="minorHAnsi" w:eastAsia="Times New Roman" w:hAnsiTheme="minorHAnsi" w:cs="Times New Roman"/>
          <w:szCs w:val="24"/>
          <w:lang w:eastAsia="ja-JP"/>
        </w:rPr>
        <w:t xml:space="preserve">           Table 1</w:t>
      </w:r>
      <w:r w:rsidRPr="001F446A">
        <w:rPr>
          <w:rFonts w:asciiTheme="minorHAnsi" w:eastAsia="Times New Roman" w:hAnsiTheme="minorHAnsi" w:cs="Times New Roman"/>
          <w:szCs w:val="24"/>
          <w:lang w:eastAsia="ja-JP"/>
        </w:rPr>
        <w:tab/>
        <w:t xml:space="preserve">                                         Burden</w:t>
      </w:r>
    </w:p>
    <w:p w14:paraId="7D95576C" w14:textId="77777777" w:rsidR="00F06BEB" w:rsidRPr="001F446A" w:rsidRDefault="00F06BEB" w:rsidP="00F06BEB">
      <w:pPr>
        <w:rPr>
          <w:rFonts w:asciiTheme="minorHAnsi" w:eastAsia="Times New Roman" w:hAnsiTheme="minorHAnsi" w:cs="Times New Roman"/>
          <w:b/>
          <w:szCs w:val="24"/>
          <w:lang w:eastAsia="ja-JP"/>
        </w:rPr>
      </w:pPr>
    </w:p>
    <w:p w14:paraId="6547BFA5"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           Forms 1065, 1065-B, 1066 and all attachments</w:t>
      </w:r>
    </w:p>
    <w:p w14:paraId="0C900F10" w14:textId="77777777" w:rsidR="00F06BEB" w:rsidRPr="001F446A" w:rsidRDefault="00F06BEB" w:rsidP="00F06BEB">
      <w:pPr>
        <w:rPr>
          <w:rFonts w:asciiTheme="minorHAnsi" w:eastAsia="Times New Roman" w:hAnsiTheme="minorHAnsi" w:cs="Times New Roman"/>
          <w:szCs w:val="24"/>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915"/>
        <w:gridCol w:w="1915"/>
        <w:gridCol w:w="1915"/>
      </w:tblGrid>
      <w:tr w:rsidR="00F06BEB" w:rsidRPr="001F446A" w14:paraId="3A8FDF53"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0D9E7E6E" w14:textId="77777777" w:rsidR="00F06BEB" w:rsidRPr="001F446A" w:rsidRDefault="00F06BEB" w:rsidP="00E8326D">
            <w:pPr>
              <w:keepNext/>
              <w:keepLines/>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1464FC7C" w14:textId="77777777" w:rsidR="00F06BEB" w:rsidRPr="001F446A" w:rsidRDefault="00F06BEB" w:rsidP="00E8326D">
            <w:pPr>
              <w:keepNext/>
              <w:keepLines/>
              <w:widowControl w:val="0"/>
              <w:autoSpaceDE w:val="0"/>
              <w:autoSpaceDN w:val="0"/>
              <w:adjustRightInd w:val="0"/>
              <w:jc w:val="center"/>
              <w:rPr>
                <w:rFonts w:asciiTheme="minorHAnsi" w:eastAsia="Calibri" w:hAnsiTheme="minorHAnsi" w:cs="Times New Roman"/>
                <w:color w:val="000000"/>
                <w:kern w:val="24"/>
                <w:szCs w:val="24"/>
              </w:rPr>
            </w:pPr>
            <w:r w:rsidRPr="001F446A">
              <w:rPr>
                <w:rFonts w:asciiTheme="minorHAnsi" w:eastAsia="Calibri" w:hAnsiTheme="minorHAnsi" w:cs="Times New Roman"/>
                <w:color w:val="000000"/>
                <w:kern w:val="24"/>
                <w:szCs w:val="24"/>
              </w:rPr>
              <w:t>Number of Returns</w:t>
            </w:r>
          </w:p>
          <w:p w14:paraId="0136CF35" w14:textId="77777777" w:rsidR="00F06BEB" w:rsidRPr="001F446A" w:rsidRDefault="00F06BEB" w:rsidP="00E8326D">
            <w:pPr>
              <w:keepNext/>
              <w:keepLines/>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2EB7D389" w14:textId="77777777" w:rsidR="00F06BEB" w:rsidRPr="001F446A" w:rsidRDefault="00F06BEB" w:rsidP="00E8326D">
            <w:pPr>
              <w:keepNext/>
              <w:keepLines/>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Average Time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5D3AF9D9" w14:textId="77777777" w:rsidR="00F06BEB" w:rsidRPr="001F446A" w:rsidRDefault="00F06BEB" w:rsidP="00E8326D">
            <w:pPr>
              <w:keepNext/>
              <w:keepLines/>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Average Cost</w:t>
            </w:r>
          </w:p>
        </w:tc>
      </w:tr>
      <w:tr w:rsidR="00F06BEB" w:rsidRPr="001F446A" w14:paraId="3C4B4AE0"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3C773B16" w14:textId="77777777" w:rsidR="00F06BEB" w:rsidRPr="001F446A" w:rsidRDefault="00F06BEB" w:rsidP="00E8326D">
            <w:pPr>
              <w:keepNext/>
              <w:keepLines/>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All Partnerships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45227CDB" w14:textId="77777777" w:rsidR="00F06BEB" w:rsidRPr="001F446A" w:rsidRDefault="00F06BEB" w:rsidP="00E8326D">
            <w:pPr>
              <w:keepNext/>
              <w:keepLines/>
              <w:widowControl w:val="0"/>
              <w:autoSpaceDE w:val="0"/>
              <w:autoSpaceDN w:val="0"/>
              <w:adjustRightInd w:val="0"/>
              <w:jc w:val="center"/>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3.</w:t>
            </w:r>
            <w:r w:rsidR="00B34516" w:rsidRPr="001F446A">
              <w:rPr>
                <w:rFonts w:asciiTheme="minorHAnsi" w:eastAsia="Calibri" w:hAnsiTheme="minorHAnsi" w:cs="Times New Roman"/>
                <w:color w:val="000000"/>
                <w:szCs w:val="24"/>
              </w:rPr>
              <w:t>9</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571CAA6F" w14:textId="77777777" w:rsidR="00F06BEB" w:rsidRPr="001F446A" w:rsidRDefault="00F06BEB" w:rsidP="00E8326D">
            <w:pPr>
              <w:keepNext/>
              <w:keepLines/>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290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01C34C1B" w14:textId="77777777" w:rsidR="00F06BEB" w:rsidRPr="001F446A" w:rsidRDefault="00F06BEB" w:rsidP="00E8326D">
            <w:pPr>
              <w:keepNext/>
              <w:keepLines/>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5,</w:t>
            </w:r>
            <w:r w:rsidR="00B34516" w:rsidRPr="001F446A">
              <w:rPr>
                <w:rFonts w:asciiTheme="minorHAnsi" w:eastAsia="Calibri" w:hAnsiTheme="minorHAnsi" w:cs="Times New Roman"/>
                <w:color w:val="000000"/>
                <w:szCs w:val="24"/>
              </w:rPr>
              <w:t>7</w:t>
            </w:r>
            <w:r w:rsidRPr="001F446A">
              <w:rPr>
                <w:rFonts w:asciiTheme="minorHAnsi" w:eastAsia="Calibri" w:hAnsiTheme="minorHAnsi" w:cs="Times New Roman"/>
                <w:color w:val="000000"/>
                <w:szCs w:val="24"/>
              </w:rPr>
              <w:t xml:space="preserve">00 </w:t>
            </w:r>
          </w:p>
        </w:tc>
      </w:tr>
      <w:tr w:rsidR="00F06BEB" w:rsidRPr="001F446A" w14:paraId="1FD010CB"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2F844D84" w14:textId="77777777" w:rsidR="00F06BEB" w:rsidRPr="001F446A" w:rsidRDefault="00F06BEB" w:rsidP="00E8326D">
            <w:pPr>
              <w:keepNext/>
              <w:keepLines/>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019E9F24" w14:textId="77777777" w:rsidR="00F06BEB" w:rsidRPr="001F446A" w:rsidRDefault="00F06BEB" w:rsidP="00E8326D">
            <w:pPr>
              <w:keepNext/>
              <w:keepLines/>
              <w:widowControl w:val="0"/>
              <w:autoSpaceDE w:val="0"/>
              <w:autoSpaceDN w:val="0"/>
              <w:adjustRightInd w:val="0"/>
              <w:jc w:val="center"/>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3.</w:t>
            </w:r>
            <w:r w:rsidR="001C6C23" w:rsidRPr="001F446A">
              <w:rPr>
                <w:rFonts w:asciiTheme="minorHAnsi" w:eastAsia="Calibri" w:hAnsiTheme="minorHAnsi" w:cs="Times New Roman"/>
                <w:color w:val="000000"/>
                <w:szCs w:val="24"/>
              </w:rPr>
              <w:t>7</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3D4BE7EB" w14:textId="77777777" w:rsidR="00F06BEB" w:rsidRPr="001F446A" w:rsidRDefault="00F06BEB" w:rsidP="00E8326D">
            <w:pPr>
              <w:keepNext/>
              <w:keepLines/>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270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240CF2EC" w14:textId="77777777" w:rsidR="00F06BEB" w:rsidRPr="001F446A" w:rsidRDefault="00F06BEB" w:rsidP="00E8326D">
            <w:pPr>
              <w:keepNext/>
              <w:keepLines/>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4,400 </w:t>
            </w:r>
          </w:p>
        </w:tc>
      </w:tr>
      <w:tr w:rsidR="00F06BEB" w:rsidRPr="001F446A" w14:paraId="7522730D"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0C20F30C" w14:textId="77777777" w:rsidR="00F06BEB" w:rsidRPr="001F446A" w:rsidRDefault="00F06BEB" w:rsidP="00E8326D">
            <w:pPr>
              <w:keepNext/>
              <w:keepLines/>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6718C8C8" w14:textId="77777777" w:rsidR="00F06BEB" w:rsidRPr="001F446A" w:rsidRDefault="00F06BEB" w:rsidP="00E8326D">
            <w:pPr>
              <w:keepNext/>
              <w:keepLines/>
              <w:widowControl w:val="0"/>
              <w:autoSpaceDE w:val="0"/>
              <w:autoSpaceDN w:val="0"/>
              <w:adjustRightInd w:val="0"/>
              <w:jc w:val="center"/>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0.2</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3CDB8E0D" w14:textId="77777777" w:rsidR="00F06BEB" w:rsidRPr="001F446A" w:rsidRDefault="00F06BEB" w:rsidP="00E8326D">
            <w:pPr>
              <w:keepNext/>
              <w:keepLines/>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6</w:t>
            </w:r>
            <w:r w:rsidR="001C6C23" w:rsidRPr="001F446A">
              <w:rPr>
                <w:rFonts w:asciiTheme="minorHAnsi" w:eastAsia="Calibri" w:hAnsiTheme="minorHAnsi" w:cs="Times New Roman"/>
                <w:color w:val="000000"/>
                <w:szCs w:val="24"/>
              </w:rPr>
              <w:t>10</w:t>
            </w:r>
            <w:r w:rsidRPr="001F446A">
              <w:rPr>
                <w:rFonts w:asciiTheme="minorHAnsi" w:eastAsia="Calibri" w:hAnsiTheme="minorHAnsi" w:cs="Times New Roman"/>
                <w:color w:val="000000"/>
                <w:szCs w:val="24"/>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4DE56A0E" w14:textId="77777777" w:rsidR="00F06BEB" w:rsidRPr="001F446A" w:rsidRDefault="00F06BEB" w:rsidP="00E8326D">
            <w:pPr>
              <w:keepNext/>
              <w:keepLines/>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29,000 </w:t>
            </w:r>
          </w:p>
        </w:tc>
      </w:tr>
    </w:tbl>
    <w:p w14:paraId="45A49D01" w14:textId="77777777" w:rsidR="00F06BEB" w:rsidRPr="001F446A" w:rsidRDefault="00F06BEB" w:rsidP="00F06BEB">
      <w:pPr>
        <w:tabs>
          <w:tab w:val="left" w:pos="1035"/>
        </w:tabs>
        <w:rPr>
          <w:rFonts w:asciiTheme="minorHAnsi" w:eastAsia="Times New Roman" w:hAnsiTheme="minorHAnsi" w:cs="Times New Roman"/>
          <w:szCs w:val="24"/>
          <w:lang w:eastAsia="ja-JP"/>
        </w:rPr>
      </w:pPr>
    </w:p>
    <w:p w14:paraId="5727FCC3" w14:textId="77777777" w:rsidR="00F06BEB" w:rsidRPr="001F446A" w:rsidRDefault="00F06BEB" w:rsidP="00F06BEB">
      <w:pPr>
        <w:tabs>
          <w:tab w:val="left" w:pos="1035"/>
        </w:tabs>
        <w:rPr>
          <w:rFonts w:asciiTheme="minorHAnsi" w:eastAsia="Times New Roman" w:hAnsiTheme="minorHAnsi" w:cs="Times New Roman"/>
          <w:szCs w:val="24"/>
          <w:lang w:eastAsia="ja-JP"/>
        </w:rPr>
      </w:pPr>
      <w:r w:rsidRPr="001F446A">
        <w:rPr>
          <w:rFonts w:asciiTheme="minorHAnsi" w:eastAsia="Times New Roman" w:hAnsiTheme="minorHAnsi" w:cs="Times New Roman"/>
          <w:szCs w:val="24"/>
          <w:lang w:eastAsia="ja-JP"/>
        </w:rPr>
        <w:t xml:space="preserve">          Table 2</w:t>
      </w:r>
      <w:r w:rsidRPr="001F446A">
        <w:rPr>
          <w:rFonts w:asciiTheme="minorHAnsi" w:eastAsia="Times New Roman" w:hAnsiTheme="minorHAnsi" w:cs="Times New Roman"/>
          <w:szCs w:val="24"/>
          <w:lang w:eastAsia="ja-JP"/>
        </w:rPr>
        <w:tab/>
        <w:t xml:space="preserve">                                            Burden  </w:t>
      </w:r>
    </w:p>
    <w:p w14:paraId="3418B708"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szCs w:val="24"/>
          <w:lang w:eastAsia="ja-JP"/>
        </w:rPr>
        <w:t xml:space="preserve">                                                                                     </w:t>
      </w:r>
    </w:p>
    <w:p w14:paraId="333280DA" w14:textId="77777777" w:rsidR="00F06BEB" w:rsidRPr="001F446A" w:rsidRDefault="00F06BEB" w:rsidP="00F06BEB">
      <w:pPr>
        <w:widowControl w:val="0"/>
        <w:tabs>
          <w:tab w:val="left" w:pos="360"/>
        </w:tabs>
        <w:autoSpaceDE w:val="0"/>
        <w:autoSpaceDN w:val="0"/>
        <w:adjustRightInd w:val="0"/>
        <w:ind w:right="72"/>
        <w:rPr>
          <w:rFonts w:asciiTheme="minorHAnsi" w:eastAsia="Times New Roman" w:hAnsiTheme="minorHAnsi" w:cs="Times New Roman"/>
          <w:iCs/>
          <w:color w:val="000000"/>
          <w:szCs w:val="24"/>
        </w:rPr>
      </w:pPr>
      <w:r w:rsidRPr="001F446A">
        <w:rPr>
          <w:rFonts w:asciiTheme="minorHAnsi" w:eastAsia="Times New Roman" w:hAnsiTheme="minorHAnsi" w:cs="Times New Roman"/>
          <w:szCs w:val="24"/>
        </w:rPr>
        <w:t xml:space="preserve">           Forms:</w:t>
      </w:r>
      <w:r w:rsidRPr="001F446A">
        <w:rPr>
          <w:rFonts w:asciiTheme="minorHAnsi" w:eastAsia="Times New Roman" w:hAnsiTheme="minorHAnsi" w:cs="Times New Roman"/>
          <w:iCs/>
          <w:color w:val="000000"/>
          <w:szCs w:val="24"/>
        </w:rPr>
        <w:t xml:space="preserve"> 1120, 1120-C, 1120-F, 1120-H, 1120-ND, 1120-SF, </w:t>
      </w:r>
    </w:p>
    <w:p w14:paraId="338607F5" w14:textId="77777777" w:rsidR="00F06BEB" w:rsidRPr="001F446A" w:rsidRDefault="00F06BEB" w:rsidP="00F06BEB">
      <w:pPr>
        <w:widowControl w:val="0"/>
        <w:tabs>
          <w:tab w:val="left" w:pos="360"/>
        </w:tabs>
        <w:autoSpaceDE w:val="0"/>
        <w:autoSpaceDN w:val="0"/>
        <w:adjustRightInd w:val="0"/>
        <w:ind w:right="72"/>
        <w:rPr>
          <w:rFonts w:asciiTheme="minorHAnsi" w:eastAsia="Times New Roman" w:hAnsiTheme="minorHAnsi" w:cs="Times New Roman"/>
          <w:szCs w:val="24"/>
        </w:rPr>
      </w:pPr>
      <w:r w:rsidRPr="001F446A">
        <w:rPr>
          <w:rFonts w:asciiTheme="minorHAnsi" w:eastAsia="Times New Roman" w:hAnsiTheme="minorHAnsi" w:cs="Times New Roman"/>
          <w:iCs/>
          <w:color w:val="000000"/>
          <w:szCs w:val="24"/>
        </w:rPr>
        <w:t xml:space="preserve">           1120-FSC, 1120-L, 1120-PC, 1120-POL </w:t>
      </w:r>
      <w:r w:rsidRPr="001F446A">
        <w:rPr>
          <w:rFonts w:asciiTheme="minorHAnsi" w:eastAsia="Times New Roman" w:hAnsiTheme="minorHAnsi" w:cs="Times New Roman"/>
          <w:szCs w:val="24"/>
        </w:rPr>
        <w:t>and all attachments</w:t>
      </w:r>
    </w:p>
    <w:p w14:paraId="37EC16E6" w14:textId="77777777" w:rsidR="00F06BEB" w:rsidRPr="001F446A" w:rsidRDefault="00F06BEB" w:rsidP="00F06BEB">
      <w:pPr>
        <w:rPr>
          <w:rFonts w:asciiTheme="minorHAnsi" w:eastAsia="Times New Roman" w:hAnsiTheme="minorHAnsi" w:cs="Times New Roman"/>
          <w:szCs w:val="24"/>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915"/>
        <w:gridCol w:w="1915"/>
        <w:gridCol w:w="1915"/>
      </w:tblGrid>
      <w:tr w:rsidR="00F06BEB" w:rsidRPr="001F446A" w14:paraId="57AC0659"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773747AC"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1EC594B0" w14:textId="77777777" w:rsidR="00F06BEB" w:rsidRPr="001F446A" w:rsidRDefault="00F06BEB" w:rsidP="00F06BEB">
            <w:pPr>
              <w:widowControl w:val="0"/>
              <w:autoSpaceDE w:val="0"/>
              <w:autoSpaceDN w:val="0"/>
              <w:adjustRightInd w:val="0"/>
              <w:jc w:val="center"/>
              <w:rPr>
                <w:rFonts w:asciiTheme="minorHAnsi" w:eastAsia="Calibri" w:hAnsiTheme="minorHAnsi" w:cs="Times New Roman"/>
                <w:color w:val="000000"/>
                <w:kern w:val="24"/>
                <w:szCs w:val="24"/>
              </w:rPr>
            </w:pPr>
            <w:r w:rsidRPr="001F446A">
              <w:rPr>
                <w:rFonts w:asciiTheme="minorHAnsi" w:eastAsia="Calibri" w:hAnsiTheme="minorHAnsi" w:cs="Times New Roman"/>
                <w:color w:val="000000"/>
                <w:kern w:val="24"/>
                <w:szCs w:val="24"/>
              </w:rPr>
              <w:t>Number of Returns</w:t>
            </w:r>
          </w:p>
          <w:p w14:paraId="1CE5D984"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38D64B8F"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Average Time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101D860B"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Average Cost</w:t>
            </w:r>
          </w:p>
        </w:tc>
      </w:tr>
      <w:tr w:rsidR="00F06BEB" w:rsidRPr="001F446A" w14:paraId="1FF07127"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7D7C6091" w14:textId="77777777" w:rsidR="00F06BEB" w:rsidRPr="001F446A" w:rsidRDefault="00F06BEB" w:rsidP="00F06BEB">
            <w:pPr>
              <w:rPr>
                <w:rFonts w:asciiTheme="minorHAnsi" w:eastAsia="Times New Roman" w:hAnsiTheme="minorHAnsi" w:cs="Times New Roman"/>
                <w:color w:val="000000"/>
                <w:kern w:val="24"/>
                <w:szCs w:val="24"/>
                <w:lang w:eastAsia="ja-JP"/>
              </w:rPr>
            </w:pPr>
            <w:r w:rsidRPr="001F446A">
              <w:rPr>
                <w:rFonts w:asciiTheme="minorHAnsi" w:eastAsia="Times New Roman" w:hAnsiTheme="minorHAnsi" w:cs="Times New Roman"/>
                <w:color w:val="000000"/>
                <w:kern w:val="24"/>
                <w:szCs w:val="24"/>
                <w:lang w:eastAsia="ja-JP"/>
              </w:rPr>
              <w:t>All Taxable</w:t>
            </w:r>
          </w:p>
          <w:p w14:paraId="27918B85"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Corporations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15A23613" w14:textId="77777777" w:rsidR="00F06BEB" w:rsidRPr="001F446A" w:rsidRDefault="00F06BEB" w:rsidP="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   2.1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0B0138B1" w14:textId="77777777" w:rsidR="00F06BEB" w:rsidRPr="001F446A" w:rsidRDefault="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3</w:t>
            </w:r>
            <w:r w:rsidR="00B2284B" w:rsidRPr="001F446A">
              <w:rPr>
                <w:rFonts w:asciiTheme="minorHAnsi" w:eastAsia="Calibri" w:hAnsiTheme="minorHAnsi" w:cs="Times New Roman"/>
                <w:color w:val="000000"/>
                <w:szCs w:val="24"/>
              </w:rPr>
              <w:t>15</w:t>
            </w:r>
            <w:r w:rsidRPr="001F446A">
              <w:rPr>
                <w:rFonts w:asciiTheme="minorHAnsi" w:eastAsia="Calibri" w:hAnsiTheme="minorHAnsi" w:cs="Times New Roman"/>
                <w:color w:val="000000"/>
                <w:szCs w:val="24"/>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48E8A435" w14:textId="77777777" w:rsidR="00F06BEB" w:rsidRPr="001F446A" w:rsidRDefault="00B2284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6</w:t>
            </w:r>
            <w:r w:rsidR="00F06BEB" w:rsidRPr="001F446A">
              <w:rPr>
                <w:rFonts w:asciiTheme="minorHAnsi" w:eastAsia="Calibri" w:hAnsiTheme="minorHAnsi" w:cs="Times New Roman"/>
                <w:color w:val="000000"/>
                <w:szCs w:val="24"/>
              </w:rPr>
              <w:t>,</w:t>
            </w:r>
            <w:r w:rsidRPr="001F446A">
              <w:rPr>
                <w:rFonts w:asciiTheme="minorHAnsi" w:eastAsia="Calibri" w:hAnsiTheme="minorHAnsi" w:cs="Times New Roman"/>
                <w:color w:val="000000"/>
                <w:szCs w:val="24"/>
              </w:rPr>
              <w:t>3</w:t>
            </w:r>
            <w:r w:rsidR="00F06BEB" w:rsidRPr="001F446A">
              <w:rPr>
                <w:rFonts w:asciiTheme="minorHAnsi" w:eastAsia="Calibri" w:hAnsiTheme="minorHAnsi" w:cs="Times New Roman"/>
                <w:color w:val="000000"/>
                <w:szCs w:val="24"/>
              </w:rPr>
              <w:t xml:space="preserve">00 </w:t>
            </w:r>
          </w:p>
        </w:tc>
      </w:tr>
      <w:tr w:rsidR="00F06BEB" w:rsidRPr="001F446A" w14:paraId="574E9AAD"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6631AE39"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1AF59E5F" w14:textId="77777777" w:rsidR="00F06BEB" w:rsidRPr="001F446A" w:rsidRDefault="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2.</w:t>
            </w:r>
            <w:r w:rsidR="00D0205C" w:rsidRPr="001F446A">
              <w:rPr>
                <w:rFonts w:asciiTheme="minorHAnsi" w:eastAsia="Calibri" w:hAnsiTheme="minorHAnsi" w:cs="Times New Roman"/>
                <w:color w:val="000000"/>
                <w:szCs w:val="24"/>
              </w:rPr>
              <w:t>0</w:t>
            </w:r>
            <w:r w:rsidRPr="001F446A">
              <w:rPr>
                <w:rFonts w:asciiTheme="minorHAnsi" w:eastAsia="Calibri" w:hAnsiTheme="minorHAnsi" w:cs="Times New Roman"/>
                <w:color w:val="000000"/>
                <w:szCs w:val="24"/>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5BC957EF" w14:textId="77777777" w:rsidR="00F06BEB" w:rsidRPr="001F446A" w:rsidRDefault="00F06BEB" w:rsidP="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280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563F5938" w14:textId="77777777" w:rsidR="00F06BEB" w:rsidRPr="001F446A" w:rsidRDefault="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4,</w:t>
            </w:r>
            <w:r w:rsidR="00B2284B" w:rsidRPr="001F446A">
              <w:rPr>
                <w:rFonts w:asciiTheme="minorHAnsi" w:eastAsia="Calibri" w:hAnsiTheme="minorHAnsi" w:cs="Times New Roman"/>
                <w:color w:val="000000"/>
                <w:szCs w:val="24"/>
              </w:rPr>
              <w:t>0</w:t>
            </w:r>
            <w:r w:rsidRPr="001F446A">
              <w:rPr>
                <w:rFonts w:asciiTheme="minorHAnsi" w:eastAsia="Calibri" w:hAnsiTheme="minorHAnsi" w:cs="Times New Roman"/>
                <w:color w:val="000000"/>
                <w:szCs w:val="24"/>
              </w:rPr>
              <w:t xml:space="preserve">00 </w:t>
            </w:r>
          </w:p>
        </w:tc>
      </w:tr>
      <w:tr w:rsidR="00F06BEB" w:rsidRPr="001F446A" w14:paraId="145B480E"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7D90B6CF"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33C22CD8" w14:textId="77777777" w:rsidR="00F06BEB" w:rsidRPr="001F446A" w:rsidRDefault="00F06BEB" w:rsidP="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0.1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3B3F27DF" w14:textId="77777777" w:rsidR="00F06BEB" w:rsidRPr="001F446A" w:rsidRDefault="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1,2</w:t>
            </w:r>
            <w:r w:rsidR="00B2284B" w:rsidRPr="001F446A">
              <w:rPr>
                <w:rFonts w:asciiTheme="minorHAnsi" w:eastAsia="Calibri" w:hAnsiTheme="minorHAnsi" w:cs="Times New Roman"/>
                <w:color w:val="000000"/>
                <w:szCs w:val="24"/>
              </w:rPr>
              <w:t>50</w:t>
            </w:r>
            <w:r w:rsidRPr="001F446A">
              <w:rPr>
                <w:rFonts w:asciiTheme="minorHAnsi" w:eastAsia="Calibri" w:hAnsiTheme="minorHAnsi" w:cs="Times New Roman"/>
                <w:color w:val="000000"/>
                <w:szCs w:val="24"/>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00E961D8" w14:textId="77777777" w:rsidR="00F06BEB" w:rsidRPr="001F446A" w:rsidRDefault="00F06BEB" w:rsidP="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68,900 </w:t>
            </w:r>
          </w:p>
        </w:tc>
      </w:tr>
    </w:tbl>
    <w:p w14:paraId="0CE7F77D" w14:textId="77777777" w:rsidR="00F06BEB" w:rsidRPr="001F446A" w:rsidRDefault="00F06BEB" w:rsidP="00F06BEB">
      <w:pPr>
        <w:rPr>
          <w:rFonts w:asciiTheme="minorHAnsi" w:eastAsia="Times New Roman" w:hAnsiTheme="minorHAnsi" w:cs="Times New Roman"/>
          <w:szCs w:val="24"/>
          <w:lang w:eastAsia="ja-JP"/>
        </w:rPr>
      </w:pPr>
    </w:p>
    <w:p w14:paraId="3A0E3071" w14:textId="77777777" w:rsidR="00F06BEB" w:rsidRPr="001F446A" w:rsidRDefault="00F06BEB" w:rsidP="00F06BEB">
      <w:pPr>
        <w:tabs>
          <w:tab w:val="left" w:pos="1035"/>
        </w:tabs>
        <w:rPr>
          <w:rFonts w:asciiTheme="minorHAnsi" w:eastAsia="Times New Roman" w:hAnsiTheme="minorHAnsi" w:cs="Times New Roman"/>
          <w:szCs w:val="24"/>
          <w:lang w:eastAsia="ja-JP"/>
        </w:rPr>
      </w:pPr>
      <w:r w:rsidRPr="001F446A">
        <w:rPr>
          <w:rFonts w:asciiTheme="minorHAnsi" w:eastAsia="Times New Roman" w:hAnsiTheme="minorHAnsi" w:cs="Times New Roman"/>
          <w:szCs w:val="24"/>
          <w:lang w:eastAsia="ja-JP"/>
        </w:rPr>
        <w:t xml:space="preserve">          Table 3</w:t>
      </w:r>
      <w:r w:rsidRPr="001F446A">
        <w:rPr>
          <w:rFonts w:asciiTheme="minorHAnsi" w:eastAsia="Times New Roman" w:hAnsiTheme="minorHAnsi" w:cs="Times New Roman"/>
          <w:szCs w:val="24"/>
          <w:lang w:eastAsia="ja-JP"/>
        </w:rPr>
        <w:tab/>
        <w:t xml:space="preserve">                                           Burden</w:t>
      </w:r>
    </w:p>
    <w:p w14:paraId="4D653FD2"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szCs w:val="24"/>
          <w:lang w:eastAsia="ja-JP"/>
        </w:rPr>
        <w:t xml:space="preserve">                                                                               </w:t>
      </w:r>
    </w:p>
    <w:p w14:paraId="404E3880" w14:textId="77777777" w:rsidR="00F06BEB" w:rsidRPr="001F446A" w:rsidRDefault="00F06BEB" w:rsidP="00F06BEB">
      <w:pPr>
        <w:widowControl w:val="0"/>
        <w:tabs>
          <w:tab w:val="left" w:pos="360"/>
        </w:tabs>
        <w:autoSpaceDE w:val="0"/>
        <w:autoSpaceDN w:val="0"/>
        <w:adjustRightInd w:val="0"/>
        <w:ind w:right="72"/>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           Forms:</w:t>
      </w:r>
      <w:r w:rsidRPr="001F446A">
        <w:rPr>
          <w:rFonts w:asciiTheme="minorHAnsi" w:eastAsia="Times New Roman" w:hAnsiTheme="minorHAnsi" w:cs="Times New Roman"/>
          <w:iCs/>
          <w:color w:val="000000"/>
          <w:szCs w:val="24"/>
        </w:rPr>
        <w:t xml:space="preserve"> 1120-REIT, 1120-RIC,1120-S,</w:t>
      </w:r>
      <w:r w:rsidRPr="001F446A">
        <w:rPr>
          <w:rFonts w:asciiTheme="minorHAnsi" w:eastAsia="Times New Roman" w:hAnsiTheme="minorHAnsi" w:cs="Times New Roman"/>
          <w:szCs w:val="24"/>
        </w:rPr>
        <w:t>and all attachments</w:t>
      </w:r>
    </w:p>
    <w:p w14:paraId="13DA5ED8" w14:textId="77777777" w:rsidR="00F06BEB" w:rsidRPr="001F446A" w:rsidRDefault="00F06BEB" w:rsidP="00F06BEB">
      <w:pPr>
        <w:rPr>
          <w:rFonts w:asciiTheme="minorHAnsi" w:eastAsia="Times New Roman" w:hAnsiTheme="minorHAnsi" w:cs="Times New Roman"/>
          <w:szCs w:val="24"/>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915"/>
        <w:gridCol w:w="1915"/>
        <w:gridCol w:w="1915"/>
      </w:tblGrid>
      <w:tr w:rsidR="00F06BEB" w:rsidRPr="001F446A" w14:paraId="4E011DA7"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3B753DDD"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1BD3265F" w14:textId="77777777" w:rsidR="00F06BEB" w:rsidRPr="001F446A" w:rsidRDefault="00F06BEB" w:rsidP="00F06BEB">
            <w:pPr>
              <w:widowControl w:val="0"/>
              <w:autoSpaceDE w:val="0"/>
              <w:autoSpaceDN w:val="0"/>
              <w:adjustRightInd w:val="0"/>
              <w:jc w:val="center"/>
              <w:rPr>
                <w:rFonts w:asciiTheme="minorHAnsi" w:eastAsia="Calibri" w:hAnsiTheme="minorHAnsi" w:cs="Times New Roman"/>
                <w:color w:val="000000"/>
                <w:kern w:val="24"/>
                <w:szCs w:val="24"/>
              </w:rPr>
            </w:pPr>
            <w:r w:rsidRPr="001F446A">
              <w:rPr>
                <w:rFonts w:asciiTheme="minorHAnsi" w:eastAsia="Calibri" w:hAnsiTheme="minorHAnsi" w:cs="Times New Roman"/>
                <w:color w:val="000000"/>
                <w:kern w:val="24"/>
                <w:szCs w:val="24"/>
              </w:rPr>
              <w:t>Number of Returns</w:t>
            </w:r>
          </w:p>
          <w:p w14:paraId="0E73D13F"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0C2F2359"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Average Time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076BCF6C"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Average Cost</w:t>
            </w:r>
          </w:p>
        </w:tc>
      </w:tr>
      <w:tr w:rsidR="00F06BEB" w:rsidRPr="001F446A" w14:paraId="71BA7742"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1BDB6B15" w14:textId="77777777" w:rsidR="00F06BEB" w:rsidRPr="001F446A" w:rsidRDefault="00F06BEB" w:rsidP="00F06BEB">
            <w:pPr>
              <w:rPr>
                <w:rFonts w:asciiTheme="minorHAnsi" w:eastAsia="Times New Roman" w:hAnsiTheme="minorHAnsi" w:cs="Times New Roman"/>
                <w:color w:val="000000"/>
                <w:kern w:val="24"/>
                <w:szCs w:val="24"/>
                <w:lang w:eastAsia="ja-JP"/>
              </w:rPr>
            </w:pPr>
            <w:r w:rsidRPr="001F446A">
              <w:rPr>
                <w:rFonts w:asciiTheme="minorHAnsi" w:eastAsia="Times New Roman" w:hAnsiTheme="minorHAnsi" w:cs="Times New Roman"/>
                <w:color w:val="000000"/>
                <w:kern w:val="24"/>
                <w:szCs w:val="24"/>
                <w:lang w:eastAsia="ja-JP"/>
              </w:rPr>
              <w:t>All Pass-Through</w:t>
            </w:r>
          </w:p>
          <w:p w14:paraId="4BA7CF2F"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Corporations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7FC40DA5" w14:textId="77777777" w:rsidR="00F06BEB" w:rsidRPr="001F446A" w:rsidRDefault="00F06BEB">
            <w:pPr>
              <w:widowControl w:val="0"/>
              <w:autoSpaceDE w:val="0"/>
              <w:autoSpaceDN w:val="0"/>
              <w:adjustRightInd w:val="0"/>
              <w:jc w:val="center"/>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4.</w:t>
            </w:r>
            <w:r w:rsidR="00B04EA5" w:rsidRPr="001F446A">
              <w:rPr>
                <w:rFonts w:asciiTheme="minorHAnsi" w:eastAsia="Calibri" w:hAnsiTheme="minorHAnsi" w:cs="Times New Roman"/>
                <w:color w:val="000000"/>
                <w:szCs w:val="24"/>
              </w:rPr>
              <w:t>9</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1F4C6F66" w14:textId="77777777" w:rsidR="00F06BEB" w:rsidRPr="001F446A" w:rsidRDefault="00F06BEB" w:rsidP="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245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525A6AA7" w14:textId="77777777" w:rsidR="00F06BEB" w:rsidRPr="001F446A" w:rsidRDefault="00F06BEB" w:rsidP="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3,500</w:t>
            </w:r>
          </w:p>
        </w:tc>
      </w:tr>
      <w:tr w:rsidR="00F06BEB" w:rsidRPr="001F446A" w14:paraId="578F54A4"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197E2314" w14:textId="77777777"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171472BC" w14:textId="77777777" w:rsidR="00F06BEB" w:rsidRPr="001F446A" w:rsidRDefault="00F06BEB">
            <w:pPr>
              <w:widowControl w:val="0"/>
              <w:autoSpaceDE w:val="0"/>
              <w:autoSpaceDN w:val="0"/>
              <w:adjustRightInd w:val="0"/>
              <w:jc w:val="center"/>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4.</w:t>
            </w:r>
            <w:r w:rsidR="00B04EA5" w:rsidRPr="001F446A">
              <w:rPr>
                <w:rFonts w:asciiTheme="minorHAnsi" w:eastAsia="Calibri" w:hAnsiTheme="minorHAnsi" w:cs="Times New Roman"/>
                <w:color w:val="000000"/>
                <w:szCs w:val="24"/>
              </w:rPr>
              <w:t>8</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0682602E" w14:textId="77777777" w:rsidR="00F06BEB" w:rsidRPr="001F446A" w:rsidRDefault="00F06BEB" w:rsidP="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240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52B07BEF" w14:textId="77777777" w:rsidR="00F06BEB" w:rsidRPr="001F446A" w:rsidRDefault="00F06BEB" w:rsidP="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3,100 </w:t>
            </w:r>
          </w:p>
        </w:tc>
      </w:tr>
      <w:tr w:rsidR="00F06BEB" w:rsidRPr="001F446A" w14:paraId="5BB34CA8" w14:textId="77777777" w:rsidTr="00E36BAE">
        <w:tc>
          <w:tcPr>
            <w:tcW w:w="1177" w:type="dxa"/>
            <w:tcBorders>
              <w:top w:val="single" w:sz="4" w:space="0" w:color="auto"/>
              <w:left w:val="single" w:sz="4" w:space="0" w:color="auto"/>
              <w:bottom w:val="single" w:sz="4" w:space="0" w:color="auto"/>
              <w:right w:val="single" w:sz="4" w:space="0" w:color="auto"/>
            </w:tcBorders>
            <w:shd w:val="clear" w:color="auto" w:fill="auto"/>
            <w:hideMark/>
          </w:tcPr>
          <w:p w14:paraId="30AF0919" w14:textId="1996A61A" w:rsidR="00F06BEB" w:rsidRPr="001F446A" w:rsidRDefault="00F06BEB" w:rsidP="00F06BEB">
            <w:pPr>
              <w:rPr>
                <w:rFonts w:asciiTheme="minorHAnsi" w:eastAsia="Times New Roman" w:hAnsiTheme="minorHAnsi" w:cs="Times New Roman"/>
                <w:szCs w:val="24"/>
                <w:lang w:eastAsia="ja-JP"/>
              </w:rPr>
            </w:pPr>
            <w:r w:rsidRPr="001F446A">
              <w:rPr>
                <w:rFonts w:asciiTheme="minorHAnsi" w:eastAsia="Times New Roman" w:hAnsiTheme="minorHAnsi" w:cs="Times New Roman"/>
                <w:color w:val="000000"/>
                <w:kern w:val="24"/>
                <w:szCs w:val="24"/>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45FCBEAD" w14:textId="77777777" w:rsidR="00F06BEB" w:rsidRPr="001F446A" w:rsidRDefault="00F06BEB" w:rsidP="00F06BEB">
            <w:pPr>
              <w:widowControl w:val="0"/>
              <w:autoSpaceDE w:val="0"/>
              <w:autoSpaceDN w:val="0"/>
              <w:adjustRightInd w:val="0"/>
              <w:jc w:val="center"/>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0.1</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0C2BCE57" w14:textId="77777777" w:rsidR="00F06BEB" w:rsidRPr="001F446A" w:rsidRDefault="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6</w:t>
            </w:r>
            <w:r w:rsidR="00AD3848" w:rsidRPr="001F446A">
              <w:rPr>
                <w:rFonts w:asciiTheme="minorHAnsi" w:eastAsia="Calibri" w:hAnsiTheme="minorHAnsi" w:cs="Times New Roman"/>
                <w:color w:val="000000"/>
                <w:szCs w:val="24"/>
              </w:rPr>
              <w:t>10</w:t>
            </w:r>
            <w:r w:rsidRPr="001F446A">
              <w:rPr>
                <w:rFonts w:asciiTheme="minorHAnsi" w:eastAsia="Calibri" w:hAnsiTheme="minorHAnsi" w:cs="Times New Roman"/>
                <w:color w:val="000000"/>
                <w:szCs w:val="24"/>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14:paraId="07978AC5" w14:textId="77777777" w:rsidR="00F06BEB" w:rsidRPr="001F446A" w:rsidRDefault="00F06BEB" w:rsidP="00F06BEB">
            <w:pPr>
              <w:widowControl w:val="0"/>
              <w:autoSpaceDE w:val="0"/>
              <w:autoSpaceDN w:val="0"/>
              <w:adjustRightInd w:val="0"/>
              <w:jc w:val="right"/>
              <w:rPr>
                <w:rFonts w:asciiTheme="minorHAnsi" w:eastAsia="Calibri" w:hAnsiTheme="minorHAnsi" w:cs="Times New Roman"/>
                <w:color w:val="000000"/>
                <w:szCs w:val="24"/>
              </w:rPr>
            </w:pPr>
            <w:r w:rsidRPr="001F446A">
              <w:rPr>
                <w:rFonts w:asciiTheme="minorHAnsi" w:eastAsia="Calibri" w:hAnsiTheme="minorHAnsi" w:cs="Times New Roman"/>
                <w:color w:val="000000"/>
                <w:szCs w:val="24"/>
              </w:rPr>
              <w:t xml:space="preserve">30,800 </w:t>
            </w:r>
          </w:p>
        </w:tc>
      </w:tr>
    </w:tbl>
    <w:p w14:paraId="08909F81" w14:textId="436EEE1D" w:rsidR="00F06BEB" w:rsidRPr="001F446A" w:rsidRDefault="00F06BEB" w:rsidP="00F06BEB">
      <w:pPr>
        <w:jc w:val="both"/>
        <w:rPr>
          <w:rFonts w:asciiTheme="minorHAnsi" w:eastAsia="Times New Roman" w:hAnsiTheme="minorHAnsi" w:cs="Times New Roman"/>
          <w:sz w:val="20"/>
          <w:szCs w:val="20"/>
          <w:lang w:eastAsia="ja-JP"/>
        </w:rPr>
      </w:pPr>
      <w:r w:rsidRPr="001F446A">
        <w:rPr>
          <w:rFonts w:asciiTheme="minorHAnsi" w:eastAsia="Times New Roman" w:hAnsiTheme="minorHAnsi" w:cs="Times New Roman"/>
          <w:szCs w:val="24"/>
          <w:lang w:eastAsia="ja-JP"/>
        </w:rPr>
        <w:tab/>
      </w:r>
      <w:r w:rsidRPr="001F446A">
        <w:rPr>
          <w:rFonts w:asciiTheme="minorHAnsi" w:eastAsia="Times New Roman" w:hAnsiTheme="minorHAnsi" w:cs="Times New Roman"/>
          <w:sz w:val="20"/>
          <w:szCs w:val="20"/>
          <w:lang w:eastAsia="ja-JP"/>
        </w:rPr>
        <w:t>*A large business is defined as one having end of year assets greater than $10 million.</w:t>
      </w:r>
    </w:p>
    <w:p w14:paraId="2F43BC81" w14:textId="77777777" w:rsidR="00F06BEB" w:rsidRPr="001F446A" w:rsidRDefault="00F06BEB" w:rsidP="00F06BEB">
      <w:pPr>
        <w:jc w:val="both"/>
        <w:rPr>
          <w:rFonts w:asciiTheme="minorHAnsi" w:eastAsia="Times New Roman" w:hAnsiTheme="minorHAnsi" w:cs="Times New Roman"/>
          <w:szCs w:val="24"/>
          <w:lang w:eastAsia="ja-JP"/>
        </w:rPr>
      </w:pPr>
      <w:r w:rsidRPr="001F446A">
        <w:rPr>
          <w:rFonts w:asciiTheme="minorHAnsi" w:eastAsia="Times New Roman" w:hAnsiTheme="minorHAnsi" w:cs="Times New Roman"/>
          <w:szCs w:val="24"/>
          <w:lang w:eastAsia="ja-JP"/>
        </w:rPr>
        <w:t xml:space="preserve">           </w:t>
      </w:r>
    </w:p>
    <w:p w14:paraId="54A373E2" w14:textId="77777777" w:rsidR="00416109" w:rsidRPr="001F446A" w:rsidRDefault="00EA7610" w:rsidP="00416109">
      <w:pPr>
        <w:pStyle w:val="CommentText"/>
        <w:rPr>
          <w:rFonts w:asciiTheme="minorHAnsi" w:hAnsiTheme="minorHAnsi"/>
        </w:rPr>
      </w:pPr>
      <w:r w:rsidRPr="001F446A">
        <w:rPr>
          <w:rFonts w:asciiTheme="minorHAnsi" w:hAnsiTheme="minorHAnsi"/>
        </w:rPr>
        <w:t xml:space="preserve">Note: Total burden hours for OMB 1545-0123 is </w:t>
      </w:r>
      <w:r w:rsidR="007A570E" w:rsidRPr="001F446A">
        <w:rPr>
          <w:rFonts w:asciiTheme="minorHAnsi" w:hAnsiTheme="minorHAnsi"/>
        </w:rPr>
        <w:t>3</w:t>
      </w:r>
      <w:r w:rsidRPr="001F446A">
        <w:rPr>
          <w:rFonts w:asciiTheme="minorHAnsi" w:hAnsiTheme="minorHAnsi"/>
        </w:rPr>
        <w:t>.</w:t>
      </w:r>
      <w:r w:rsidR="007A570E" w:rsidRPr="001F446A">
        <w:rPr>
          <w:rFonts w:asciiTheme="minorHAnsi" w:hAnsiTheme="minorHAnsi"/>
        </w:rPr>
        <w:t>040</w:t>
      </w:r>
      <w:r w:rsidRPr="001F446A">
        <w:rPr>
          <w:rFonts w:asciiTheme="minorHAnsi" w:hAnsiTheme="minorHAnsi"/>
        </w:rPr>
        <w:t xml:space="preserve"> billion hours. </w:t>
      </w:r>
      <w:r w:rsidR="00416109" w:rsidRPr="001F446A">
        <w:rPr>
          <w:rFonts w:asciiTheme="minorHAnsi" w:hAnsiTheme="minorHAnsi"/>
        </w:rPr>
        <w:t xml:space="preserve">Currently we don’t break out third-party disclosure (e.g., K-1s) burden. Rather, it is included in the reporting and recordkeeping burden shown below. </w:t>
      </w:r>
      <w:r w:rsidR="00D826F9" w:rsidRPr="001F446A">
        <w:rPr>
          <w:rFonts w:asciiTheme="minorHAnsi" w:hAnsiTheme="minorHAnsi"/>
        </w:rPr>
        <w:t xml:space="preserve">The </w:t>
      </w:r>
      <w:r w:rsidR="007A570E" w:rsidRPr="001F446A">
        <w:rPr>
          <w:rFonts w:asciiTheme="minorHAnsi" w:hAnsiTheme="minorHAnsi"/>
        </w:rPr>
        <w:t>3</w:t>
      </w:r>
      <w:r w:rsidR="00D826F9" w:rsidRPr="001F446A">
        <w:rPr>
          <w:rFonts w:asciiTheme="minorHAnsi" w:hAnsiTheme="minorHAnsi"/>
        </w:rPr>
        <w:t>.</w:t>
      </w:r>
      <w:r w:rsidR="00B90A15" w:rsidRPr="001F446A">
        <w:rPr>
          <w:rFonts w:asciiTheme="minorHAnsi" w:hAnsiTheme="minorHAnsi"/>
        </w:rPr>
        <w:t>040</w:t>
      </w:r>
      <w:r w:rsidR="00D826F9" w:rsidRPr="001F446A">
        <w:rPr>
          <w:rFonts w:asciiTheme="minorHAnsi" w:hAnsiTheme="minorHAnsi"/>
        </w:rPr>
        <w:t xml:space="preserve"> billion estimated burden hours are allocated between the reporting of information of</w:t>
      </w:r>
      <w:r w:rsidR="008624F9" w:rsidRPr="001F446A">
        <w:rPr>
          <w:rFonts w:asciiTheme="minorHAnsi" w:hAnsiTheme="minorHAnsi"/>
        </w:rPr>
        <w:t xml:space="preserve"> </w:t>
      </w:r>
      <w:r w:rsidR="00585D0E" w:rsidRPr="001F446A">
        <w:rPr>
          <w:rFonts w:asciiTheme="minorHAnsi" w:hAnsiTheme="minorHAnsi"/>
        </w:rPr>
        <w:t>2.0</w:t>
      </w:r>
      <w:r w:rsidR="0015047D">
        <w:rPr>
          <w:rFonts w:asciiTheme="minorHAnsi" w:hAnsiTheme="minorHAnsi"/>
        </w:rPr>
        <w:t>3</w:t>
      </w:r>
      <w:r w:rsidR="00D826F9" w:rsidRPr="001F446A">
        <w:rPr>
          <w:rFonts w:asciiTheme="minorHAnsi" w:hAnsiTheme="minorHAnsi"/>
        </w:rPr>
        <w:t xml:space="preserve"> billion and record keeping of </w:t>
      </w:r>
      <w:r w:rsidR="0015047D">
        <w:rPr>
          <w:rFonts w:asciiTheme="minorHAnsi" w:hAnsiTheme="minorHAnsi"/>
        </w:rPr>
        <w:t>100</w:t>
      </w:r>
      <w:r w:rsidR="00585D0E" w:rsidRPr="001F446A">
        <w:rPr>
          <w:rFonts w:asciiTheme="minorHAnsi" w:hAnsiTheme="minorHAnsi"/>
        </w:rPr>
        <w:t>.</w:t>
      </w:r>
      <w:r w:rsidR="00FC625F">
        <w:rPr>
          <w:rFonts w:asciiTheme="minorHAnsi" w:hAnsiTheme="minorHAnsi"/>
        </w:rPr>
        <w:t>6</w:t>
      </w:r>
      <w:r w:rsidR="00D826F9" w:rsidRPr="001F446A">
        <w:rPr>
          <w:rFonts w:asciiTheme="minorHAnsi" w:hAnsiTheme="minorHAnsi"/>
        </w:rPr>
        <w:t xml:space="preserve"> million. </w:t>
      </w:r>
    </w:p>
    <w:p w14:paraId="1DA188D5" w14:textId="77777777" w:rsidR="006F721A" w:rsidRPr="001F446A" w:rsidRDefault="006F721A" w:rsidP="00F06BEB">
      <w:pPr>
        <w:jc w:val="both"/>
        <w:rPr>
          <w:rFonts w:asciiTheme="minorHAnsi" w:hAnsiTheme="minorHAnsi"/>
        </w:rPr>
      </w:pPr>
    </w:p>
    <w:p w14:paraId="590B2427" w14:textId="77777777" w:rsidR="00180D26" w:rsidRPr="001F446A" w:rsidRDefault="00180D26" w:rsidP="00180D26">
      <w:pPr>
        <w:widowControl w:val="0"/>
        <w:tabs>
          <w:tab w:val="left" w:pos="-1440"/>
        </w:tabs>
        <w:autoSpaceDE w:val="0"/>
        <w:autoSpaceDN w:val="0"/>
        <w:adjustRightInd w:val="0"/>
        <w:rPr>
          <w:rFonts w:asciiTheme="minorHAnsi" w:eastAsia="Times New Roman" w:hAnsiTheme="minorHAnsi" w:cs="Times New Roman"/>
          <w:szCs w:val="24"/>
        </w:rPr>
      </w:pPr>
    </w:p>
    <w:p w14:paraId="1B76BEAB" w14:textId="77777777" w:rsidR="00180D26" w:rsidRPr="001F446A" w:rsidRDefault="00180D26" w:rsidP="00180D26">
      <w:pPr>
        <w:widowControl w:val="0"/>
        <w:tabs>
          <w:tab w:val="left" w:pos="-1440"/>
        </w:tabs>
        <w:autoSpaceDE w:val="0"/>
        <w:autoSpaceDN w:val="0"/>
        <w:adjustRightInd w:val="0"/>
        <w:rPr>
          <w:rFonts w:asciiTheme="minorHAnsi" w:eastAsia="Times New Roman" w:hAnsiTheme="minorHAnsi" w:cs="Times New Roman"/>
          <w:szCs w:val="24"/>
        </w:rPr>
      </w:pPr>
    </w:p>
    <w:p w14:paraId="357D5913" w14:textId="77777777" w:rsidR="00F06BEB" w:rsidRPr="001F446A" w:rsidRDefault="00F06BEB" w:rsidP="00F06BEB">
      <w:pPr>
        <w:widowControl w:val="0"/>
        <w:numPr>
          <w:ilvl w:val="0"/>
          <w:numId w:val="2"/>
        </w:numPr>
        <w:tabs>
          <w:tab w:val="left" w:pos="-1440"/>
        </w:tabs>
        <w:autoSpaceDE w:val="0"/>
        <w:autoSpaceDN w:val="0"/>
        <w:adjustRightInd w:val="0"/>
        <w:ind w:left="720" w:hanging="720"/>
        <w:outlineLvl w:val="0"/>
        <w:rPr>
          <w:rFonts w:asciiTheme="minorHAnsi" w:eastAsia="Times New Roman" w:hAnsiTheme="minorHAnsi" w:cs="Times New Roman"/>
          <w:szCs w:val="24"/>
        </w:rPr>
      </w:pPr>
      <w:r w:rsidRPr="001F446A">
        <w:rPr>
          <w:rFonts w:asciiTheme="minorHAnsi" w:eastAsia="Times New Roman" w:hAnsiTheme="minorHAnsi" w:cs="Times New Roman"/>
          <w:szCs w:val="24"/>
          <w:u w:val="single"/>
        </w:rPr>
        <w:t>ESTIMATED TOTAL ANNUAL COST BURDEN TO RESPONDENTS</w:t>
      </w:r>
    </w:p>
    <w:p w14:paraId="24CEF529"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329FF5C5" w14:textId="77777777" w:rsidR="00F06BEB" w:rsidRPr="001F446A" w:rsidRDefault="00F06BEB" w:rsidP="00F06BEB">
      <w:pPr>
        <w:keepLines/>
        <w:spacing w:before="100" w:beforeAutospacing="1" w:after="100" w:afterAutospacing="1"/>
        <w:rPr>
          <w:rFonts w:asciiTheme="minorHAnsi" w:eastAsia="Times New Roman" w:hAnsiTheme="minorHAnsi" w:cs="Times New Roman"/>
          <w:szCs w:val="24"/>
        </w:rPr>
      </w:pPr>
      <w:r w:rsidRPr="001F446A">
        <w:rPr>
          <w:rFonts w:asciiTheme="minorHAnsi" w:eastAsia="Times New Roman" w:hAnsiTheme="minorHAnsi" w:cs="Times New Roman"/>
          <w:iCs/>
          <w:szCs w:val="24"/>
        </w:rPr>
        <w:t xml:space="preserve">          Estimated Number of  Respondents: </w:t>
      </w:r>
      <w:r w:rsidRPr="001F446A">
        <w:rPr>
          <w:rFonts w:asciiTheme="minorHAnsi" w:eastAsia="Times New Roman" w:hAnsiTheme="minorHAnsi" w:cs="Times New Roman"/>
          <w:szCs w:val="24"/>
        </w:rPr>
        <w:t xml:space="preserve"> 1</w:t>
      </w:r>
      <w:r w:rsidR="007A570E" w:rsidRPr="001F446A">
        <w:rPr>
          <w:rFonts w:asciiTheme="minorHAnsi" w:eastAsia="Times New Roman" w:hAnsiTheme="minorHAnsi" w:cs="Times New Roman"/>
          <w:szCs w:val="24"/>
        </w:rPr>
        <w:t>1</w:t>
      </w:r>
      <w:r w:rsidRPr="001F446A">
        <w:rPr>
          <w:rFonts w:asciiTheme="minorHAnsi" w:eastAsia="Times New Roman" w:hAnsiTheme="minorHAnsi" w:cs="Times New Roman"/>
          <w:szCs w:val="24"/>
        </w:rPr>
        <w:t>,</w:t>
      </w:r>
      <w:r w:rsidR="007A570E" w:rsidRPr="001F446A">
        <w:rPr>
          <w:rFonts w:asciiTheme="minorHAnsi" w:eastAsia="Times New Roman" w:hAnsiTheme="minorHAnsi" w:cs="Times New Roman"/>
          <w:szCs w:val="24"/>
        </w:rPr>
        <w:t>0</w:t>
      </w:r>
      <w:r w:rsidRPr="001F446A">
        <w:rPr>
          <w:rFonts w:asciiTheme="minorHAnsi" w:eastAsia="Times New Roman" w:hAnsiTheme="minorHAnsi" w:cs="Times New Roman"/>
          <w:szCs w:val="24"/>
        </w:rPr>
        <w:t>00,000.</w:t>
      </w:r>
    </w:p>
    <w:p w14:paraId="3DA4522B" w14:textId="77777777" w:rsidR="00F06BEB" w:rsidRPr="001F446A" w:rsidRDefault="00F06BEB" w:rsidP="00F06BEB">
      <w:pPr>
        <w:keepLines/>
        <w:spacing w:before="100" w:beforeAutospacing="1" w:after="100" w:afterAutospacing="1"/>
        <w:rPr>
          <w:rFonts w:asciiTheme="minorHAnsi" w:eastAsia="Times New Roman" w:hAnsiTheme="minorHAnsi" w:cs="Times New Roman"/>
          <w:szCs w:val="24"/>
        </w:rPr>
      </w:pPr>
      <w:r w:rsidRPr="001F446A">
        <w:rPr>
          <w:rFonts w:asciiTheme="minorHAnsi" w:eastAsia="Times New Roman" w:hAnsiTheme="minorHAnsi" w:cs="Times New Roman"/>
          <w:iCs/>
          <w:szCs w:val="24"/>
        </w:rPr>
        <w:t xml:space="preserve">          Total Estimated Time:</w:t>
      </w:r>
      <w:r w:rsidRPr="001F446A">
        <w:rPr>
          <w:rFonts w:asciiTheme="minorHAnsi" w:eastAsia="Times New Roman" w:hAnsiTheme="minorHAnsi" w:cs="Times New Roman"/>
          <w:szCs w:val="24"/>
        </w:rPr>
        <w:t xml:space="preserve"> </w:t>
      </w:r>
      <w:r w:rsidR="007A570E" w:rsidRPr="001F446A">
        <w:rPr>
          <w:rFonts w:asciiTheme="minorHAnsi" w:eastAsia="Times New Roman" w:hAnsiTheme="minorHAnsi" w:cs="Times New Roman"/>
          <w:szCs w:val="24"/>
        </w:rPr>
        <w:t>3</w:t>
      </w:r>
      <w:r w:rsidRPr="001F446A">
        <w:rPr>
          <w:rFonts w:asciiTheme="minorHAnsi" w:eastAsia="Times New Roman" w:hAnsiTheme="minorHAnsi" w:cs="Times New Roman"/>
          <w:szCs w:val="24"/>
        </w:rPr>
        <w:t>.</w:t>
      </w:r>
      <w:r w:rsidR="007A570E" w:rsidRPr="001F446A">
        <w:rPr>
          <w:rFonts w:asciiTheme="minorHAnsi" w:eastAsia="Times New Roman" w:hAnsiTheme="minorHAnsi" w:cs="Times New Roman"/>
          <w:szCs w:val="24"/>
        </w:rPr>
        <w:t>040</w:t>
      </w:r>
      <w:r w:rsidRPr="001F446A">
        <w:rPr>
          <w:rFonts w:asciiTheme="minorHAnsi" w:eastAsia="Times New Roman" w:hAnsiTheme="minorHAnsi" w:cs="Times New Roman"/>
          <w:szCs w:val="24"/>
        </w:rPr>
        <w:t xml:space="preserve"> billion hours.</w:t>
      </w:r>
    </w:p>
    <w:p w14:paraId="63F12006" w14:textId="77777777" w:rsidR="00F06BEB" w:rsidRPr="001F446A" w:rsidRDefault="00F06BEB" w:rsidP="00F06BEB">
      <w:pPr>
        <w:keepLines/>
        <w:spacing w:before="100" w:beforeAutospacing="1" w:after="100" w:afterAutospacing="1"/>
        <w:rPr>
          <w:rFonts w:asciiTheme="minorHAnsi" w:eastAsia="Times New Roman" w:hAnsiTheme="minorHAnsi" w:cs="Times New Roman"/>
          <w:szCs w:val="24"/>
        </w:rPr>
      </w:pPr>
      <w:r w:rsidRPr="001F446A">
        <w:rPr>
          <w:rFonts w:asciiTheme="minorHAnsi" w:eastAsia="Times New Roman" w:hAnsiTheme="minorHAnsi" w:cs="Times New Roman"/>
          <w:iCs/>
          <w:szCs w:val="24"/>
        </w:rPr>
        <w:t xml:space="preserve">          Estimated Time per Respondent: </w:t>
      </w:r>
      <w:r w:rsidRPr="001F446A">
        <w:rPr>
          <w:rFonts w:asciiTheme="minorHAnsi" w:eastAsia="Times New Roman" w:hAnsiTheme="minorHAnsi" w:cs="Times New Roman"/>
          <w:szCs w:val="24"/>
        </w:rPr>
        <w:t xml:space="preserve"> 27</w:t>
      </w:r>
      <w:r w:rsidR="007A570E" w:rsidRPr="001F446A">
        <w:rPr>
          <w:rFonts w:asciiTheme="minorHAnsi" w:eastAsia="Times New Roman" w:hAnsiTheme="minorHAnsi" w:cs="Times New Roman"/>
          <w:szCs w:val="24"/>
        </w:rPr>
        <w:t>6</w:t>
      </w:r>
      <w:r w:rsidRPr="001F446A">
        <w:rPr>
          <w:rFonts w:asciiTheme="minorHAnsi" w:eastAsia="Times New Roman" w:hAnsiTheme="minorHAnsi" w:cs="Times New Roman"/>
          <w:szCs w:val="24"/>
        </w:rPr>
        <w:t xml:space="preserve"> </w:t>
      </w:r>
      <w:r w:rsidR="001F446A">
        <w:rPr>
          <w:rFonts w:asciiTheme="minorHAnsi" w:eastAsia="Times New Roman" w:hAnsiTheme="minorHAnsi" w:cs="Times New Roman"/>
          <w:szCs w:val="24"/>
        </w:rPr>
        <w:t>.36</w:t>
      </w:r>
      <w:r w:rsidRPr="001F446A">
        <w:rPr>
          <w:rFonts w:asciiTheme="minorHAnsi" w:eastAsia="Times New Roman" w:hAnsiTheme="minorHAnsi" w:cs="Times New Roman"/>
          <w:szCs w:val="24"/>
        </w:rPr>
        <w:t xml:space="preserve"> hours.</w:t>
      </w:r>
    </w:p>
    <w:p w14:paraId="34666F4E" w14:textId="77777777" w:rsidR="00C030B3" w:rsidRPr="001F446A" w:rsidRDefault="00F06BEB" w:rsidP="00F06BEB">
      <w:pPr>
        <w:spacing w:before="100" w:beforeAutospacing="1" w:after="100" w:afterAutospacing="1"/>
        <w:rPr>
          <w:rFonts w:asciiTheme="minorHAnsi" w:eastAsia="Times New Roman" w:hAnsiTheme="minorHAnsi" w:cs="Times New Roman"/>
          <w:iCs/>
          <w:szCs w:val="24"/>
        </w:rPr>
      </w:pPr>
      <w:r w:rsidRPr="001F446A">
        <w:rPr>
          <w:rFonts w:asciiTheme="minorHAnsi" w:eastAsia="Times New Roman" w:hAnsiTheme="minorHAnsi" w:cs="Times New Roman"/>
          <w:i/>
          <w:iCs/>
          <w:szCs w:val="24"/>
        </w:rPr>
        <w:t xml:space="preserve">          </w:t>
      </w:r>
      <w:r w:rsidRPr="001F446A">
        <w:rPr>
          <w:rFonts w:asciiTheme="minorHAnsi" w:eastAsia="Times New Roman" w:hAnsiTheme="minorHAnsi" w:cs="Times New Roman"/>
          <w:iCs/>
          <w:szCs w:val="24"/>
        </w:rPr>
        <w:t xml:space="preserve">Total Estimated Out-of-Pocket Costs: </w:t>
      </w:r>
      <w:r w:rsidRPr="001F446A">
        <w:rPr>
          <w:rFonts w:asciiTheme="minorHAnsi" w:eastAsia="Times New Roman" w:hAnsiTheme="minorHAnsi" w:cs="Times New Roman"/>
          <w:szCs w:val="24"/>
        </w:rPr>
        <w:t>$</w:t>
      </w:r>
      <w:r w:rsidR="00641168" w:rsidRPr="001F446A">
        <w:rPr>
          <w:rFonts w:asciiTheme="minorHAnsi" w:eastAsia="Times New Roman" w:hAnsiTheme="minorHAnsi" w:cs="Times New Roman"/>
          <w:szCs w:val="24"/>
        </w:rPr>
        <w:t>5</w:t>
      </w:r>
      <w:r w:rsidR="007A570E" w:rsidRPr="001F446A">
        <w:rPr>
          <w:rFonts w:asciiTheme="minorHAnsi" w:eastAsia="Times New Roman" w:hAnsiTheme="minorHAnsi" w:cs="Times New Roman"/>
          <w:szCs w:val="24"/>
        </w:rPr>
        <w:t>3</w:t>
      </w:r>
      <w:r w:rsidR="00641168" w:rsidRPr="001F446A">
        <w:rPr>
          <w:rFonts w:asciiTheme="minorHAnsi" w:eastAsia="Times New Roman" w:hAnsiTheme="minorHAnsi" w:cs="Times New Roman"/>
          <w:szCs w:val="24"/>
        </w:rPr>
        <w:t>.6</w:t>
      </w:r>
      <w:r w:rsidR="007A570E" w:rsidRPr="001F446A">
        <w:rPr>
          <w:rFonts w:asciiTheme="minorHAnsi" w:eastAsia="Times New Roman" w:hAnsiTheme="minorHAnsi" w:cs="Times New Roman"/>
          <w:szCs w:val="24"/>
        </w:rPr>
        <w:t>4</w:t>
      </w:r>
      <w:r w:rsidRPr="001F446A">
        <w:rPr>
          <w:rFonts w:asciiTheme="minorHAnsi" w:eastAsia="Times New Roman" w:hAnsiTheme="minorHAnsi" w:cs="Times New Roman"/>
          <w:szCs w:val="24"/>
        </w:rPr>
        <w:t xml:space="preserve"> billion.</w:t>
      </w:r>
      <w:r w:rsidR="00C030B3" w:rsidRPr="001F446A">
        <w:rPr>
          <w:rFonts w:asciiTheme="minorHAnsi" w:eastAsia="Times New Roman" w:hAnsiTheme="minorHAnsi" w:cs="Times New Roman"/>
          <w:iCs/>
          <w:szCs w:val="24"/>
        </w:rPr>
        <w:t xml:space="preserve"> </w:t>
      </w:r>
    </w:p>
    <w:p w14:paraId="58C8D71B" w14:textId="77777777" w:rsidR="00F06BEB" w:rsidRPr="001F446A" w:rsidRDefault="00C030B3" w:rsidP="00C030B3">
      <w:pPr>
        <w:spacing w:before="100" w:beforeAutospacing="1" w:after="100" w:afterAutospacing="1"/>
        <w:rPr>
          <w:rFonts w:asciiTheme="minorHAnsi" w:eastAsia="Times New Roman" w:hAnsiTheme="minorHAnsi" w:cs="Times New Roman"/>
          <w:szCs w:val="24"/>
        </w:rPr>
      </w:pPr>
      <w:r w:rsidRPr="001F446A">
        <w:rPr>
          <w:rFonts w:asciiTheme="minorHAnsi" w:eastAsia="Times New Roman" w:hAnsiTheme="minorHAnsi" w:cs="Times New Roman"/>
          <w:iCs/>
          <w:szCs w:val="24"/>
        </w:rPr>
        <w:t xml:space="preserve">           Estimated Out-of-Pocket Cost per Respondent: </w:t>
      </w:r>
      <w:r w:rsidRPr="001F446A">
        <w:rPr>
          <w:rFonts w:asciiTheme="minorHAnsi" w:eastAsia="Times New Roman" w:hAnsiTheme="minorHAnsi" w:cs="Times New Roman"/>
          <w:szCs w:val="24"/>
        </w:rPr>
        <w:t>$4,</w:t>
      </w:r>
      <w:r w:rsidR="00641168" w:rsidRPr="001F446A">
        <w:rPr>
          <w:rFonts w:asciiTheme="minorHAnsi" w:eastAsia="Times New Roman" w:hAnsiTheme="minorHAnsi" w:cs="Times New Roman"/>
          <w:szCs w:val="24"/>
        </w:rPr>
        <w:t>8</w:t>
      </w:r>
      <w:r w:rsidR="007A570E" w:rsidRPr="001F446A">
        <w:rPr>
          <w:rFonts w:asciiTheme="minorHAnsi" w:eastAsia="Times New Roman" w:hAnsiTheme="minorHAnsi" w:cs="Times New Roman"/>
          <w:szCs w:val="24"/>
        </w:rPr>
        <w:t>76</w:t>
      </w:r>
      <w:r w:rsidRPr="001F446A">
        <w:rPr>
          <w:rFonts w:asciiTheme="minorHAnsi" w:eastAsia="Times New Roman" w:hAnsiTheme="minorHAnsi" w:cs="Times New Roman"/>
          <w:szCs w:val="24"/>
        </w:rPr>
        <w:t>.</w:t>
      </w:r>
    </w:p>
    <w:p w14:paraId="2BF1037F" w14:textId="77777777" w:rsidR="00F06EBB" w:rsidRPr="001F446A" w:rsidRDefault="00F06EBB" w:rsidP="00F06EBB">
      <w:pPr>
        <w:spacing w:before="100" w:beforeAutospacing="1" w:after="100" w:afterAutospacing="1"/>
        <w:rPr>
          <w:rFonts w:asciiTheme="minorHAnsi" w:eastAsia="Times New Roman" w:hAnsiTheme="minorHAnsi" w:cs="Times New Roman"/>
          <w:iCs/>
          <w:szCs w:val="24"/>
        </w:rPr>
      </w:pPr>
      <w:r w:rsidRPr="001F446A">
        <w:rPr>
          <w:rFonts w:asciiTheme="minorHAnsi" w:eastAsia="Times New Roman" w:hAnsiTheme="minorHAnsi" w:cs="Times New Roman"/>
          <w:iCs/>
          <w:szCs w:val="24"/>
        </w:rPr>
        <w:t xml:space="preserve">Note: Out-of-pocket costs include money spent on paid preparer fees, tax preparation software, tax planning, postage, etc. </w:t>
      </w:r>
    </w:p>
    <w:p w14:paraId="581FED10" w14:textId="77777777" w:rsidR="00F06BEB" w:rsidRPr="001F446A" w:rsidRDefault="00F06BEB" w:rsidP="00C030B3">
      <w:pPr>
        <w:spacing w:before="100" w:beforeAutospacing="1" w:after="100" w:afterAutospacing="1"/>
        <w:rPr>
          <w:rFonts w:asciiTheme="minorHAnsi" w:eastAsia="Times New Roman" w:hAnsiTheme="minorHAnsi" w:cs="Times New Roman"/>
          <w:szCs w:val="24"/>
          <w:u w:val="single"/>
        </w:rPr>
      </w:pPr>
      <w:r w:rsidRPr="001F446A">
        <w:rPr>
          <w:rFonts w:asciiTheme="minorHAnsi" w:eastAsia="Times New Roman" w:hAnsiTheme="minorHAnsi" w:cs="Times New Roman"/>
          <w:iCs/>
          <w:szCs w:val="24"/>
        </w:rPr>
        <w:t xml:space="preserve">  </w:t>
      </w:r>
      <w:r w:rsidRPr="001F446A">
        <w:rPr>
          <w:rFonts w:asciiTheme="minorHAnsi" w:eastAsia="Times New Roman" w:hAnsiTheme="minorHAnsi" w:cs="Times New Roman"/>
          <w:szCs w:val="24"/>
        </w:rPr>
        <w:t>14.</w:t>
      </w:r>
      <w:r w:rsidRPr="001F446A">
        <w:rPr>
          <w:rFonts w:asciiTheme="minorHAnsi" w:eastAsia="Times New Roman" w:hAnsiTheme="minorHAnsi" w:cs="Times New Roman"/>
          <w:szCs w:val="24"/>
        </w:rPr>
        <w:tab/>
      </w:r>
      <w:r w:rsidRPr="001F446A">
        <w:rPr>
          <w:rFonts w:asciiTheme="minorHAnsi" w:eastAsia="Times New Roman" w:hAnsiTheme="minorHAnsi" w:cs="Times New Roman"/>
          <w:szCs w:val="24"/>
          <w:u w:val="single"/>
        </w:rPr>
        <w:t>ESTIMATED ANNUALIZED COST TO THE FEDERAL GOVERNMENT</w:t>
      </w:r>
    </w:p>
    <w:p w14:paraId="5BD6550E" w14:textId="77777777" w:rsidR="00F06BEB" w:rsidRPr="001F446A" w:rsidRDefault="00F06BEB" w:rsidP="00F06BEB">
      <w:pPr>
        <w:widowControl w:val="0"/>
        <w:tabs>
          <w:tab w:val="left" w:pos="-1440"/>
        </w:tabs>
        <w:autoSpaceDE w:val="0"/>
        <w:autoSpaceDN w:val="0"/>
        <w:adjustRightInd w:val="0"/>
        <w:rPr>
          <w:rFonts w:asciiTheme="minorHAnsi" w:eastAsia="Times New Roman" w:hAnsiTheme="minorHAnsi" w:cs="Times New Roman"/>
          <w:szCs w:val="24"/>
        </w:rPr>
      </w:pPr>
    </w:p>
    <w:p w14:paraId="4889D68C"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The burden estimation methodology relies on surveys that measure time and out-of-pocket costs that taxpayers spend on pre-filing and filing activities. The methodology establishes econometric relationships between tax return characteristics and reported compliance costs.</w:t>
      </w:r>
    </w:p>
    <w:p w14:paraId="6AF8983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5DF56521" w14:textId="77777777" w:rsidR="00F06BEB" w:rsidRPr="001F446A" w:rsidRDefault="00F06BEB" w:rsidP="00F06BEB">
      <w:pPr>
        <w:widowControl w:val="0"/>
        <w:autoSpaceDE w:val="0"/>
        <w:autoSpaceDN w:val="0"/>
        <w:adjustRightInd w:val="0"/>
        <w:jc w:val="both"/>
        <w:rPr>
          <w:rFonts w:asciiTheme="minorHAnsi" w:eastAsia="Times New Roman" w:hAnsiTheme="minorHAnsi" w:cs="Times New Roman"/>
          <w:szCs w:val="24"/>
        </w:rPr>
      </w:pPr>
      <w:r w:rsidRPr="001F446A">
        <w:rPr>
          <w:rFonts w:asciiTheme="minorHAnsi" w:eastAsia="Times New Roman" w:hAnsiTheme="minorHAnsi" w:cs="Times New Roman"/>
          <w:szCs w:val="24"/>
        </w:rPr>
        <w:t>The methodology controls for the substitution of time and money by monetizing time and reporting total compliance costs in dollars. This methodology better reflects taxpayer compliance burden, because in a world of electronic tax preparation, time and out-of-pocket costs of $48.5million are governed by the information required rather than the form on which it is ultimately reported.</w:t>
      </w:r>
    </w:p>
    <w:p w14:paraId="2A357E54"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613C2019"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5AA85924"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15.  </w:t>
      </w:r>
      <w:r w:rsidRPr="001F446A">
        <w:rPr>
          <w:rFonts w:asciiTheme="minorHAnsi" w:eastAsia="Times New Roman" w:hAnsiTheme="minorHAnsi" w:cs="Times New Roman"/>
          <w:szCs w:val="24"/>
          <w:u w:val="single"/>
        </w:rPr>
        <w:t>REASONS FOR CHANGE IN BURDEN</w:t>
      </w:r>
    </w:p>
    <w:p w14:paraId="07708FCD"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04495729" w14:textId="77777777" w:rsidR="000A456B" w:rsidRPr="001F446A" w:rsidRDefault="000A456B" w:rsidP="000A456B">
      <w:pPr>
        <w:pStyle w:val="NormalWeb"/>
        <w:shd w:val="clear" w:color="auto" w:fill="FFFFFF"/>
        <w:spacing w:before="0" w:beforeAutospacing="0" w:after="0" w:afterAutospacing="0"/>
        <w:rPr>
          <w:rFonts w:asciiTheme="minorHAnsi" w:hAnsiTheme="minorHAnsi"/>
          <w:color w:val="000000"/>
        </w:rPr>
      </w:pPr>
      <w:r w:rsidRPr="001F446A">
        <w:rPr>
          <w:rFonts w:asciiTheme="minorHAnsi" w:hAnsiTheme="minorHAnsi"/>
          <w:color w:val="000000"/>
        </w:rPr>
        <w:t>Data from the new Business Taxpayer Burden Model (BTBM) revise the estimates of the levels of burden experienced by business taxpayers when complying with the federal tax laws</w:t>
      </w:r>
      <w:r w:rsidR="00D25403" w:rsidRPr="001F446A">
        <w:rPr>
          <w:rFonts w:asciiTheme="minorHAnsi" w:hAnsiTheme="minorHAnsi"/>
          <w:color w:val="000000"/>
        </w:rPr>
        <w:t xml:space="preserve">. </w:t>
      </w:r>
      <w:r w:rsidRPr="001F446A">
        <w:rPr>
          <w:rFonts w:asciiTheme="minorHAnsi" w:hAnsiTheme="minorHAnsi"/>
          <w:color w:val="000000"/>
        </w:rPr>
        <w:t>The BTBM's approach to measuring burden focuses on the characteristics and activities of business taxpayers rather than the forms they use. Key determinants of taxpayer burden in the model are the type of entity, total assets, total receipts, and activities reported on the</w:t>
      </w:r>
      <w:r w:rsidR="00D25403" w:rsidRPr="001F446A">
        <w:rPr>
          <w:rFonts w:asciiTheme="minorHAnsi" w:hAnsiTheme="minorHAnsi"/>
          <w:color w:val="000000"/>
        </w:rPr>
        <w:t xml:space="preserve"> </w:t>
      </w:r>
      <w:r w:rsidRPr="001F446A">
        <w:rPr>
          <w:rFonts w:asciiTheme="minorHAnsi" w:hAnsiTheme="minorHAnsi"/>
          <w:color w:val="000000"/>
        </w:rPr>
        <w:t xml:space="preserve">tax return (income, deductions, credits, etc.). </w:t>
      </w:r>
    </w:p>
    <w:p w14:paraId="0CA16F67" w14:textId="77777777" w:rsidR="000A456B" w:rsidRPr="001F446A" w:rsidRDefault="000A456B" w:rsidP="000A456B">
      <w:pPr>
        <w:pStyle w:val="NormalWeb"/>
        <w:shd w:val="clear" w:color="auto" w:fill="FFFFFF"/>
        <w:spacing w:before="0" w:beforeAutospacing="0" w:after="0" w:afterAutospacing="0"/>
        <w:rPr>
          <w:rFonts w:asciiTheme="minorHAnsi" w:hAnsiTheme="minorHAnsi"/>
          <w:color w:val="000000"/>
          <w:sz w:val="18"/>
          <w:szCs w:val="18"/>
        </w:rPr>
      </w:pPr>
    </w:p>
    <w:p w14:paraId="283B7C0A" w14:textId="77777777" w:rsidR="000A456B" w:rsidRPr="001F446A" w:rsidRDefault="000A456B" w:rsidP="000A456B">
      <w:pPr>
        <w:pStyle w:val="NormalWeb"/>
        <w:shd w:val="clear" w:color="auto" w:fill="FFFFFF"/>
        <w:spacing w:before="0" w:beforeAutospacing="0" w:after="0" w:afterAutospacing="0"/>
        <w:rPr>
          <w:rFonts w:asciiTheme="minorHAnsi" w:hAnsiTheme="minorHAnsi"/>
          <w:color w:val="000000"/>
        </w:rPr>
      </w:pPr>
      <w:r w:rsidRPr="001F446A">
        <w:rPr>
          <w:rFonts w:asciiTheme="minorHAnsi" w:hAnsiTheme="minorHAnsi"/>
          <w:color w:val="000000"/>
        </w:rPr>
        <w:t xml:space="preserve">The </w:t>
      </w:r>
      <w:r w:rsidR="002A1C77" w:rsidRPr="001F446A">
        <w:rPr>
          <w:rFonts w:asciiTheme="minorHAnsi" w:hAnsiTheme="minorHAnsi"/>
          <w:color w:val="000000"/>
        </w:rPr>
        <w:t>3</w:t>
      </w:r>
      <w:r w:rsidRPr="001F446A">
        <w:rPr>
          <w:rFonts w:asciiTheme="minorHAnsi" w:hAnsiTheme="minorHAnsi"/>
          <w:color w:val="000000"/>
        </w:rPr>
        <w:t>.</w:t>
      </w:r>
      <w:r w:rsidR="002A1C77" w:rsidRPr="001F446A">
        <w:rPr>
          <w:rFonts w:asciiTheme="minorHAnsi" w:hAnsiTheme="minorHAnsi"/>
          <w:color w:val="000000"/>
        </w:rPr>
        <w:t>040</w:t>
      </w:r>
      <w:r w:rsidRPr="001F446A">
        <w:rPr>
          <w:rFonts w:asciiTheme="minorHAnsi" w:hAnsiTheme="minorHAnsi"/>
          <w:color w:val="000000"/>
        </w:rPr>
        <w:t xml:space="preserve"> billion estimated burden hours are allocated between the reporting of information of </w:t>
      </w:r>
      <w:r w:rsidR="001F446A">
        <w:rPr>
          <w:rFonts w:asciiTheme="minorHAnsi" w:hAnsiTheme="minorHAnsi"/>
          <w:color w:val="000000"/>
        </w:rPr>
        <w:t>2.</w:t>
      </w:r>
      <w:r w:rsidR="00FC625F">
        <w:rPr>
          <w:rFonts w:asciiTheme="minorHAnsi" w:hAnsiTheme="minorHAnsi"/>
          <w:color w:val="000000"/>
        </w:rPr>
        <w:t>03</w:t>
      </w:r>
      <w:r w:rsidRPr="001F446A">
        <w:rPr>
          <w:rFonts w:asciiTheme="minorHAnsi" w:hAnsiTheme="minorHAnsi"/>
          <w:color w:val="000000"/>
        </w:rPr>
        <w:t xml:space="preserve"> billion and record keeping of </w:t>
      </w:r>
      <w:r w:rsidR="00FC625F">
        <w:rPr>
          <w:rFonts w:asciiTheme="minorHAnsi" w:hAnsiTheme="minorHAnsi"/>
          <w:color w:val="000000"/>
        </w:rPr>
        <w:t>100</w:t>
      </w:r>
      <w:r w:rsidRPr="001F446A">
        <w:rPr>
          <w:rFonts w:asciiTheme="minorHAnsi" w:hAnsiTheme="minorHAnsi"/>
          <w:color w:val="000000"/>
        </w:rPr>
        <w:t>.</w:t>
      </w:r>
      <w:r w:rsidR="001F446A">
        <w:rPr>
          <w:rFonts w:asciiTheme="minorHAnsi" w:hAnsiTheme="minorHAnsi"/>
          <w:color w:val="000000"/>
        </w:rPr>
        <w:t>6</w:t>
      </w:r>
      <w:r w:rsidRPr="001F446A">
        <w:rPr>
          <w:rFonts w:asciiTheme="minorHAnsi" w:hAnsiTheme="minorHAnsi"/>
          <w:color w:val="000000"/>
        </w:rPr>
        <w:t xml:space="preserve"> million. The increase in total annual burden is reflective of the increased number of respondents of </w:t>
      </w:r>
      <w:r w:rsidR="002A1C77" w:rsidRPr="001F446A">
        <w:rPr>
          <w:rFonts w:asciiTheme="minorHAnsi" w:hAnsiTheme="minorHAnsi"/>
          <w:color w:val="000000"/>
        </w:rPr>
        <w:t>1</w:t>
      </w:r>
      <w:r w:rsidRPr="001F446A">
        <w:rPr>
          <w:rFonts w:asciiTheme="minorHAnsi" w:hAnsiTheme="minorHAnsi"/>
          <w:color w:val="000000"/>
        </w:rPr>
        <w:t>00,000 from the previous approval of this collection. The increases have been included in Tables 1, 2, and 3 in Question 12 above.</w:t>
      </w:r>
    </w:p>
    <w:p w14:paraId="0D125943" w14:textId="77777777" w:rsidR="00827BA6" w:rsidRPr="001F446A" w:rsidRDefault="00827BA6" w:rsidP="00F06BEB">
      <w:pPr>
        <w:spacing w:before="100" w:beforeAutospacing="1" w:after="100" w:afterAutospacing="1"/>
        <w:rPr>
          <w:rFonts w:asciiTheme="minorHAnsi" w:eastAsia="Times New Roman" w:hAnsiTheme="minorHAnsi" w:cs="Times New Roman"/>
          <w:szCs w:val="24"/>
        </w:rPr>
      </w:pPr>
    </w:p>
    <w:p w14:paraId="13F719B6"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09A221B4"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16.  </w:t>
      </w:r>
      <w:r w:rsidRPr="001F446A">
        <w:rPr>
          <w:rFonts w:asciiTheme="minorHAnsi" w:eastAsia="Times New Roman" w:hAnsiTheme="minorHAnsi" w:cs="Times New Roman"/>
          <w:szCs w:val="24"/>
          <w:u w:val="single"/>
        </w:rPr>
        <w:t>PLANS FOR TABULATION, STATISTICAL ANALYSIS AND PUBLICATION</w:t>
      </w:r>
    </w:p>
    <w:p w14:paraId="2BF3ADEA"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3E63B456" w14:textId="77777777" w:rsidR="00AB1039" w:rsidRPr="001F446A" w:rsidRDefault="00AB1039" w:rsidP="00AB1039">
      <w:pPr>
        <w:pStyle w:val="NormalWeb"/>
        <w:shd w:val="clear" w:color="auto" w:fill="FFFFFF"/>
        <w:spacing w:before="0" w:beforeAutospacing="0" w:after="0" w:afterAutospacing="0"/>
        <w:rPr>
          <w:rFonts w:asciiTheme="minorHAnsi" w:hAnsiTheme="minorHAnsi"/>
          <w:color w:val="000000"/>
        </w:rPr>
      </w:pPr>
      <w:r w:rsidRPr="001F446A">
        <w:rPr>
          <w:rFonts w:asciiTheme="minorHAnsi" w:hAnsiTheme="minorHAnsi"/>
          <w:color w:val="221E1F"/>
          <w:bdr w:val="none" w:sz="0" w:space="0" w:color="auto" w:frame="1"/>
        </w:rPr>
        <w:t xml:space="preserve">The intent of this collection is to collect data in areas of income, gains, losses, deductions, credits, and to figure the income tax liability </w:t>
      </w:r>
      <w:r w:rsidR="00D25403" w:rsidRPr="001F446A">
        <w:rPr>
          <w:rFonts w:asciiTheme="minorHAnsi" w:hAnsiTheme="minorHAnsi"/>
          <w:color w:val="221E1F"/>
          <w:bdr w:val="none" w:sz="0" w:space="0" w:color="auto" w:frame="1"/>
        </w:rPr>
        <w:t>of a business taxpayer</w:t>
      </w:r>
      <w:r w:rsidRPr="001F446A">
        <w:rPr>
          <w:rFonts w:asciiTheme="minorHAnsi" w:hAnsiTheme="minorHAnsi"/>
          <w:color w:val="221E1F"/>
          <w:bdr w:val="none" w:sz="0" w:space="0" w:color="auto" w:frame="1"/>
        </w:rPr>
        <w:t>.</w:t>
      </w:r>
    </w:p>
    <w:p w14:paraId="120A2847" w14:textId="13E3254E"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2AB7E7E3"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6C47BCDD" w14:textId="77777777" w:rsidR="00F06BEB" w:rsidRPr="001F446A" w:rsidRDefault="000061D4" w:rsidP="00F06BEB">
      <w:pPr>
        <w:widowControl w:val="0"/>
        <w:tabs>
          <w:tab w:val="left" w:pos="-1440"/>
        </w:tabs>
        <w:autoSpaceDE w:val="0"/>
        <w:autoSpaceDN w:val="0"/>
        <w:adjustRightInd w:val="0"/>
        <w:outlineLvl w:val="0"/>
        <w:rPr>
          <w:rFonts w:asciiTheme="minorHAnsi" w:eastAsia="Times New Roman" w:hAnsiTheme="minorHAnsi" w:cs="Times New Roman"/>
          <w:szCs w:val="24"/>
          <w:u w:val="single"/>
        </w:rPr>
      </w:pPr>
      <w:r w:rsidRPr="001F446A">
        <w:rPr>
          <w:rFonts w:asciiTheme="minorHAnsi" w:eastAsia="Times New Roman" w:hAnsiTheme="minorHAnsi" w:cs="Times New Roman"/>
          <w:szCs w:val="24"/>
        </w:rPr>
        <w:t>17.</w:t>
      </w:r>
      <w:r w:rsidRPr="001F446A">
        <w:rPr>
          <w:rFonts w:asciiTheme="minorHAnsi" w:eastAsia="Times New Roman" w:hAnsiTheme="minorHAnsi" w:cs="Times New Roman"/>
          <w:szCs w:val="24"/>
          <w:u w:val="single"/>
        </w:rPr>
        <w:t xml:space="preserve"> </w:t>
      </w:r>
      <w:r w:rsidR="00F06BEB" w:rsidRPr="001F446A">
        <w:rPr>
          <w:rFonts w:asciiTheme="minorHAnsi" w:eastAsia="Times New Roman" w:hAnsiTheme="minorHAnsi" w:cs="Times New Roman"/>
          <w:szCs w:val="24"/>
          <w:u w:val="single"/>
        </w:rPr>
        <w:t>REASONS WHY DISPLAYING THE OMB EXPIRATION DATE IS INAPPROPRIATE</w:t>
      </w:r>
    </w:p>
    <w:p w14:paraId="17255C7B"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22127F25" w14:textId="1BEB4BCF" w:rsidR="00F06BEB" w:rsidRPr="00B10431" w:rsidRDefault="000C5ACB" w:rsidP="00F06BEB">
      <w:pPr>
        <w:widowControl w:val="0"/>
        <w:autoSpaceDE w:val="0"/>
        <w:autoSpaceDN w:val="0"/>
        <w:adjustRightInd w:val="0"/>
        <w:rPr>
          <w:rFonts w:asciiTheme="minorHAnsi" w:hAnsiTheme="minorHAnsi"/>
          <w:szCs w:val="24"/>
        </w:rPr>
      </w:pPr>
      <w:r w:rsidRPr="00E36BAE">
        <w:rPr>
          <w:rFonts w:asciiTheme="minorHAnsi" w:hAnsiTheme="minorHAnsi"/>
          <w:szCs w:val="24"/>
        </w:rPr>
        <w:t>We believe that displaying the OMB expiration date is inappropriate because it could cause confusion by leading taxpayers to believe that the forms sunset as of the expiration date.  Taxpayers are not likely to be aware that the Service intends to request renewal of the OMB approval and obtain a new expiration date before the old one expires.</w:t>
      </w:r>
    </w:p>
    <w:p w14:paraId="0C2A294A" w14:textId="77777777" w:rsidR="009758D1" w:rsidRPr="001F446A" w:rsidRDefault="009758D1" w:rsidP="00F06BEB">
      <w:pPr>
        <w:widowControl w:val="0"/>
        <w:autoSpaceDE w:val="0"/>
        <w:autoSpaceDN w:val="0"/>
        <w:adjustRightInd w:val="0"/>
        <w:rPr>
          <w:rFonts w:asciiTheme="minorHAnsi" w:eastAsia="Times New Roman" w:hAnsiTheme="minorHAnsi" w:cs="Times New Roman"/>
          <w:szCs w:val="24"/>
        </w:rPr>
      </w:pPr>
    </w:p>
    <w:p w14:paraId="3AA47B78" w14:textId="77777777" w:rsidR="00F06BEB" w:rsidRPr="001F446A" w:rsidRDefault="000061D4" w:rsidP="00F06BEB">
      <w:pPr>
        <w:widowControl w:val="0"/>
        <w:tabs>
          <w:tab w:val="left" w:pos="-1440"/>
        </w:tabs>
        <w:autoSpaceDE w:val="0"/>
        <w:autoSpaceDN w:val="0"/>
        <w:adjustRightInd w:val="0"/>
        <w:outlineLvl w:val="0"/>
        <w:rPr>
          <w:rFonts w:asciiTheme="minorHAnsi" w:eastAsia="Times New Roman" w:hAnsiTheme="minorHAnsi" w:cs="Times New Roman"/>
          <w:szCs w:val="24"/>
          <w:u w:val="single"/>
        </w:rPr>
      </w:pPr>
      <w:r w:rsidRPr="001F446A">
        <w:rPr>
          <w:rFonts w:asciiTheme="minorHAnsi" w:eastAsia="Times New Roman" w:hAnsiTheme="minorHAnsi" w:cs="Times New Roman"/>
          <w:szCs w:val="24"/>
        </w:rPr>
        <w:t>18.</w:t>
      </w:r>
      <w:r w:rsidRPr="001F446A">
        <w:rPr>
          <w:rFonts w:asciiTheme="minorHAnsi" w:eastAsia="Times New Roman" w:hAnsiTheme="minorHAnsi" w:cs="Times New Roman"/>
          <w:szCs w:val="24"/>
          <w:u w:val="single"/>
        </w:rPr>
        <w:t xml:space="preserve"> </w:t>
      </w:r>
      <w:r w:rsidR="00F06BEB" w:rsidRPr="001F446A">
        <w:rPr>
          <w:rFonts w:asciiTheme="minorHAnsi" w:eastAsia="Times New Roman" w:hAnsiTheme="minorHAnsi" w:cs="Times New Roman"/>
          <w:szCs w:val="24"/>
          <w:u w:val="single"/>
        </w:rPr>
        <w:t xml:space="preserve">EXCEPTIONS TO THE CERTIFICATION STATEMENT </w:t>
      </w:r>
    </w:p>
    <w:p w14:paraId="532179F1"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464FFA1A" w14:textId="77777777" w:rsidR="00F06BEB" w:rsidRPr="001F446A" w:rsidRDefault="009215CE"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There are no exceptions </w:t>
      </w:r>
      <w:r w:rsidR="00CE59CE" w:rsidRPr="001F446A">
        <w:rPr>
          <w:rFonts w:asciiTheme="minorHAnsi" w:eastAsia="Times New Roman" w:hAnsiTheme="minorHAnsi" w:cs="Times New Roman"/>
          <w:szCs w:val="24"/>
        </w:rPr>
        <w:t>to</w:t>
      </w:r>
      <w:r w:rsidRPr="001F446A">
        <w:rPr>
          <w:rFonts w:asciiTheme="minorHAnsi" w:eastAsia="Times New Roman" w:hAnsiTheme="minorHAnsi" w:cs="Times New Roman"/>
          <w:szCs w:val="24"/>
        </w:rPr>
        <w:t xml:space="preserve"> the certification statement</w:t>
      </w:r>
      <w:r w:rsidR="00F06BEB" w:rsidRPr="001F446A">
        <w:rPr>
          <w:rFonts w:asciiTheme="minorHAnsi" w:eastAsia="Times New Roman" w:hAnsiTheme="minorHAnsi" w:cs="Times New Roman"/>
          <w:szCs w:val="24"/>
        </w:rPr>
        <w:t>.</w:t>
      </w:r>
    </w:p>
    <w:p w14:paraId="053A9256"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330CAD62"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bCs/>
          <w:szCs w:val="24"/>
          <w:u w:val="single"/>
        </w:rPr>
        <w:t>Note:</w:t>
      </w:r>
      <w:r w:rsidRPr="001F446A">
        <w:rPr>
          <w:rFonts w:asciiTheme="minorHAnsi" w:eastAsia="Times New Roman" w:hAnsiTheme="minorHAnsi" w:cs="Times New Roman"/>
          <w:szCs w:val="24"/>
        </w:rPr>
        <w:t xml:space="preserve">  The following paragraph applies to all of the collections of information in this submission:</w:t>
      </w:r>
    </w:p>
    <w:p w14:paraId="08644EAA"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p>
    <w:p w14:paraId="0B2A7CDE" w14:textId="77777777" w:rsidR="00F06BEB" w:rsidRPr="001F446A" w:rsidRDefault="00F06BEB" w:rsidP="00F06BEB">
      <w:pPr>
        <w:widowControl w:val="0"/>
        <w:autoSpaceDE w:val="0"/>
        <w:autoSpaceDN w:val="0"/>
        <w:adjustRightInd w:val="0"/>
        <w:rPr>
          <w:rFonts w:asciiTheme="minorHAnsi" w:eastAsia="Times New Roman" w:hAnsiTheme="minorHAnsi" w:cs="Times New Roman"/>
          <w:szCs w:val="24"/>
        </w:rPr>
      </w:pPr>
      <w:r w:rsidRPr="001F446A">
        <w:rPr>
          <w:rFonts w:asciiTheme="minorHAnsi" w:eastAsia="Times New Roman" w:hAnsiTheme="minorHAnsi" w:cs="Times New Roman"/>
          <w:szCs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14:paraId="757BBA46" w14:textId="77777777" w:rsidR="00E378C3" w:rsidRDefault="00E378C3" w:rsidP="00F92B3F">
      <w:pPr>
        <w:widowControl w:val="0"/>
        <w:autoSpaceDE w:val="0"/>
        <w:autoSpaceDN w:val="0"/>
        <w:adjustRightInd w:val="0"/>
        <w:jc w:val="center"/>
      </w:pPr>
    </w:p>
    <w:sectPr w:rsidR="00E378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99949" w14:textId="77777777" w:rsidR="00090EBC" w:rsidRDefault="00090EBC" w:rsidP="00F06BEB">
      <w:r>
        <w:separator/>
      </w:r>
    </w:p>
  </w:endnote>
  <w:endnote w:type="continuationSeparator" w:id="0">
    <w:p w14:paraId="3D6D8A1B" w14:textId="77777777" w:rsidR="00090EBC" w:rsidRDefault="00090EBC" w:rsidP="00F06BEB">
      <w:r>
        <w:continuationSeparator/>
      </w:r>
    </w:p>
  </w:endnote>
  <w:endnote w:type="continuationNotice" w:id="1">
    <w:p w14:paraId="7FFC9610" w14:textId="77777777" w:rsidR="00090EBC" w:rsidRDefault="00090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COIO M+ 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E82B5" w14:textId="77777777" w:rsidR="00703ECB" w:rsidRDefault="00703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2BB2B" w14:textId="77777777" w:rsidR="00F92B3F" w:rsidRDefault="00F92B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E9673" w14:textId="77777777" w:rsidR="00703ECB" w:rsidRDefault="00703E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CD53E" w14:textId="77777777" w:rsidR="00F92B3F" w:rsidRDefault="00F92B3F">
    <w:pPr>
      <w:spacing w:line="240" w:lineRule="exact"/>
    </w:pPr>
  </w:p>
  <w:p w14:paraId="702D892E" w14:textId="15A7F31F" w:rsidR="00F92B3F" w:rsidRDefault="00F92B3F">
    <w:pPr>
      <w:framePr w:w="9361" w:wrap="notBeside" w:vAnchor="text" w:hAnchor="text" w:x="1" w:y="1"/>
      <w:jc w:val="center"/>
    </w:pPr>
    <w:r>
      <w:fldChar w:fldCharType="begin"/>
    </w:r>
    <w:r>
      <w:instrText xml:space="preserve">PAGE </w:instrText>
    </w:r>
    <w:r>
      <w:fldChar w:fldCharType="separate"/>
    </w:r>
    <w:r w:rsidR="00C21427">
      <w:rPr>
        <w:noProof/>
      </w:rPr>
      <w:t>23</w:t>
    </w:r>
    <w:r>
      <w:fldChar w:fldCharType="end"/>
    </w:r>
  </w:p>
  <w:p w14:paraId="1DF4ABDD" w14:textId="77777777" w:rsidR="00F92B3F" w:rsidRDefault="00F92B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D9C2D" w14:textId="77777777" w:rsidR="00090EBC" w:rsidRDefault="00090EBC" w:rsidP="00F06BEB">
      <w:r>
        <w:separator/>
      </w:r>
    </w:p>
  </w:footnote>
  <w:footnote w:type="continuationSeparator" w:id="0">
    <w:p w14:paraId="7B9C8CC3" w14:textId="77777777" w:rsidR="00090EBC" w:rsidRDefault="00090EBC" w:rsidP="00F06BEB">
      <w:r>
        <w:continuationSeparator/>
      </w:r>
    </w:p>
  </w:footnote>
  <w:footnote w:type="continuationNotice" w:id="1">
    <w:p w14:paraId="52C24879" w14:textId="77777777" w:rsidR="00090EBC" w:rsidRDefault="00090E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32C12" w14:textId="77777777" w:rsidR="00703ECB" w:rsidRDefault="00703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39D73" w14:textId="77777777" w:rsidR="00F92B3F" w:rsidRDefault="00F92B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8FDB" w14:textId="77777777" w:rsidR="00703ECB" w:rsidRDefault="00703E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38C46475"/>
    <w:multiLevelType w:val="hybridMultilevel"/>
    <w:tmpl w:val="AF5C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5">
    <w:nsid w:val="7A990621"/>
    <w:multiLevelType w:val="hybridMultilevel"/>
    <w:tmpl w:val="07AA4A36"/>
    <w:lvl w:ilvl="0" w:tplc="229E5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5"/>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EB"/>
    <w:rsid w:val="00000B7E"/>
    <w:rsid w:val="000061D4"/>
    <w:rsid w:val="000246E0"/>
    <w:rsid w:val="0003279C"/>
    <w:rsid w:val="000466ED"/>
    <w:rsid w:val="0007286B"/>
    <w:rsid w:val="000811FE"/>
    <w:rsid w:val="00087869"/>
    <w:rsid w:val="00090EBC"/>
    <w:rsid w:val="00097E26"/>
    <w:rsid w:val="000A03B5"/>
    <w:rsid w:val="000A3BFC"/>
    <w:rsid w:val="000A456B"/>
    <w:rsid w:val="000B2001"/>
    <w:rsid w:val="000B31FF"/>
    <w:rsid w:val="000B70DC"/>
    <w:rsid w:val="000C5ACB"/>
    <w:rsid w:val="000D0C48"/>
    <w:rsid w:val="000D36BE"/>
    <w:rsid w:val="000E0015"/>
    <w:rsid w:val="000E49B9"/>
    <w:rsid w:val="000F3E0D"/>
    <w:rsid w:val="00103721"/>
    <w:rsid w:val="001044CB"/>
    <w:rsid w:val="00115CCF"/>
    <w:rsid w:val="0012003B"/>
    <w:rsid w:val="00143EF4"/>
    <w:rsid w:val="0015047D"/>
    <w:rsid w:val="0016746A"/>
    <w:rsid w:val="00180D26"/>
    <w:rsid w:val="00182D28"/>
    <w:rsid w:val="001C6C23"/>
    <w:rsid w:val="001F06BC"/>
    <w:rsid w:val="001F37E9"/>
    <w:rsid w:val="001F3F0D"/>
    <w:rsid w:val="001F446A"/>
    <w:rsid w:val="00201642"/>
    <w:rsid w:val="00203627"/>
    <w:rsid w:val="00211A55"/>
    <w:rsid w:val="00220547"/>
    <w:rsid w:val="00232703"/>
    <w:rsid w:val="00294B99"/>
    <w:rsid w:val="002A1C77"/>
    <w:rsid w:val="002B50BB"/>
    <w:rsid w:val="002C0BA0"/>
    <w:rsid w:val="002C3406"/>
    <w:rsid w:val="002C7D9B"/>
    <w:rsid w:val="002D2D32"/>
    <w:rsid w:val="002E0615"/>
    <w:rsid w:val="002F09D8"/>
    <w:rsid w:val="002F1C44"/>
    <w:rsid w:val="003004C6"/>
    <w:rsid w:val="00302D8B"/>
    <w:rsid w:val="00311623"/>
    <w:rsid w:val="00321AEE"/>
    <w:rsid w:val="00350702"/>
    <w:rsid w:val="0035370E"/>
    <w:rsid w:val="003B0840"/>
    <w:rsid w:val="003B521F"/>
    <w:rsid w:val="003B5F9D"/>
    <w:rsid w:val="003B7D16"/>
    <w:rsid w:val="003E0EC5"/>
    <w:rsid w:val="003F08FB"/>
    <w:rsid w:val="00416109"/>
    <w:rsid w:val="00417B6B"/>
    <w:rsid w:val="00435B6F"/>
    <w:rsid w:val="0043757D"/>
    <w:rsid w:val="0045533B"/>
    <w:rsid w:val="00467CC1"/>
    <w:rsid w:val="00481539"/>
    <w:rsid w:val="004857FD"/>
    <w:rsid w:val="00486CE4"/>
    <w:rsid w:val="004C6311"/>
    <w:rsid w:val="004D63DD"/>
    <w:rsid w:val="004E4E99"/>
    <w:rsid w:val="004E58D5"/>
    <w:rsid w:val="004E75B3"/>
    <w:rsid w:val="004F5552"/>
    <w:rsid w:val="004F786D"/>
    <w:rsid w:val="0050213D"/>
    <w:rsid w:val="005072A9"/>
    <w:rsid w:val="005248B3"/>
    <w:rsid w:val="00533BEE"/>
    <w:rsid w:val="00546DF8"/>
    <w:rsid w:val="00556C6F"/>
    <w:rsid w:val="0058347F"/>
    <w:rsid w:val="00585D0E"/>
    <w:rsid w:val="005952F0"/>
    <w:rsid w:val="005A3D02"/>
    <w:rsid w:val="005B3327"/>
    <w:rsid w:val="005C0385"/>
    <w:rsid w:val="005C151E"/>
    <w:rsid w:val="005C2028"/>
    <w:rsid w:val="005D2B1B"/>
    <w:rsid w:val="005E30C9"/>
    <w:rsid w:val="005F1CEE"/>
    <w:rsid w:val="006157CB"/>
    <w:rsid w:val="006178CF"/>
    <w:rsid w:val="00632CD1"/>
    <w:rsid w:val="00635F5D"/>
    <w:rsid w:val="00641168"/>
    <w:rsid w:val="00656A04"/>
    <w:rsid w:val="00656E45"/>
    <w:rsid w:val="00667887"/>
    <w:rsid w:val="00682DE3"/>
    <w:rsid w:val="006948E7"/>
    <w:rsid w:val="006E6E4B"/>
    <w:rsid w:val="006F0E17"/>
    <w:rsid w:val="006F721A"/>
    <w:rsid w:val="007002E0"/>
    <w:rsid w:val="00703C15"/>
    <w:rsid w:val="00703ECB"/>
    <w:rsid w:val="0071117C"/>
    <w:rsid w:val="00721C84"/>
    <w:rsid w:val="00732539"/>
    <w:rsid w:val="007543AB"/>
    <w:rsid w:val="00754D08"/>
    <w:rsid w:val="0078753E"/>
    <w:rsid w:val="00787966"/>
    <w:rsid w:val="007A3224"/>
    <w:rsid w:val="007A570E"/>
    <w:rsid w:val="007C1589"/>
    <w:rsid w:val="007D03E2"/>
    <w:rsid w:val="00821D37"/>
    <w:rsid w:val="0082526C"/>
    <w:rsid w:val="00827BA6"/>
    <w:rsid w:val="008624F9"/>
    <w:rsid w:val="00862B76"/>
    <w:rsid w:val="00877C8D"/>
    <w:rsid w:val="00893BAD"/>
    <w:rsid w:val="008A588F"/>
    <w:rsid w:val="008B6AE7"/>
    <w:rsid w:val="008C4AF5"/>
    <w:rsid w:val="008D28AF"/>
    <w:rsid w:val="008D5F7B"/>
    <w:rsid w:val="008E3494"/>
    <w:rsid w:val="008F30EE"/>
    <w:rsid w:val="008F6EB3"/>
    <w:rsid w:val="00903F00"/>
    <w:rsid w:val="00905AE7"/>
    <w:rsid w:val="00907655"/>
    <w:rsid w:val="009107E7"/>
    <w:rsid w:val="00914A59"/>
    <w:rsid w:val="009215CE"/>
    <w:rsid w:val="00925C82"/>
    <w:rsid w:val="009263CE"/>
    <w:rsid w:val="00936525"/>
    <w:rsid w:val="00951721"/>
    <w:rsid w:val="0096065B"/>
    <w:rsid w:val="00960AAC"/>
    <w:rsid w:val="00966FFB"/>
    <w:rsid w:val="00975535"/>
    <w:rsid w:val="009758D1"/>
    <w:rsid w:val="00980EDB"/>
    <w:rsid w:val="00986A8A"/>
    <w:rsid w:val="009A79D8"/>
    <w:rsid w:val="009E10FA"/>
    <w:rsid w:val="009F2364"/>
    <w:rsid w:val="009F4A94"/>
    <w:rsid w:val="009F5999"/>
    <w:rsid w:val="009F67EF"/>
    <w:rsid w:val="00A04650"/>
    <w:rsid w:val="00A1338D"/>
    <w:rsid w:val="00A748EB"/>
    <w:rsid w:val="00A766D0"/>
    <w:rsid w:val="00AA0AF6"/>
    <w:rsid w:val="00AB1039"/>
    <w:rsid w:val="00AC5180"/>
    <w:rsid w:val="00AD3848"/>
    <w:rsid w:val="00B04EA5"/>
    <w:rsid w:val="00B10431"/>
    <w:rsid w:val="00B16120"/>
    <w:rsid w:val="00B2284B"/>
    <w:rsid w:val="00B22A1C"/>
    <w:rsid w:val="00B34516"/>
    <w:rsid w:val="00B3586B"/>
    <w:rsid w:val="00B84647"/>
    <w:rsid w:val="00B87CAC"/>
    <w:rsid w:val="00B90A15"/>
    <w:rsid w:val="00B93566"/>
    <w:rsid w:val="00B95DE7"/>
    <w:rsid w:val="00BA055F"/>
    <w:rsid w:val="00BA4DD7"/>
    <w:rsid w:val="00BA5770"/>
    <w:rsid w:val="00BB2AD7"/>
    <w:rsid w:val="00BD619C"/>
    <w:rsid w:val="00BD7134"/>
    <w:rsid w:val="00BE18C1"/>
    <w:rsid w:val="00C030B3"/>
    <w:rsid w:val="00C11A92"/>
    <w:rsid w:val="00C15740"/>
    <w:rsid w:val="00C21427"/>
    <w:rsid w:val="00C336E6"/>
    <w:rsid w:val="00C506FB"/>
    <w:rsid w:val="00C513B2"/>
    <w:rsid w:val="00C605C9"/>
    <w:rsid w:val="00C678C3"/>
    <w:rsid w:val="00C74712"/>
    <w:rsid w:val="00C7555D"/>
    <w:rsid w:val="00C944BB"/>
    <w:rsid w:val="00CA1087"/>
    <w:rsid w:val="00CB3026"/>
    <w:rsid w:val="00CC2F91"/>
    <w:rsid w:val="00CC356E"/>
    <w:rsid w:val="00CD2E8F"/>
    <w:rsid w:val="00CE59CE"/>
    <w:rsid w:val="00CF3296"/>
    <w:rsid w:val="00D0205C"/>
    <w:rsid w:val="00D05F99"/>
    <w:rsid w:val="00D13B22"/>
    <w:rsid w:val="00D25403"/>
    <w:rsid w:val="00D309A4"/>
    <w:rsid w:val="00D34966"/>
    <w:rsid w:val="00D42243"/>
    <w:rsid w:val="00D51AB4"/>
    <w:rsid w:val="00D6388D"/>
    <w:rsid w:val="00D66054"/>
    <w:rsid w:val="00D661AD"/>
    <w:rsid w:val="00D66A27"/>
    <w:rsid w:val="00D67BCE"/>
    <w:rsid w:val="00D711E4"/>
    <w:rsid w:val="00D80F5B"/>
    <w:rsid w:val="00D826F9"/>
    <w:rsid w:val="00D92089"/>
    <w:rsid w:val="00D93C3B"/>
    <w:rsid w:val="00DB026F"/>
    <w:rsid w:val="00DC737C"/>
    <w:rsid w:val="00DE49F2"/>
    <w:rsid w:val="00E023E4"/>
    <w:rsid w:val="00E0315D"/>
    <w:rsid w:val="00E0389E"/>
    <w:rsid w:val="00E150C5"/>
    <w:rsid w:val="00E22018"/>
    <w:rsid w:val="00E36BAE"/>
    <w:rsid w:val="00E378C3"/>
    <w:rsid w:val="00E44B88"/>
    <w:rsid w:val="00E4625A"/>
    <w:rsid w:val="00E464BD"/>
    <w:rsid w:val="00E564A6"/>
    <w:rsid w:val="00E65CD9"/>
    <w:rsid w:val="00E7273F"/>
    <w:rsid w:val="00E74359"/>
    <w:rsid w:val="00E8326D"/>
    <w:rsid w:val="00EA7610"/>
    <w:rsid w:val="00EB7931"/>
    <w:rsid w:val="00EC110C"/>
    <w:rsid w:val="00F06BEB"/>
    <w:rsid w:val="00F06EBB"/>
    <w:rsid w:val="00F10218"/>
    <w:rsid w:val="00F36EDA"/>
    <w:rsid w:val="00F86E03"/>
    <w:rsid w:val="00F9032C"/>
    <w:rsid w:val="00F92B3F"/>
    <w:rsid w:val="00FC1A92"/>
    <w:rsid w:val="00FC1B4C"/>
    <w:rsid w:val="00FC625F"/>
    <w:rsid w:val="00FC7451"/>
    <w:rsid w:val="00FE7D53"/>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06BEB"/>
    <w:rPr>
      <w:b/>
      <w:bCs/>
    </w:rPr>
  </w:style>
  <w:style w:type="character" w:customStyle="1" w:styleId="CommentSubjectChar">
    <w:name w:val="Comment Subject Char"/>
    <w:basedOn w:val="CommentTextChar"/>
    <w:link w:val="CommentSubject"/>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 w:type="paragraph" w:styleId="Header">
    <w:name w:val="header"/>
    <w:basedOn w:val="Normal"/>
    <w:link w:val="HeaderChar"/>
    <w:uiPriority w:val="99"/>
    <w:unhideWhenUsed/>
    <w:rsid w:val="00F92B3F"/>
    <w:pPr>
      <w:tabs>
        <w:tab w:val="center" w:pos="4680"/>
        <w:tab w:val="right" w:pos="9360"/>
      </w:tabs>
    </w:pPr>
  </w:style>
  <w:style w:type="character" w:customStyle="1" w:styleId="HeaderChar">
    <w:name w:val="Header Char"/>
    <w:basedOn w:val="DefaultParagraphFont"/>
    <w:link w:val="Header"/>
    <w:uiPriority w:val="99"/>
    <w:rsid w:val="00F92B3F"/>
  </w:style>
  <w:style w:type="paragraph" w:styleId="Footer">
    <w:name w:val="footer"/>
    <w:basedOn w:val="Normal"/>
    <w:link w:val="FooterChar"/>
    <w:uiPriority w:val="99"/>
    <w:unhideWhenUsed/>
    <w:rsid w:val="00F92B3F"/>
    <w:pPr>
      <w:tabs>
        <w:tab w:val="center" w:pos="4680"/>
        <w:tab w:val="right" w:pos="9360"/>
      </w:tabs>
    </w:pPr>
  </w:style>
  <w:style w:type="character" w:customStyle="1" w:styleId="FooterChar">
    <w:name w:val="Footer Char"/>
    <w:basedOn w:val="DefaultParagraphFont"/>
    <w:link w:val="Footer"/>
    <w:uiPriority w:val="99"/>
    <w:rsid w:val="00F92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06BEB"/>
    <w:rPr>
      <w:b/>
      <w:bCs/>
    </w:rPr>
  </w:style>
  <w:style w:type="character" w:customStyle="1" w:styleId="CommentSubjectChar">
    <w:name w:val="Comment Subject Char"/>
    <w:basedOn w:val="CommentTextChar"/>
    <w:link w:val="CommentSubject"/>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 w:type="paragraph" w:styleId="Header">
    <w:name w:val="header"/>
    <w:basedOn w:val="Normal"/>
    <w:link w:val="HeaderChar"/>
    <w:uiPriority w:val="99"/>
    <w:unhideWhenUsed/>
    <w:rsid w:val="00F92B3F"/>
    <w:pPr>
      <w:tabs>
        <w:tab w:val="center" w:pos="4680"/>
        <w:tab w:val="right" w:pos="9360"/>
      </w:tabs>
    </w:pPr>
  </w:style>
  <w:style w:type="character" w:customStyle="1" w:styleId="HeaderChar">
    <w:name w:val="Header Char"/>
    <w:basedOn w:val="DefaultParagraphFont"/>
    <w:link w:val="Header"/>
    <w:uiPriority w:val="99"/>
    <w:rsid w:val="00F92B3F"/>
  </w:style>
  <w:style w:type="paragraph" w:styleId="Footer">
    <w:name w:val="footer"/>
    <w:basedOn w:val="Normal"/>
    <w:link w:val="FooterChar"/>
    <w:uiPriority w:val="99"/>
    <w:unhideWhenUsed/>
    <w:rsid w:val="00F92B3F"/>
    <w:pPr>
      <w:tabs>
        <w:tab w:val="center" w:pos="4680"/>
        <w:tab w:val="right" w:pos="9360"/>
      </w:tabs>
    </w:pPr>
  </w:style>
  <w:style w:type="character" w:customStyle="1" w:styleId="FooterChar">
    <w:name w:val="Footer Char"/>
    <w:basedOn w:val="DefaultParagraphFont"/>
    <w:link w:val="Footer"/>
    <w:uiPriority w:val="99"/>
    <w:rsid w:val="00F9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7066">
      <w:bodyDiv w:val="1"/>
      <w:marLeft w:val="30"/>
      <w:marRight w:val="30"/>
      <w:marTop w:val="0"/>
      <w:marBottom w:val="0"/>
      <w:divBdr>
        <w:top w:val="none" w:sz="0" w:space="0" w:color="auto"/>
        <w:left w:val="none" w:sz="0" w:space="0" w:color="auto"/>
        <w:bottom w:val="none" w:sz="0" w:space="0" w:color="auto"/>
        <w:right w:val="none" w:sz="0" w:space="0" w:color="auto"/>
      </w:divBdr>
      <w:divsChild>
        <w:div w:id="291980496">
          <w:marLeft w:val="0"/>
          <w:marRight w:val="0"/>
          <w:marTop w:val="0"/>
          <w:marBottom w:val="0"/>
          <w:divBdr>
            <w:top w:val="none" w:sz="0" w:space="0" w:color="auto"/>
            <w:left w:val="none" w:sz="0" w:space="0" w:color="auto"/>
            <w:bottom w:val="none" w:sz="0" w:space="0" w:color="auto"/>
            <w:right w:val="none" w:sz="0" w:space="0" w:color="auto"/>
          </w:divBdr>
          <w:divsChild>
            <w:div w:id="896630413">
              <w:marLeft w:val="0"/>
              <w:marRight w:val="0"/>
              <w:marTop w:val="0"/>
              <w:marBottom w:val="0"/>
              <w:divBdr>
                <w:top w:val="none" w:sz="0" w:space="0" w:color="auto"/>
                <w:left w:val="none" w:sz="0" w:space="0" w:color="auto"/>
                <w:bottom w:val="none" w:sz="0" w:space="0" w:color="auto"/>
                <w:right w:val="none" w:sz="0" w:space="0" w:color="auto"/>
              </w:divBdr>
              <w:divsChild>
                <w:div w:id="425620256">
                  <w:marLeft w:val="180"/>
                  <w:marRight w:val="0"/>
                  <w:marTop w:val="0"/>
                  <w:marBottom w:val="0"/>
                  <w:divBdr>
                    <w:top w:val="none" w:sz="0" w:space="0" w:color="auto"/>
                    <w:left w:val="none" w:sz="0" w:space="0" w:color="auto"/>
                    <w:bottom w:val="none" w:sz="0" w:space="0" w:color="auto"/>
                    <w:right w:val="none" w:sz="0" w:space="0" w:color="auto"/>
                  </w:divBdr>
                  <w:divsChild>
                    <w:div w:id="3958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52265">
      <w:bodyDiv w:val="1"/>
      <w:marLeft w:val="30"/>
      <w:marRight w:val="30"/>
      <w:marTop w:val="0"/>
      <w:marBottom w:val="0"/>
      <w:divBdr>
        <w:top w:val="none" w:sz="0" w:space="0" w:color="auto"/>
        <w:left w:val="none" w:sz="0" w:space="0" w:color="auto"/>
        <w:bottom w:val="none" w:sz="0" w:space="0" w:color="auto"/>
        <w:right w:val="none" w:sz="0" w:space="0" w:color="auto"/>
      </w:divBdr>
      <w:divsChild>
        <w:div w:id="1566136082">
          <w:marLeft w:val="0"/>
          <w:marRight w:val="0"/>
          <w:marTop w:val="0"/>
          <w:marBottom w:val="0"/>
          <w:divBdr>
            <w:top w:val="none" w:sz="0" w:space="0" w:color="auto"/>
            <w:left w:val="none" w:sz="0" w:space="0" w:color="auto"/>
            <w:bottom w:val="none" w:sz="0" w:space="0" w:color="auto"/>
            <w:right w:val="none" w:sz="0" w:space="0" w:color="auto"/>
          </w:divBdr>
          <w:divsChild>
            <w:div w:id="481045663">
              <w:marLeft w:val="0"/>
              <w:marRight w:val="0"/>
              <w:marTop w:val="0"/>
              <w:marBottom w:val="0"/>
              <w:divBdr>
                <w:top w:val="none" w:sz="0" w:space="0" w:color="auto"/>
                <w:left w:val="none" w:sz="0" w:space="0" w:color="auto"/>
                <w:bottom w:val="none" w:sz="0" w:space="0" w:color="auto"/>
                <w:right w:val="none" w:sz="0" w:space="0" w:color="auto"/>
              </w:divBdr>
              <w:divsChild>
                <w:div w:id="448087269">
                  <w:marLeft w:val="180"/>
                  <w:marRight w:val="0"/>
                  <w:marTop w:val="0"/>
                  <w:marBottom w:val="0"/>
                  <w:divBdr>
                    <w:top w:val="none" w:sz="0" w:space="0" w:color="auto"/>
                    <w:left w:val="none" w:sz="0" w:space="0" w:color="auto"/>
                    <w:bottom w:val="none" w:sz="0" w:space="0" w:color="auto"/>
                    <w:right w:val="none" w:sz="0" w:space="0" w:color="auto"/>
                  </w:divBdr>
                  <w:divsChild>
                    <w:div w:id="4110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9051">
          <w:marLeft w:val="0"/>
          <w:marRight w:val="0"/>
          <w:marTop w:val="0"/>
          <w:marBottom w:val="0"/>
          <w:divBdr>
            <w:top w:val="none" w:sz="0" w:space="0" w:color="auto"/>
            <w:left w:val="none" w:sz="0" w:space="0" w:color="auto"/>
            <w:bottom w:val="none" w:sz="0" w:space="0" w:color="auto"/>
            <w:right w:val="none" w:sz="0" w:space="0" w:color="auto"/>
          </w:divBdr>
          <w:divsChild>
            <w:div w:id="662780227">
              <w:marLeft w:val="0"/>
              <w:marRight w:val="0"/>
              <w:marTop w:val="0"/>
              <w:marBottom w:val="0"/>
              <w:divBdr>
                <w:top w:val="none" w:sz="0" w:space="0" w:color="auto"/>
                <w:left w:val="none" w:sz="0" w:space="0" w:color="auto"/>
                <w:bottom w:val="none" w:sz="0" w:space="0" w:color="auto"/>
                <w:right w:val="none" w:sz="0" w:space="0" w:color="auto"/>
              </w:divBdr>
              <w:divsChild>
                <w:div w:id="149910781">
                  <w:marLeft w:val="180"/>
                  <w:marRight w:val="0"/>
                  <w:marTop w:val="0"/>
                  <w:marBottom w:val="0"/>
                  <w:divBdr>
                    <w:top w:val="none" w:sz="0" w:space="0" w:color="auto"/>
                    <w:left w:val="none" w:sz="0" w:space="0" w:color="auto"/>
                    <w:bottom w:val="none" w:sz="0" w:space="0" w:color="auto"/>
                    <w:right w:val="none" w:sz="0" w:space="0" w:color="auto"/>
                  </w:divBdr>
                  <w:divsChild>
                    <w:div w:id="2105687231">
                      <w:marLeft w:val="0"/>
                      <w:marRight w:val="0"/>
                      <w:marTop w:val="0"/>
                      <w:marBottom w:val="0"/>
                      <w:divBdr>
                        <w:top w:val="none" w:sz="0" w:space="0" w:color="auto"/>
                        <w:left w:val="none" w:sz="0" w:space="0" w:color="auto"/>
                        <w:bottom w:val="none" w:sz="0" w:space="0" w:color="auto"/>
                        <w:right w:val="none" w:sz="0" w:space="0" w:color="auto"/>
                      </w:divBdr>
                      <w:divsChild>
                        <w:div w:id="2046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865679">
      <w:bodyDiv w:val="1"/>
      <w:marLeft w:val="0"/>
      <w:marRight w:val="0"/>
      <w:marTop w:val="0"/>
      <w:marBottom w:val="0"/>
      <w:divBdr>
        <w:top w:val="none" w:sz="0" w:space="0" w:color="auto"/>
        <w:left w:val="none" w:sz="0" w:space="0" w:color="auto"/>
        <w:bottom w:val="none" w:sz="0" w:space="0" w:color="auto"/>
        <w:right w:val="none" w:sz="0" w:space="0" w:color="auto"/>
      </w:divBdr>
    </w:div>
    <w:div w:id="1061901182">
      <w:bodyDiv w:val="1"/>
      <w:marLeft w:val="0"/>
      <w:marRight w:val="0"/>
      <w:marTop w:val="0"/>
      <w:marBottom w:val="0"/>
      <w:divBdr>
        <w:top w:val="none" w:sz="0" w:space="0" w:color="auto"/>
        <w:left w:val="none" w:sz="0" w:space="0" w:color="auto"/>
        <w:bottom w:val="none" w:sz="0" w:space="0" w:color="auto"/>
        <w:right w:val="none" w:sz="0" w:space="0" w:color="auto"/>
      </w:divBdr>
    </w:div>
    <w:div w:id="20261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RS.gov/privacy/PIAs/Pages/default.aspx"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EC7A-6895-4D63-9E7F-27B4AB62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8520</Words>
  <Characters>48566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2017-09-29T13:06:00Z</dcterms:created>
  <dcterms:modified xsi:type="dcterms:W3CDTF">2017-09-29T13:06:00Z</dcterms:modified>
</cp:coreProperties>
</file>