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ABE4" w14:textId="77777777" w:rsidR="00B427AD" w:rsidRPr="00BA441F" w:rsidRDefault="00B427AD" w:rsidP="00B427AD">
      <w:pPr>
        <w:pStyle w:val="NoSpacing"/>
        <w:jc w:val="center"/>
        <w:rPr>
          <w:rFonts w:ascii="Cambria" w:hAnsi="Cambria"/>
          <w:b/>
          <w:sz w:val="28"/>
          <w:szCs w:val="28"/>
        </w:rPr>
      </w:pPr>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0C61938C" w14:textId="77777777" w:rsidR="002C7467" w:rsidRDefault="002C7467" w:rsidP="00B427AD">
      <w:pPr>
        <w:pStyle w:val="NoSpacing"/>
        <w:jc w:val="center"/>
        <w:rPr>
          <w:rFonts w:ascii="Cambria" w:hAnsi="Cambria"/>
          <w:b/>
          <w:sz w:val="28"/>
          <w:szCs w:val="28"/>
        </w:rPr>
      </w:pPr>
    </w:p>
    <w:p w14:paraId="145752FB" w14:textId="29298712"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Middle Grades Longitudinal Study of 2017</w:t>
      </w:r>
      <w:r w:rsidR="00E75147" w:rsidRPr="00BA441F">
        <w:rPr>
          <w:rFonts w:ascii="Cambria" w:hAnsi="Cambria"/>
          <w:b/>
          <w:sz w:val="28"/>
          <w:szCs w:val="28"/>
        </w:rPr>
        <w:t>-</w:t>
      </w:r>
      <w:r w:rsidRPr="00BA441F">
        <w:rPr>
          <w:rFonts w:ascii="Cambria" w:hAnsi="Cambria"/>
          <w:b/>
          <w:sz w:val="28"/>
          <w:szCs w:val="28"/>
        </w:rPr>
        <w:t>18 (MGLS:2017)</w:t>
      </w:r>
    </w:p>
    <w:p w14:paraId="1471BF88" w14:textId="1BBFE7B3" w:rsidR="00B427AD" w:rsidRPr="00BA441F" w:rsidRDefault="008300F4" w:rsidP="00B427AD">
      <w:pPr>
        <w:pStyle w:val="NoSpacing"/>
        <w:jc w:val="center"/>
        <w:rPr>
          <w:rFonts w:ascii="Cambria" w:hAnsi="Cambria"/>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002C7467" w:rsidRPr="00BA441F">
        <w:rPr>
          <w:rFonts w:ascii="Cambria" w:hAnsi="Cambria"/>
          <w:b/>
          <w:sz w:val="28"/>
          <w:szCs w:val="28"/>
        </w:rPr>
        <w:t xml:space="preserve">Recruitment for Main Study </w:t>
      </w:r>
      <w:r>
        <w:rPr>
          <w:rFonts w:ascii="Cambria" w:hAnsi="Cambria"/>
          <w:b/>
          <w:sz w:val="28"/>
          <w:szCs w:val="28"/>
        </w:rPr>
        <w:t>Base-year</w:t>
      </w:r>
    </w:p>
    <w:p w14:paraId="6A00CDCD" w14:textId="5A440332" w:rsidR="00B427AD" w:rsidRPr="00BA441F" w:rsidRDefault="00B427AD" w:rsidP="00023878">
      <w:pPr>
        <w:pStyle w:val="NoSpacing"/>
        <w:jc w:val="center"/>
        <w:rPr>
          <w:rFonts w:ascii="Cambria" w:hAnsi="Cambria"/>
          <w:b/>
          <w:sz w:val="28"/>
          <w:szCs w:val="28"/>
        </w:rPr>
      </w:pPr>
    </w:p>
    <w:p w14:paraId="3BE42EFA" w14:textId="77777777" w:rsidR="00B427AD" w:rsidRPr="00BA441F" w:rsidRDefault="00B427AD" w:rsidP="00B427AD">
      <w:pPr>
        <w:pStyle w:val="NoSpacing"/>
        <w:jc w:val="center"/>
        <w:rPr>
          <w:rFonts w:ascii="Cambria" w:hAnsi="Cambria"/>
        </w:rPr>
      </w:pP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7B51AC1C" w:rsidR="00B427AD" w:rsidRPr="00BA441F" w:rsidRDefault="00B427AD" w:rsidP="00B427AD">
      <w:pPr>
        <w:pStyle w:val="NoSpacing"/>
        <w:jc w:val="center"/>
        <w:rPr>
          <w:rFonts w:ascii="Cambria" w:hAnsi="Cambria"/>
        </w:rPr>
      </w:pPr>
      <w:r w:rsidRPr="00BA441F">
        <w:rPr>
          <w:rFonts w:ascii="Cambria" w:hAnsi="Cambria"/>
        </w:rPr>
        <w:t>OMB# 1850-0911 v.1</w:t>
      </w:r>
      <w:r w:rsidR="009B5833">
        <w:rPr>
          <w:rFonts w:ascii="Cambria" w:hAnsi="Cambria"/>
        </w:rPr>
        <w:t>5</w:t>
      </w:r>
      <w:bookmarkStart w:id="0" w:name="_GoBack"/>
      <w:bookmarkEnd w:id="0"/>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National Center for Education Statistics</w:t>
      </w:r>
    </w:p>
    <w:p w14:paraId="62540DF8" w14:textId="77777777" w:rsidR="00B427AD" w:rsidRPr="00BA441F" w:rsidRDefault="00B427AD" w:rsidP="00B427AD">
      <w:pPr>
        <w:pStyle w:val="C1-CtrBoldHd"/>
        <w:spacing w:after="0"/>
        <w:rPr>
          <w:rFonts w:ascii="Cambria" w:hAnsi="Cambria"/>
          <w:b w:val="0"/>
          <w:caps w:val="0"/>
          <w:szCs w:val="22"/>
        </w:rPr>
      </w:pPr>
      <w:r w:rsidRPr="00BA441F">
        <w:rPr>
          <w:rFonts w:ascii="Cambria" w:hAnsi="Cambria"/>
          <w:b w:val="0"/>
          <w:caps w:val="0"/>
          <w:szCs w:val="22"/>
        </w:rPr>
        <w:t>U.S. Department of Education</w:t>
      </w:r>
    </w:p>
    <w:p w14:paraId="4DA8BFC8"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Institute of Education Sciences</w:t>
      </w:r>
    </w:p>
    <w:p w14:paraId="5DD22995"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Washington, DC</w:t>
      </w:r>
    </w:p>
    <w:p w14:paraId="62920F5F" w14:textId="77777777" w:rsidR="00B427AD" w:rsidRPr="00BA441F" w:rsidRDefault="00B427AD" w:rsidP="00B427AD">
      <w:pPr>
        <w:pStyle w:val="C1-CtrBoldHd"/>
        <w:spacing w:after="0"/>
        <w:rPr>
          <w:rFonts w:ascii="Cambria" w:hAnsi="Cambria"/>
          <w:b w:val="0"/>
          <w:szCs w:val="22"/>
        </w:rPr>
      </w:pPr>
    </w:p>
    <w:p w14:paraId="18648BFA" w14:textId="77777777" w:rsidR="00B427AD" w:rsidRPr="00BA441F" w:rsidRDefault="00B427AD" w:rsidP="00B427AD">
      <w:pPr>
        <w:pStyle w:val="C1-CtrBoldHd"/>
        <w:spacing w:after="0"/>
        <w:rPr>
          <w:rFonts w:ascii="Cambria" w:hAnsi="Cambria"/>
          <w:b w:val="0"/>
          <w:szCs w:val="22"/>
        </w:rPr>
      </w:pPr>
    </w:p>
    <w:p w14:paraId="645AAED7" w14:textId="77777777" w:rsidR="00B427AD" w:rsidRPr="00BA441F" w:rsidRDefault="00B427AD" w:rsidP="00B427AD">
      <w:pPr>
        <w:pStyle w:val="C1-CtrBoldHd"/>
        <w:spacing w:after="0"/>
        <w:rPr>
          <w:rFonts w:ascii="Cambria" w:hAnsi="Cambria"/>
          <w:b w:val="0"/>
          <w:caps w:val="0"/>
          <w:szCs w:val="22"/>
        </w:rPr>
      </w:pPr>
    </w:p>
    <w:p w14:paraId="05F250B7" w14:textId="77777777" w:rsidR="00B427AD" w:rsidRPr="00BA441F" w:rsidRDefault="00B427AD" w:rsidP="00B427AD">
      <w:pPr>
        <w:pStyle w:val="C1-CtrBoldHd"/>
        <w:spacing w:after="0"/>
        <w:rPr>
          <w:rFonts w:ascii="Cambria" w:hAnsi="Cambria"/>
          <w:b w:val="0"/>
          <w:caps w:val="0"/>
          <w:szCs w:val="22"/>
        </w:rPr>
      </w:pPr>
    </w:p>
    <w:p w14:paraId="3C0F3175" w14:textId="77777777" w:rsidR="00B427AD" w:rsidRPr="00BA441F" w:rsidRDefault="00B427AD" w:rsidP="00B427AD">
      <w:pPr>
        <w:pStyle w:val="C1-CtrBoldHd"/>
        <w:spacing w:after="0"/>
        <w:rPr>
          <w:rFonts w:ascii="Cambria" w:hAnsi="Cambria"/>
          <w:b w:val="0"/>
          <w:caps w:val="0"/>
          <w:szCs w:val="22"/>
        </w:rPr>
      </w:pPr>
    </w:p>
    <w:p w14:paraId="0A5EDEE9" w14:textId="77777777" w:rsidR="0007427A" w:rsidRDefault="0007427A" w:rsidP="0007427A">
      <w:pPr>
        <w:pStyle w:val="C1-CtrBoldHd"/>
        <w:spacing w:after="0"/>
        <w:rPr>
          <w:rFonts w:ascii="Cambria" w:hAnsi="Cambria"/>
          <w:caps w:val="0"/>
        </w:rPr>
      </w:pPr>
      <w:r w:rsidRPr="00BA441F">
        <w:rPr>
          <w:rFonts w:ascii="Cambria" w:hAnsi="Cambria"/>
          <w:caps w:val="0"/>
        </w:rPr>
        <w:t>Ju</w:t>
      </w:r>
      <w:r>
        <w:rPr>
          <w:rFonts w:ascii="Cambria" w:hAnsi="Cambria"/>
          <w:caps w:val="0"/>
        </w:rPr>
        <w:t>ly</w:t>
      </w:r>
      <w:r w:rsidRPr="00BA441F">
        <w:rPr>
          <w:rFonts w:ascii="Cambria" w:hAnsi="Cambria"/>
          <w:caps w:val="0"/>
        </w:rPr>
        <w:t xml:space="preserve"> 2016</w:t>
      </w:r>
    </w:p>
    <w:p w14:paraId="2DE91917" w14:textId="77777777" w:rsidR="00B427AD" w:rsidRPr="00BA441F" w:rsidRDefault="00B427AD" w:rsidP="00B427AD">
      <w:pPr>
        <w:pStyle w:val="C1-CtrBoldHd"/>
        <w:spacing w:after="0"/>
        <w:rPr>
          <w:rFonts w:ascii="Cambria" w:hAnsi="Cambria"/>
          <w:b w:val="0"/>
          <w:caps w:val="0"/>
          <w:szCs w:val="22"/>
        </w:rPr>
      </w:pPr>
    </w:p>
    <w:p w14:paraId="0AF86593" w14:textId="716A3A8C" w:rsidR="00166D34" w:rsidRDefault="00166D34" w:rsidP="001946FC">
      <w:pPr>
        <w:pStyle w:val="C1-CtrBoldHd"/>
        <w:spacing w:after="0"/>
        <w:rPr>
          <w:rFonts w:ascii="Cambria" w:hAnsi="Cambria"/>
          <w:caps w:val="0"/>
        </w:rPr>
      </w:pPr>
      <w:r>
        <w:rPr>
          <w:rFonts w:ascii="Cambria" w:hAnsi="Cambria"/>
          <w:caps w:val="0"/>
        </w:rPr>
        <w:t>Revised June 2017</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4C8A12CC" w14:textId="310FC75E" w:rsidR="00AE7CAF"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52725172" w:history="1">
                <w:r w:rsidR="00AE7CAF" w:rsidRPr="008B120A">
                  <w:rPr>
                    <w:rStyle w:val="Hyperlink"/>
                    <w:rFonts w:ascii="Cambria" w:hAnsi="Cambria"/>
                    <w:noProof/>
                  </w:rPr>
                  <w:t>Preface</w:t>
                </w:r>
                <w:r w:rsidR="00AE7CAF">
                  <w:rPr>
                    <w:noProof/>
                    <w:webHidden/>
                  </w:rPr>
                  <w:tab/>
                </w:r>
                <w:r w:rsidR="00AE7CAF">
                  <w:rPr>
                    <w:noProof/>
                    <w:webHidden/>
                  </w:rPr>
                  <w:fldChar w:fldCharType="begin"/>
                </w:r>
                <w:r w:rsidR="00AE7CAF">
                  <w:rPr>
                    <w:noProof/>
                    <w:webHidden/>
                  </w:rPr>
                  <w:instrText xml:space="preserve"> PAGEREF _Toc452725172 \h </w:instrText>
                </w:r>
                <w:r w:rsidR="00AE7CAF">
                  <w:rPr>
                    <w:noProof/>
                    <w:webHidden/>
                  </w:rPr>
                </w:r>
                <w:r w:rsidR="00AE7CAF">
                  <w:rPr>
                    <w:noProof/>
                    <w:webHidden/>
                  </w:rPr>
                  <w:fldChar w:fldCharType="separate"/>
                </w:r>
                <w:r w:rsidR="0092310C">
                  <w:rPr>
                    <w:noProof/>
                    <w:webHidden/>
                  </w:rPr>
                  <w:t>2</w:t>
                </w:r>
                <w:r w:rsidR="00AE7CAF">
                  <w:rPr>
                    <w:noProof/>
                    <w:webHidden/>
                  </w:rPr>
                  <w:fldChar w:fldCharType="end"/>
                </w:r>
              </w:hyperlink>
            </w:p>
            <w:p w14:paraId="67FFFBCA" w14:textId="6ED8DFCB" w:rsidR="00AE7CAF" w:rsidRDefault="00450E56">
              <w:pPr>
                <w:pStyle w:val="TOC1"/>
                <w:tabs>
                  <w:tab w:val="right" w:leader="dot" w:pos="10214"/>
                </w:tabs>
                <w:rPr>
                  <w:rFonts w:asciiTheme="minorHAnsi" w:eastAsiaTheme="minorEastAsia" w:hAnsiTheme="minorHAnsi" w:cstheme="minorBidi"/>
                  <w:noProof/>
                </w:rPr>
              </w:pPr>
              <w:hyperlink w:anchor="_Toc452725173" w:history="1">
                <w:r w:rsidR="00AE7CAF" w:rsidRPr="008B120A">
                  <w:rPr>
                    <w:rStyle w:val="Hyperlink"/>
                    <w:rFonts w:ascii="Cambria" w:hAnsi="Cambria"/>
                    <w:noProof/>
                  </w:rPr>
                  <w:t>A. Justification</w:t>
                </w:r>
                <w:r w:rsidR="00AE7CAF">
                  <w:rPr>
                    <w:noProof/>
                    <w:webHidden/>
                  </w:rPr>
                  <w:tab/>
                </w:r>
                <w:r w:rsidR="00AE7CAF">
                  <w:rPr>
                    <w:noProof/>
                    <w:webHidden/>
                  </w:rPr>
                  <w:fldChar w:fldCharType="begin"/>
                </w:r>
                <w:r w:rsidR="00AE7CAF">
                  <w:rPr>
                    <w:noProof/>
                    <w:webHidden/>
                  </w:rPr>
                  <w:instrText xml:space="preserve"> PAGEREF _Toc452725173 \h </w:instrText>
                </w:r>
                <w:r w:rsidR="00AE7CAF">
                  <w:rPr>
                    <w:noProof/>
                    <w:webHidden/>
                  </w:rPr>
                </w:r>
                <w:r w:rsidR="00AE7CAF">
                  <w:rPr>
                    <w:noProof/>
                    <w:webHidden/>
                  </w:rPr>
                  <w:fldChar w:fldCharType="separate"/>
                </w:r>
                <w:r w:rsidR="0092310C">
                  <w:rPr>
                    <w:noProof/>
                    <w:webHidden/>
                  </w:rPr>
                  <w:t>2</w:t>
                </w:r>
                <w:r w:rsidR="00AE7CAF">
                  <w:rPr>
                    <w:noProof/>
                    <w:webHidden/>
                  </w:rPr>
                  <w:fldChar w:fldCharType="end"/>
                </w:r>
              </w:hyperlink>
            </w:p>
            <w:p w14:paraId="626B72DC" w14:textId="110E6C67" w:rsidR="00AE7CAF" w:rsidRDefault="00450E56">
              <w:pPr>
                <w:pStyle w:val="TOC2"/>
                <w:tabs>
                  <w:tab w:val="right" w:leader="dot" w:pos="10214"/>
                </w:tabs>
                <w:rPr>
                  <w:rFonts w:asciiTheme="minorHAnsi" w:eastAsiaTheme="minorEastAsia" w:hAnsiTheme="minorHAnsi" w:cstheme="minorBidi"/>
                  <w:noProof/>
                </w:rPr>
              </w:pPr>
              <w:hyperlink w:anchor="_Toc452725174" w:history="1">
                <w:r w:rsidR="00AE7CAF" w:rsidRPr="008B120A">
                  <w:rPr>
                    <w:rStyle w:val="Hyperlink"/>
                    <w:rFonts w:ascii="Cambria" w:hAnsi="Cambria"/>
                    <w:noProof/>
                  </w:rPr>
                  <w:t>A.1 Importance of Information</w:t>
                </w:r>
                <w:r w:rsidR="00AE7CAF">
                  <w:rPr>
                    <w:noProof/>
                    <w:webHidden/>
                  </w:rPr>
                  <w:tab/>
                </w:r>
                <w:r w:rsidR="00AE7CAF">
                  <w:rPr>
                    <w:noProof/>
                    <w:webHidden/>
                  </w:rPr>
                  <w:fldChar w:fldCharType="begin"/>
                </w:r>
                <w:r w:rsidR="00AE7CAF">
                  <w:rPr>
                    <w:noProof/>
                    <w:webHidden/>
                  </w:rPr>
                  <w:instrText xml:space="preserve"> PAGEREF _Toc452725174 \h </w:instrText>
                </w:r>
                <w:r w:rsidR="00AE7CAF">
                  <w:rPr>
                    <w:noProof/>
                    <w:webHidden/>
                  </w:rPr>
                </w:r>
                <w:r w:rsidR="00AE7CAF">
                  <w:rPr>
                    <w:noProof/>
                    <w:webHidden/>
                  </w:rPr>
                  <w:fldChar w:fldCharType="separate"/>
                </w:r>
                <w:r w:rsidR="0092310C">
                  <w:rPr>
                    <w:noProof/>
                    <w:webHidden/>
                  </w:rPr>
                  <w:t>2</w:t>
                </w:r>
                <w:r w:rsidR="00AE7CAF">
                  <w:rPr>
                    <w:noProof/>
                    <w:webHidden/>
                  </w:rPr>
                  <w:fldChar w:fldCharType="end"/>
                </w:r>
              </w:hyperlink>
            </w:p>
            <w:p w14:paraId="4F225323" w14:textId="7161766B" w:rsidR="00AE7CAF" w:rsidRDefault="00450E56">
              <w:pPr>
                <w:pStyle w:val="TOC2"/>
                <w:tabs>
                  <w:tab w:val="right" w:leader="dot" w:pos="10214"/>
                </w:tabs>
                <w:rPr>
                  <w:rFonts w:asciiTheme="minorHAnsi" w:eastAsiaTheme="minorEastAsia" w:hAnsiTheme="minorHAnsi" w:cstheme="minorBidi"/>
                  <w:noProof/>
                </w:rPr>
              </w:pPr>
              <w:hyperlink w:anchor="_Toc452725175" w:history="1">
                <w:r w:rsidR="00AE7CAF" w:rsidRPr="008B120A">
                  <w:rPr>
                    <w:rStyle w:val="Hyperlink"/>
                    <w:rFonts w:ascii="Cambria" w:hAnsi="Cambria"/>
                    <w:noProof/>
                  </w:rPr>
                  <w:t>A.2 Purposes and Uses of Data</w:t>
                </w:r>
                <w:r w:rsidR="00AE7CAF">
                  <w:rPr>
                    <w:noProof/>
                    <w:webHidden/>
                  </w:rPr>
                  <w:tab/>
                </w:r>
                <w:r w:rsidR="00AE7CAF">
                  <w:rPr>
                    <w:noProof/>
                    <w:webHidden/>
                  </w:rPr>
                  <w:fldChar w:fldCharType="begin"/>
                </w:r>
                <w:r w:rsidR="00AE7CAF">
                  <w:rPr>
                    <w:noProof/>
                    <w:webHidden/>
                  </w:rPr>
                  <w:instrText xml:space="preserve"> PAGEREF _Toc452725175 \h </w:instrText>
                </w:r>
                <w:r w:rsidR="00AE7CAF">
                  <w:rPr>
                    <w:noProof/>
                    <w:webHidden/>
                  </w:rPr>
                </w:r>
                <w:r w:rsidR="00AE7CAF">
                  <w:rPr>
                    <w:noProof/>
                    <w:webHidden/>
                  </w:rPr>
                  <w:fldChar w:fldCharType="separate"/>
                </w:r>
                <w:r w:rsidR="0092310C">
                  <w:rPr>
                    <w:noProof/>
                    <w:webHidden/>
                  </w:rPr>
                  <w:t>3</w:t>
                </w:r>
                <w:r w:rsidR="00AE7CAF">
                  <w:rPr>
                    <w:noProof/>
                    <w:webHidden/>
                  </w:rPr>
                  <w:fldChar w:fldCharType="end"/>
                </w:r>
              </w:hyperlink>
            </w:p>
            <w:p w14:paraId="72DC5129" w14:textId="4308E041" w:rsidR="00AE7CAF" w:rsidRDefault="00450E56">
              <w:pPr>
                <w:pStyle w:val="TOC2"/>
                <w:tabs>
                  <w:tab w:val="right" w:leader="dot" w:pos="10214"/>
                </w:tabs>
                <w:rPr>
                  <w:rFonts w:asciiTheme="minorHAnsi" w:eastAsiaTheme="minorEastAsia" w:hAnsiTheme="minorHAnsi" w:cstheme="minorBidi"/>
                  <w:noProof/>
                </w:rPr>
              </w:pPr>
              <w:hyperlink w:anchor="_Toc452725176" w:history="1">
                <w:r w:rsidR="00AE7CAF" w:rsidRPr="008B120A">
                  <w:rPr>
                    <w:rStyle w:val="Hyperlink"/>
                    <w:rFonts w:ascii="Cambria" w:hAnsi="Cambria"/>
                    <w:noProof/>
                  </w:rPr>
                  <w:t>A.3 Use of Improved Information Technology (Reduction of Burden)</w:t>
                </w:r>
                <w:r w:rsidR="00AE7CAF">
                  <w:rPr>
                    <w:noProof/>
                    <w:webHidden/>
                  </w:rPr>
                  <w:tab/>
                </w:r>
                <w:r w:rsidR="00AE7CAF">
                  <w:rPr>
                    <w:noProof/>
                    <w:webHidden/>
                  </w:rPr>
                  <w:fldChar w:fldCharType="begin"/>
                </w:r>
                <w:r w:rsidR="00AE7CAF">
                  <w:rPr>
                    <w:noProof/>
                    <w:webHidden/>
                  </w:rPr>
                  <w:instrText xml:space="preserve"> PAGEREF _Toc452725176 \h </w:instrText>
                </w:r>
                <w:r w:rsidR="00AE7CAF">
                  <w:rPr>
                    <w:noProof/>
                    <w:webHidden/>
                  </w:rPr>
                </w:r>
                <w:r w:rsidR="00AE7CAF">
                  <w:rPr>
                    <w:noProof/>
                    <w:webHidden/>
                  </w:rPr>
                  <w:fldChar w:fldCharType="separate"/>
                </w:r>
                <w:r w:rsidR="0092310C">
                  <w:rPr>
                    <w:noProof/>
                    <w:webHidden/>
                  </w:rPr>
                  <w:t>4</w:t>
                </w:r>
                <w:r w:rsidR="00AE7CAF">
                  <w:rPr>
                    <w:noProof/>
                    <w:webHidden/>
                  </w:rPr>
                  <w:fldChar w:fldCharType="end"/>
                </w:r>
              </w:hyperlink>
            </w:p>
            <w:p w14:paraId="09227DDF" w14:textId="14A64E41" w:rsidR="00AE7CAF" w:rsidRDefault="00450E56">
              <w:pPr>
                <w:pStyle w:val="TOC2"/>
                <w:tabs>
                  <w:tab w:val="right" w:leader="dot" w:pos="10214"/>
                </w:tabs>
                <w:rPr>
                  <w:rFonts w:asciiTheme="minorHAnsi" w:eastAsiaTheme="minorEastAsia" w:hAnsiTheme="minorHAnsi" w:cstheme="minorBidi"/>
                  <w:noProof/>
                </w:rPr>
              </w:pPr>
              <w:hyperlink w:anchor="_Toc452725177" w:history="1">
                <w:r w:rsidR="00AE7CAF" w:rsidRPr="008B120A">
                  <w:rPr>
                    <w:rStyle w:val="Hyperlink"/>
                    <w:rFonts w:ascii="Cambria" w:hAnsi="Cambria"/>
                    <w:noProof/>
                  </w:rPr>
                  <w:t>A.4 Efforts to Identify Duplication</w:t>
                </w:r>
                <w:r w:rsidR="00AE7CAF">
                  <w:rPr>
                    <w:noProof/>
                    <w:webHidden/>
                  </w:rPr>
                  <w:tab/>
                </w:r>
                <w:r w:rsidR="00AE7CAF">
                  <w:rPr>
                    <w:noProof/>
                    <w:webHidden/>
                  </w:rPr>
                  <w:fldChar w:fldCharType="begin"/>
                </w:r>
                <w:r w:rsidR="00AE7CAF">
                  <w:rPr>
                    <w:noProof/>
                    <w:webHidden/>
                  </w:rPr>
                  <w:instrText xml:space="preserve"> PAGEREF _Toc452725177 \h </w:instrText>
                </w:r>
                <w:r w:rsidR="00AE7CAF">
                  <w:rPr>
                    <w:noProof/>
                    <w:webHidden/>
                  </w:rPr>
                </w:r>
                <w:r w:rsidR="00AE7CAF">
                  <w:rPr>
                    <w:noProof/>
                    <w:webHidden/>
                  </w:rPr>
                  <w:fldChar w:fldCharType="separate"/>
                </w:r>
                <w:r w:rsidR="0092310C">
                  <w:rPr>
                    <w:noProof/>
                    <w:webHidden/>
                  </w:rPr>
                  <w:t>5</w:t>
                </w:r>
                <w:r w:rsidR="00AE7CAF">
                  <w:rPr>
                    <w:noProof/>
                    <w:webHidden/>
                  </w:rPr>
                  <w:fldChar w:fldCharType="end"/>
                </w:r>
              </w:hyperlink>
            </w:p>
            <w:p w14:paraId="0B437DC0" w14:textId="4B14E309" w:rsidR="00AE7CAF" w:rsidRDefault="00450E56">
              <w:pPr>
                <w:pStyle w:val="TOC2"/>
                <w:tabs>
                  <w:tab w:val="right" w:leader="dot" w:pos="10214"/>
                </w:tabs>
                <w:rPr>
                  <w:rFonts w:asciiTheme="minorHAnsi" w:eastAsiaTheme="minorEastAsia" w:hAnsiTheme="minorHAnsi" w:cstheme="minorBidi"/>
                  <w:noProof/>
                </w:rPr>
              </w:pPr>
              <w:hyperlink w:anchor="_Toc452725178" w:history="1">
                <w:r w:rsidR="00AE7CAF" w:rsidRPr="008B120A">
                  <w:rPr>
                    <w:rStyle w:val="Hyperlink"/>
                    <w:rFonts w:ascii="Cambria" w:hAnsi="Cambria"/>
                    <w:noProof/>
                  </w:rPr>
                  <w:t>A.5 Minimizing Burden for Small Entities</w:t>
                </w:r>
                <w:r w:rsidR="00AE7CAF">
                  <w:rPr>
                    <w:noProof/>
                    <w:webHidden/>
                  </w:rPr>
                  <w:tab/>
                </w:r>
                <w:r w:rsidR="00AE7CAF">
                  <w:rPr>
                    <w:noProof/>
                    <w:webHidden/>
                  </w:rPr>
                  <w:fldChar w:fldCharType="begin"/>
                </w:r>
                <w:r w:rsidR="00AE7CAF">
                  <w:rPr>
                    <w:noProof/>
                    <w:webHidden/>
                  </w:rPr>
                  <w:instrText xml:space="preserve"> PAGEREF _Toc452725178 \h </w:instrText>
                </w:r>
                <w:r w:rsidR="00AE7CAF">
                  <w:rPr>
                    <w:noProof/>
                    <w:webHidden/>
                  </w:rPr>
                </w:r>
                <w:r w:rsidR="00AE7CAF">
                  <w:rPr>
                    <w:noProof/>
                    <w:webHidden/>
                  </w:rPr>
                  <w:fldChar w:fldCharType="separate"/>
                </w:r>
                <w:r w:rsidR="0092310C">
                  <w:rPr>
                    <w:noProof/>
                    <w:webHidden/>
                  </w:rPr>
                  <w:t>6</w:t>
                </w:r>
                <w:r w:rsidR="00AE7CAF">
                  <w:rPr>
                    <w:noProof/>
                    <w:webHidden/>
                  </w:rPr>
                  <w:fldChar w:fldCharType="end"/>
                </w:r>
              </w:hyperlink>
            </w:p>
            <w:p w14:paraId="373BE8E5" w14:textId="7B56BEC9" w:rsidR="00AE7CAF" w:rsidRDefault="00450E56">
              <w:pPr>
                <w:pStyle w:val="TOC2"/>
                <w:tabs>
                  <w:tab w:val="right" w:leader="dot" w:pos="10214"/>
                </w:tabs>
                <w:rPr>
                  <w:rFonts w:asciiTheme="minorHAnsi" w:eastAsiaTheme="minorEastAsia" w:hAnsiTheme="minorHAnsi" w:cstheme="minorBidi"/>
                  <w:noProof/>
                </w:rPr>
              </w:pPr>
              <w:hyperlink w:anchor="_Toc452725179" w:history="1">
                <w:r w:rsidR="00AE7CAF" w:rsidRPr="008B120A">
                  <w:rPr>
                    <w:rStyle w:val="Hyperlink"/>
                    <w:rFonts w:ascii="Cambria" w:hAnsi="Cambria"/>
                    <w:noProof/>
                  </w:rPr>
                  <w:t>A.6 Frequency of Data Collection</w:t>
                </w:r>
                <w:r w:rsidR="00AE7CAF">
                  <w:rPr>
                    <w:noProof/>
                    <w:webHidden/>
                  </w:rPr>
                  <w:tab/>
                </w:r>
                <w:r w:rsidR="00AE7CAF">
                  <w:rPr>
                    <w:noProof/>
                    <w:webHidden/>
                  </w:rPr>
                  <w:fldChar w:fldCharType="begin"/>
                </w:r>
                <w:r w:rsidR="00AE7CAF">
                  <w:rPr>
                    <w:noProof/>
                    <w:webHidden/>
                  </w:rPr>
                  <w:instrText xml:space="preserve"> PAGEREF _Toc452725179 \h </w:instrText>
                </w:r>
                <w:r w:rsidR="00AE7CAF">
                  <w:rPr>
                    <w:noProof/>
                    <w:webHidden/>
                  </w:rPr>
                </w:r>
                <w:r w:rsidR="00AE7CAF">
                  <w:rPr>
                    <w:noProof/>
                    <w:webHidden/>
                  </w:rPr>
                  <w:fldChar w:fldCharType="separate"/>
                </w:r>
                <w:r w:rsidR="0092310C">
                  <w:rPr>
                    <w:noProof/>
                    <w:webHidden/>
                  </w:rPr>
                  <w:t>6</w:t>
                </w:r>
                <w:r w:rsidR="00AE7CAF">
                  <w:rPr>
                    <w:noProof/>
                    <w:webHidden/>
                  </w:rPr>
                  <w:fldChar w:fldCharType="end"/>
                </w:r>
              </w:hyperlink>
            </w:p>
            <w:p w14:paraId="1062713C" w14:textId="49E22226" w:rsidR="00AE7CAF" w:rsidRDefault="00450E56">
              <w:pPr>
                <w:pStyle w:val="TOC2"/>
                <w:tabs>
                  <w:tab w:val="right" w:leader="dot" w:pos="10214"/>
                </w:tabs>
                <w:rPr>
                  <w:rFonts w:asciiTheme="minorHAnsi" w:eastAsiaTheme="minorEastAsia" w:hAnsiTheme="minorHAnsi" w:cstheme="minorBidi"/>
                  <w:noProof/>
                </w:rPr>
              </w:pPr>
              <w:hyperlink w:anchor="_Toc452725180" w:history="1">
                <w:r w:rsidR="00AE7CAF" w:rsidRPr="008B120A">
                  <w:rPr>
                    <w:rStyle w:val="Hyperlink"/>
                    <w:rFonts w:ascii="Cambria" w:hAnsi="Cambria"/>
                    <w:noProof/>
                  </w:rPr>
                  <w:t>A.7 Special Circumstances</w:t>
                </w:r>
                <w:r w:rsidR="00AE7CAF">
                  <w:rPr>
                    <w:noProof/>
                    <w:webHidden/>
                  </w:rPr>
                  <w:tab/>
                </w:r>
                <w:r w:rsidR="00AE7CAF">
                  <w:rPr>
                    <w:noProof/>
                    <w:webHidden/>
                  </w:rPr>
                  <w:fldChar w:fldCharType="begin"/>
                </w:r>
                <w:r w:rsidR="00AE7CAF">
                  <w:rPr>
                    <w:noProof/>
                    <w:webHidden/>
                  </w:rPr>
                  <w:instrText xml:space="preserve"> PAGEREF _Toc452725180 \h </w:instrText>
                </w:r>
                <w:r w:rsidR="00AE7CAF">
                  <w:rPr>
                    <w:noProof/>
                    <w:webHidden/>
                  </w:rPr>
                </w:r>
                <w:r w:rsidR="00AE7CAF">
                  <w:rPr>
                    <w:noProof/>
                    <w:webHidden/>
                  </w:rPr>
                  <w:fldChar w:fldCharType="separate"/>
                </w:r>
                <w:r w:rsidR="0092310C">
                  <w:rPr>
                    <w:noProof/>
                    <w:webHidden/>
                  </w:rPr>
                  <w:t>6</w:t>
                </w:r>
                <w:r w:rsidR="00AE7CAF">
                  <w:rPr>
                    <w:noProof/>
                    <w:webHidden/>
                  </w:rPr>
                  <w:fldChar w:fldCharType="end"/>
                </w:r>
              </w:hyperlink>
            </w:p>
            <w:p w14:paraId="2B9ECEAF" w14:textId="0344F2D6" w:rsidR="00AE7CAF" w:rsidRDefault="00450E56">
              <w:pPr>
                <w:pStyle w:val="TOC2"/>
                <w:tabs>
                  <w:tab w:val="right" w:leader="dot" w:pos="10214"/>
                </w:tabs>
                <w:rPr>
                  <w:rFonts w:asciiTheme="minorHAnsi" w:eastAsiaTheme="minorEastAsia" w:hAnsiTheme="minorHAnsi" w:cstheme="minorBidi"/>
                  <w:noProof/>
                </w:rPr>
              </w:pPr>
              <w:hyperlink w:anchor="_Toc452725181" w:history="1">
                <w:r w:rsidR="00AE7CAF" w:rsidRPr="008B120A">
                  <w:rPr>
                    <w:rStyle w:val="Hyperlink"/>
                    <w:rFonts w:ascii="Cambria" w:hAnsi="Cambria"/>
                    <w:noProof/>
                  </w:rPr>
                  <w:t>A.8 Consultations Outside NCES</w:t>
                </w:r>
                <w:r w:rsidR="00AE7CAF">
                  <w:rPr>
                    <w:noProof/>
                    <w:webHidden/>
                  </w:rPr>
                  <w:tab/>
                </w:r>
                <w:r w:rsidR="00AE7CAF">
                  <w:rPr>
                    <w:noProof/>
                    <w:webHidden/>
                  </w:rPr>
                  <w:fldChar w:fldCharType="begin"/>
                </w:r>
                <w:r w:rsidR="00AE7CAF">
                  <w:rPr>
                    <w:noProof/>
                    <w:webHidden/>
                  </w:rPr>
                  <w:instrText xml:space="preserve"> PAGEREF _Toc452725181 \h </w:instrText>
                </w:r>
                <w:r w:rsidR="00AE7CAF">
                  <w:rPr>
                    <w:noProof/>
                    <w:webHidden/>
                  </w:rPr>
                </w:r>
                <w:r w:rsidR="00AE7CAF">
                  <w:rPr>
                    <w:noProof/>
                    <w:webHidden/>
                  </w:rPr>
                  <w:fldChar w:fldCharType="separate"/>
                </w:r>
                <w:r w:rsidR="0092310C">
                  <w:rPr>
                    <w:noProof/>
                    <w:webHidden/>
                  </w:rPr>
                  <w:t>6</w:t>
                </w:r>
                <w:r w:rsidR="00AE7CAF">
                  <w:rPr>
                    <w:noProof/>
                    <w:webHidden/>
                  </w:rPr>
                  <w:fldChar w:fldCharType="end"/>
                </w:r>
              </w:hyperlink>
            </w:p>
            <w:p w14:paraId="066BD8C8" w14:textId="63EFBB0B" w:rsidR="00AE7CAF" w:rsidRDefault="00450E56">
              <w:pPr>
                <w:pStyle w:val="TOC2"/>
                <w:tabs>
                  <w:tab w:val="right" w:leader="dot" w:pos="10214"/>
                </w:tabs>
                <w:rPr>
                  <w:rFonts w:asciiTheme="minorHAnsi" w:eastAsiaTheme="minorEastAsia" w:hAnsiTheme="minorHAnsi" w:cstheme="minorBidi"/>
                  <w:noProof/>
                </w:rPr>
              </w:pPr>
              <w:hyperlink w:anchor="_Toc452725182" w:history="1">
                <w:r w:rsidR="00AE7CAF" w:rsidRPr="008B120A">
                  <w:rPr>
                    <w:rStyle w:val="Hyperlink"/>
                    <w:rFonts w:ascii="Cambria" w:hAnsi="Cambria"/>
                    <w:noProof/>
                  </w:rPr>
                  <w:t>A.9 Payments or Gifts to Respondents</w:t>
                </w:r>
                <w:r w:rsidR="00AE7CAF">
                  <w:rPr>
                    <w:noProof/>
                    <w:webHidden/>
                  </w:rPr>
                  <w:tab/>
                </w:r>
                <w:r w:rsidR="00AE7CAF">
                  <w:rPr>
                    <w:noProof/>
                    <w:webHidden/>
                  </w:rPr>
                  <w:fldChar w:fldCharType="begin"/>
                </w:r>
                <w:r w:rsidR="00AE7CAF">
                  <w:rPr>
                    <w:noProof/>
                    <w:webHidden/>
                  </w:rPr>
                  <w:instrText xml:space="preserve"> PAGEREF _Toc452725182 \h </w:instrText>
                </w:r>
                <w:r w:rsidR="00AE7CAF">
                  <w:rPr>
                    <w:noProof/>
                    <w:webHidden/>
                  </w:rPr>
                </w:r>
                <w:r w:rsidR="00AE7CAF">
                  <w:rPr>
                    <w:noProof/>
                    <w:webHidden/>
                  </w:rPr>
                  <w:fldChar w:fldCharType="separate"/>
                </w:r>
                <w:r w:rsidR="0092310C">
                  <w:rPr>
                    <w:noProof/>
                    <w:webHidden/>
                  </w:rPr>
                  <w:t>9</w:t>
                </w:r>
                <w:r w:rsidR="00AE7CAF">
                  <w:rPr>
                    <w:noProof/>
                    <w:webHidden/>
                  </w:rPr>
                  <w:fldChar w:fldCharType="end"/>
                </w:r>
              </w:hyperlink>
            </w:p>
            <w:p w14:paraId="726835E3" w14:textId="7EE786F5" w:rsidR="00AE7CAF" w:rsidRDefault="00450E56">
              <w:pPr>
                <w:pStyle w:val="TOC2"/>
                <w:tabs>
                  <w:tab w:val="right" w:leader="dot" w:pos="10214"/>
                </w:tabs>
                <w:rPr>
                  <w:rFonts w:asciiTheme="minorHAnsi" w:eastAsiaTheme="minorEastAsia" w:hAnsiTheme="minorHAnsi" w:cstheme="minorBidi"/>
                  <w:noProof/>
                </w:rPr>
              </w:pPr>
              <w:hyperlink w:anchor="_Toc452725183" w:history="1">
                <w:r w:rsidR="00AE7CAF" w:rsidRPr="008B120A">
                  <w:rPr>
                    <w:rStyle w:val="Hyperlink"/>
                    <w:rFonts w:ascii="Cambria" w:hAnsi="Cambria"/>
                    <w:noProof/>
                  </w:rPr>
                  <w:t>A.10 Assurance of Confidentiality</w:t>
                </w:r>
                <w:r w:rsidR="00AE7CAF">
                  <w:rPr>
                    <w:noProof/>
                    <w:webHidden/>
                  </w:rPr>
                  <w:tab/>
                </w:r>
                <w:r w:rsidR="00AE7CAF">
                  <w:rPr>
                    <w:noProof/>
                    <w:webHidden/>
                  </w:rPr>
                  <w:fldChar w:fldCharType="begin"/>
                </w:r>
                <w:r w:rsidR="00AE7CAF">
                  <w:rPr>
                    <w:noProof/>
                    <w:webHidden/>
                  </w:rPr>
                  <w:instrText xml:space="preserve"> PAGEREF _Toc452725183 \h </w:instrText>
                </w:r>
                <w:r w:rsidR="00AE7CAF">
                  <w:rPr>
                    <w:noProof/>
                    <w:webHidden/>
                  </w:rPr>
                </w:r>
                <w:r w:rsidR="00AE7CAF">
                  <w:rPr>
                    <w:noProof/>
                    <w:webHidden/>
                  </w:rPr>
                  <w:fldChar w:fldCharType="separate"/>
                </w:r>
                <w:r w:rsidR="0092310C">
                  <w:rPr>
                    <w:noProof/>
                    <w:webHidden/>
                  </w:rPr>
                  <w:t>14</w:t>
                </w:r>
                <w:r w:rsidR="00AE7CAF">
                  <w:rPr>
                    <w:noProof/>
                    <w:webHidden/>
                  </w:rPr>
                  <w:fldChar w:fldCharType="end"/>
                </w:r>
              </w:hyperlink>
            </w:p>
            <w:p w14:paraId="22E83F60" w14:textId="0724A5DB" w:rsidR="00AE7CAF" w:rsidRDefault="00450E56">
              <w:pPr>
                <w:pStyle w:val="TOC2"/>
                <w:tabs>
                  <w:tab w:val="right" w:leader="dot" w:pos="10214"/>
                </w:tabs>
                <w:rPr>
                  <w:rFonts w:asciiTheme="minorHAnsi" w:eastAsiaTheme="minorEastAsia" w:hAnsiTheme="minorHAnsi" w:cstheme="minorBidi"/>
                  <w:noProof/>
                </w:rPr>
              </w:pPr>
              <w:hyperlink w:anchor="_Toc452725184" w:history="1">
                <w:r w:rsidR="00AE7CAF" w:rsidRPr="008B120A">
                  <w:rPr>
                    <w:rStyle w:val="Hyperlink"/>
                    <w:rFonts w:ascii="Cambria" w:hAnsi="Cambria"/>
                    <w:noProof/>
                  </w:rPr>
                  <w:t>A.11 Sensitive Questions</w:t>
                </w:r>
                <w:r w:rsidR="00AE7CAF">
                  <w:rPr>
                    <w:noProof/>
                    <w:webHidden/>
                  </w:rPr>
                  <w:tab/>
                </w:r>
                <w:r w:rsidR="00AE7CAF">
                  <w:rPr>
                    <w:noProof/>
                    <w:webHidden/>
                  </w:rPr>
                  <w:fldChar w:fldCharType="begin"/>
                </w:r>
                <w:r w:rsidR="00AE7CAF">
                  <w:rPr>
                    <w:noProof/>
                    <w:webHidden/>
                  </w:rPr>
                  <w:instrText xml:space="preserve"> PAGEREF _Toc452725184 \h </w:instrText>
                </w:r>
                <w:r w:rsidR="00AE7CAF">
                  <w:rPr>
                    <w:noProof/>
                    <w:webHidden/>
                  </w:rPr>
                </w:r>
                <w:r w:rsidR="00AE7CAF">
                  <w:rPr>
                    <w:noProof/>
                    <w:webHidden/>
                  </w:rPr>
                  <w:fldChar w:fldCharType="separate"/>
                </w:r>
                <w:r w:rsidR="0092310C">
                  <w:rPr>
                    <w:noProof/>
                    <w:webHidden/>
                  </w:rPr>
                  <w:t>15</w:t>
                </w:r>
                <w:r w:rsidR="00AE7CAF">
                  <w:rPr>
                    <w:noProof/>
                    <w:webHidden/>
                  </w:rPr>
                  <w:fldChar w:fldCharType="end"/>
                </w:r>
              </w:hyperlink>
            </w:p>
            <w:p w14:paraId="42D40DBB" w14:textId="6A99C1B0" w:rsidR="00AE7CAF" w:rsidRDefault="00450E56">
              <w:pPr>
                <w:pStyle w:val="TOC2"/>
                <w:tabs>
                  <w:tab w:val="right" w:leader="dot" w:pos="10214"/>
                </w:tabs>
                <w:rPr>
                  <w:rFonts w:asciiTheme="minorHAnsi" w:eastAsiaTheme="minorEastAsia" w:hAnsiTheme="minorHAnsi" w:cstheme="minorBidi"/>
                  <w:noProof/>
                </w:rPr>
              </w:pPr>
              <w:hyperlink w:anchor="_Toc452725185" w:history="1">
                <w:r w:rsidR="00AE7CAF" w:rsidRPr="008B120A">
                  <w:rPr>
                    <w:rStyle w:val="Hyperlink"/>
                    <w:rFonts w:ascii="Cambria" w:hAnsi="Cambria"/>
                    <w:noProof/>
                  </w:rPr>
                  <w:t>A.12 Estimates of Burden</w:t>
                </w:r>
                <w:r w:rsidR="00AE7CAF">
                  <w:rPr>
                    <w:noProof/>
                    <w:webHidden/>
                  </w:rPr>
                  <w:tab/>
                </w:r>
                <w:r w:rsidR="00AE7CAF">
                  <w:rPr>
                    <w:noProof/>
                    <w:webHidden/>
                  </w:rPr>
                  <w:fldChar w:fldCharType="begin"/>
                </w:r>
                <w:r w:rsidR="00AE7CAF">
                  <w:rPr>
                    <w:noProof/>
                    <w:webHidden/>
                  </w:rPr>
                  <w:instrText xml:space="preserve"> PAGEREF _Toc452725185 \h </w:instrText>
                </w:r>
                <w:r w:rsidR="00AE7CAF">
                  <w:rPr>
                    <w:noProof/>
                    <w:webHidden/>
                  </w:rPr>
                </w:r>
                <w:r w:rsidR="00AE7CAF">
                  <w:rPr>
                    <w:noProof/>
                    <w:webHidden/>
                  </w:rPr>
                  <w:fldChar w:fldCharType="separate"/>
                </w:r>
                <w:r w:rsidR="0092310C">
                  <w:rPr>
                    <w:noProof/>
                    <w:webHidden/>
                  </w:rPr>
                  <w:t>16</w:t>
                </w:r>
                <w:r w:rsidR="00AE7CAF">
                  <w:rPr>
                    <w:noProof/>
                    <w:webHidden/>
                  </w:rPr>
                  <w:fldChar w:fldCharType="end"/>
                </w:r>
              </w:hyperlink>
            </w:p>
            <w:p w14:paraId="5C1FA030" w14:textId="23FB7930" w:rsidR="00AE7CAF" w:rsidRDefault="00450E56">
              <w:pPr>
                <w:pStyle w:val="TOC2"/>
                <w:tabs>
                  <w:tab w:val="right" w:leader="dot" w:pos="10214"/>
                </w:tabs>
                <w:rPr>
                  <w:rFonts w:asciiTheme="minorHAnsi" w:eastAsiaTheme="minorEastAsia" w:hAnsiTheme="minorHAnsi" w:cstheme="minorBidi"/>
                  <w:noProof/>
                </w:rPr>
              </w:pPr>
              <w:hyperlink w:anchor="_Toc452725186" w:history="1">
                <w:r w:rsidR="00AE7CAF" w:rsidRPr="008B120A">
                  <w:rPr>
                    <w:rStyle w:val="Hyperlink"/>
                    <w:rFonts w:ascii="Cambria" w:hAnsi="Cambria"/>
                    <w:noProof/>
                  </w:rPr>
                  <w:t>A.13 Total Annual Cost Burden</w:t>
                </w:r>
                <w:r w:rsidR="00AE7CAF">
                  <w:rPr>
                    <w:noProof/>
                    <w:webHidden/>
                  </w:rPr>
                  <w:tab/>
                </w:r>
                <w:r w:rsidR="00AE7CAF">
                  <w:rPr>
                    <w:noProof/>
                    <w:webHidden/>
                  </w:rPr>
                  <w:fldChar w:fldCharType="begin"/>
                </w:r>
                <w:r w:rsidR="00AE7CAF">
                  <w:rPr>
                    <w:noProof/>
                    <w:webHidden/>
                  </w:rPr>
                  <w:instrText xml:space="preserve"> PAGEREF _Toc452725186 \h </w:instrText>
                </w:r>
                <w:r w:rsidR="00AE7CAF">
                  <w:rPr>
                    <w:noProof/>
                    <w:webHidden/>
                  </w:rPr>
                </w:r>
                <w:r w:rsidR="00AE7CAF">
                  <w:rPr>
                    <w:noProof/>
                    <w:webHidden/>
                  </w:rPr>
                  <w:fldChar w:fldCharType="separate"/>
                </w:r>
                <w:r w:rsidR="0092310C">
                  <w:rPr>
                    <w:noProof/>
                    <w:webHidden/>
                  </w:rPr>
                  <w:t>20</w:t>
                </w:r>
                <w:r w:rsidR="00AE7CAF">
                  <w:rPr>
                    <w:noProof/>
                    <w:webHidden/>
                  </w:rPr>
                  <w:fldChar w:fldCharType="end"/>
                </w:r>
              </w:hyperlink>
            </w:p>
            <w:p w14:paraId="445148CC" w14:textId="0164DA82" w:rsidR="00AE7CAF" w:rsidRDefault="00450E56">
              <w:pPr>
                <w:pStyle w:val="TOC2"/>
                <w:tabs>
                  <w:tab w:val="right" w:leader="dot" w:pos="10214"/>
                </w:tabs>
                <w:rPr>
                  <w:rFonts w:asciiTheme="minorHAnsi" w:eastAsiaTheme="minorEastAsia" w:hAnsiTheme="minorHAnsi" w:cstheme="minorBidi"/>
                  <w:noProof/>
                </w:rPr>
              </w:pPr>
              <w:hyperlink w:anchor="_Toc452725187" w:history="1">
                <w:r w:rsidR="00AE7CAF" w:rsidRPr="008B120A">
                  <w:rPr>
                    <w:rStyle w:val="Hyperlink"/>
                    <w:rFonts w:ascii="Cambria" w:hAnsi="Cambria"/>
                    <w:noProof/>
                  </w:rPr>
                  <w:t>A.15 Program Changes or Adjustments</w:t>
                </w:r>
                <w:r w:rsidR="00AE7CAF">
                  <w:rPr>
                    <w:noProof/>
                    <w:webHidden/>
                  </w:rPr>
                  <w:tab/>
                </w:r>
                <w:r w:rsidR="00AE7CAF">
                  <w:rPr>
                    <w:noProof/>
                    <w:webHidden/>
                  </w:rPr>
                  <w:fldChar w:fldCharType="begin"/>
                </w:r>
                <w:r w:rsidR="00AE7CAF">
                  <w:rPr>
                    <w:noProof/>
                    <w:webHidden/>
                  </w:rPr>
                  <w:instrText xml:space="preserve"> PAGEREF _Toc452725187 \h </w:instrText>
                </w:r>
                <w:r w:rsidR="00AE7CAF">
                  <w:rPr>
                    <w:noProof/>
                    <w:webHidden/>
                  </w:rPr>
                </w:r>
                <w:r w:rsidR="00AE7CAF">
                  <w:rPr>
                    <w:noProof/>
                    <w:webHidden/>
                  </w:rPr>
                  <w:fldChar w:fldCharType="separate"/>
                </w:r>
                <w:r w:rsidR="0092310C">
                  <w:rPr>
                    <w:noProof/>
                    <w:webHidden/>
                  </w:rPr>
                  <w:t>20</w:t>
                </w:r>
                <w:r w:rsidR="00AE7CAF">
                  <w:rPr>
                    <w:noProof/>
                    <w:webHidden/>
                  </w:rPr>
                  <w:fldChar w:fldCharType="end"/>
                </w:r>
              </w:hyperlink>
            </w:p>
            <w:p w14:paraId="7D62A182" w14:textId="151F5AAC" w:rsidR="00AE7CAF" w:rsidRDefault="00450E56">
              <w:pPr>
                <w:pStyle w:val="TOC2"/>
                <w:tabs>
                  <w:tab w:val="right" w:leader="dot" w:pos="10214"/>
                </w:tabs>
                <w:rPr>
                  <w:rFonts w:asciiTheme="minorHAnsi" w:eastAsiaTheme="minorEastAsia" w:hAnsiTheme="minorHAnsi" w:cstheme="minorBidi"/>
                  <w:noProof/>
                </w:rPr>
              </w:pPr>
              <w:hyperlink w:anchor="_Toc452725188" w:history="1">
                <w:r w:rsidR="00AE7CAF" w:rsidRPr="008B120A">
                  <w:rPr>
                    <w:rStyle w:val="Hyperlink"/>
                    <w:rFonts w:ascii="Cambria" w:hAnsi="Cambria"/>
                    <w:noProof/>
                  </w:rPr>
                  <w:t>A.16 Plans for Tabulation and Publication</w:t>
                </w:r>
                <w:r w:rsidR="00AE7CAF">
                  <w:rPr>
                    <w:noProof/>
                    <w:webHidden/>
                  </w:rPr>
                  <w:tab/>
                </w:r>
                <w:r w:rsidR="00AE7CAF">
                  <w:rPr>
                    <w:noProof/>
                    <w:webHidden/>
                  </w:rPr>
                  <w:fldChar w:fldCharType="begin"/>
                </w:r>
                <w:r w:rsidR="00AE7CAF">
                  <w:rPr>
                    <w:noProof/>
                    <w:webHidden/>
                  </w:rPr>
                  <w:instrText xml:space="preserve"> PAGEREF _Toc452725188 \h </w:instrText>
                </w:r>
                <w:r w:rsidR="00AE7CAF">
                  <w:rPr>
                    <w:noProof/>
                    <w:webHidden/>
                  </w:rPr>
                </w:r>
                <w:r w:rsidR="00AE7CAF">
                  <w:rPr>
                    <w:noProof/>
                    <w:webHidden/>
                  </w:rPr>
                  <w:fldChar w:fldCharType="separate"/>
                </w:r>
                <w:r w:rsidR="0092310C">
                  <w:rPr>
                    <w:noProof/>
                    <w:webHidden/>
                  </w:rPr>
                  <w:t>20</w:t>
                </w:r>
                <w:r w:rsidR="00AE7CAF">
                  <w:rPr>
                    <w:noProof/>
                    <w:webHidden/>
                  </w:rPr>
                  <w:fldChar w:fldCharType="end"/>
                </w:r>
              </w:hyperlink>
            </w:p>
            <w:p w14:paraId="4BDAEB8A" w14:textId="6EE64579" w:rsidR="00AE7CAF" w:rsidRDefault="00450E56">
              <w:pPr>
                <w:pStyle w:val="TOC2"/>
                <w:tabs>
                  <w:tab w:val="right" w:leader="dot" w:pos="10214"/>
                </w:tabs>
                <w:rPr>
                  <w:rFonts w:asciiTheme="minorHAnsi" w:eastAsiaTheme="minorEastAsia" w:hAnsiTheme="minorHAnsi" w:cstheme="minorBidi"/>
                  <w:noProof/>
                </w:rPr>
              </w:pPr>
              <w:hyperlink w:anchor="_Toc452725189" w:history="1">
                <w:r w:rsidR="00AE7CAF" w:rsidRPr="008B120A">
                  <w:rPr>
                    <w:rStyle w:val="Hyperlink"/>
                    <w:rFonts w:ascii="Cambria" w:hAnsi="Cambria"/>
                    <w:noProof/>
                  </w:rPr>
                  <w:t>A.17 Display OMB Expiration Date</w:t>
                </w:r>
                <w:r w:rsidR="00AE7CAF">
                  <w:rPr>
                    <w:noProof/>
                    <w:webHidden/>
                  </w:rPr>
                  <w:tab/>
                </w:r>
                <w:r w:rsidR="00AE7CAF">
                  <w:rPr>
                    <w:noProof/>
                    <w:webHidden/>
                  </w:rPr>
                  <w:fldChar w:fldCharType="begin"/>
                </w:r>
                <w:r w:rsidR="00AE7CAF">
                  <w:rPr>
                    <w:noProof/>
                    <w:webHidden/>
                  </w:rPr>
                  <w:instrText xml:space="preserve"> PAGEREF _Toc452725189 \h </w:instrText>
                </w:r>
                <w:r w:rsidR="00AE7CAF">
                  <w:rPr>
                    <w:noProof/>
                    <w:webHidden/>
                  </w:rPr>
                </w:r>
                <w:r w:rsidR="00AE7CAF">
                  <w:rPr>
                    <w:noProof/>
                    <w:webHidden/>
                  </w:rPr>
                  <w:fldChar w:fldCharType="separate"/>
                </w:r>
                <w:r w:rsidR="0092310C">
                  <w:rPr>
                    <w:noProof/>
                    <w:webHidden/>
                  </w:rPr>
                  <w:t>20</w:t>
                </w:r>
                <w:r w:rsidR="00AE7CAF">
                  <w:rPr>
                    <w:noProof/>
                    <w:webHidden/>
                  </w:rPr>
                  <w:fldChar w:fldCharType="end"/>
                </w:r>
              </w:hyperlink>
            </w:p>
            <w:p w14:paraId="288AFBF4" w14:textId="13041D82" w:rsidR="00AE7CAF" w:rsidRDefault="00450E56">
              <w:pPr>
                <w:pStyle w:val="TOC2"/>
                <w:tabs>
                  <w:tab w:val="right" w:leader="dot" w:pos="10214"/>
                </w:tabs>
                <w:rPr>
                  <w:rFonts w:asciiTheme="minorHAnsi" w:eastAsiaTheme="minorEastAsia" w:hAnsiTheme="minorHAnsi" w:cstheme="minorBidi"/>
                  <w:noProof/>
                </w:rPr>
              </w:pPr>
              <w:hyperlink w:anchor="_Toc452725190" w:history="1">
                <w:r w:rsidR="00AE7CAF" w:rsidRPr="008B120A">
                  <w:rPr>
                    <w:rStyle w:val="Hyperlink"/>
                    <w:rFonts w:ascii="Cambria" w:hAnsi="Cambria"/>
                    <w:noProof/>
                  </w:rPr>
                  <w:t>A.18 Exceptions to Certification Statement</w:t>
                </w:r>
                <w:r w:rsidR="00AE7CAF">
                  <w:rPr>
                    <w:noProof/>
                    <w:webHidden/>
                  </w:rPr>
                  <w:tab/>
                </w:r>
                <w:r w:rsidR="00AE7CAF">
                  <w:rPr>
                    <w:noProof/>
                    <w:webHidden/>
                  </w:rPr>
                  <w:fldChar w:fldCharType="begin"/>
                </w:r>
                <w:r w:rsidR="00AE7CAF">
                  <w:rPr>
                    <w:noProof/>
                    <w:webHidden/>
                  </w:rPr>
                  <w:instrText xml:space="preserve"> PAGEREF _Toc452725190 \h </w:instrText>
                </w:r>
                <w:r w:rsidR="00AE7CAF">
                  <w:rPr>
                    <w:noProof/>
                    <w:webHidden/>
                  </w:rPr>
                </w:r>
                <w:r w:rsidR="00AE7CAF">
                  <w:rPr>
                    <w:noProof/>
                    <w:webHidden/>
                  </w:rPr>
                  <w:fldChar w:fldCharType="separate"/>
                </w:r>
                <w:r w:rsidR="0092310C">
                  <w:rPr>
                    <w:noProof/>
                    <w:webHidden/>
                  </w:rPr>
                  <w:t>20</w:t>
                </w:r>
                <w:r w:rsidR="00AE7CAF">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52725172"/>
      <w:r w:rsidRPr="00BA441F">
        <w:rPr>
          <w:rFonts w:ascii="Cambria" w:hAnsi="Cambria"/>
        </w:rPr>
        <w:lastRenderedPageBreak/>
        <w:t>Preface</w:t>
      </w:r>
      <w:bookmarkEnd w:id="1"/>
      <w:bookmarkEnd w:id="2"/>
    </w:p>
    <w:p w14:paraId="4F34012E" w14:textId="77777777" w:rsidR="00F16733" w:rsidRDefault="00B427AD" w:rsidP="00B427AD">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In preparation for the </w:t>
      </w:r>
      <w:r w:rsidR="009B0A18">
        <w:rPr>
          <w:rFonts w:ascii="Cambria" w:hAnsi="Cambria"/>
        </w:rPr>
        <w:t xml:space="preserve">national data collection, referred to as the </w:t>
      </w:r>
      <w:r w:rsidR="006D7C58" w:rsidRPr="00BA441F">
        <w:rPr>
          <w:rFonts w:ascii="Cambria" w:hAnsi="Cambria"/>
        </w:rPr>
        <w:t>M</w:t>
      </w:r>
      <w:r w:rsidRPr="00BA441F">
        <w:rPr>
          <w:rFonts w:ascii="Cambria" w:hAnsi="Cambria"/>
        </w:rPr>
        <w:t xml:space="preserve">ain </w:t>
      </w:r>
      <w:r w:rsidR="006D7C58" w:rsidRPr="00BA441F">
        <w:rPr>
          <w:rFonts w:ascii="Cambria" w:hAnsi="Cambria"/>
        </w:rPr>
        <w:t>S</w:t>
      </w:r>
      <w:r w:rsidRPr="00BA441F">
        <w:rPr>
          <w:rFonts w:ascii="Cambria" w:hAnsi="Cambria"/>
        </w:rPr>
        <w:t>tudy, the data collection instruments and procedures must be field tested.</w:t>
      </w:r>
    </w:p>
    <w:p w14:paraId="43B28D21" w14:textId="7302C210" w:rsidR="00ED5AE8" w:rsidRDefault="00ED5AE8" w:rsidP="00ED5AE8">
      <w:pPr>
        <w:spacing w:after="120" w:line="23" w:lineRule="atLeast"/>
        <w:rPr>
          <w:rFonts w:ascii="Cambria" w:hAnsi="Cambria"/>
        </w:rPr>
      </w:pPr>
      <w:r w:rsidRPr="00BA441F">
        <w:rPr>
          <w:rFonts w:ascii="Cambria" w:hAnsi="Cambria"/>
        </w:rPr>
        <w:t>This package requests clearance to conduct three components of the study: (1) the MGLS:2017 Operational Field Test (OFT)</w:t>
      </w:r>
      <w:r>
        <w:rPr>
          <w:rFonts w:ascii="Cambria" w:hAnsi="Cambria"/>
        </w:rPr>
        <w:t xml:space="preserve"> </w:t>
      </w:r>
      <w:r w:rsidRPr="00BA441F">
        <w:rPr>
          <w:rFonts w:ascii="Cambria" w:hAnsi="Cambria"/>
        </w:rPr>
        <w:t xml:space="preserve">data collection; (2) the recruitment of schools </w:t>
      </w:r>
      <w:r>
        <w:rPr>
          <w:rFonts w:ascii="Cambria" w:hAnsi="Cambria"/>
        </w:rPr>
        <w:t>for</w:t>
      </w:r>
      <w:r w:rsidRPr="00BA441F">
        <w:rPr>
          <w:rFonts w:ascii="Cambria" w:hAnsi="Cambria"/>
        </w:rPr>
        <w:t xml:space="preserve"> the </w:t>
      </w:r>
      <w:r w:rsidR="008300F4" w:rsidRPr="008300F4">
        <w:rPr>
          <w:rFonts w:ascii="Cambria" w:hAnsi="Cambria"/>
        </w:rPr>
        <w:t>Main Study Base-year</w:t>
      </w:r>
      <w:r w:rsidRPr="00BA441F">
        <w:rPr>
          <w:rFonts w:ascii="Cambria" w:hAnsi="Cambria"/>
        </w:rPr>
        <w:t>; and (3) the tracking of OFT students and associated recruitment of schools in preparation for the first follow-up</w:t>
      </w:r>
      <w:r>
        <w:rPr>
          <w:rFonts w:ascii="Cambria" w:hAnsi="Cambria"/>
        </w:rPr>
        <w:t xml:space="preserve"> OFT</w:t>
      </w:r>
      <w:r w:rsidRPr="00BA441F">
        <w:rPr>
          <w:rFonts w:ascii="Cambria" w:hAnsi="Cambria"/>
        </w:rPr>
        <w:t xml:space="preserve"> data collection.</w:t>
      </w:r>
    </w:p>
    <w:p w14:paraId="2A676905" w14:textId="62BCCCF5" w:rsidR="00ED5AE8" w:rsidRPr="00BA441F" w:rsidRDefault="00ED5AE8" w:rsidP="00ED5AE8">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3,4,5,7,8,9)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can be composed for the Main Study.</w:t>
      </w:r>
      <w:r w:rsidRPr="00ED5AE8">
        <w:rPr>
          <w:rFonts w:ascii="Cambria" w:hAnsi="Cambria"/>
        </w:rPr>
        <w:t xml:space="preserve"> </w:t>
      </w:r>
      <w:r w:rsidRPr="00BA441F">
        <w:rPr>
          <w:rFonts w:ascii="Cambria" w:hAnsi="Cambria"/>
        </w:rPr>
        <w:t>The MGLS:2017 OFT</w:t>
      </w:r>
      <w:r>
        <w:rPr>
          <w:rFonts w:ascii="Cambria" w:hAnsi="Cambria"/>
        </w:rPr>
        <w:t xml:space="preserve"> </w:t>
      </w:r>
      <w:r w:rsidRPr="00BA441F">
        <w:rPr>
          <w:rFonts w:ascii="Cambria" w:hAnsi="Cambria"/>
        </w:rPr>
        <w:t xml:space="preserve">data collection </w:t>
      </w:r>
      <w:r>
        <w:rPr>
          <w:rFonts w:ascii="Cambria" w:hAnsi="Cambria"/>
        </w:rPr>
        <w:t>will</w:t>
      </w:r>
      <w:r w:rsidRPr="00BA441F">
        <w:rPr>
          <w:rFonts w:ascii="Cambria" w:hAnsi="Cambria"/>
        </w:rPr>
        <w:t xml:space="preserve"> begin in January 2017, at which time the recruitment for </w:t>
      </w:r>
      <w:r w:rsidR="008300F4">
        <w:rPr>
          <w:rFonts w:ascii="Cambria" w:hAnsi="Cambria"/>
        </w:rPr>
        <w:t>Main Study Base-year</w:t>
      </w:r>
      <w:r>
        <w:rPr>
          <w:rFonts w:ascii="Cambria" w:hAnsi="Cambria"/>
        </w:rPr>
        <w:t xml:space="preserve"> </w:t>
      </w:r>
      <w:r w:rsidRPr="00BA441F">
        <w:rPr>
          <w:rFonts w:ascii="Cambria" w:hAnsi="Cambria"/>
        </w:rPr>
        <w:t>schools will also commence.</w:t>
      </w:r>
      <w:r>
        <w:rPr>
          <w:rFonts w:ascii="Cambria" w:hAnsi="Cambria"/>
        </w:rPr>
        <w:t xml:space="preserve"> </w:t>
      </w:r>
      <w:r w:rsidRPr="00BA441F">
        <w:rPr>
          <w:rFonts w:ascii="Cambria" w:hAnsi="Cambria"/>
        </w:rPr>
        <w:t>Tracking of students and associated recruitment of schools for the OFT first follow-up data collection is scheduled to begin in the late summer of 2017.</w:t>
      </w:r>
      <w:r>
        <w:rPr>
          <w:rFonts w:ascii="Cambria" w:hAnsi="Cambria"/>
        </w:rPr>
        <w:t xml:space="preserve"> </w:t>
      </w:r>
      <w:r w:rsidRPr="00BA441F">
        <w:rPr>
          <w:rFonts w:ascii="Cambria" w:hAnsi="Cambria"/>
        </w:rPr>
        <w:t>The primary purpose of the OFT 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 and administrative procedures.</w:t>
      </w:r>
    </w:p>
    <w:p w14:paraId="124CCD0F" w14:textId="20135AA8" w:rsidR="00B427AD" w:rsidRPr="00BA441F" w:rsidRDefault="00B427AD" w:rsidP="00B427AD">
      <w:pPr>
        <w:spacing w:after="120" w:line="23" w:lineRule="atLeast"/>
        <w:rPr>
          <w:rFonts w:ascii="Cambria" w:hAnsi="Cambria"/>
        </w:rPr>
      </w:pPr>
      <w:r w:rsidRPr="00BA441F">
        <w:rPr>
          <w:rFonts w:ascii="Cambria" w:hAnsi="Cambria"/>
        </w:rPr>
        <w:t>Part A of this submission presents information on the basic design of the OFT</w:t>
      </w:r>
      <w:r w:rsidR="00C921A1" w:rsidRPr="00BA441F">
        <w:rPr>
          <w:rFonts w:ascii="Cambria" w:hAnsi="Cambria"/>
        </w:rPr>
        <w:t xml:space="preserve"> and </w:t>
      </w:r>
      <w:r w:rsidR="006D7C58" w:rsidRPr="00BA441F">
        <w:rPr>
          <w:rFonts w:ascii="Cambria" w:hAnsi="Cambria"/>
        </w:rPr>
        <w:t>M</w:t>
      </w:r>
      <w:r w:rsidR="00C921A1" w:rsidRPr="00BA441F">
        <w:rPr>
          <w:rFonts w:ascii="Cambria" w:hAnsi="Cambria"/>
        </w:rPr>
        <w:t xml:space="preserve">ain </w:t>
      </w:r>
      <w:r w:rsidR="006D7C58" w:rsidRPr="00BA441F">
        <w:rPr>
          <w:rFonts w:ascii="Cambria" w:hAnsi="Cambria"/>
        </w:rPr>
        <w:t>S</w:t>
      </w:r>
      <w:r w:rsidR="00C921A1" w:rsidRPr="00BA441F">
        <w:rPr>
          <w:rFonts w:ascii="Cambria" w:hAnsi="Cambria"/>
        </w:rPr>
        <w:t>tudy</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Part C provides content and item justifications for the MGLS:2017 student, parent, math teacher, special education teacher, and school administrator surveys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743EA1" w:rsidRPr="00BA441F">
        <w:rPr>
          <w:rFonts w:ascii="Cambria" w:hAnsi="Cambria"/>
        </w:rPr>
        <w:t>OFT1-</w:t>
      </w:r>
      <w:r w:rsidRPr="00BA441F">
        <w:rPr>
          <w:rFonts w:ascii="Cambria" w:hAnsi="Cambria"/>
        </w:rPr>
        <w:t xml:space="preserve">A through J provide </w:t>
      </w:r>
      <w:r w:rsidR="004C6CFD">
        <w:rPr>
          <w:rFonts w:ascii="Cambria" w:hAnsi="Cambria"/>
        </w:rPr>
        <w:t xml:space="preserve">the </w:t>
      </w:r>
      <w:r w:rsidR="00ED5AE8">
        <w:rPr>
          <w:rFonts w:ascii="Cambria" w:hAnsi="Cambria"/>
        </w:rPr>
        <w:t>OFT</w:t>
      </w:r>
      <w:r w:rsidRPr="00BA441F">
        <w:rPr>
          <w:rFonts w:ascii="Cambria" w:hAnsi="Cambria"/>
        </w:rPr>
        <w:t xml:space="preserve"> </w:t>
      </w:r>
      <w:r w:rsidR="004C6CFD">
        <w:rPr>
          <w:rFonts w:ascii="Cambria" w:hAnsi="Cambria"/>
        </w:rPr>
        <w:t xml:space="preserve">and </w:t>
      </w:r>
      <w:r w:rsidR="004C6CFD" w:rsidRPr="00BA441F">
        <w:rPr>
          <w:rFonts w:ascii="Cambria" w:hAnsi="Cambria"/>
        </w:rPr>
        <w:t xml:space="preserve">Appendices MS1-A through </w:t>
      </w:r>
      <w:r w:rsidR="00074B2D">
        <w:rPr>
          <w:rFonts w:ascii="Cambria" w:hAnsi="Cambria"/>
        </w:rPr>
        <w:t>J</w:t>
      </w:r>
      <w:r w:rsidR="004C6CFD" w:rsidRPr="00BA441F">
        <w:rPr>
          <w:rFonts w:ascii="Cambria" w:hAnsi="Cambria"/>
        </w:rPr>
        <w:t xml:space="preserve"> provide </w:t>
      </w:r>
      <w:r w:rsidR="004C6CFD">
        <w:rPr>
          <w:rFonts w:ascii="Cambria" w:hAnsi="Cambria"/>
        </w:rPr>
        <w:t xml:space="preserve">the </w:t>
      </w:r>
      <w:r w:rsidR="004C6CFD" w:rsidRPr="00BA441F">
        <w:rPr>
          <w:rFonts w:ascii="Cambria" w:hAnsi="Cambria"/>
        </w:rPr>
        <w:t>Main Study</w:t>
      </w:r>
      <w:r w:rsidR="004C6CFD">
        <w:rPr>
          <w:rFonts w:ascii="Cambria" w:hAnsi="Cambria"/>
        </w:rPr>
        <w:t xml:space="preserve"> </w:t>
      </w:r>
      <w:r w:rsidRPr="00BA441F">
        <w:rPr>
          <w:rFonts w:ascii="Cambria" w:hAnsi="Cambria"/>
        </w:rPr>
        <w:t xml:space="preserve">recruitment materials consisting of </w:t>
      </w:r>
      <w:r w:rsidR="00ED5AE8">
        <w:rPr>
          <w:rFonts w:ascii="Cambria" w:hAnsi="Cambria"/>
        </w:rPr>
        <w:t xml:space="preserve">a </w:t>
      </w:r>
      <w:r w:rsidR="00ED5AE8" w:rsidRPr="00BA441F">
        <w:rPr>
          <w:rFonts w:ascii="Cambria" w:hAnsi="Cambria"/>
        </w:rPr>
        <w:t xml:space="preserve">brochure, frequently asked questions, </w:t>
      </w:r>
      <w:r w:rsidR="004C6CFD">
        <w:rPr>
          <w:rFonts w:ascii="Cambria" w:hAnsi="Cambria"/>
        </w:rPr>
        <w:t xml:space="preserve">content of </w:t>
      </w:r>
      <w:r w:rsidR="00ED5AE8">
        <w:rPr>
          <w:rFonts w:ascii="Cambria" w:hAnsi="Cambria"/>
        </w:rPr>
        <w:t xml:space="preserve">a study </w:t>
      </w:r>
      <w:r w:rsidR="00ED5AE8" w:rsidRPr="00BA441F">
        <w:rPr>
          <w:rFonts w:ascii="Cambria" w:hAnsi="Cambria"/>
        </w:rPr>
        <w:t>website</w:t>
      </w:r>
      <w:r w:rsidR="00ED5AE8">
        <w:rPr>
          <w:rFonts w:ascii="Cambria" w:hAnsi="Cambria"/>
        </w:rPr>
        <w:t>, and</w:t>
      </w:r>
      <w:r w:rsidR="00ED5AE8" w:rsidRPr="00BA441F">
        <w:rPr>
          <w:rFonts w:ascii="Cambria" w:hAnsi="Cambria"/>
        </w:rPr>
        <w:t xml:space="preserve"> </w:t>
      </w:r>
      <w:r w:rsidRPr="00BA441F">
        <w:rPr>
          <w:rFonts w:ascii="Cambria" w:hAnsi="Cambria"/>
        </w:rPr>
        <w:t>letters to state and district officials,</w:t>
      </w:r>
      <w:r w:rsidR="00ED5AE8">
        <w:rPr>
          <w:rFonts w:ascii="Cambria" w:hAnsi="Cambria"/>
        </w:rPr>
        <w:t xml:space="preserve"> school principals, and parents</w:t>
      </w:r>
      <w:r w:rsidRPr="00BA441F">
        <w:rPr>
          <w:rFonts w:ascii="Cambria" w:hAnsi="Cambria"/>
        </w:rPr>
        <w:t>. Appendi</w:t>
      </w:r>
      <w:r w:rsidR="00B42862">
        <w:rPr>
          <w:rFonts w:ascii="Cambria" w:hAnsi="Cambria"/>
        </w:rPr>
        <w:t>ces</w:t>
      </w:r>
      <w:r w:rsidRPr="00BA441F">
        <w:rPr>
          <w:rFonts w:ascii="Cambria" w:hAnsi="Cambria"/>
        </w:rPr>
        <w:t xml:space="preserve"> </w:t>
      </w:r>
      <w:r w:rsidR="00743EA1" w:rsidRPr="00BA441F">
        <w:rPr>
          <w:rFonts w:ascii="Cambria" w:hAnsi="Cambria"/>
        </w:rPr>
        <w:t>OFT1-</w:t>
      </w:r>
      <w:r w:rsidRPr="00BA441F">
        <w:rPr>
          <w:rFonts w:ascii="Cambria" w:hAnsi="Cambria"/>
        </w:rPr>
        <w:t>K</w:t>
      </w:r>
      <w:r w:rsidR="00B42862">
        <w:rPr>
          <w:rFonts w:ascii="Cambria" w:hAnsi="Cambria"/>
        </w:rPr>
        <w:t xml:space="preserve"> through </w:t>
      </w:r>
      <w:r w:rsidR="00074B2D">
        <w:rPr>
          <w:rFonts w:ascii="Cambria" w:hAnsi="Cambria"/>
        </w:rPr>
        <w:t xml:space="preserve">R and MS1-K through R </w:t>
      </w:r>
      <w:r w:rsidRPr="00BA441F">
        <w:rPr>
          <w:rFonts w:ascii="Cambria" w:hAnsi="Cambria"/>
        </w:rPr>
        <w:t xml:space="preserve">provide content summaries of the proposed assessments and surveys, and </w:t>
      </w:r>
      <w:bookmarkStart w:id="3" w:name="_Toc423368330"/>
      <w:r w:rsidRPr="00BA441F">
        <w:rPr>
          <w:rFonts w:ascii="Cambria" w:hAnsi="Cambria"/>
        </w:rPr>
        <w:t xml:space="preserve">Appendices </w:t>
      </w:r>
      <w:r w:rsidR="00743EA1" w:rsidRPr="00BA441F">
        <w:rPr>
          <w:rFonts w:ascii="Cambria" w:hAnsi="Cambria"/>
        </w:rPr>
        <w:t>OFT1-</w:t>
      </w:r>
      <w:r w:rsidR="00B42862">
        <w:rPr>
          <w:rFonts w:ascii="Cambria" w:hAnsi="Cambria"/>
        </w:rPr>
        <w:t>S</w:t>
      </w:r>
      <w:r w:rsidRPr="00BA441F">
        <w:rPr>
          <w:rFonts w:ascii="Cambria" w:hAnsi="Cambria"/>
        </w:rPr>
        <w:t xml:space="preserve"> </w:t>
      </w:r>
      <w:r w:rsidR="00B42862">
        <w:rPr>
          <w:rFonts w:ascii="Cambria" w:hAnsi="Cambria"/>
        </w:rPr>
        <w:t>and T</w:t>
      </w:r>
      <w:r w:rsidR="00074B2D">
        <w:rPr>
          <w:rFonts w:ascii="Cambria" w:hAnsi="Cambria"/>
        </w:rPr>
        <w:t xml:space="preserve"> and MS1-S and T</w:t>
      </w:r>
      <w:r w:rsidRPr="00BA441F">
        <w:rPr>
          <w:rFonts w:ascii="Cambria" w:hAnsi="Cambria"/>
        </w:rPr>
        <w:t xml:space="preserve"> provide the student roster collection materials.</w:t>
      </w:r>
      <w:r w:rsidR="0080074D" w:rsidRPr="00CC47B9">
        <w:rPr>
          <w:rFonts w:ascii="Cambria" w:hAnsi="Cambria"/>
        </w:rPr>
        <w:t xml:space="preserve"> </w:t>
      </w:r>
      <w:r w:rsidRPr="00BA441F">
        <w:rPr>
          <w:rFonts w:ascii="Cambria" w:hAnsi="Cambria"/>
        </w:rPr>
        <w:t xml:space="preserve">Appendix </w:t>
      </w:r>
      <w:r w:rsidR="006538F3" w:rsidRPr="00CC47B9">
        <w:rPr>
          <w:rFonts w:ascii="Cambria" w:hAnsi="Cambria"/>
        </w:rPr>
        <w:t>OFT1-</w:t>
      </w:r>
      <w:r w:rsidR="00B42862">
        <w:rPr>
          <w:rFonts w:ascii="Cambria" w:hAnsi="Cambria"/>
        </w:rPr>
        <w:t>U</w:t>
      </w:r>
      <w:r w:rsidR="006538F3" w:rsidRPr="00BA441F">
        <w:rPr>
          <w:rFonts w:ascii="Cambria" w:hAnsi="Cambria"/>
        </w:rPr>
        <w:t xml:space="preserve"> </w:t>
      </w:r>
      <w:r w:rsidR="00752438">
        <w:rPr>
          <w:rFonts w:ascii="Cambria" w:hAnsi="Cambria"/>
        </w:rPr>
        <w:t xml:space="preserve">and V </w:t>
      </w:r>
      <w:r w:rsidRPr="00BA441F">
        <w:rPr>
          <w:rFonts w:ascii="Cambria" w:hAnsi="Cambria"/>
        </w:rPr>
        <w:t xml:space="preserve">provide the </w:t>
      </w:r>
      <w:r w:rsidR="000215E9">
        <w:rPr>
          <w:rFonts w:ascii="Cambria" w:hAnsi="Cambria"/>
        </w:rPr>
        <w:t xml:space="preserve">OFT </w:t>
      </w:r>
      <w:r w:rsidR="004C6CFD">
        <w:rPr>
          <w:rFonts w:ascii="Cambria" w:hAnsi="Cambria"/>
        </w:rPr>
        <w:t>survey instruments</w:t>
      </w:r>
      <w:r w:rsidR="009E2248" w:rsidRPr="00BA441F">
        <w:rPr>
          <w:rFonts w:ascii="Cambria" w:hAnsi="Cambria"/>
        </w:rPr>
        <w:t>. Appendices OFT2-A through</w:t>
      </w:r>
      <w:r w:rsidRPr="00BA441F">
        <w:rPr>
          <w:rFonts w:ascii="Cambria" w:hAnsi="Cambria"/>
        </w:rPr>
        <w:t xml:space="preserve"> </w:t>
      </w:r>
      <w:r w:rsidR="009E2248" w:rsidRPr="00BA441F">
        <w:rPr>
          <w:rFonts w:ascii="Cambria" w:hAnsi="Cambria"/>
        </w:rPr>
        <w:t xml:space="preserve">L provide OFT </w:t>
      </w:r>
      <w:r w:rsidR="004C6CFD" w:rsidRPr="00BA441F">
        <w:rPr>
          <w:rFonts w:ascii="Cambria" w:hAnsi="Cambria"/>
        </w:rPr>
        <w:t xml:space="preserve">contact </w:t>
      </w:r>
      <w:r w:rsidR="009E2248" w:rsidRPr="00BA441F">
        <w:rPr>
          <w:rFonts w:ascii="Cambria" w:hAnsi="Cambria"/>
        </w:rPr>
        <w:t xml:space="preserve">materials for schools and parents </w:t>
      </w:r>
      <w:r w:rsidR="004C6CFD">
        <w:rPr>
          <w:rFonts w:ascii="Cambria" w:hAnsi="Cambria"/>
        </w:rPr>
        <w:t>to</w:t>
      </w:r>
      <w:r w:rsidR="009E2248" w:rsidRPr="00BA441F">
        <w:rPr>
          <w:rFonts w:ascii="Cambria" w:hAnsi="Cambria"/>
        </w:rPr>
        <w:t xml:space="preserve"> track OFT student participants</w:t>
      </w:r>
      <w:r w:rsidR="004C6CFD">
        <w:rPr>
          <w:rFonts w:ascii="Cambria" w:hAnsi="Cambria"/>
        </w:rPr>
        <w:t xml:space="preserve"> from Base-year to First Follow-up</w:t>
      </w:r>
      <w:r w:rsidR="009E2248" w:rsidRPr="00BA441F">
        <w:rPr>
          <w:rFonts w:ascii="Cambria" w:hAnsi="Cambria"/>
        </w:rPr>
        <w:t>. B</w:t>
      </w:r>
      <w:bookmarkEnd w:id="3"/>
      <w:r w:rsidRPr="00BA441F">
        <w:rPr>
          <w:rFonts w:ascii="Cambria" w:hAnsi="Cambria"/>
        </w:rPr>
        <w:t xml:space="preserve">ecause the </w:t>
      </w:r>
      <w:r w:rsidR="00C921A1" w:rsidRPr="00BA441F">
        <w:rPr>
          <w:rFonts w:ascii="Cambria" w:hAnsi="Cambria"/>
        </w:rPr>
        <w:t>O</w:t>
      </w:r>
      <w:r w:rsidRPr="00BA441F">
        <w:rPr>
          <w:rFonts w:ascii="Cambria" w:hAnsi="Cambria"/>
        </w:rPr>
        <w:t xml:space="preserve">FT recruitment will still be ongoing at the time this request is approved, the burden and materials from the MGLS:2017 Recruitment for </w:t>
      </w:r>
      <w:r w:rsidR="00E97BF1" w:rsidRPr="00BA441F">
        <w:rPr>
          <w:rFonts w:ascii="Cambria" w:hAnsi="Cambria"/>
        </w:rPr>
        <w:t xml:space="preserve">the </w:t>
      </w:r>
      <w:r w:rsidRPr="00BA441F">
        <w:rPr>
          <w:rFonts w:ascii="Cambria" w:hAnsi="Cambria"/>
        </w:rPr>
        <w:t>201</w:t>
      </w:r>
      <w:r w:rsidR="00C921A1" w:rsidRPr="00BA441F">
        <w:rPr>
          <w:rFonts w:ascii="Cambria" w:hAnsi="Cambria"/>
        </w:rPr>
        <w:t>7</w:t>
      </w:r>
      <w:r w:rsidRPr="00BA441F">
        <w:rPr>
          <w:rFonts w:ascii="Cambria" w:hAnsi="Cambria"/>
        </w:rPr>
        <w:t xml:space="preserve"> </w:t>
      </w:r>
      <w:r w:rsidR="00C921A1" w:rsidRPr="00BA441F">
        <w:rPr>
          <w:rFonts w:ascii="Cambria" w:hAnsi="Cambria"/>
        </w:rPr>
        <w:t>OFT</w:t>
      </w:r>
      <w:r w:rsidRPr="00BA441F">
        <w:rPr>
          <w:rFonts w:ascii="Cambria" w:hAnsi="Cambria"/>
        </w:rPr>
        <w:t xml:space="preserve"> request (OMB# 1850-0911 v.</w:t>
      </w:r>
      <w:r w:rsidR="00C12CA4">
        <w:rPr>
          <w:rFonts w:ascii="Cambria" w:hAnsi="Cambria"/>
        </w:rPr>
        <w:t>6,9,</w:t>
      </w:r>
      <w:r w:rsidR="00C921A1" w:rsidRPr="00BA441F">
        <w:rPr>
          <w:rFonts w:ascii="Cambria" w:hAnsi="Cambria"/>
        </w:rPr>
        <w:t>10</w:t>
      </w:r>
      <w:r w:rsidRPr="00BA441F">
        <w:rPr>
          <w:rFonts w:ascii="Cambria" w:hAnsi="Cambria"/>
        </w:rPr>
        <w:t>) are being carried over in this submission.</w:t>
      </w:r>
      <w:r w:rsidR="004C6CFD">
        <w:rPr>
          <w:rFonts w:ascii="Cambria" w:hAnsi="Cambria"/>
        </w:rPr>
        <w:t xml:space="preserve"> In Appendix labeling, OFT1 refers to OFT Base-year materials, OFT2 to OFT First Follow-up materials, and MS1 to </w:t>
      </w:r>
      <w:r w:rsidR="008300F4">
        <w:rPr>
          <w:rFonts w:ascii="Cambria" w:hAnsi="Cambria"/>
        </w:rPr>
        <w:t>Main Study Base-year</w:t>
      </w:r>
      <w:r w:rsidR="004C6CFD">
        <w:rPr>
          <w:rFonts w:ascii="Cambria" w:hAnsi="Cambria"/>
        </w:rPr>
        <w:t xml:space="preserve"> materials.</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452725173"/>
      <w:r w:rsidRPr="00BA441F">
        <w:rPr>
          <w:rFonts w:ascii="Cambria" w:hAnsi="Cambria"/>
        </w:rPr>
        <w:t>A. Justification</w:t>
      </w:r>
      <w:bookmarkEnd w:id="4"/>
      <w:bookmarkEnd w:id="5"/>
    </w:p>
    <w:p w14:paraId="2D2A4985" w14:textId="7E522610" w:rsidR="00B427AD" w:rsidRPr="00BA441F" w:rsidRDefault="00B427AD" w:rsidP="00B427AD">
      <w:pPr>
        <w:pStyle w:val="Heading2"/>
        <w:spacing w:before="0" w:after="120" w:line="23" w:lineRule="atLeast"/>
        <w:rPr>
          <w:rFonts w:ascii="Cambria" w:hAnsi="Cambria"/>
        </w:rPr>
      </w:pPr>
      <w:bookmarkStart w:id="6" w:name="_Toc412022721"/>
      <w:bookmarkStart w:id="7" w:name="_Toc452725174"/>
      <w:r w:rsidRPr="00BA441F">
        <w:rPr>
          <w:rFonts w:ascii="Cambria" w:hAnsi="Cambria"/>
        </w:rPr>
        <w:t>A.1 Importance of Information</w:t>
      </w:r>
      <w:bookmarkEnd w:id="6"/>
      <w:bookmarkEnd w:id="7"/>
    </w:p>
    <w:p w14:paraId="540F6765"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40FF5361" w14:textId="1DDD7648"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w:t>
      </w:r>
      <w:r w:rsidRPr="00067A1B">
        <w:rPr>
          <w:rFonts w:ascii="Cambria" w:hAnsi="Cambria"/>
        </w:rPr>
        <w:lastRenderedPageBreak/>
        <w:t xml:space="preserve">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14794296" w14:textId="661A33EE" w:rsidR="00F16733" w:rsidRDefault="00B427AD" w:rsidP="00B427AD">
      <w:pPr>
        <w:spacing w:after="120" w:line="23" w:lineRule="atLeast"/>
        <w:rPr>
          <w:rFonts w:ascii="Cambria" w:hAnsi="Cambria"/>
        </w:rPr>
      </w:pPr>
      <w:r w:rsidRPr="00BA441F">
        <w:rPr>
          <w:rFonts w:ascii="Cambria" w:hAnsi="Cambria"/>
        </w:rPr>
        <w:t xml:space="preserve">To support the development of the study, MGLS:2017 </w:t>
      </w:r>
      <w:r w:rsidR="0075396D">
        <w:rPr>
          <w:rFonts w:ascii="Cambria" w:hAnsi="Cambria"/>
        </w:rPr>
        <w:t xml:space="preserve">is </w:t>
      </w:r>
      <w:r w:rsidRPr="00BA441F">
        <w:rPr>
          <w:rFonts w:ascii="Cambria" w:hAnsi="Cambria"/>
        </w:rPr>
        <w:t>conduct</w:t>
      </w:r>
      <w:r w:rsidR="0075396D">
        <w:rPr>
          <w:rFonts w:ascii="Cambria" w:hAnsi="Cambria"/>
        </w:rPr>
        <w:t>ing</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75396D">
        <w:rPr>
          <w:rFonts w:ascii="Cambria" w:hAnsi="Cambria"/>
        </w:rPr>
        <w:t xml:space="preserve">will be </w:t>
      </w:r>
      <w:r w:rsidRPr="00BA441F">
        <w:rPr>
          <w:rFonts w:ascii="Cambria" w:hAnsi="Cambria"/>
        </w:rPr>
        <w:t>followed by the OFT</w:t>
      </w:r>
      <w:r w:rsidR="0082466A">
        <w:rPr>
          <w:rFonts w:ascii="Cambria" w:hAnsi="Cambria"/>
        </w:rPr>
        <w:t xml:space="preserve">, which </w:t>
      </w:r>
      <w:r w:rsidR="0075396D">
        <w:rPr>
          <w:rFonts w:ascii="Cambria" w:hAnsi="Cambria"/>
        </w:rPr>
        <w:t>will take</w:t>
      </w:r>
      <w:r w:rsidR="00C2765B" w:rsidRPr="00BA441F">
        <w:rPr>
          <w:rFonts w:ascii="Cambria" w:hAnsi="Cambria"/>
        </w:rPr>
        <w:t xml:space="preserve"> 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613A0F">
        <w:rPr>
          <w:rFonts w:ascii="Cambria" w:hAnsi="Cambria"/>
        </w:rPr>
        <w:t xml:space="preserve"> </w:t>
      </w:r>
      <w:r w:rsidR="0075396D">
        <w:rPr>
          <w:rFonts w:ascii="Cambria" w:hAnsi="Cambria"/>
        </w:rPr>
        <w:t>Recruitment for the OFT is currently underway (OMB# 1850-0911 v. 6,9,10).</w:t>
      </w:r>
    </w:p>
    <w:p w14:paraId="0DC6C318" w14:textId="7EBCDC0F" w:rsidR="00B427AD" w:rsidRPr="00BA441F" w:rsidRDefault="00B427AD" w:rsidP="00DE1D55">
      <w:pPr>
        <w:widowControl w:val="0"/>
        <w:spacing w:after="120" w:line="240" w:lineRule="auto"/>
        <w:rPr>
          <w:rFonts w:ascii="Cambria" w:hAnsi="Cambria"/>
        </w:rPr>
      </w:pP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 </w:t>
      </w:r>
      <w:r w:rsidR="005A67D5" w:rsidRPr="00B10223">
        <w:rPr>
          <w:rFonts w:ascii="Cambria" w:hAnsi="Cambria"/>
        </w:rPr>
        <w:t xml:space="preserve">With these measures now in their </w:t>
      </w:r>
      <w:r w:rsidR="0016048F" w:rsidRPr="00B10223">
        <w:rPr>
          <w:rFonts w:ascii="Cambria" w:hAnsi="Cambria"/>
        </w:rPr>
        <w:t xml:space="preserve">nearly </w:t>
      </w:r>
      <w:r w:rsidR="005A67D5" w:rsidRPr="00B10223">
        <w:rPr>
          <w:rFonts w:ascii="Cambria" w:hAnsi="Cambria"/>
        </w:rPr>
        <w:t>final form, the OFT</w:t>
      </w:r>
      <w:r w:rsidR="0075396D">
        <w:rPr>
          <w:rFonts w:ascii="Cambria" w:hAnsi="Cambria"/>
        </w:rPr>
        <w:t xml:space="preserve"> will</w:t>
      </w:r>
      <w:r w:rsidR="005A67D5" w:rsidRPr="00B10223">
        <w:rPr>
          <w:rFonts w:ascii="Cambria" w:hAnsi="Cambria"/>
        </w:rPr>
        <w:t xml:space="preserve"> focus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B10223" w:rsidRPr="00B10223">
        <w:rPr>
          <w:rFonts w:ascii="Cambria" w:hAnsi="Cambria"/>
        </w:rPr>
        <w:t>materials and procedures</w:t>
      </w:r>
      <w:r w:rsidR="00DF4410">
        <w:rPr>
          <w:rFonts w:ascii="Cambria" w:hAnsi="Cambria"/>
        </w:rPr>
        <w:t>, which have been</w:t>
      </w:r>
      <w:r w:rsidR="00B10223" w:rsidRPr="00B10223">
        <w:rPr>
          <w:rFonts w:ascii="Cambria" w:hAnsi="Cambria"/>
        </w:rPr>
        <w:t xml:space="preserve"> revised based on the results of the IVFT</w:t>
      </w:r>
      <w:r w:rsidR="00DF4410">
        <w:rPr>
          <w:rFonts w:ascii="Cambria" w:hAnsi="Cambria"/>
        </w:rPr>
        <w:t>,</w:t>
      </w:r>
      <w:r w:rsidR="00B10223" w:rsidRPr="00B10223">
        <w:rPr>
          <w:rFonts w:ascii="Cambria" w:hAnsi="Cambria"/>
        </w:rPr>
        <w:t xml:space="preserve">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Pr="00B10223">
        <w:rPr>
          <w:rFonts w:ascii="Cambria" w:hAnsi="Cambria"/>
        </w:rPr>
        <w:t>Gaining schools’ cooperation in voluntary research is increasingly challenging. The OFT</w:t>
      </w:r>
      <w:r w:rsidR="00FE4308">
        <w:rPr>
          <w:rFonts w:ascii="Cambria" w:hAnsi="Cambria"/>
        </w:rPr>
        <w:t xml:space="preserve"> will</w:t>
      </w:r>
      <w:r w:rsidRPr="00BA441F">
        <w:rPr>
          <w:rFonts w:ascii="Cambria" w:hAnsi="Cambria"/>
        </w:rPr>
        <w:t xml:space="preserve"> include a responsive design approach for </w:t>
      </w:r>
      <w:r w:rsidR="00613A0F">
        <w:rPr>
          <w:rFonts w:ascii="Cambria" w:hAnsi="Cambria"/>
        </w:rPr>
        <w:t xml:space="preserve">nonresponding parents. The OFT </w:t>
      </w:r>
      <w:r w:rsidR="00FE4308">
        <w:rPr>
          <w:rFonts w:ascii="Cambria" w:hAnsi="Cambria"/>
        </w:rPr>
        <w:t>i</w:t>
      </w:r>
      <w:r w:rsidRPr="00BA441F">
        <w:rPr>
          <w:rFonts w:ascii="Cambria" w:hAnsi="Cambria"/>
        </w:rPr>
        <w:t>s also an opportunity to finalize standardized protocols for test administration.</w:t>
      </w:r>
      <w:r w:rsidR="00EC3586">
        <w:rPr>
          <w:rFonts w:ascii="Cambria" w:hAnsi="Cambria"/>
        </w:rPr>
        <w:t xml:space="preserve"> It </w:t>
      </w:r>
      <w:r w:rsidR="00FE4308">
        <w:rPr>
          <w:rFonts w:ascii="Cambria" w:hAnsi="Cambria"/>
        </w:rPr>
        <w:t xml:space="preserve">will </w:t>
      </w:r>
      <w:r w:rsidR="00EC3586">
        <w:rPr>
          <w:rFonts w:ascii="Cambria" w:hAnsi="Cambria"/>
        </w:rPr>
        <w:t>allow NCES to estimate the timing of the assessments and surveys to assure that the length of the final instruments used in the Main Study is congruent with the t</w:t>
      </w:r>
      <w:r w:rsidR="00DE1D55">
        <w:rPr>
          <w:rFonts w:ascii="Cambria" w:hAnsi="Cambria"/>
        </w:rPr>
        <w:t>ime communicated to respondents</w:t>
      </w:r>
      <w:r w:rsidRPr="00BA441F">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8" w:name="_Toc412022722"/>
      <w:bookmarkStart w:id="9" w:name="_Toc452725175"/>
      <w:r w:rsidRPr="00BA441F">
        <w:rPr>
          <w:rFonts w:ascii="Cambria" w:hAnsi="Cambria"/>
        </w:rPr>
        <w:t>A.2 Purposes and Uses of Data</w:t>
      </w:r>
      <w:bookmarkEnd w:id="8"/>
      <w:bookmarkEnd w:id="9"/>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 xml:space="preserve">emotionally in the middle grades? What school and nonschool factors are associated </w:t>
      </w:r>
      <w:r w:rsidRPr="003625D4">
        <w:rPr>
          <w:rFonts w:ascii="Cambria" w:hAnsi="Cambria"/>
          <w:sz w:val="22"/>
          <w:szCs w:val="22"/>
        </w:rPr>
        <w:lastRenderedPageBreak/>
        <w:t>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9B54BA">
      <w:pPr>
        <w:pStyle w:val="NumberedBullet"/>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10" w:name="_Toc412022723"/>
      <w:bookmarkStart w:id="11" w:name="_Toc452725176"/>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5B162169"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 xml:space="preserve">The purpose of the parent survey is to collect information about: 1) family involvement in their child’s education and 2) family characteristics that are key predictors of academic achievement and </w:t>
      </w:r>
      <w:r w:rsidRPr="006843B5">
        <w:rPr>
          <w:rFonts w:ascii="Cambria" w:hAnsi="Cambria"/>
        </w:rPr>
        <w:lastRenderedPageBreak/>
        <w:t>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336309">
      <w:pPr>
        <w:spacing w:after="120"/>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0"/>
      <w:bookmarkEnd w:id="11"/>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315C01CC"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2" w:name="_Toc412022724"/>
      <w:bookmarkStart w:id="13" w:name="_Toc452725177"/>
      <w:r w:rsidRPr="00BA441F">
        <w:rPr>
          <w:rFonts w:ascii="Cambria" w:hAnsi="Cambria"/>
        </w:rPr>
        <w:t>A.4 Efforts to Identify Duplication</w:t>
      </w:r>
      <w:bookmarkEnd w:id="12"/>
      <w:bookmarkEnd w:id="13"/>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w:t>
      </w:r>
      <w:r w:rsidRPr="00BA441F">
        <w:rPr>
          <w:rFonts w:ascii="Cambria" w:hAnsi="Cambria"/>
        </w:rPr>
        <w:lastRenderedPageBreak/>
        <w:t xml:space="preserve">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4" w:name="_Toc412022725"/>
      <w:bookmarkStart w:id="15" w:name="_Toc452725178"/>
      <w:r w:rsidRPr="00BA441F">
        <w:rPr>
          <w:rFonts w:ascii="Cambria" w:hAnsi="Cambria"/>
        </w:rPr>
        <w:t>A.5 Minimizing Burden for Small Entities</w:t>
      </w:r>
      <w:bookmarkEnd w:id="14"/>
      <w:bookmarkEnd w:id="15"/>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6" w:name="_Toc412022726"/>
      <w:bookmarkStart w:id="17" w:name="_Toc452725179"/>
      <w:r w:rsidRPr="00BA441F">
        <w:rPr>
          <w:rFonts w:ascii="Cambria" w:hAnsi="Cambria"/>
        </w:rPr>
        <w:t>A.6 Frequency of Data Collection</w:t>
      </w:r>
      <w:bookmarkEnd w:id="16"/>
      <w:bookmarkEnd w:id="17"/>
    </w:p>
    <w:p w14:paraId="05D9BAB4" w14:textId="4DC6123C" w:rsidR="00B427AD" w:rsidRPr="00BA441F" w:rsidRDefault="00B427AD" w:rsidP="00B427AD">
      <w:pPr>
        <w:spacing w:after="120" w:line="23" w:lineRule="atLeast"/>
        <w:rPr>
          <w:rFonts w:ascii="Cambria" w:hAnsi="Cambria"/>
        </w:rPr>
      </w:pPr>
      <w:r w:rsidRPr="00BA441F">
        <w:rPr>
          <w:rFonts w:ascii="Cambria" w:hAnsi="Cambria"/>
        </w:rPr>
        <w:t xml:space="preserve">The </w:t>
      </w:r>
      <w:r w:rsidR="00374E00" w:rsidRPr="00BA441F">
        <w:rPr>
          <w:rFonts w:ascii="Cambria" w:hAnsi="Cambria"/>
        </w:rPr>
        <w:t>base-year data collection for</w:t>
      </w:r>
      <w:r w:rsidRPr="00BA441F">
        <w:rPr>
          <w:rFonts w:ascii="Cambria" w:hAnsi="Cambria"/>
        </w:rPr>
        <w:t xml:space="preserve"> the OFT for MGLS:2017 </w:t>
      </w:r>
      <w:r w:rsidR="00374E00" w:rsidRPr="00BA441F">
        <w:rPr>
          <w:rFonts w:ascii="Cambria" w:hAnsi="Cambria"/>
        </w:rPr>
        <w:t xml:space="preserve">is </w:t>
      </w:r>
      <w:r w:rsidRPr="00BA441F">
        <w:rPr>
          <w:rFonts w:ascii="Cambria" w:hAnsi="Cambria"/>
        </w:rPr>
        <w:t xml:space="preserve">expected to take place </w:t>
      </w:r>
      <w:r w:rsidR="00627FDF">
        <w:rPr>
          <w:rFonts w:ascii="Cambria" w:hAnsi="Cambria"/>
        </w:rPr>
        <w:t>from</w:t>
      </w:r>
      <w:r w:rsidR="00627FDF" w:rsidRPr="00BA441F">
        <w:rPr>
          <w:rFonts w:ascii="Cambria" w:hAnsi="Cambria"/>
        </w:rPr>
        <w:t xml:space="preserve"> </w:t>
      </w:r>
      <w:r w:rsidRPr="00BA441F">
        <w:rPr>
          <w:rFonts w:ascii="Cambria" w:hAnsi="Cambria"/>
        </w:rPr>
        <w:t xml:space="preserve">January through </w:t>
      </w:r>
      <w:r w:rsidR="002D19FA">
        <w:rPr>
          <w:rFonts w:ascii="Cambria" w:hAnsi="Cambria"/>
        </w:rPr>
        <w:t>May</w:t>
      </w:r>
      <w:r w:rsidR="002D19FA" w:rsidRPr="00BA441F" w:rsidDel="00987B22">
        <w:rPr>
          <w:rFonts w:ascii="Cambria" w:hAnsi="Cambria"/>
        </w:rPr>
        <w:t xml:space="preserve"> </w:t>
      </w:r>
      <w:r w:rsidRPr="00BA441F">
        <w:rPr>
          <w:rFonts w:ascii="Cambria" w:hAnsi="Cambria"/>
        </w:rPr>
        <w:t xml:space="preserve">of 2017. </w:t>
      </w:r>
      <w:r w:rsidR="00374E00" w:rsidRPr="00BA441F">
        <w:rPr>
          <w:rFonts w:ascii="Cambria" w:hAnsi="Cambria"/>
        </w:rPr>
        <w:t xml:space="preserve">Tracking activities for the OFT will occur starting in the fall of 2017. The </w:t>
      </w:r>
      <w:r w:rsidR="001E24C2">
        <w:rPr>
          <w:rFonts w:ascii="Cambria" w:hAnsi="Cambria"/>
        </w:rPr>
        <w:t>M</w:t>
      </w:r>
      <w:r w:rsidR="00374E00" w:rsidRPr="00BA441F">
        <w:rPr>
          <w:rFonts w:ascii="Cambria" w:hAnsi="Cambria"/>
        </w:rPr>
        <w:t xml:space="preserve">ain </w:t>
      </w:r>
      <w:r w:rsidR="001E24C2">
        <w:rPr>
          <w:rFonts w:ascii="Cambria" w:hAnsi="Cambria"/>
        </w:rPr>
        <w:t>S</w:t>
      </w:r>
      <w:r w:rsidR="00374E00" w:rsidRPr="00BA441F">
        <w:rPr>
          <w:rFonts w:ascii="Cambria" w:hAnsi="Cambria"/>
        </w:rPr>
        <w:t>tudy data collection is scheduled for January through Ju</w:t>
      </w:r>
      <w:r w:rsidR="00E55633">
        <w:rPr>
          <w:rFonts w:ascii="Cambria" w:hAnsi="Cambria"/>
        </w:rPr>
        <w:t>ly</w:t>
      </w:r>
      <w:r w:rsidR="00374E00" w:rsidRPr="00BA441F">
        <w:rPr>
          <w:rFonts w:ascii="Cambria" w:hAnsi="Cambria"/>
        </w:rPr>
        <w:t xml:space="preserve"> of 2018 with first and second follow-up data collection</w:t>
      </w:r>
      <w:r w:rsidR="00627FDF">
        <w:rPr>
          <w:rFonts w:ascii="Cambria" w:hAnsi="Cambria"/>
        </w:rPr>
        <w:t>s</w:t>
      </w:r>
      <w:r w:rsidR="00374E00" w:rsidRPr="00BA441F">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8" w:name="_Toc412022727"/>
      <w:bookmarkStart w:id="19" w:name="_Toc452725180"/>
      <w:r w:rsidRPr="00BA441F">
        <w:rPr>
          <w:rFonts w:ascii="Cambria" w:hAnsi="Cambria"/>
        </w:rPr>
        <w:t>A.7 Special Circumstances</w:t>
      </w:r>
      <w:bookmarkEnd w:id="18"/>
      <w:bookmarkEnd w:id="19"/>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20" w:name="_Toc412022728"/>
      <w:bookmarkStart w:id="21" w:name="_Toc452725181"/>
      <w:r w:rsidRPr="00BA441F">
        <w:rPr>
          <w:rFonts w:ascii="Cambria" w:hAnsi="Cambria"/>
        </w:rPr>
        <w:t>A.8 Consultations Outside NCES</w:t>
      </w:r>
      <w:bookmarkEnd w:id="20"/>
      <w:bookmarkEnd w:id="21"/>
    </w:p>
    <w:p w14:paraId="7EE0EFBE" w14:textId="77777777" w:rsidR="00B427AD" w:rsidRPr="00BA441F" w:rsidRDefault="00B427AD" w:rsidP="00CF73F6">
      <w:pPr>
        <w:widowControl w:val="0"/>
        <w:spacing w:after="120" w:line="23" w:lineRule="atLeast"/>
        <w:rPr>
          <w:rFonts w:ascii="Cambria" w:hAnsi="Cambria"/>
        </w:rPr>
      </w:pPr>
      <w:bookmarkStart w:id="22"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75538C">
      <w:pPr>
        <w:pStyle w:val="NoSpacing"/>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0"/>
        <w:gridCol w:w="2134"/>
        <w:gridCol w:w="7281"/>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2"/>
          <w:p w14:paraId="1DC705E0" w14:textId="77C34327" w:rsidR="00B427AD" w:rsidRPr="00154382" w:rsidRDefault="00B427AD" w:rsidP="00610FBB">
            <w:pPr>
              <w:pStyle w:val="NoSpacing"/>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610FBB">
            <w:pPr>
              <w:pStyle w:val="NoSpacing"/>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610FBB">
            <w:pPr>
              <w:pStyle w:val="NoSpacing"/>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610FBB">
            <w:pPr>
              <w:pStyle w:val="NoSpacing"/>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610FBB">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lastRenderedPageBreak/>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610FBB">
            <w:pPr>
              <w:pStyle w:val="NoSpacing"/>
              <w:rPr>
                <w:sz w:val="20"/>
                <w:szCs w:val="20"/>
              </w:rPr>
            </w:pPr>
            <w:r w:rsidRPr="00154382">
              <w:rPr>
                <w:sz w:val="20"/>
                <w:szCs w:val="20"/>
              </w:rPr>
              <w:lastRenderedPageBreak/>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7C2E7E58"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3"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4" w:name="_Toc452725182"/>
      <w:bookmarkStart w:id="25" w:name="_Toc396918286"/>
      <w:bookmarkEnd w:id="23"/>
      <w:r w:rsidRPr="00BA441F">
        <w:rPr>
          <w:rFonts w:ascii="Cambria" w:hAnsi="Cambria"/>
        </w:rPr>
        <w:lastRenderedPageBreak/>
        <w:t>A.9 Payments or Gifts to Respondents</w:t>
      </w:r>
      <w:bookmarkEnd w:id="24"/>
    </w:p>
    <w:p w14:paraId="66D79C71" w14:textId="39ACD526"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 a brief justification for each incentive amount follows table 2.</w:t>
      </w:r>
      <w:r w:rsidR="00D04A6A" w:rsidRPr="00BA441F">
        <w:rPr>
          <w:rFonts w:ascii="Cambria" w:hAnsi="Cambria"/>
        </w:rPr>
        <w:t xml:space="preserve"> Incentive information is provided for the OFT and Main Study</w:t>
      </w:r>
      <w:r w:rsidR="003D4BA4">
        <w:rPr>
          <w:rFonts w:ascii="Cambria" w:hAnsi="Cambria"/>
        </w:rPr>
        <w:t xml:space="preserve"> </w:t>
      </w:r>
      <w:r w:rsidR="008D7D80">
        <w:rPr>
          <w:rFonts w:ascii="Cambria" w:hAnsi="Cambria"/>
        </w:rPr>
        <w:t xml:space="preserve">Base Year and OFT First Follow-up </w:t>
      </w:r>
      <w:r w:rsidR="003D4BA4">
        <w:rPr>
          <w:rFonts w:ascii="Cambria" w:hAnsi="Cambria"/>
        </w:rPr>
        <w:t>data collection activities</w:t>
      </w:r>
      <w:r w:rsidR="00D04A6A" w:rsidRPr="00BA441F">
        <w:rPr>
          <w:rFonts w:ascii="Cambria" w:hAnsi="Cambria"/>
        </w:rPr>
        <w:t>.</w:t>
      </w:r>
    </w:p>
    <w:p w14:paraId="0F95AE4B" w14:textId="0FB7F3F4"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OFT </w:t>
      </w:r>
      <w:r w:rsidR="001946FC" w:rsidRPr="0001752B">
        <w:rPr>
          <w:rFonts w:ascii="Cambria" w:hAnsi="Cambria"/>
          <w:b/>
        </w:rPr>
        <w:t xml:space="preserve">and Main Study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2"/>
        <w:gridCol w:w="3221"/>
        <w:gridCol w:w="4032"/>
      </w:tblGrid>
      <w:tr w:rsidR="00A1199F" w:rsidRPr="0062072C" w14:paraId="449BA3FF" w14:textId="3C3D330C" w:rsidTr="0062072C">
        <w:trPr>
          <w:cantSplit/>
          <w:trHeight w:val="144"/>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2B1DF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2B1DF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1DCD3A3A" w:rsidR="00A1199F" w:rsidRPr="0062072C" w:rsidRDefault="00A1199F" w:rsidP="002B1DFD">
            <w:pPr>
              <w:pStyle w:val="NoSpacing"/>
              <w:widowControl w:val="0"/>
              <w:ind w:left="169"/>
              <w:rPr>
                <w:b/>
                <w:sz w:val="20"/>
                <w:szCs w:val="20"/>
              </w:rPr>
            </w:pPr>
            <w:r w:rsidRPr="0062072C">
              <w:rPr>
                <w:b/>
                <w:sz w:val="20"/>
                <w:szCs w:val="20"/>
              </w:rPr>
              <w:t>Operational Field Test and Main Study** Incentives</w:t>
            </w:r>
          </w:p>
        </w:tc>
      </w:tr>
      <w:tr w:rsidR="00D533CB" w:rsidRPr="0062072C" w14:paraId="396B957E" w14:textId="77777777" w:rsidTr="002B1DFD">
        <w:trPr>
          <w:cantSplit/>
          <w:trHeight w:val="144"/>
          <w:jc w:val="center"/>
        </w:trPr>
        <w:tc>
          <w:tcPr>
            <w:tcW w:w="5000" w:type="pct"/>
            <w:gridSpan w:val="3"/>
            <w:shd w:val="clear" w:color="auto" w:fill="auto"/>
            <w:tcMar>
              <w:top w:w="14" w:type="dxa"/>
              <w:left w:w="29" w:type="dxa"/>
              <w:bottom w:w="14" w:type="dxa"/>
              <w:right w:w="14" w:type="dxa"/>
            </w:tcMar>
            <w:vAlign w:val="center"/>
          </w:tcPr>
          <w:p w14:paraId="4DB1CF54" w14:textId="441D2210" w:rsidR="00D533CB" w:rsidRPr="0062072C" w:rsidRDefault="00D533CB" w:rsidP="002B1DFD">
            <w:pPr>
              <w:pStyle w:val="NoSpacing"/>
              <w:widowControl w:val="0"/>
              <w:ind w:left="169"/>
              <w:rPr>
                <w:sz w:val="20"/>
                <w:szCs w:val="20"/>
              </w:rPr>
            </w:pPr>
            <w:r w:rsidRPr="00D533CB">
              <w:rPr>
                <w:b/>
                <w:sz w:val="20"/>
                <w:szCs w:val="20"/>
              </w:rPr>
              <w:t xml:space="preserve">OFT and Main Study </w:t>
            </w:r>
            <w:r w:rsidR="00A90EB9">
              <w:rPr>
                <w:b/>
                <w:sz w:val="20"/>
                <w:szCs w:val="20"/>
              </w:rPr>
              <w:t>Base Y</w:t>
            </w:r>
            <w:r>
              <w:rPr>
                <w:b/>
                <w:sz w:val="20"/>
                <w:szCs w:val="20"/>
              </w:rPr>
              <w:t xml:space="preserve">ear </w:t>
            </w:r>
            <w:r w:rsidRPr="004D530E">
              <w:rPr>
                <w:b/>
                <w:sz w:val="20"/>
                <w:szCs w:val="20"/>
              </w:rPr>
              <w:t>Data Collection</w:t>
            </w:r>
          </w:p>
        </w:tc>
      </w:tr>
      <w:tr w:rsidR="003D39E4" w:rsidRPr="0062072C" w14:paraId="68051478"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2B1DF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2B1DFD">
            <w:pPr>
              <w:pStyle w:val="NoSpacing"/>
              <w:widowControl w:val="0"/>
              <w:ind w:left="183"/>
              <w:rPr>
                <w:sz w:val="20"/>
                <w:szCs w:val="20"/>
              </w:rPr>
            </w:pPr>
            <w:r>
              <w:rPr>
                <w:sz w:val="20"/>
                <w:szCs w:val="20"/>
              </w:rPr>
              <w:t>Food event at school (e.g., pizza, bagels, etc.) sponsored by the study</w:t>
            </w:r>
          </w:p>
        </w:tc>
      </w:tr>
      <w:tr w:rsidR="00A1199F" w:rsidRPr="0062072C" w14:paraId="4FEF5FF6" w14:textId="21D9050F" w:rsidTr="0062072C">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2B1DFD">
            <w:pPr>
              <w:pStyle w:val="NoSpacing"/>
              <w:widowControl w:val="0"/>
              <w:ind w:left="169"/>
              <w:rPr>
                <w:sz w:val="20"/>
                <w:szCs w:val="20"/>
              </w:rPr>
            </w:pPr>
            <w:r w:rsidRPr="0062072C">
              <w:rPr>
                <w:sz w:val="20"/>
                <w:szCs w:val="20"/>
              </w:rPr>
              <w:t>Student Assessments and Survey</w:t>
            </w:r>
          </w:p>
          <w:p w14:paraId="74A418D5" w14:textId="5B133CB1" w:rsidR="00A1199F" w:rsidRPr="0062072C" w:rsidRDefault="00A1199F" w:rsidP="002B1DFD">
            <w:pPr>
              <w:pStyle w:val="NoSpacing"/>
              <w:widowControl w:val="0"/>
              <w:ind w:left="169"/>
              <w:rPr>
                <w:sz w:val="20"/>
                <w:szCs w:val="20"/>
              </w:rPr>
            </w:pPr>
            <w:r w:rsidRPr="0062072C">
              <w:rPr>
                <w:sz w:val="20"/>
                <w:szCs w:val="20"/>
              </w:rPr>
              <w:t>(Mathematics, Reading, Executive Function, and Student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00C72B7B" w:rsidR="00A1199F" w:rsidRPr="0062072C" w:rsidRDefault="003D39E4" w:rsidP="002B1DFD">
            <w:pPr>
              <w:pStyle w:val="NoSpacing"/>
              <w:widowControl w:val="0"/>
              <w:ind w:left="183"/>
              <w:rPr>
                <w:sz w:val="20"/>
                <w:szCs w:val="20"/>
              </w:rPr>
            </w:pPr>
            <w:r>
              <w:rPr>
                <w:sz w:val="20"/>
                <w:szCs w:val="20"/>
              </w:rPr>
              <w:t>Earbuds used during assessment, plus c</w:t>
            </w:r>
            <w:r w:rsidR="00A1199F" w:rsidRPr="0062072C">
              <w:rPr>
                <w:sz w:val="20"/>
                <w:szCs w:val="20"/>
              </w:rPr>
              <w:t>hoice of e.g.</w:t>
            </w:r>
            <w:r w:rsidR="0075538C" w:rsidRPr="0062072C">
              <w:rPr>
                <w:sz w:val="20"/>
                <w:szCs w:val="20"/>
              </w:rPr>
              <w:t xml:space="preserve"> (average value $0.50 each)</w:t>
            </w:r>
          </w:p>
          <w:p w14:paraId="25C1B3DC" w14:textId="77777777" w:rsidR="00A1199F" w:rsidRPr="0062072C" w:rsidRDefault="00A1199F" w:rsidP="002B1DFD">
            <w:pPr>
              <w:pStyle w:val="NoSpacing"/>
              <w:widowControl w:val="0"/>
              <w:ind w:left="183"/>
              <w:rPr>
                <w:sz w:val="20"/>
                <w:szCs w:val="20"/>
              </w:rPr>
            </w:pPr>
            <w:r w:rsidRPr="0062072C">
              <w:rPr>
                <w:sz w:val="20"/>
                <w:szCs w:val="20"/>
              </w:rPr>
              <w:t>1) mechanical pencil,</w:t>
            </w:r>
          </w:p>
          <w:p w14:paraId="131DB40D" w14:textId="77777777" w:rsidR="00A1199F" w:rsidRPr="0062072C" w:rsidRDefault="00A1199F" w:rsidP="002B1DFD">
            <w:pPr>
              <w:pStyle w:val="NoSpacing"/>
              <w:widowControl w:val="0"/>
              <w:ind w:left="183"/>
              <w:rPr>
                <w:sz w:val="20"/>
                <w:szCs w:val="20"/>
              </w:rPr>
            </w:pPr>
            <w:r w:rsidRPr="0062072C">
              <w:rPr>
                <w:sz w:val="20"/>
                <w:szCs w:val="20"/>
              </w:rPr>
              <w:t>2) mobile device screen cleaner,</w:t>
            </w:r>
          </w:p>
          <w:p w14:paraId="759101E1" w14:textId="77777777" w:rsidR="00A1199F" w:rsidRPr="0062072C" w:rsidRDefault="00A1199F" w:rsidP="002B1DFD">
            <w:pPr>
              <w:pStyle w:val="NoSpacing"/>
              <w:widowControl w:val="0"/>
              <w:ind w:left="183"/>
              <w:rPr>
                <w:sz w:val="20"/>
                <w:szCs w:val="20"/>
              </w:rPr>
            </w:pPr>
            <w:r w:rsidRPr="0062072C">
              <w:rPr>
                <w:sz w:val="20"/>
                <w:szCs w:val="20"/>
              </w:rPr>
              <w:t>3) suncatcher,</w:t>
            </w:r>
          </w:p>
          <w:p w14:paraId="03C24C22" w14:textId="09DBE982" w:rsidR="00A1199F" w:rsidRPr="0062072C" w:rsidRDefault="0075538C" w:rsidP="002B1DFD">
            <w:pPr>
              <w:pStyle w:val="NoSpacing"/>
              <w:widowControl w:val="0"/>
              <w:ind w:left="183"/>
              <w:rPr>
                <w:sz w:val="20"/>
                <w:szCs w:val="20"/>
              </w:rPr>
            </w:pPr>
            <w:r>
              <w:rPr>
                <w:sz w:val="20"/>
                <w:szCs w:val="20"/>
              </w:rPr>
              <w:t>4) slap bracelet</w:t>
            </w:r>
          </w:p>
        </w:tc>
      </w:tr>
      <w:tr w:rsidR="00A1199F" w:rsidRPr="0062072C" w14:paraId="62655318" w14:textId="2F720354"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2B1DF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2FB430B2"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$0 to $40</w:t>
            </w:r>
            <w:r w:rsidR="00210F2A" w:rsidRPr="0062072C">
              <w:rPr>
                <w:rFonts w:asciiTheme="minorHAnsi" w:hAnsiTheme="minorHAnsi"/>
                <w:sz w:val="20"/>
                <w:szCs w:val="20"/>
              </w:rPr>
              <w:t xml:space="preserve"> ($20 to $50 for parents of students with emotional disturbance)</w:t>
            </w:r>
          </w:p>
          <w:p w14:paraId="42160908" w14:textId="2DEB0016"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For details, please see description below</w:t>
            </w:r>
          </w:p>
        </w:tc>
      </w:tr>
      <w:tr w:rsidR="00A1199F" w:rsidRPr="0062072C" w14:paraId="2F9F0946" w14:textId="648B1607"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2B1DFD">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2B1DF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2B1DFD">
            <w:pPr>
              <w:pStyle w:val="NoSpacing"/>
              <w:widowControl w:val="0"/>
              <w:ind w:left="169"/>
              <w:rPr>
                <w:sz w:val="20"/>
                <w:szCs w:val="20"/>
              </w:rPr>
            </w:pPr>
            <w:r w:rsidRPr="0062072C">
              <w:rPr>
                <w:sz w:val="20"/>
                <w:szCs w:val="20"/>
              </w:rPr>
              <w:t>$20</w:t>
            </w:r>
          </w:p>
        </w:tc>
      </w:tr>
      <w:tr w:rsidR="008572E8" w:rsidRPr="0062072C" w14:paraId="5675FE3C"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2B1DFD">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2B1DF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2B1DFD">
            <w:pPr>
              <w:pStyle w:val="NoSpacing"/>
              <w:widowControl w:val="0"/>
              <w:ind w:left="169"/>
              <w:rPr>
                <w:sz w:val="20"/>
                <w:szCs w:val="20"/>
              </w:rPr>
            </w:pPr>
            <w:r>
              <w:rPr>
                <w:sz w:val="20"/>
                <w:szCs w:val="20"/>
              </w:rPr>
              <w:t>$7 per student</w:t>
            </w:r>
          </w:p>
        </w:tc>
      </w:tr>
      <w:tr w:rsidR="00A1199F" w:rsidRPr="0062072C" w14:paraId="5A08D9D0" w14:textId="3F06061B" w:rsidTr="0062072C">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2B1DFD">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2B1DFD">
            <w:pPr>
              <w:pStyle w:val="NoSpacing"/>
              <w:widowControl w:val="0"/>
              <w:ind w:left="169"/>
              <w:rPr>
                <w:sz w:val="20"/>
                <w:szCs w:val="20"/>
              </w:rPr>
            </w:pPr>
            <w:r>
              <w:rPr>
                <w:sz w:val="20"/>
                <w:szCs w:val="20"/>
              </w:rPr>
              <w:t>$20</w:t>
            </w:r>
          </w:p>
        </w:tc>
      </w:tr>
      <w:tr w:rsidR="008572E8" w:rsidRPr="0062072C" w14:paraId="3D5247E8"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2B1DFD">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2B1DF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2B1DFD">
            <w:pPr>
              <w:pStyle w:val="NoSpacing"/>
              <w:widowControl w:val="0"/>
              <w:ind w:left="169"/>
              <w:rPr>
                <w:sz w:val="20"/>
                <w:szCs w:val="20"/>
              </w:rPr>
            </w:pPr>
            <w:r>
              <w:rPr>
                <w:sz w:val="20"/>
                <w:szCs w:val="20"/>
              </w:rPr>
              <w:t>$7 per student</w:t>
            </w:r>
          </w:p>
        </w:tc>
      </w:tr>
      <w:tr w:rsidR="00A1199F" w:rsidRPr="0062072C" w14:paraId="4B091580" w14:textId="1B5F0623"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2B1DFD">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2B1DFD">
            <w:pPr>
              <w:pStyle w:val="NoSpacing"/>
              <w:widowControl w:val="0"/>
              <w:ind w:left="169"/>
              <w:rPr>
                <w:rFonts w:cs="Times New Roman"/>
                <w:sz w:val="20"/>
                <w:szCs w:val="20"/>
              </w:rPr>
            </w:pPr>
          </w:p>
          <w:p w14:paraId="59A732BA" w14:textId="77777777" w:rsidR="00A1199F" w:rsidRPr="0062072C" w:rsidRDefault="00A1199F" w:rsidP="002B1DFD">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2B1DF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2B1DFD">
            <w:pPr>
              <w:pStyle w:val="NoSpacing"/>
              <w:widowControl w:val="0"/>
              <w:ind w:left="381" w:hanging="180"/>
              <w:rPr>
                <w:sz w:val="20"/>
                <w:szCs w:val="20"/>
              </w:rPr>
            </w:pPr>
            <w:r w:rsidRPr="0062072C">
              <w:rPr>
                <w:sz w:val="20"/>
                <w:szCs w:val="20"/>
              </w:rPr>
              <w:t>6 hours for consent assistance</w:t>
            </w:r>
          </w:p>
          <w:p w14:paraId="5CA89627" w14:textId="77777777" w:rsidR="00A1199F" w:rsidRPr="0062072C" w:rsidRDefault="00A1199F" w:rsidP="002B1DFD">
            <w:pPr>
              <w:pStyle w:val="NoSpacing"/>
              <w:widowControl w:val="0"/>
              <w:ind w:left="381" w:hanging="180"/>
              <w:rPr>
                <w:sz w:val="20"/>
                <w:szCs w:val="20"/>
              </w:rPr>
            </w:pPr>
            <w:r w:rsidRPr="0062072C">
              <w:rPr>
                <w:sz w:val="20"/>
                <w:szCs w:val="20"/>
              </w:rPr>
              <w:t>2 hours to schedule assessments</w:t>
            </w:r>
          </w:p>
          <w:p w14:paraId="4A9536D3" w14:textId="625E8A4C" w:rsidR="00A1199F" w:rsidRPr="0062072C" w:rsidRDefault="00A1199F" w:rsidP="002B1DFD">
            <w:pPr>
              <w:pStyle w:val="NoSpacing"/>
              <w:widowControl w:val="0"/>
              <w:ind w:left="381" w:hanging="180"/>
              <w:rPr>
                <w:sz w:val="20"/>
                <w:szCs w:val="20"/>
              </w:rPr>
            </w:pPr>
            <w:r w:rsidRPr="0062072C">
              <w:rPr>
                <w:sz w:val="20"/>
                <w:szCs w:val="20"/>
              </w:rPr>
              <w:t>2 hours to set up web access</w:t>
            </w:r>
            <w:r w:rsidR="0075538C">
              <w:rPr>
                <w:sz w:val="20"/>
                <w:szCs w:val="20"/>
              </w:rPr>
              <w:t xml:space="preserve"> &amp;</w:t>
            </w:r>
            <w:r w:rsidRPr="0062072C">
              <w:rPr>
                <w:sz w:val="20"/>
                <w:szCs w:val="20"/>
              </w:rPr>
              <w:t xml:space="preserve"> coordinate computer labs</w:t>
            </w:r>
          </w:p>
          <w:p w14:paraId="596522A1" w14:textId="77777777" w:rsidR="00A1199F" w:rsidRPr="0062072C" w:rsidRDefault="00A1199F"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17EE5C7F" w14:textId="4C3927D6" w:rsidR="00A1199F" w:rsidRPr="0062072C" w:rsidRDefault="005C2A08" w:rsidP="002B1DFD">
            <w:pPr>
              <w:pStyle w:val="NoSpacing"/>
              <w:widowControl w:val="0"/>
              <w:ind w:left="169"/>
              <w:rPr>
                <w:sz w:val="20"/>
                <w:szCs w:val="20"/>
              </w:rPr>
            </w:pPr>
            <w:r>
              <w:rPr>
                <w:sz w:val="20"/>
                <w:szCs w:val="20"/>
              </w:rPr>
              <w:t>$200</w:t>
            </w:r>
            <w:r w:rsidR="00A90EB9">
              <w:rPr>
                <w:sz w:val="20"/>
                <w:szCs w:val="20"/>
              </w:rPr>
              <w:t xml:space="preserve"> or</w:t>
            </w:r>
            <w:r>
              <w:rPr>
                <w:sz w:val="20"/>
                <w:szCs w:val="20"/>
              </w:rPr>
              <w:t xml:space="preserve"> </w:t>
            </w:r>
            <w:r w:rsidR="007F5883">
              <w:rPr>
                <w:sz w:val="20"/>
                <w:szCs w:val="20"/>
              </w:rPr>
              <w:t>$400</w:t>
            </w:r>
            <w:r w:rsidR="00A90EB9">
              <w:rPr>
                <w:sz w:val="20"/>
                <w:szCs w:val="20"/>
              </w:rPr>
              <w:t xml:space="preserve"> in check</w:t>
            </w:r>
            <w:r>
              <w:rPr>
                <w:sz w:val="20"/>
                <w:szCs w:val="20"/>
              </w:rPr>
              <w:t>,</w:t>
            </w:r>
            <w:r w:rsidR="00A1199F" w:rsidRPr="0062072C">
              <w:rPr>
                <w:sz w:val="20"/>
                <w:szCs w:val="20"/>
              </w:rPr>
              <w:t xml:space="preserve"> or $400 in material or services for school</w:t>
            </w:r>
            <w:r w:rsidR="00A90EB9">
              <w:rPr>
                <w:sz w:val="20"/>
                <w:szCs w:val="20"/>
              </w:rPr>
              <w:t xml:space="preserve"> (OFT Base Year)</w:t>
            </w:r>
          </w:p>
          <w:p w14:paraId="6392B53B" w14:textId="03A4DEB5" w:rsidR="00A90EB9" w:rsidRPr="0062072C" w:rsidRDefault="00A90EB9" w:rsidP="002B1DFD">
            <w:pPr>
              <w:pStyle w:val="NoSpacing"/>
              <w:widowControl w:val="0"/>
              <w:ind w:left="169"/>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2E5F3E18" w14:textId="77777777" w:rsidR="00A1199F" w:rsidRPr="0062072C" w:rsidRDefault="00A1199F" w:rsidP="002B1DFD">
            <w:pPr>
              <w:pStyle w:val="NoSpacing"/>
              <w:widowControl w:val="0"/>
              <w:ind w:left="169"/>
              <w:rPr>
                <w:rFonts w:cs="Times New Roman"/>
                <w:sz w:val="20"/>
                <w:szCs w:val="20"/>
              </w:rPr>
            </w:pPr>
          </w:p>
          <w:p w14:paraId="5870A757" w14:textId="77777777" w:rsidR="00A1199F" w:rsidRPr="0062072C" w:rsidRDefault="00A1199F" w:rsidP="002B1DFD">
            <w:pPr>
              <w:pStyle w:val="NoSpacing"/>
              <w:widowControl w:val="0"/>
              <w:ind w:left="169"/>
              <w:rPr>
                <w:rFonts w:cs="Times New Roman"/>
                <w:sz w:val="20"/>
                <w:szCs w:val="20"/>
              </w:rPr>
            </w:pPr>
            <w:r w:rsidRPr="0062072C">
              <w:rPr>
                <w:sz w:val="20"/>
                <w:szCs w:val="20"/>
              </w:rPr>
              <w:t>$150 for coordinator</w:t>
            </w:r>
          </w:p>
        </w:tc>
      </w:tr>
      <w:tr w:rsidR="004D530E" w:rsidRPr="0062072C" w14:paraId="3A02A925" w14:textId="77777777" w:rsidTr="004D530E">
        <w:trPr>
          <w:cantSplit/>
          <w:trHeight w:val="144"/>
          <w:jc w:val="center"/>
        </w:trPr>
        <w:tc>
          <w:tcPr>
            <w:tcW w:w="5000" w:type="pct"/>
            <w:gridSpan w:val="3"/>
            <w:shd w:val="clear" w:color="auto" w:fill="auto"/>
            <w:tcMar>
              <w:top w:w="14" w:type="dxa"/>
              <w:left w:w="29" w:type="dxa"/>
              <w:bottom w:w="14" w:type="dxa"/>
              <w:right w:w="14" w:type="dxa"/>
            </w:tcMar>
            <w:vAlign w:val="center"/>
          </w:tcPr>
          <w:p w14:paraId="44EFAE68" w14:textId="386A2BD2" w:rsidR="004D530E" w:rsidRPr="0062072C" w:rsidRDefault="004D530E" w:rsidP="002B1DFD">
            <w:pPr>
              <w:pStyle w:val="NoSpacing"/>
              <w:widowControl w:val="0"/>
              <w:ind w:left="169"/>
              <w:rPr>
                <w:sz w:val="20"/>
                <w:szCs w:val="20"/>
              </w:rPr>
            </w:pPr>
            <w:r w:rsidRPr="004D530E">
              <w:rPr>
                <w:b/>
                <w:sz w:val="20"/>
                <w:szCs w:val="20"/>
              </w:rPr>
              <w:t>OFT Follow-up Data Collection</w:t>
            </w:r>
          </w:p>
        </w:tc>
      </w:tr>
      <w:tr w:rsidR="00D427B3" w:rsidRPr="0062072C" w14:paraId="20CD9B9B"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379FABE0" w14:textId="0AF01167" w:rsidR="00D427B3" w:rsidRPr="0062072C" w:rsidRDefault="00D427B3"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039189D8" w14:textId="36D8457B" w:rsidR="00D427B3" w:rsidRPr="0062072C" w:rsidRDefault="00D427B3"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161D24E" w14:textId="21EE47D7" w:rsidR="00D427B3" w:rsidRPr="0062072C" w:rsidRDefault="00D427B3" w:rsidP="002B1DFD">
            <w:pPr>
              <w:pStyle w:val="NoSpacing"/>
              <w:widowControl w:val="0"/>
              <w:ind w:left="169"/>
              <w:rPr>
                <w:sz w:val="20"/>
                <w:szCs w:val="20"/>
              </w:rPr>
            </w:pPr>
            <w:r>
              <w:rPr>
                <w:sz w:val="20"/>
                <w:szCs w:val="20"/>
              </w:rPr>
              <w:t>Food event at school (e.g., pizza, bagels, etc.) sponsored by the study</w:t>
            </w:r>
          </w:p>
        </w:tc>
      </w:tr>
      <w:tr w:rsidR="00D427B3" w:rsidRPr="0062072C" w14:paraId="193CECAE"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65F5399E" w14:textId="77777777" w:rsidR="00D427B3" w:rsidRPr="0062072C" w:rsidRDefault="00D427B3" w:rsidP="002B1DFD">
            <w:pPr>
              <w:pStyle w:val="NoSpacing"/>
              <w:widowControl w:val="0"/>
              <w:ind w:left="169"/>
              <w:rPr>
                <w:sz w:val="20"/>
                <w:szCs w:val="20"/>
              </w:rPr>
            </w:pPr>
            <w:r w:rsidRPr="0062072C">
              <w:rPr>
                <w:sz w:val="20"/>
                <w:szCs w:val="20"/>
              </w:rPr>
              <w:t>Student Assessments and Survey</w:t>
            </w:r>
          </w:p>
          <w:p w14:paraId="4135D285" w14:textId="77777777" w:rsidR="00D427B3" w:rsidRDefault="00D427B3" w:rsidP="002B1DFD">
            <w:pPr>
              <w:pStyle w:val="NoSpacing"/>
              <w:widowControl w:val="0"/>
              <w:ind w:left="169"/>
              <w:rPr>
                <w:sz w:val="20"/>
                <w:szCs w:val="20"/>
              </w:rPr>
            </w:pPr>
            <w:r w:rsidRPr="0062072C">
              <w:rPr>
                <w:sz w:val="20"/>
                <w:szCs w:val="20"/>
              </w:rPr>
              <w:t>(Mathematics, Reading, Executive Function, and Student Survey)</w:t>
            </w:r>
          </w:p>
          <w:p w14:paraId="64C432F7" w14:textId="151C3D45" w:rsidR="00D427B3" w:rsidRPr="002B1DFD" w:rsidRDefault="00D427B3" w:rsidP="002B1DFD">
            <w:pPr>
              <w:pStyle w:val="NoSpacing"/>
              <w:widowControl w:val="0"/>
              <w:rPr>
                <w:sz w:val="10"/>
                <w:szCs w:val="10"/>
              </w:rPr>
            </w:pPr>
          </w:p>
          <w:p w14:paraId="739FABC5" w14:textId="0D1EC50D" w:rsidR="00D427B3" w:rsidRDefault="00D427B3" w:rsidP="002B1DFD">
            <w:pPr>
              <w:pStyle w:val="NoSpacing"/>
              <w:widowControl w:val="0"/>
              <w:ind w:left="169"/>
              <w:jc w:val="right"/>
              <w:rPr>
                <w:sz w:val="20"/>
                <w:szCs w:val="20"/>
              </w:rPr>
            </w:pPr>
            <w:r>
              <w:rPr>
                <w:sz w:val="20"/>
                <w:szCs w:val="20"/>
              </w:rPr>
              <w:t>In-school administration</w:t>
            </w:r>
          </w:p>
          <w:p w14:paraId="707A4A27" w14:textId="77777777" w:rsidR="00D427B3" w:rsidRPr="002B1DFD" w:rsidRDefault="00D427B3" w:rsidP="002B1DFD">
            <w:pPr>
              <w:pStyle w:val="NoSpacing"/>
              <w:widowControl w:val="0"/>
              <w:ind w:left="169"/>
              <w:jc w:val="right"/>
              <w:rPr>
                <w:sz w:val="10"/>
                <w:szCs w:val="10"/>
              </w:rPr>
            </w:pPr>
          </w:p>
          <w:p w14:paraId="3A52712F" w14:textId="7EA3038A" w:rsidR="00D427B3" w:rsidRPr="0062072C" w:rsidRDefault="00D427B3" w:rsidP="002B1DFD">
            <w:pPr>
              <w:pStyle w:val="NoSpacing"/>
              <w:widowControl w:val="0"/>
              <w:ind w:left="169"/>
              <w:jc w:val="right"/>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center"/>
          </w:tcPr>
          <w:p w14:paraId="738E3BCB" w14:textId="77777777" w:rsidR="00D427B3" w:rsidRDefault="00D427B3" w:rsidP="002B1DFD">
            <w:pPr>
              <w:pStyle w:val="NoSpacing"/>
              <w:widowControl w:val="0"/>
              <w:ind w:left="169"/>
              <w:rPr>
                <w:sz w:val="20"/>
                <w:szCs w:val="20"/>
              </w:rPr>
            </w:pPr>
          </w:p>
          <w:p w14:paraId="555AD0ED" w14:textId="77777777" w:rsidR="00D427B3" w:rsidRDefault="00D427B3" w:rsidP="002B1DFD">
            <w:pPr>
              <w:pStyle w:val="NoSpacing"/>
              <w:widowControl w:val="0"/>
              <w:ind w:left="169"/>
              <w:rPr>
                <w:sz w:val="20"/>
                <w:szCs w:val="20"/>
              </w:rPr>
            </w:pPr>
          </w:p>
          <w:p w14:paraId="1D95F2D5" w14:textId="77777777" w:rsidR="00D427B3" w:rsidRDefault="00D427B3" w:rsidP="002B1DFD">
            <w:pPr>
              <w:pStyle w:val="NoSpacing"/>
              <w:widowControl w:val="0"/>
              <w:ind w:left="169"/>
              <w:rPr>
                <w:sz w:val="20"/>
                <w:szCs w:val="20"/>
              </w:rPr>
            </w:pPr>
          </w:p>
          <w:p w14:paraId="2047C9AE" w14:textId="77777777" w:rsidR="00D427B3" w:rsidRPr="002B1DFD" w:rsidRDefault="00D427B3" w:rsidP="002B1DFD">
            <w:pPr>
              <w:pStyle w:val="NoSpacing"/>
              <w:widowControl w:val="0"/>
              <w:ind w:left="169"/>
              <w:rPr>
                <w:sz w:val="10"/>
                <w:szCs w:val="10"/>
              </w:rPr>
            </w:pPr>
          </w:p>
          <w:p w14:paraId="6702B1DD" w14:textId="7437F60E" w:rsidR="00D427B3" w:rsidRDefault="00D427B3" w:rsidP="002B1DFD">
            <w:pPr>
              <w:pStyle w:val="NoSpacing"/>
              <w:widowControl w:val="0"/>
              <w:ind w:left="169"/>
              <w:rPr>
                <w:sz w:val="20"/>
                <w:szCs w:val="20"/>
              </w:rPr>
            </w:pPr>
            <w:r>
              <w:rPr>
                <w:sz w:val="20"/>
                <w:szCs w:val="20"/>
              </w:rPr>
              <w:t>75</w:t>
            </w:r>
            <w:r w:rsidRPr="0062072C">
              <w:rPr>
                <w:sz w:val="20"/>
                <w:szCs w:val="20"/>
              </w:rPr>
              <w:t xml:space="preserve"> minutes</w:t>
            </w:r>
          </w:p>
          <w:p w14:paraId="21E77BB6" w14:textId="77777777" w:rsidR="00D427B3" w:rsidRPr="002B1DFD" w:rsidRDefault="00D427B3" w:rsidP="002B1DFD">
            <w:pPr>
              <w:pStyle w:val="NoSpacing"/>
              <w:widowControl w:val="0"/>
              <w:ind w:left="169"/>
              <w:rPr>
                <w:sz w:val="10"/>
                <w:szCs w:val="10"/>
              </w:rPr>
            </w:pPr>
          </w:p>
          <w:p w14:paraId="07CCE2BE" w14:textId="28449B76" w:rsidR="00D427B3" w:rsidRPr="0062072C" w:rsidRDefault="00D427B3" w:rsidP="002B1DFD">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71BAAAA2" w14:textId="77777777" w:rsidR="00D427B3" w:rsidRDefault="00D427B3" w:rsidP="002B1DFD">
            <w:pPr>
              <w:pStyle w:val="NoSpacing"/>
              <w:widowControl w:val="0"/>
              <w:ind w:left="183"/>
              <w:rPr>
                <w:sz w:val="20"/>
                <w:szCs w:val="20"/>
              </w:rPr>
            </w:pPr>
          </w:p>
          <w:p w14:paraId="71C2CD5E" w14:textId="77777777" w:rsidR="00D427B3" w:rsidRDefault="00D427B3" w:rsidP="002B1DFD">
            <w:pPr>
              <w:pStyle w:val="NoSpacing"/>
              <w:widowControl w:val="0"/>
              <w:ind w:left="183"/>
              <w:rPr>
                <w:sz w:val="20"/>
                <w:szCs w:val="20"/>
              </w:rPr>
            </w:pPr>
          </w:p>
          <w:p w14:paraId="5A984BFC" w14:textId="77777777" w:rsidR="00D427B3" w:rsidRPr="002B1DFD" w:rsidRDefault="00D427B3" w:rsidP="002B1DFD">
            <w:pPr>
              <w:pStyle w:val="NoSpacing"/>
              <w:widowControl w:val="0"/>
              <w:ind w:left="183"/>
              <w:rPr>
                <w:sz w:val="10"/>
                <w:szCs w:val="10"/>
              </w:rPr>
            </w:pPr>
          </w:p>
          <w:p w14:paraId="5D0E94E0" w14:textId="2EB8657A" w:rsidR="00D427B3" w:rsidRDefault="00D427B3" w:rsidP="002B1DFD">
            <w:pPr>
              <w:pStyle w:val="NoSpacing"/>
              <w:widowControl w:val="0"/>
              <w:ind w:left="183"/>
              <w:rPr>
                <w:sz w:val="20"/>
                <w:szCs w:val="20"/>
              </w:rPr>
            </w:pPr>
            <w:r>
              <w:rPr>
                <w:sz w:val="20"/>
                <w:szCs w:val="20"/>
              </w:rPr>
              <w:t>Earbuds used during assessment (no additional token incentive)</w:t>
            </w:r>
          </w:p>
          <w:p w14:paraId="7319B5DC" w14:textId="77777777" w:rsidR="00D427B3" w:rsidRPr="002B1DFD" w:rsidRDefault="00D427B3" w:rsidP="002B1DFD">
            <w:pPr>
              <w:pStyle w:val="NoSpacing"/>
              <w:widowControl w:val="0"/>
              <w:ind w:left="183"/>
              <w:rPr>
                <w:sz w:val="10"/>
                <w:szCs w:val="10"/>
              </w:rPr>
            </w:pPr>
          </w:p>
          <w:p w14:paraId="5A2359E8" w14:textId="26CEF4B1" w:rsidR="00D427B3" w:rsidRPr="0062072C" w:rsidRDefault="00D427B3" w:rsidP="002B1DFD">
            <w:pPr>
              <w:pStyle w:val="NoSpacing"/>
              <w:widowControl w:val="0"/>
              <w:ind w:left="169"/>
              <w:rPr>
                <w:sz w:val="20"/>
                <w:szCs w:val="20"/>
              </w:rPr>
            </w:pPr>
            <w:r>
              <w:rPr>
                <w:sz w:val="20"/>
                <w:szCs w:val="20"/>
              </w:rPr>
              <w:t>$20</w:t>
            </w:r>
          </w:p>
        </w:tc>
      </w:tr>
      <w:tr w:rsidR="00D427B3" w:rsidRPr="0062072C" w14:paraId="3DCAF4A9"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7B214C76" w14:textId="451E71A9" w:rsidR="00D427B3" w:rsidRPr="0062072C" w:rsidRDefault="00D427B3" w:rsidP="002B1DF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477F5004" w14:textId="3BFB2781" w:rsidR="00D427B3" w:rsidRPr="0062072C" w:rsidRDefault="00D427B3" w:rsidP="002B1DF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2D7ABF" w14:textId="2D2741CD" w:rsidR="00D427B3" w:rsidRPr="0062072C" w:rsidRDefault="00D427B3" w:rsidP="002B1DFD">
            <w:pPr>
              <w:pStyle w:val="NoSpacing"/>
              <w:widowControl w:val="0"/>
              <w:ind w:left="169"/>
              <w:rPr>
                <w:sz w:val="20"/>
                <w:szCs w:val="20"/>
              </w:rPr>
            </w:pPr>
            <w:r w:rsidRPr="0062072C">
              <w:rPr>
                <w:sz w:val="20"/>
                <w:szCs w:val="20"/>
              </w:rPr>
              <w:t>No monetary incentive</w:t>
            </w:r>
          </w:p>
        </w:tc>
      </w:tr>
      <w:tr w:rsidR="00D427B3" w:rsidRPr="0062072C" w14:paraId="623FEA45"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3685797F" w14:textId="77777777" w:rsidR="00D427B3" w:rsidRPr="0062072C" w:rsidRDefault="00D427B3" w:rsidP="002B1DFD">
            <w:pPr>
              <w:pStyle w:val="NoSpacing"/>
              <w:widowControl w:val="0"/>
              <w:ind w:left="169"/>
              <w:rPr>
                <w:rFonts w:cs="Times New Roman"/>
                <w:sz w:val="20"/>
                <w:szCs w:val="20"/>
              </w:rPr>
            </w:pPr>
            <w:r w:rsidRPr="0062072C">
              <w:rPr>
                <w:sz w:val="20"/>
                <w:szCs w:val="20"/>
              </w:rPr>
              <w:lastRenderedPageBreak/>
              <w:t>School Participation</w:t>
            </w:r>
          </w:p>
          <w:p w14:paraId="3992C0DF" w14:textId="77777777" w:rsidR="00D427B3" w:rsidRPr="0062072C" w:rsidRDefault="00D427B3" w:rsidP="002B1DFD">
            <w:pPr>
              <w:pStyle w:val="NoSpacing"/>
              <w:widowControl w:val="0"/>
              <w:ind w:left="169"/>
              <w:rPr>
                <w:rFonts w:cs="Times New Roman"/>
                <w:sz w:val="20"/>
                <w:szCs w:val="20"/>
              </w:rPr>
            </w:pPr>
          </w:p>
          <w:p w14:paraId="4DFE0CA5" w14:textId="77777777" w:rsidR="00D427B3" w:rsidRPr="0062072C" w:rsidRDefault="00D427B3" w:rsidP="002B1DFD">
            <w:pPr>
              <w:pStyle w:val="NoSpacing"/>
              <w:widowControl w:val="0"/>
              <w:ind w:left="169"/>
              <w:rPr>
                <w:rFonts w:cs="Times New Roman"/>
                <w:sz w:val="20"/>
                <w:szCs w:val="20"/>
              </w:rPr>
            </w:pPr>
            <w:r w:rsidRPr="0062072C">
              <w:rPr>
                <w:sz w:val="20"/>
                <w:szCs w:val="20"/>
              </w:rPr>
              <w:t>School Coordinator</w:t>
            </w:r>
          </w:p>
          <w:p w14:paraId="5150890E" w14:textId="2637E36B" w:rsidR="00D427B3" w:rsidRPr="0062072C" w:rsidRDefault="00D427B3" w:rsidP="002B1DF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491C52AB" w14:textId="77777777" w:rsidR="00D427B3" w:rsidRPr="0062072C" w:rsidRDefault="00D427B3" w:rsidP="002B1DFD">
            <w:pPr>
              <w:pStyle w:val="NoSpacing"/>
              <w:widowControl w:val="0"/>
              <w:ind w:left="381" w:hanging="180"/>
              <w:rPr>
                <w:sz w:val="20"/>
                <w:szCs w:val="20"/>
              </w:rPr>
            </w:pPr>
            <w:r w:rsidRPr="0062072C">
              <w:rPr>
                <w:sz w:val="20"/>
                <w:szCs w:val="20"/>
              </w:rPr>
              <w:t>6 hours for consent assistance</w:t>
            </w:r>
          </w:p>
          <w:p w14:paraId="5E9C38F2" w14:textId="77777777" w:rsidR="00D427B3" w:rsidRPr="0062072C" w:rsidRDefault="00D427B3" w:rsidP="002B1DFD">
            <w:pPr>
              <w:pStyle w:val="NoSpacing"/>
              <w:widowControl w:val="0"/>
              <w:ind w:left="381" w:hanging="180"/>
              <w:rPr>
                <w:sz w:val="20"/>
                <w:szCs w:val="20"/>
              </w:rPr>
            </w:pPr>
            <w:r w:rsidRPr="0062072C">
              <w:rPr>
                <w:sz w:val="20"/>
                <w:szCs w:val="20"/>
              </w:rPr>
              <w:t>2 hours to schedule assessments</w:t>
            </w:r>
          </w:p>
          <w:p w14:paraId="2A41790D" w14:textId="77777777" w:rsidR="00D427B3" w:rsidRPr="0062072C" w:rsidRDefault="00D427B3" w:rsidP="002B1DFD">
            <w:pPr>
              <w:pStyle w:val="NoSpacing"/>
              <w:widowControl w:val="0"/>
              <w:ind w:left="381" w:hanging="180"/>
              <w:rPr>
                <w:sz w:val="20"/>
                <w:szCs w:val="20"/>
              </w:rPr>
            </w:pPr>
            <w:r w:rsidRPr="0062072C">
              <w:rPr>
                <w:sz w:val="20"/>
                <w:szCs w:val="20"/>
              </w:rPr>
              <w:t>2 hours to set up web access</w:t>
            </w:r>
            <w:r>
              <w:rPr>
                <w:sz w:val="20"/>
                <w:szCs w:val="20"/>
              </w:rPr>
              <w:t xml:space="preserve"> &amp;</w:t>
            </w:r>
            <w:r w:rsidRPr="0062072C">
              <w:rPr>
                <w:sz w:val="20"/>
                <w:szCs w:val="20"/>
              </w:rPr>
              <w:t xml:space="preserve"> coordinate computer labs</w:t>
            </w:r>
          </w:p>
          <w:p w14:paraId="19A6C09F" w14:textId="2CCDB919" w:rsidR="00D427B3" w:rsidRPr="0062072C" w:rsidRDefault="00D427B3"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6B42B199" w14:textId="0BE4103A" w:rsidR="00D427B3" w:rsidRPr="0062072C" w:rsidRDefault="00D427B3" w:rsidP="002B1DFD">
            <w:pPr>
              <w:pStyle w:val="NoSpacing"/>
              <w:widowControl w:val="0"/>
              <w:ind w:left="169"/>
              <w:rPr>
                <w:sz w:val="20"/>
                <w:szCs w:val="20"/>
              </w:rPr>
            </w:pPr>
            <w:r w:rsidRPr="0062072C">
              <w:rPr>
                <w:sz w:val="20"/>
                <w:szCs w:val="20"/>
              </w:rPr>
              <w:t>$</w:t>
            </w:r>
            <w:r>
              <w:rPr>
                <w:sz w:val="20"/>
                <w:szCs w:val="20"/>
              </w:rPr>
              <w:t>200</w:t>
            </w:r>
            <w:r w:rsidRPr="0062072C">
              <w:rPr>
                <w:sz w:val="20"/>
                <w:szCs w:val="20"/>
              </w:rPr>
              <w:t xml:space="preserve"> or $</w:t>
            </w:r>
            <w:r>
              <w:rPr>
                <w:sz w:val="20"/>
                <w:szCs w:val="20"/>
              </w:rPr>
              <w:t>2</w:t>
            </w:r>
            <w:r w:rsidRPr="0062072C">
              <w:rPr>
                <w:sz w:val="20"/>
                <w:szCs w:val="20"/>
              </w:rPr>
              <w:t>00 in material or services for school</w:t>
            </w:r>
          </w:p>
          <w:p w14:paraId="78A4194A" w14:textId="77777777" w:rsidR="00D427B3" w:rsidRPr="0062072C" w:rsidRDefault="00D427B3" w:rsidP="002B1DFD">
            <w:pPr>
              <w:pStyle w:val="NoSpacing"/>
              <w:widowControl w:val="0"/>
              <w:ind w:left="169"/>
              <w:rPr>
                <w:rFonts w:cs="Times New Roman"/>
                <w:sz w:val="20"/>
                <w:szCs w:val="20"/>
              </w:rPr>
            </w:pPr>
          </w:p>
          <w:p w14:paraId="4A6B1C80" w14:textId="77777777" w:rsidR="00D427B3" w:rsidRPr="0062072C" w:rsidRDefault="00D427B3" w:rsidP="002B1DFD">
            <w:pPr>
              <w:pStyle w:val="NoSpacing"/>
              <w:widowControl w:val="0"/>
              <w:ind w:left="169"/>
              <w:rPr>
                <w:rFonts w:cs="Times New Roman"/>
                <w:sz w:val="20"/>
                <w:szCs w:val="20"/>
              </w:rPr>
            </w:pPr>
          </w:p>
          <w:p w14:paraId="2D3841C5" w14:textId="0A3134A4" w:rsidR="00D427B3" w:rsidRPr="0062072C" w:rsidRDefault="00D427B3" w:rsidP="002B1DFD">
            <w:pPr>
              <w:pStyle w:val="NoSpacing"/>
              <w:widowControl w:val="0"/>
              <w:ind w:left="169"/>
              <w:rPr>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5"/>
    </w:p>
    <w:p w14:paraId="55747C26" w14:textId="02265935"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t>
      </w:r>
      <w:r w:rsidR="002B1DFD">
        <w:rPr>
          <w:rFonts w:ascii="Cambria" w:hAnsi="Cambria"/>
          <w:sz w:val="16"/>
          <w:szCs w:val="16"/>
        </w:rPr>
        <w:t>were</w:t>
      </w:r>
      <w:r w:rsidRPr="00BA441F">
        <w:rPr>
          <w:rFonts w:ascii="Cambria" w:hAnsi="Cambria"/>
          <w:sz w:val="16"/>
          <w:szCs w:val="16"/>
        </w:rPr>
        <w:t xml:space="preserve"> determined based on</w:t>
      </w:r>
      <w:r w:rsidR="002B1DFD">
        <w:rPr>
          <w:rFonts w:ascii="Cambria" w:hAnsi="Cambria"/>
          <w:sz w:val="16"/>
          <w:szCs w:val="16"/>
        </w:rPr>
        <w:t xml:space="preserve"> the outcome of the field tests</w:t>
      </w:r>
      <w:r w:rsidRPr="00BA441F">
        <w:rPr>
          <w:rFonts w:ascii="Cambria" w:hAnsi="Cambria"/>
          <w:sz w:val="16"/>
          <w:szCs w:val="16"/>
        </w:rPr>
        <w:t>.</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5AC1DBF7" w14:textId="77777777" w:rsidR="005C2A08" w:rsidRPr="00BA441F" w:rsidRDefault="005C2A08" w:rsidP="005C2A08">
      <w:pPr>
        <w:widowControl w:val="0"/>
        <w:spacing w:after="120" w:line="23" w:lineRule="atLeast"/>
        <w:rPr>
          <w:rFonts w:ascii="Cambria" w:hAnsi="Cambria"/>
        </w:rPr>
      </w:pPr>
      <w:r w:rsidRPr="00BA441F">
        <w:rPr>
          <w:rFonts w:ascii="Cambria" w:hAnsi="Cambria"/>
          <w:u w:val="single"/>
        </w:rPr>
        <w:t>Operational Field Test (OFT):</w:t>
      </w:r>
      <w:r w:rsidRPr="00FB2D3A">
        <w:rPr>
          <w:rFonts w:ascii="Cambria" w:hAnsi="Cambria"/>
        </w:rPr>
        <w:t xml:space="preserve"> </w:t>
      </w:r>
      <w:r w:rsidRPr="00967651">
        <w:rPr>
          <w:rFonts w:ascii="Cambria" w:hAnsi="Cambria"/>
        </w:rPr>
        <w:t>In</w:t>
      </w:r>
      <w:r w:rsidRPr="00BA441F">
        <w:rPr>
          <w:rFonts w:ascii="Cambria" w:hAnsi="Cambria"/>
        </w:rPr>
        <w:t xml:space="preserve"> the OFT, we plan a simple experiment on the Token of Appreciation for Student Participation. To build goodwill toward the study on the part of students, we will offer students the choice of one of four items valued at $0.25 up to $1 each. These items will not be branded with a</w:t>
      </w:r>
      <w:r>
        <w:rPr>
          <w:rFonts w:ascii="Cambria" w:hAnsi="Cambria"/>
        </w:rPr>
        <w:t>n</w:t>
      </w:r>
      <w:r w:rsidRPr="00BA441F">
        <w:rPr>
          <w:rFonts w:ascii="Cambria" w:hAnsi="Cambria"/>
        </w:rPr>
        <w:t xml:space="preserve"> MGLS:2017 logo in order not to identify the student as having participated in this particular study. NCES has experience with providing tokens of appreciation for elementary and high school students but we are not as familiar with what would be an attractive token for middle grades students.</w:t>
      </w:r>
    </w:p>
    <w:p w14:paraId="270162ED" w14:textId="1438F6CF" w:rsidR="00F16733" w:rsidRDefault="00C73B56" w:rsidP="00336309">
      <w:pPr>
        <w:widowControl w:val="0"/>
        <w:spacing w:after="120" w:line="23" w:lineRule="atLeast"/>
        <w:rPr>
          <w:rFonts w:ascii="Cambria" w:hAnsi="Cambria"/>
        </w:rPr>
      </w:pPr>
      <w:r w:rsidRPr="00BA441F">
        <w:rPr>
          <w:rFonts w:ascii="Cambria" w:hAnsi="Cambria"/>
          <w:u w:val="single"/>
        </w:rPr>
        <w:t>Main Study</w:t>
      </w:r>
      <w:r w:rsidR="002B1DFD">
        <w:rPr>
          <w:rFonts w:ascii="Cambria" w:hAnsi="Cambria"/>
          <w:u w:val="single"/>
        </w:rPr>
        <w:t xml:space="preserve"> (MS)</w:t>
      </w:r>
      <w:r w:rsidRPr="00BA441F">
        <w:rPr>
          <w:rFonts w:ascii="Cambria" w:hAnsi="Cambria"/>
          <w:u w:val="single"/>
        </w:rPr>
        <w:t>:</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559709E7" w14:textId="77777777" w:rsidR="0092310C" w:rsidRDefault="00D427B3" w:rsidP="00336309">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sidR="002B1DFD">
        <w:rPr>
          <w:rFonts w:ascii="Cambria" w:hAnsi="Cambria"/>
          <w:u w:val="single"/>
        </w:rPr>
        <w:t xml:space="preserve"> (OFT2)</w:t>
      </w:r>
      <w:r w:rsidRPr="00D427B3">
        <w:rPr>
          <w:rFonts w:ascii="Cambria" w:hAnsi="Cambria"/>
          <w:u w:val="single"/>
        </w:rPr>
        <w:t>:</w:t>
      </w:r>
      <w:r>
        <w:rPr>
          <w:rFonts w:ascii="Cambria" w:hAnsi="Cambria"/>
        </w:rPr>
        <w:t xml:space="preserve"> Students participating in school will be allowed to keep the earbud</w:t>
      </w:r>
      <w:r w:rsidR="002B1DFD">
        <w:rPr>
          <w:rFonts w:ascii="Cambria" w:hAnsi="Cambria"/>
        </w:rPr>
        <w:t xml:space="preserve">s used during the assessment. </w:t>
      </w:r>
      <w:r>
        <w:rPr>
          <w:rFonts w:ascii="Cambria" w:hAnsi="Cambria"/>
        </w:rPr>
        <w:t xml:space="preserve">Students who have left their base school and are unable to participate in </w:t>
      </w:r>
      <w:r w:rsidR="0021128A">
        <w:rPr>
          <w:rFonts w:ascii="Cambria" w:hAnsi="Cambria"/>
        </w:rPr>
        <w:t>their</w:t>
      </w:r>
      <w:r>
        <w:rPr>
          <w:rFonts w:ascii="Cambria" w:hAnsi="Cambria"/>
        </w:rPr>
        <w:t xml:space="preserve"> </w:t>
      </w:r>
      <w:r w:rsidR="007F5883">
        <w:rPr>
          <w:rFonts w:ascii="Cambria" w:hAnsi="Cambria"/>
        </w:rPr>
        <w:t>destination school</w:t>
      </w:r>
      <w:r>
        <w:rPr>
          <w:rFonts w:ascii="Cambria" w:hAnsi="Cambria"/>
        </w:rPr>
        <w:t xml:space="preserve"> or </w:t>
      </w:r>
      <w:r w:rsidR="0021128A">
        <w:rPr>
          <w:rFonts w:ascii="Cambria" w:hAnsi="Cambria"/>
        </w:rPr>
        <w:t xml:space="preserve">their </w:t>
      </w:r>
      <w:r>
        <w:rPr>
          <w:rFonts w:ascii="Cambria" w:hAnsi="Cambria"/>
        </w:rPr>
        <w:t xml:space="preserve">transfer school </w:t>
      </w:r>
      <w:r w:rsidR="007F5883">
        <w:rPr>
          <w:rFonts w:ascii="Cambria" w:hAnsi="Cambria"/>
        </w:rPr>
        <w:t xml:space="preserve">(e.g., if the number of students at the destination school or transfer school is less than 4) </w:t>
      </w:r>
      <w:r>
        <w:rPr>
          <w:rFonts w:ascii="Cambria" w:hAnsi="Cambria"/>
        </w:rPr>
        <w:t>will be invited to participate via web outside of school and will be offere</w:t>
      </w:r>
      <w:r w:rsidR="007F5883">
        <w:rPr>
          <w:rFonts w:ascii="Cambria" w:hAnsi="Cambria"/>
        </w:rPr>
        <w:t xml:space="preserve">d $20 for their participation. </w:t>
      </w:r>
      <w:r w:rsidR="0021128A" w:rsidRPr="0021128A">
        <w:rPr>
          <w:rFonts w:ascii="Cambria" w:hAnsi="Cambria"/>
        </w:rPr>
        <w:t>The monetary incentive offered to these students is designed to encourage them to incur the burden of participating in the study on their own time</w:t>
      </w:r>
      <w:r w:rsidR="00B340B5">
        <w:rPr>
          <w:rFonts w:ascii="Cambria" w:hAnsi="Cambria"/>
        </w:rPr>
        <w:t>.</w:t>
      </w:r>
    </w:p>
    <w:p w14:paraId="4E34F2FB" w14:textId="6DFE7337"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1"/>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2"/>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3"/>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5DD3AA41" w14:textId="77777777" w:rsidR="0092310C" w:rsidRDefault="00B427AD" w:rsidP="00B427AD">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In the </w:t>
      </w:r>
      <w:r w:rsidR="003C67DC" w:rsidRPr="00BA441F">
        <w:rPr>
          <w:rFonts w:ascii="Cambria" w:hAnsi="Cambria"/>
        </w:rPr>
        <w:t>M</w:t>
      </w:r>
      <w:r w:rsidRPr="00BA441F">
        <w:rPr>
          <w:rFonts w:ascii="Cambria" w:hAnsi="Cambria"/>
        </w:rPr>
        <w:t xml:space="preserve">ain </w:t>
      </w:r>
      <w:r w:rsidR="003C67DC" w:rsidRPr="00BA441F">
        <w:rPr>
          <w:rFonts w:ascii="Cambria" w:hAnsi="Cambria"/>
        </w:rPr>
        <w:t>S</w:t>
      </w:r>
      <w:r w:rsidRPr="00BA441F">
        <w:rPr>
          <w:rFonts w:ascii="Cambria" w:hAnsi="Cambria"/>
        </w:rPr>
        <w:t>tudy, we plan to use a responsive design approach to identify cases for nonresponse follow-up interventions such that the responding sample will be as representative as possible of the population (i.e., sixth</w:t>
      </w:r>
      <w:r w:rsidR="00F25907">
        <w:rPr>
          <w:rFonts w:ascii="Cambria" w:hAnsi="Cambria"/>
        </w:rPr>
        <w:t>-</w:t>
      </w:r>
      <w:r w:rsidRPr="00BA441F">
        <w:rPr>
          <w:rFonts w:ascii="Cambria" w:hAnsi="Cambria"/>
        </w:rPr>
        <w:t>graders) and thereby reduce the risk of potential nonresponse bias.</w:t>
      </w:r>
      <w:r w:rsidR="00B34238" w:rsidRPr="00BA441F">
        <w:rPr>
          <w:rFonts w:ascii="Cambria" w:hAnsi="Cambria"/>
        </w:rPr>
        <w:t xml:space="preserve"> A simulation of the responsive design approach will be tested in the OFT, as described below.</w:t>
      </w:r>
      <w:r w:rsidR="007F5883">
        <w:rPr>
          <w:rFonts w:ascii="Cambria" w:hAnsi="Cambria"/>
        </w:rPr>
        <w:t xml:space="preserve"> </w:t>
      </w:r>
      <w:r w:rsidR="00B340B5">
        <w:rPr>
          <w:rFonts w:ascii="Cambria" w:hAnsi="Cambria"/>
        </w:rPr>
        <w:t>Results of this approach and recommendations for the main study will be provided in a separate package.</w:t>
      </w:r>
    </w:p>
    <w:p w14:paraId="2B397B3E" w14:textId="21EB6022" w:rsidR="00B427AD" w:rsidRPr="00BA441F" w:rsidRDefault="00B34238" w:rsidP="00F15EAC">
      <w:pPr>
        <w:widowControl w:val="0"/>
        <w:spacing w:after="120" w:line="23" w:lineRule="atLeast"/>
        <w:rPr>
          <w:rFonts w:ascii="Cambria" w:hAnsi="Cambria"/>
        </w:rPr>
      </w:pPr>
      <w:r w:rsidRPr="00B52155">
        <w:rPr>
          <w:rFonts w:ascii="Cambria" w:hAnsi="Cambria"/>
          <w:u w:val="single"/>
        </w:rPr>
        <w:t>Operational Field Test (OFT)</w:t>
      </w:r>
      <w:r w:rsidRPr="00EA62E9">
        <w:rPr>
          <w:rFonts w:ascii="Cambria" w:hAnsi="Cambria"/>
          <w:u w:val="single"/>
        </w:rPr>
        <w:t>:</w:t>
      </w:r>
      <w:r w:rsidR="00F16733">
        <w:rPr>
          <w:rFonts w:ascii="Cambria" w:hAnsi="Cambria"/>
        </w:rPr>
        <w:t xml:space="preserve"> </w:t>
      </w:r>
      <w:r w:rsidR="00B427AD" w:rsidRPr="00BA441F">
        <w:rPr>
          <w:rFonts w:ascii="Cambria" w:hAnsi="Cambria"/>
        </w:rPr>
        <w:t xml:space="preserve">During the OFT, we will test varying incentive amounts at the onset of parent interview collection to determine the optimal baseline incentive offer for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To better understand effective non-response follow-up, we will also test increased incentive offers among pending nonrespondents at two different points in data collection. A separately tailored incentive approach will be utilized for parents of students </w:t>
      </w:r>
      <w:r w:rsidR="00741CFE">
        <w:rPr>
          <w:rFonts w:ascii="Cambria" w:hAnsi="Cambria"/>
        </w:rPr>
        <w:t xml:space="preserve">with the emotional disturbance IEP classification based on the results of the IVFT in which those </w:t>
      </w:r>
      <w:r w:rsidR="00741CFE">
        <w:rPr>
          <w:rFonts w:ascii="Cambria" w:hAnsi="Cambria"/>
        </w:rPr>
        <w:lastRenderedPageBreak/>
        <w:t>parents responded at a lower rate than other parents (see section B.4)</w:t>
      </w:r>
      <w:r w:rsidR="00B427AD" w:rsidRPr="00BA441F">
        <w:rPr>
          <w:rFonts w:ascii="Cambria" w:hAnsi="Cambria"/>
        </w:rPr>
        <w:t xml:space="preserve">. The parent incentive experimental conditions are shown in table 3. Although in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responsive design methods will be employed to select pending nonresponding cases for targeted interventions, in the OFT, where the number of cases will be relatively small, increased incentive amounts will be determined by random assignment. In order to inform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tudy procedures, data from the OFT experiment will be analyzed with an approach that simulates responsive design.</w:t>
      </w:r>
    </w:p>
    <w:p w14:paraId="5739B145" w14:textId="77777777" w:rsidR="00B427AD" w:rsidRPr="00BA441F" w:rsidRDefault="00B427AD" w:rsidP="00B427AD">
      <w:pPr>
        <w:spacing w:after="120" w:line="23" w:lineRule="atLeast"/>
        <w:rPr>
          <w:rFonts w:ascii="Cambria" w:hAnsi="Cambria"/>
          <w:i/>
        </w:rPr>
      </w:pPr>
      <w:r w:rsidRPr="00BA441F">
        <w:rPr>
          <w:rFonts w:ascii="Cambria" w:hAnsi="Cambria"/>
          <w:i/>
        </w:rPr>
        <w:t>Baseline (Phase 1)</w:t>
      </w:r>
    </w:p>
    <w:p w14:paraId="5B52834D" w14:textId="47D4232A" w:rsidR="00B427AD" w:rsidRPr="00BA441F" w:rsidRDefault="00B427AD" w:rsidP="00B427AD">
      <w:pPr>
        <w:pStyle w:val="ListParagraph"/>
        <w:spacing w:after="120" w:line="23" w:lineRule="atLeast"/>
        <w:ind w:left="0"/>
        <w:rPr>
          <w:rFonts w:ascii="Cambria" w:hAnsi="Cambria"/>
        </w:rPr>
      </w:pPr>
      <w:r w:rsidRPr="00BA441F">
        <w:rPr>
          <w:rFonts w:ascii="Cambria" w:hAnsi="Cambria"/>
        </w:rPr>
        <w:t xml:space="preserve">In the OFT, parents of students who </w:t>
      </w:r>
      <w:r w:rsidR="00210F2A">
        <w:rPr>
          <w:rFonts w:ascii="Cambria" w:hAnsi="Cambria"/>
        </w:rPr>
        <w:t>do not have an emotional disturbance IEP designation</w:t>
      </w:r>
      <w:r w:rsidRPr="00BA441F">
        <w:rPr>
          <w:rFonts w:ascii="Cambria" w:hAnsi="Cambria"/>
        </w:rPr>
        <w:t xml:space="preserve"> will be randomly assigned to one of three baseline incentive groups (phase 1):</w:t>
      </w:r>
    </w:p>
    <w:p w14:paraId="0783F5A5"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A (20 percent of the cases) receive no incentive the entire data collection period.</w:t>
      </w:r>
    </w:p>
    <w:p w14:paraId="6C737828"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B (40 percent of the cases) will be offered $10 at the start of data collection.</w:t>
      </w:r>
    </w:p>
    <w:p w14:paraId="24D57FBC"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C (40 percent of the cases) will be offered $20 at the start of data collection.</w:t>
      </w:r>
    </w:p>
    <w:p w14:paraId="2D9203AC" w14:textId="77777777" w:rsidR="00B427AD" w:rsidRPr="00BA441F" w:rsidRDefault="00B427AD" w:rsidP="00B427AD">
      <w:pPr>
        <w:spacing w:after="120" w:line="23" w:lineRule="atLeast"/>
        <w:rPr>
          <w:rFonts w:ascii="Cambria" w:hAnsi="Cambria"/>
        </w:rPr>
      </w:pPr>
      <w:r w:rsidRPr="00BA441F">
        <w:rPr>
          <w:rFonts w:ascii="Cambria" w:hAnsi="Cambria"/>
        </w:rPr>
        <w:t>During phase 1, parents will be asked to complete the online questionnaire and telephone prompting will begin about three weeks after the initial contact is made with the parent.</w:t>
      </w:r>
    </w:p>
    <w:p w14:paraId="55A3B60C" w14:textId="77777777" w:rsidR="00B427AD" w:rsidRPr="00BA441F" w:rsidRDefault="00B427AD" w:rsidP="00B427AD">
      <w:pPr>
        <w:spacing w:after="120" w:line="23" w:lineRule="atLeast"/>
        <w:rPr>
          <w:rFonts w:ascii="Cambria" w:hAnsi="Cambria"/>
          <w:i/>
        </w:rPr>
      </w:pPr>
      <w:r w:rsidRPr="00BA441F">
        <w:rPr>
          <w:rFonts w:ascii="Cambria" w:hAnsi="Cambria"/>
          <w:i/>
        </w:rPr>
        <w:t>Non-response Follow-up (Phase 2 and Phase 3)</w:t>
      </w:r>
    </w:p>
    <w:p w14:paraId="048BDF07" w14:textId="77777777" w:rsidR="00B427AD" w:rsidRPr="00BA441F" w:rsidRDefault="00B427AD" w:rsidP="00B427AD">
      <w:pPr>
        <w:spacing w:after="120" w:line="23" w:lineRule="atLeast"/>
        <w:rPr>
          <w:rFonts w:ascii="Cambria" w:hAnsi="Cambria"/>
        </w:rPr>
      </w:pPr>
      <w:r w:rsidRPr="00BA441F">
        <w:rPr>
          <w:rFonts w:ascii="Cambria" w:hAnsi="Cambria"/>
        </w:rPr>
        <w:t>Approximately one-third of the way through the OFT data collection (phase 2; about 3 weeks after telephone prompting begins), nonresponding cases in groups B and C will be randomly assigned to a treatment group ($10 incentive boost) or a control group (no incentive boost).</w:t>
      </w:r>
    </w:p>
    <w:p w14:paraId="04F7BBE8" w14:textId="77777777" w:rsidR="00B427AD" w:rsidRPr="00BA441F" w:rsidRDefault="00B427AD" w:rsidP="00B427AD">
      <w:pPr>
        <w:spacing w:after="120" w:line="23" w:lineRule="atLeast"/>
        <w:rPr>
          <w:rFonts w:ascii="Cambria" w:hAnsi="Cambria"/>
        </w:rPr>
      </w:pPr>
      <w:r w:rsidRPr="00BA441F">
        <w:rPr>
          <w:rFonts w:ascii="Cambria" w:hAnsi="Cambria"/>
        </w:rPr>
        <w:t>Approximately two-thirds of the way through the OFT data collection (phase 3), one more incentive boost experiment will be implemented among remaining nonresponding cases in groups B and C. The treatment group will receive an increase in incentive of whatever amount brings their total incentive to equal $40, while the control group will not receive a boost from the previous offer.</w:t>
      </w:r>
    </w:p>
    <w:p w14:paraId="6BA1D3A2" w14:textId="77777777" w:rsidR="00F16733" w:rsidRDefault="00B427AD" w:rsidP="00B427AD">
      <w:pPr>
        <w:widowControl w:val="0"/>
        <w:spacing w:after="120" w:line="23" w:lineRule="atLeast"/>
        <w:rPr>
          <w:rFonts w:ascii="Cambria" w:hAnsi="Cambria"/>
        </w:rPr>
      </w:pPr>
      <w:r w:rsidRPr="00BA441F">
        <w:rPr>
          <w:rFonts w:ascii="Cambria" w:hAnsi="Cambria"/>
        </w:rPr>
        <w:t xml:space="preserve">The number of cases will not be sufficient to allow for </w:t>
      </w:r>
      <w:r w:rsidRPr="00BA441F">
        <w:rPr>
          <w:rFonts w:ascii="Cambria" w:hAnsi="Cambria"/>
          <w:b/>
          <w:i/>
        </w:rPr>
        <w:t>assignment and experimentation</w:t>
      </w:r>
      <w:r w:rsidRPr="00BA441F">
        <w:rPr>
          <w:rFonts w:ascii="Cambria" w:hAnsi="Cambria"/>
        </w:rPr>
        <w:t xml:space="preserve"> based on responsive design modeling, therefore the incentive boosts for pending nonrespondents (for a total offer of $40) will be done before phases 2 and 3 with a random-assignment experimental design. After the end of data collection, a responsive design simulation will be conducted to observe the potential effectiveness of the non-response follow-up interventions. This analytic approach will inform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 xml:space="preserve">tudy procedures by simulating the responsive design model proposed for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tudy. This simulation approach was employed successfully with the second follow-up field test data collection for the High School Longitudinal Study of 2009 (HSLS:09).</w:t>
      </w:r>
    </w:p>
    <w:p w14:paraId="54F11130" w14:textId="7B3CEECB" w:rsidR="00B427AD" w:rsidRPr="00BA441F" w:rsidRDefault="00B427AD" w:rsidP="00B427AD">
      <w:pPr>
        <w:spacing w:after="120" w:line="23" w:lineRule="atLeast"/>
        <w:rPr>
          <w:rFonts w:ascii="Cambria" w:hAnsi="Cambria"/>
        </w:rPr>
      </w:pPr>
      <w:r w:rsidRPr="00BA441F">
        <w:rPr>
          <w:rFonts w:ascii="Cambria" w:hAnsi="Cambria"/>
        </w:rPr>
        <w:t>We will develop a model to retrospectively identify those nonrespondents most likely to contribute to bias as of the beginning of phase 2. We will then compare the response rate, as of the end of phase 2, between those nonrespondents who were assigned an additional incentive amount and those who were not in order to examine the degree to which the incremental incentive applied in phase 2 was successful in increasing the response rate among nonrespondents as of the beginning of phase 2. We will also use that same model to identify those nonrespondents most likely to contribute to bias as of the beginning of phase 3. We will compare the response rate, as of the end of phase 3, between those nonrespondents who were assigned an additional incentive amount and those who were not in order to examine the degree to which the incremental incentive applied in phase 3 was successful in increasing the response rate among nonrespondents as of the beginning of phase 3.</w:t>
      </w:r>
      <w:r w:rsidR="003728E6">
        <w:rPr>
          <w:rFonts w:ascii="Cambria" w:hAnsi="Cambria"/>
        </w:rPr>
        <w:t xml:space="preserve"> Additional</w:t>
      </w:r>
      <w:r w:rsidR="003728E6" w:rsidRPr="00F0657A">
        <w:rPr>
          <w:rFonts w:ascii="Cambria" w:hAnsi="Cambria"/>
        </w:rPr>
        <w:t xml:space="preserve"> details of the retrospective analysis model plan </w:t>
      </w:r>
      <w:r w:rsidR="003728E6">
        <w:rPr>
          <w:rFonts w:ascii="Cambria" w:hAnsi="Cambria"/>
        </w:rPr>
        <w:t>are</w:t>
      </w:r>
      <w:r w:rsidR="003728E6" w:rsidRPr="00F0657A">
        <w:rPr>
          <w:rFonts w:ascii="Cambria" w:hAnsi="Cambria"/>
        </w:rPr>
        <w:t xml:space="preserve"> included in </w:t>
      </w:r>
      <w:r w:rsidR="003728E6">
        <w:rPr>
          <w:rFonts w:ascii="Cambria" w:hAnsi="Cambria"/>
        </w:rPr>
        <w:t>Part B of this submission</w:t>
      </w:r>
      <w:r w:rsidR="003728E6" w:rsidRPr="00F0657A">
        <w:rPr>
          <w:rFonts w:ascii="Cambria" w:hAnsi="Cambria"/>
        </w:rPr>
        <w:t>.</w:t>
      </w:r>
    </w:p>
    <w:p w14:paraId="3F2D2F6F" w14:textId="699E949B" w:rsidR="00B427AD" w:rsidRPr="00BA441F" w:rsidRDefault="00B427AD" w:rsidP="00B427AD">
      <w:pPr>
        <w:widowControl w:val="0"/>
        <w:spacing w:after="120" w:line="23" w:lineRule="atLeast"/>
        <w:rPr>
          <w:rFonts w:ascii="Cambria" w:hAnsi="Cambria"/>
          <w:i/>
        </w:rPr>
      </w:pPr>
      <w:r w:rsidRPr="00BA441F">
        <w:rPr>
          <w:rFonts w:ascii="Cambria" w:hAnsi="Cambria"/>
          <w:i/>
        </w:rPr>
        <w:t xml:space="preserve">Parents of Students </w:t>
      </w:r>
      <w:r w:rsidR="006B0597">
        <w:rPr>
          <w:rFonts w:ascii="Cambria" w:hAnsi="Cambria"/>
          <w:i/>
        </w:rPr>
        <w:t>with Emotional Disturbance</w:t>
      </w:r>
    </w:p>
    <w:p w14:paraId="43819CBA" w14:textId="72ED8952" w:rsidR="00B427AD" w:rsidRPr="00BA441F" w:rsidRDefault="00B427AD" w:rsidP="00B427AD">
      <w:pPr>
        <w:spacing w:after="120" w:line="23" w:lineRule="atLeast"/>
        <w:rPr>
          <w:rFonts w:ascii="Cambria" w:hAnsi="Cambria"/>
        </w:rPr>
      </w:pPr>
      <w:r w:rsidRPr="00BA441F">
        <w:rPr>
          <w:rFonts w:ascii="Cambria" w:hAnsi="Cambria"/>
        </w:rPr>
        <w:t xml:space="preserve">It is expected that parents of students with </w:t>
      </w:r>
      <w:r w:rsidR="006B0597">
        <w:rPr>
          <w:rFonts w:ascii="Cambria" w:hAnsi="Cambria"/>
        </w:rPr>
        <w:t>emotional disturbance</w:t>
      </w:r>
      <w:r w:rsidR="006B0597" w:rsidRPr="00BA441F">
        <w:rPr>
          <w:rFonts w:ascii="Cambria" w:hAnsi="Cambria"/>
        </w:rPr>
        <w:t xml:space="preserve"> </w:t>
      </w:r>
      <w:r w:rsidR="00BA7FDF">
        <w:rPr>
          <w:rFonts w:ascii="Cambria" w:hAnsi="Cambria"/>
        </w:rPr>
        <w:t>may</w:t>
      </w:r>
      <w:r w:rsidRPr="00BA441F">
        <w:rPr>
          <w:rFonts w:ascii="Cambria" w:hAnsi="Cambria"/>
        </w:rPr>
        <w:t xml:space="preserve"> be a more challenging group from which to obtain participation than parents whose children do not have </w:t>
      </w:r>
      <w:r w:rsidR="006B0597">
        <w:rPr>
          <w:rFonts w:ascii="Cambria" w:hAnsi="Cambria"/>
        </w:rPr>
        <w:t xml:space="preserve">that </w:t>
      </w:r>
      <w:r w:rsidRPr="00BA441F">
        <w:rPr>
          <w:rFonts w:ascii="Cambria" w:hAnsi="Cambria"/>
        </w:rPr>
        <w:t xml:space="preserve">disability. </w:t>
      </w:r>
      <w:r w:rsidR="00FB0BB0">
        <w:rPr>
          <w:rFonts w:ascii="Cambria" w:hAnsi="Cambria"/>
        </w:rPr>
        <w:t xml:space="preserve">In the IVFT, parents </w:t>
      </w:r>
      <w:r w:rsidR="006B0597">
        <w:rPr>
          <w:rFonts w:ascii="Cambria" w:hAnsi="Cambria"/>
        </w:rPr>
        <w:t xml:space="preserve">of students with emotional disturbance had a lower participation rate than other parents (see section B.4 for details). </w:t>
      </w:r>
      <w:r w:rsidR="00A04162">
        <w:rPr>
          <w:rFonts w:ascii="Cambria" w:hAnsi="Cambria"/>
        </w:rPr>
        <w:t>While the study will be inclusive of most students with disabilities, s</w:t>
      </w:r>
      <w:r w:rsidRPr="00BA441F">
        <w:rPr>
          <w:rFonts w:ascii="Cambria" w:hAnsi="Cambria"/>
        </w:rPr>
        <w:t xml:space="preserve">tudents </w:t>
      </w:r>
      <w:r w:rsidR="00A04162">
        <w:rPr>
          <w:rFonts w:ascii="Cambria" w:hAnsi="Cambria"/>
        </w:rPr>
        <w:t xml:space="preserve">in </w:t>
      </w:r>
      <w:r w:rsidR="006B0597">
        <w:rPr>
          <w:rFonts w:ascii="Cambria" w:hAnsi="Cambria"/>
        </w:rPr>
        <w:t xml:space="preserve">each </w:t>
      </w:r>
      <w:r w:rsidR="00A04162">
        <w:rPr>
          <w:rFonts w:ascii="Cambria" w:hAnsi="Cambria"/>
        </w:rPr>
        <w:t>of the three focal disability groups</w:t>
      </w:r>
      <w:r w:rsidRPr="00BA441F">
        <w:rPr>
          <w:rFonts w:ascii="Cambria" w:hAnsi="Cambria"/>
        </w:rPr>
        <w:t xml:space="preserve"> </w:t>
      </w:r>
      <w:r w:rsidR="006B0597">
        <w:rPr>
          <w:rFonts w:ascii="Cambria" w:hAnsi="Cambria"/>
        </w:rPr>
        <w:t xml:space="preserve">(emotional disturbance, autism, and specific learning disability) </w:t>
      </w:r>
      <w:r w:rsidRPr="00BA441F">
        <w:rPr>
          <w:rFonts w:ascii="Cambria" w:hAnsi="Cambria"/>
        </w:rPr>
        <w:t>comprise an analytically critical population for this study</w:t>
      </w:r>
      <w:r w:rsidR="000F598A">
        <w:rPr>
          <w:rFonts w:ascii="Cambria" w:hAnsi="Cambria"/>
        </w:rPr>
        <w:t xml:space="preserve"> given the study design to allow students in these groups to be analyzed separately</w:t>
      </w:r>
      <w:r w:rsidRPr="00BA441F">
        <w:rPr>
          <w:rFonts w:ascii="Cambria" w:hAnsi="Cambria"/>
        </w:rPr>
        <w:t>.</w:t>
      </w:r>
      <w:r w:rsidR="006B0597">
        <w:rPr>
          <w:rFonts w:ascii="Cambria" w:hAnsi="Cambria"/>
        </w:rPr>
        <w:t xml:space="preserve"> Given the </w:t>
      </w:r>
      <w:r w:rsidR="00A67766">
        <w:rPr>
          <w:rFonts w:ascii="Cambria" w:hAnsi="Cambria"/>
        </w:rPr>
        <w:t xml:space="preserve">relatively </w:t>
      </w:r>
      <w:r w:rsidR="006B0597">
        <w:rPr>
          <w:rFonts w:ascii="Cambria" w:hAnsi="Cambria"/>
        </w:rPr>
        <w:t>lower IVFT response rate</w:t>
      </w:r>
      <w:r w:rsidR="00A67766">
        <w:rPr>
          <w:rFonts w:ascii="Cambria" w:hAnsi="Cambria"/>
        </w:rPr>
        <w:t xml:space="preserve"> specific to parents of students with emotional disturbance</w:t>
      </w:r>
      <w:r w:rsidR="006B0597">
        <w:rPr>
          <w:rFonts w:ascii="Cambria" w:hAnsi="Cambria"/>
        </w:rPr>
        <w:t>,</w:t>
      </w:r>
      <w:r w:rsidR="00DA0B10">
        <w:rPr>
          <w:rFonts w:ascii="Cambria" w:hAnsi="Cambria"/>
        </w:rPr>
        <w:t xml:space="preserve"> </w:t>
      </w:r>
      <w:r w:rsidRPr="00BA441F">
        <w:rPr>
          <w:rFonts w:ascii="Cambria" w:hAnsi="Cambria"/>
        </w:rPr>
        <w:t xml:space="preserve">we will implement a separate treatment for parents of students with </w:t>
      </w:r>
      <w:r w:rsidR="00A67766">
        <w:rPr>
          <w:rFonts w:ascii="Cambria" w:hAnsi="Cambria"/>
        </w:rPr>
        <w:t>that</w:t>
      </w:r>
      <w:r w:rsidR="00A04162">
        <w:rPr>
          <w:rFonts w:ascii="Cambria" w:hAnsi="Cambria"/>
        </w:rPr>
        <w:t xml:space="preserve"> </w:t>
      </w:r>
      <w:r w:rsidRPr="00BA441F">
        <w:rPr>
          <w:rFonts w:ascii="Cambria" w:hAnsi="Cambria"/>
        </w:rPr>
        <w:t>disabilit</w:t>
      </w:r>
      <w:r w:rsidR="00A67766">
        <w:rPr>
          <w:rFonts w:ascii="Cambria" w:hAnsi="Cambria"/>
        </w:rPr>
        <w:t>y</w:t>
      </w:r>
      <w:r w:rsidRPr="00BA441F">
        <w:rPr>
          <w:rFonts w:ascii="Cambria" w:hAnsi="Cambria"/>
        </w:rPr>
        <w:t xml:space="preserve">. We will </w:t>
      </w:r>
      <w:r w:rsidR="00A67766">
        <w:rPr>
          <w:rFonts w:ascii="Cambria" w:hAnsi="Cambria"/>
        </w:rPr>
        <w:t xml:space="preserve">randomly assign the parents of this group to an </w:t>
      </w:r>
      <w:r w:rsidRPr="00BA441F">
        <w:rPr>
          <w:rFonts w:ascii="Cambria" w:hAnsi="Cambria"/>
        </w:rPr>
        <w:t xml:space="preserve">offer </w:t>
      </w:r>
      <w:r w:rsidR="00A67766">
        <w:rPr>
          <w:rFonts w:ascii="Cambria" w:hAnsi="Cambria"/>
        </w:rPr>
        <w:t xml:space="preserve">of </w:t>
      </w:r>
      <w:r w:rsidRPr="00BA441F">
        <w:rPr>
          <w:rFonts w:ascii="Cambria" w:hAnsi="Cambria"/>
        </w:rPr>
        <w:t xml:space="preserve">a $20 incentive </w:t>
      </w:r>
      <w:r w:rsidR="00A67766">
        <w:rPr>
          <w:rFonts w:ascii="Cambria" w:hAnsi="Cambria"/>
        </w:rPr>
        <w:t xml:space="preserve">or a $30 incentive </w:t>
      </w:r>
      <w:r w:rsidRPr="00BA441F">
        <w:rPr>
          <w:rFonts w:ascii="Cambria" w:hAnsi="Cambria"/>
        </w:rPr>
        <w:t>at the outset of data collection and increase the incentive by $10 (a cumulative offer of $30</w:t>
      </w:r>
      <w:r w:rsidR="00A67766">
        <w:rPr>
          <w:rFonts w:ascii="Cambria" w:hAnsi="Cambria"/>
        </w:rPr>
        <w:t xml:space="preserve"> or $40</w:t>
      </w:r>
      <w:r w:rsidRPr="00BA441F">
        <w:rPr>
          <w:rFonts w:ascii="Cambria" w:hAnsi="Cambria"/>
        </w:rPr>
        <w:t xml:space="preserve">) one-third of the way through data collection </w:t>
      </w:r>
      <w:r w:rsidRPr="00BA441F">
        <w:rPr>
          <w:rFonts w:ascii="Cambria" w:hAnsi="Cambria"/>
        </w:rPr>
        <w:lastRenderedPageBreak/>
        <w:t>and another $10 (a cumulative offer of $40</w:t>
      </w:r>
      <w:r w:rsidR="00A67766">
        <w:rPr>
          <w:rFonts w:ascii="Cambria" w:hAnsi="Cambria"/>
        </w:rPr>
        <w:t xml:space="preserve"> or $5</w:t>
      </w:r>
      <w:r w:rsidR="00A67766" w:rsidRPr="00BA441F">
        <w:rPr>
          <w:rFonts w:ascii="Cambria" w:hAnsi="Cambria"/>
        </w:rPr>
        <w:t>0</w:t>
      </w:r>
      <w:r w:rsidRPr="00BA441F">
        <w:rPr>
          <w:rFonts w:ascii="Cambria" w:hAnsi="Cambria"/>
        </w:rPr>
        <w:t xml:space="preserve">) two-thirds of the way through data collection. Providing a differential treatment for analytically critical populations was used successfully </w:t>
      </w:r>
      <w:r w:rsidR="005732EE">
        <w:rPr>
          <w:rFonts w:ascii="Cambria" w:hAnsi="Cambria"/>
        </w:rPr>
        <w:t>i</w:t>
      </w:r>
      <w:r w:rsidRPr="00BA441F">
        <w:rPr>
          <w:rFonts w:ascii="Cambria" w:hAnsi="Cambria"/>
        </w:rPr>
        <w:t>n HSLS:09 with students who had reportedly ever dropped out of school.</w:t>
      </w:r>
    </w:p>
    <w:p w14:paraId="5E665885" w14:textId="77777777"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3.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0"/>
        <w:gridCol w:w="2318"/>
        <w:gridCol w:w="2318"/>
        <w:gridCol w:w="2320"/>
      </w:tblGrid>
      <w:tr w:rsidR="00B427AD" w:rsidRPr="00373387" w14:paraId="4F640E6F"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175ED510" w14:textId="77777777" w:rsidR="00B427AD" w:rsidRPr="00373387" w:rsidRDefault="00B427AD" w:rsidP="00200978">
            <w:pPr>
              <w:pStyle w:val="NoSpacing"/>
              <w:jc w:val="center"/>
              <w:rPr>
                <w:b/>
                <w:sz w:val="20"/>
                <w:szCs w:val="20"/>
              </w:rPr>
            </w:pPr>
            <w:r w:rsidRPr="00373387">
              <w:rPr>
                <w:b/>
                <w:sz w:val="20"/>
                <w:szCs w:val="20"/>
              </w:rPr>
              <w:t>Experiment Group</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C208C1F" w14:textId="77777777" w:rsidR="00B427AD" w:rsidRPr="00373387" w:rsidRDefault="00B427AD" w:rsidP="00200978">
            <w:pPr>
              <w:pStyle w:val="NoSpacing"/>
              <w:jc w:val="center"/>
              <w:rPr>
                <w:b/>
                <w:sz w:val="20"/>
                <w:szCs w:val="20"/>
              </w:rPr>
            </w:pPr>
            <w:r w:rsidRPr="00373387">
              <w:rPr>
                <w:b/>
                <w:sz w:val="20"/>
                <w:szCs w:val="20"/>
              </w:rPr>
              <w:t>Phase 1</w:t>
            </w:r>
          </w:p>
          <w:p w14:paraId="77AC5BC6" w14:textId="77777777" w:rsidR="00B427AD" w:rsidRPr="00373387" w:rsidRDefault="00B427AD" w:rsidP="00200978">
            <w:pPr>
              <w:pStyle w:val="NoSpacing"/>
              <w:jc w:val="center"/>
              <w:rPr>
                <w:b/>
                <w:sz w:val="20"/>
                <w:szCs w:val="20"/>
              </w:rPr>
            </w:pPr>
            <w:r w:rsidRPr="00373387">
              <w:rPr>
                <w:b/>
                <w:sz w:val="20"/>
                <w:szCs w:val="20"/>
              </w:rPr>
              <w:t>Baseline Incentive</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9A4F4" w14:textId="77777777" w:rsidR="00B427AD" w:rsidRPr="00373387" w:rsidRDefault="00B427AD" w:rsidP="00200978">
            <w:pPr>
              <w:pStyle w:val="NoSpacing"/>
              <w:jc w:val="center"/>
              <w:rPr>
                <w:b/>
                <w:sz w:val="20"/>
                <w:szCs w:val="20"/>
              </w:rPr>
            </w:pPr>
            <w:r w:rsidRPr="00373387">
              <w:rPr>
                <w:b/>
                <w:sz w:val="20"/>
                <w:szCs w:val="20"/>
              </w:rPr>
              <w:t>Phase 2</w:t>
            </w:r>
          </w:p>
          <w:p w14:paraId="6649FF60" w14:textId="77777777" w:rsidR="00B427AD" w:rsidRPr="00373387" w:rsidRDefault="00B427AD" w:rsidP="00200978">
            <w:pPr>
              <w:pStyle w:val="NoSpacing"/>
              <w:jc w:val="center"/>
              <w:rPr>
                <w:b/>
                <w:sz w:val="20"/>
                <w:szCs w:val="20"/>
              </w:rPr>
            </w:pPr>
            <w:r w:rsidRPr="00373387">
              <w:rPr>
                <w:b/>
                <w:sz w:val="20"/>
                <w:szCs w:val="20"/>
              </w:rPr>
              <w:t>One-third of the way through data collection</w:t>
            </w:r>
          </w:p>
        </w:tc>
        <w:tc>
          <w:tcPr>
            <w:tcW w:w="11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704CE" w14:textId="77777777" w:rsidR="00B427AD" w:rsidRPr="00373387" w:rsidRDefault="00B427AD" w:rsidP="00200978">
            <w:pPr>
              <w:pStyle w:val="NoSpacing"/>
              <w:jc w:val="center"/>
              <w:rPr>
                <w:b/>
                <w:sz w:val="20"/>
                <w:szCs w:val="20"/>
              </w:rPr>
            </w:pPr>
            <w:r w:rsidRPr="00373387">
              <w:rPr>
                <w:b/>
                <w:sz w:val="20"/>
                <w:szCs w:val="20"/>
              </w:rPr>
              <w:t>Phase 3</w:t>
            </w:r>
          </w:p>
          <w:p w14:paraId="36E02123" w14:textId="77777777" w:rsidR="00B427AD" w:rsidRPr="00373387" w:rsidRDefault="00B427AD" w:rsidP="00200978">
            <w:pPr>
              <w:pStyle w:val="NoSpacing"/>
              <w:jc w:val="center"/>
              <w:rPr>
                <w:b/>
                <w:sz w:val="20"/>
                <w:szCs w:val="20"/>
              </w:rPr>
            </w:pPr>
            <w:r w:rsidRPr="00373387">
              <w:rPr>
                <w:b/>
                <w:sz w:val="20"/>
                <w:szCs w:val="20"/>
              </w:rPr>
              <w:t>Two-thirds of the way through data collection</w:t>
            </w:r>
          </w:p>
        </w:tc>
      </w:tr>
      <w:tr w:rsidR="00336309" w:rsidRPr="00373387" w14:paraId="5A759E54" w14:textId="77777777" w:rsidTr="00336309">
        <w:trPr>
          <w:cantSplit/>
          <w:tblHeader/>
        </w:trPr>
        <w:tc>
          <w:tcPr>
            <w:tcW w:w="1702"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E2403C0" w14:textId="43B62B31" w:rsidR="00336309" w:rsidRPr="00373387" w:rsidRDefault="00336309" w:rsidP="00336309">
            <w:pPr>
              <w:pStyle w:val="NoSpacing"/>
              <w:ind w:left="270" w:hanging="270"/>
              <w:rPr>
                <w:sz w:val="20"/>
                <w:szCs w:val="20"/>
              </w:rPr>
            </w:pPr>
            <w:r w:rsidRPr="00373387">
              <w:rPr>
                <w:sz w:val="20"/>
                <w:szCs w:val="20"/>
              </w:rPr>
              <w:t>A:</w:t>
            </w:r>
            <w:r>
              <w:rPr>
                <w:sz w:val="20"/>
                <w:szCs w:val="20"/>
              </w:rPr>
              <w:t xml:space="preserve"> </w:t>
            </w:r>
            <w:r w:rsidRPr="00373387">
              <w:rPr>
                <w:sz w:val="20"/>
                <w:szCs w:val="20"/>
              </w:rPr>
              <w:t>Parents of Students without Emotional Disturbance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46B0D41C" w14:textId="77777777" w:rsidR="00336309" w:rsidRPr="00373387" w:rsidRDefault="00336309" w:rsidP="00200978">
            <w:pPr>
              <w:pStyle w:val="NoSpacing"/>
              <w:jc w:val="center"/>
              <w:rPr>
                <w:sz w:val="20"/>
                <w:szCs w:val="20"/>
              </w:rPr>
            </w:pPr>
            <w:r w:rsidRPr="00373387">
              <w:rPr>
                <w:sz w:val="20"/>
                <w:szCs w:val="20"/>
              </w:rPr>
              <w:t>$0 (no offer)</w:t>
            </w:r>
          </w:p>
        </w:tc>
        <w:tc>
          <w:tcPr>
            <w:tcW w:w="1099" w:type="pct"/>
            <w:tcBorders>
              <w:top w:val="single" w:sz="4" w:space="0" w:color="auto"/>
              <w:left w:val="single" w:sz="4" w:space="0" w:color="auto"/>
              <w:bottom w:val="single" w:sz="4" w:space="0" w:color="auto"/>
              <w:right w:val="single" w:sz="4" w:space="0" w:color="auto"/>
            </w:tcBorders>
            <w:vAlign w:val="center"/>
          </w:tcPr>
          <w:p w14:paraId="08C61DA7" w14:textId="77777777" w:rsidR="00336309" w:rsidRPr="00373387" w:rsidRDefault="00336309" w:rsidP="00200978">
            <w:pPr>
              <w:pStyle w:val="NoSpacing"/>
              <w:jc w:val="center"/>
              <w:rPr>
                <w:sz w:val="20"/>
                <w:szCs w:val="20"/>
              </w:rPr>
            </w:pPr>
            <w:r w:rsidRPr="00373387">
              <w:rPr>
                <w:sz w:val="20"/>
                <w:szCs w:val="20"/>
              </w:rPr>
              <w:t>$0 (no boost)</w:t>
            </w:r>
          </w:p>
        </w:tc>
        <w:tc>
          <w:tcPr>
            <w:tcW w:w="1100" w:type="pct"/>
            <w:tcBorders>
              <w:top w:val="single" w:sz="4" w:space="0" w:color="auto"/>
              <w:left w:val="single" w:sz="4" w:space="0" w:color="auto"/>
              <w:bottom w:val="single" w:sz="4" w:space="0" w:color="auto"/>
              <w:right w:val="single" w:sz="4" w:space="0" w:color="auto"/>
            </w:tcBorders>
            <w:vAlign w:val="center"/>
          </w:tcPr>
          <w:p w14:paraId="336C3D3A" w14:textId="77777777" w:rsidR="00336309" w:rsidRPr="00373387" w:rsidRDefault="00336309" w:rsidP="00200978">
            <w:pPr>
              <w:pStyle w:val="NoSpacing"/>
              <w:jc w:val="center"/>
              <w:rPr>
                <w:sz w:val="20"/>
                <w:szCs w:val="20"/>
              </w:rPr>
            </w:pPr>
            <w:r w:rsidRPr="00373387">
              <w:rPr>
                <w:sz w:val="20"/>
                <w:szCs w:val="20"/>
              </w:rPr>
              <w:t>$0 (no boost)</w:t>
            </w:r>
          </w:p>
        </w:tc>
      </w:tr>
      <w:tr w:rsidR="00336309" w:rsidRPr="00373387" w14:paraId="41C6779C"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hideMark/>
          </w:tcPr>
          <w:p w14:paraId="7AB1B34D" w14:textId="2A8877C8" w:rsidR="00336309" w:rsidRPr="00373387" w:rsidRDefault="00336309" w:rsidP="00336309">
            <w:pPr>
              <w:pStyle w:val="NoSpacing"/>
              <w:ind w:left="270" w:hanging="270"/>
              <w:rPr>
                <w:sz w:val="20"/>
                <w:szCs w:val="20"/>
              </w:rPr>
            </w:pPr>
            <w:r w:rsidRPr="00373387">
              <w:rPr>
                <w:sz w:val="20"/>
                <w:szCs w:val="20"/>
              </w:rPr>
              <w:t>B:</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0E388CD5" w14:textId="77777777" w:rsidR="00336309" w:rsidRPr="00373387" w:rsidRDefault="00336309" w:rsidP="00200978">
            <w:pPr>
              <w:pStyle w:val="NoSpacing"/>
              <w:jc w:val="center"/>
              <w:rPr>
                <w:sz w:val="20"/>
                <w:szCs w:val="20"/>
              </w:rPr>
            </w:pPr>
            <w:r w:rsidRPr="00373387">
              <w:rPr>
                <w:sz w:val="20"/>
                <w:szCs w:val="20"/>
              </w:rPr>
              <w:t>$10</w:t>
            </w:r>
          </w:p>
        </w:tc>
        <w:tc>
          <w:tcPr>
            <w:tcW w:w="1099" w:type="pct"/>
            <w:vMerge w:val="restart"/>
            <w:tcBorders>
              <w:top w:val="single" w:sz="4" w:space="0" w:color="auto"/>
              <w:left w:val="single" w:sz="4" w:space="0" w:color="auto"/>
              <w:right w:val="single" w:sz="4" w:space="0" w:color="auto"/>
            </w:tcBorders>
            <w:vAlign w:val="center"/>
          </w:tcPr>
          <w:p w14:paraId="2A7F8499" w14:textId="77777777" w:rsidR="00336309" w:rsidRPr="00373387" w:rsidRDefault="00336309" w:rsidP="00200978">
            <w:pPr>
              <w:pStyle w:val="NoSpacing"/>
              <w:jc w:val="center"/>
              <w:rPr>
                <w:sz w:val="20"/>
                <w:szCs w:val="20"/>
              </w:rPr>
            </w:pPr>
            <w:r w:rsidRPr="00373387">
              <w:rPr>
                <w:sz w:val="20"/>
                <w:szCs w:val="20"/>
              </w:rPr>
              <w:t>$10 (no boost)</w:t>
            </w:r>
          </w:p>
        </w:tc>
        <w:tc>
          <w:tcPr>
            <w:tcW w:w="1100" w:type="pct"/>
            <w:tcBorders>
              <w:top w:val="single" w:sz="4" w:space="0" w:color="auto"/>
              <w:left w:val="single" w:sz="4" w:space="0" w:color="auto"/>
              <w:bottom w:val="single" w:sz="4" w:space="0" w:color="auto"/>
              <w:right w:val="single" w:sz="4" w:space="0" w:color="auto"/>
            </w:tcBorders>
            <w:vAlign w:val="center"/>
          </w:tcPr>
          <w:p w14:paraId="790EA46A" w14:textId="77777777" w:rsidR="00336309" w:rsidRPr="00373387" w:rsidRDefault="00336309" w:rsidP="00200978">
            <w:pPr>
              <w:pStyle w:val="NoSpacing"/>
              <w:jc w:val="center"/>
              <w:rPr>
                <w:sz w:val="20"/>
                <w:szCs w:val="20"/>
              </w:rPr>
            </w:pPr>
            <w:r w:rsidRPr="00373387">
              <w:rPr>
                <w:sz w:val="20"/>
                <w:szCs w:val="20"/>
              </w:rPr>
              <w:t>$10 (no boost)</w:t>
            </w:r>
          </w:p>
        </w:tc>
      </w:tr>
      <w:tr w:rsidR="00336309" w:rsidRPr="00373387" w14:paraId="212E6530"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B65F655"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21A7E9A1"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41BA9BA8"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2EF25187" w14:textId="77777777" w:rsidR="00336309" w:rsidRPr="00373387" w:rsidRDefault="00336309" w:rsidP="00200978">
            <w:pPr>
              <w:pStyle w:val="NoSpacing"/>
              <w:jc w:val="center"/>
              <w:rPr>
                <w:sz w:val="20"/>
                <w:szCs w:val="20"/>
              </w:rPr>
            </w:pPr>
            <w:r w:rsidRPr="00373387">
              <w:rPr>
                <w:sz w:val="20"/>
                <w:szCs w:val="20"/>
              </w:rPr>
              <w:t>$40 ($30 boost)</w:t>
            </w:r>
          </w:p>
        </w:tc>
      </w:tr>
      <w:tr w:rsidR="00336309" w:rsidRPr="00373387" w14:paraId="2143DC29"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F81F533"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07A8575C"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602C0FE1" w14:textId="77777777" w:rsidR="00336309" w:rsidRPr="00373387" w:rsidRDefault="00336309" w:rsidP="00200978">
            <w:pPr>
              <w:pStyle w:val="NoSpacing"/>
              <w:jc w:val="center"/>
              <w:rPr>
                <w:sz w:val="20"/>
                <w:szCs w:val="20"/>
              </w:rPr>
            </w:pPr>
            <w:r w:rsidRPr="00373387">
              <w:rPr>
                <w:sz w:val="20"/>
                <w:szCs w:val="20"/>
              </w:rPr>
              <w:t>$20 ($10 boost)</w:t>
            </w:r>
          </w:p>
        </w:tc>
        <w:tc>
          <w:tcPr>
            <w:tcW w:w="1100" w:type="pct"/>
            <w:tcBorders>
              <w:top w:val="single" w:sz="4" w:space="0" w:color="auto"/>
              <w:left w:val="single" w:sz="4" w:space="0" w:color="auto"/>
              <w:bottom w:val="single" w:sz="4" w:space="0" w:color="auto"/>
              <w:right w:val="single" w:sz="4" w:space="0" w:color="auto"/>
            </w:tcBorders>
            <w:vAlign w:val="center"/>
          </w:tcPr>
          <w:p w14:paraId="156A1211"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1811CFB5"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1C7756FE"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295105F2"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245DED2E"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260D680"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5A38A74"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tcPr>
          <w:p w14:paraId="61823683" w14:textId="40F4C8AA" w:rsidR="00336309" w:rsidRPr="00373387" w:rsidRDefault="00336309" w:rsidP="00336309">
            <w:pPr>
              <w:pStyle w:val="NoSpacing"/>
              <w:ind w:left="270" w:hanging="270"/>
              <w:rPr>
                <w:sz w:val="20"/>
                <w:szCs w:val="20"/>
              </w:rPr>
            </w:pPr>
            <w:r w:rsidRPr="00373387">
              <w:rPr>
                <w:sz w:val="20"/>
                <w:szCs w:val="20"/>
              </w:rPr>
              <w:t>C:</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5B723CCB" w14:textId="77777777" w:rsidR="00336309" w:rsidRPr="00373387" w:rsidRDefault="00336309" w:rsidP="00200978">
            <w:pPr>
              <w:pStyle w:val="NoSpacing"/>
              <w:jc w:val="center"/>
              <w:rPr>
                <w:sz w:val="20"/>
                <w:szCs w:val="20"/>
              </w:rPr>
            </w:pPr>
            <w:r w:rsidRPr="00373387">
              <w:rPr>
                <w:sz w:val="20"/>
                <w:szCs w:val="20"/>
              </w:rPr>
              <w:t>$20</w:t>
            </w:r>
          </w:p>
        </w:tc>
        <w:tc>
          <w:tcPr>
            <w:tcW w:w="1099" w:type="pct"/>
            <w:vMerge w:val="restart"/>
            <w:tcBorders>
              <w:top w:val="single" w:sz="4" w:space="0" w:color="auto"/>
              <w:left w:val="single" w:sz="4" w:space="0" w:color="auto"/>
              <w:right w:val="single" w:sz="4" w:space="0" w:color="auto"/>
            </w:tcBorders>
            <w:vAlign w:val="center"/>
          </w:tcPr>
          <w:p w14:paraId="48932597" w14:textId="77777777" w:rsidR="00336309" w:rsidRPr="00373387" w:rsidRDefault="00336309" w:rsidP="00200978">
            <w:pPr>
              <w:pStyle w:val="NoSpacing"/>
              <w:jc w:val="center"/>
              <w:rPr>
                <w:sz w:val="20"/>
                <w:szCs w:val="20"/>
              </w:rPr>
            </w:pPr>
            <w:r w:rsidRPr="00373387">
              <w:rPr>
                <w:sz w:val="20"/>
                <w:szCs w:val="20"/>
              </w:rPr>
              <w:t>$20 (no boost)</w:t>
            </w:r>
          </w:p>
        </w:tc>
        <w:tc>
          <w:tcPr>
            <w:tcW w:w="1100" w:type="pct"/>
            <w:tcBorders>
              <w:top w:val="single" w:sz="4" w:space="0" w:color="auto"/>
              <w:left w:val="single" w:sz="4" w:space="0" w:color="auto"/>
              <w:bottom w:val="single" w:sz="4" w:space="0" w:color="auto"/>
              <w:right w:val="single" w:sz="4" w:space="0" w:color="auto"/>
            </w:tcBorders>
            <w:vAlign w:val="center"/>
          </w:tcPr>
          <w:p w14:paraId="5015F6A2"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6009E726"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3F9A3C2"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1B0C0CC4"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38527307"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E139362"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C1B9054"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3597828"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5A635CBD"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30E9A011" w14:textId="77777777" w:rsidR="00336309" w:rsidRPr="00373387" w:rsidRDefault="00336309" w:rsidP="00200978">
            <w:pPr>
              <w:pStyle w:val="NoSpacing"/>
              <w:jc w:val="center"/>
              <w:rPr>
                <w:sz w:val="20"/>
                <w:szCs w:val="20"/>
              </w:rPr>
            </w:pPr>
            <w:r w:rsidRPr="00373387">
              <w:rPr>
                <w:sz w:val="20"/>
                <w:szCs w:val="20"/>
              </w:rPr>
              <w:t>$30 ($10 boost)</w:t>
            </w:r>
          </w:p>
        </w:tc>
        <w:tc>
          <w:tcPr>
            <w:tcW w:w="1100" w:type="pct"/>
            <w:tcBorders>
              <w:top w:val="single" w:sz="4" w:space="0" w:color="auto"/>
              <w:left w:val="single" w:sz="4" w:space="0" w:color="auto"/>
              <w:bottom w:val="single" w:sz="4" w:space="0" w:color="auto"/>
              <w:right w:val="single" w:sz="4" w:space="0" w:color="auto"/>
            </w:tcBorders>
            <w:vAlign w:val="center"/>
          </w:tcPr>
          <w:p w14:paraId="0DAE8B1D" w14:textId="77777777" w:rsidR="00336309" w:rsidRPr="00373387" w:rsidRDefault="00336309" w:rsidP="00200978">
            <w:pPr>
              <w:pStyle w:val="NoSpacing"/>
              <w:jc w:val="center"/>
              <w:rPr>
                <w:sz w:val="20"/>
                <w:szCs w:val="20"/>
              </w:rPr>
            </w:pPr>
            <w:r w:rsidRPr="00373387">
              <w:rPr>
                <w:sz w:val="20"/>
                <w:szCs w:val="20"/>
              </w:rPr>
              <w:t>$30 (no boost)</w:t>
            </w:r>
          </w:p>
        </w:tc>
      </w:tr>
      <w:tr w:rsidR="00336309" w:rsidRPr="00373387" w14:paraId="71672E05" w14:textId="77777777" w:rsidTr="00336309">
        <w:trPr>
          <w:cantSplit/>
          <w:tblHeader/>
        </w:trPr>
        <w:tc>
          <w:tcPr>
            <w:tcW w:w="1702"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78DA478A"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68F768EC"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7681263C"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53A4B957" w14:textId="77777777" w:rsidR="00336309" w:rsidRPr="00373387" w:rsidRDefault="00336309" w:rsidP="00200978">
            <w:pPr>
              <w:pStyle w:val="NoSpacing"/>
              <w:jc w:val="center"/>
              <w:rPr>
                <w:sz w:val="20"/>
                <w:szCs w:val="20"/>
              </w:rPr>
            </w:pPr>
            <w:r w:rsidRPr="00373387">
              <w:rPr>
                <w:sz w:val="20"/>
                <w:szCs w:val="20"/>
              </w:rPr>
              <w:t>$40 ($10 boost)</w:t>
            </w:r>
          </w:p>
        </w:tc>
      </w:tr>
      <w:tr w:rsidR="00B427AD" w:rsidRPr="00373387" w14:paraId="18E14B03"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1E5D79D8" w14:textId="77777777" w:rsidR="00B427AD" w:rsidRPr="00373387" w:rsidRDefault="00B427AD" w:rsidP="00336309">
            <w:pPr>
              <w:pStyle w:val="NoSpacing"/>
              <w:ind w:left="270" w:hanging="270"/>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0318090C" w14:textId="77777777" w:rsidR="00B427AD" w:rsidRPr="00373387" w:rsidRDefault="00B427AD" w:rsidP="00200978">
            <w:pPr>
              <w:pStyle w:val="NoSpacing"/>
              <w:jc w:val="center"/>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FBFF7" w14:textId="77777777" w:rsidR="00B427AD" w:rsidRPr="00373387" w:rsidRDefault="00B427AD"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43FD2" w14:textId="77777777" w:rsidR="00B427AD" w:rsidRPr="00373387" w:rsidRDefault="00B427AD" w:rsidP="00200978">
            <w:pPr>
              <w:pStyle w:val="NoSpacing"/>
              <w:jc w:val="center"/>
              <w:rPr>
                <w:sz w:val="20"/>
                <w:szCs w:val="20"/>
              </w:rPr>
            </w:pPr>
          </w:p>
        </w:tc>
      </w:tr>
      <w:tr w:rsidR="00B427AD" w:rsidRPr="00373387" w14:paraId="6191889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16075EFA" w14:textId="7CEFF4C5" w:rsidR="00B427AD" w:rsidRPr="00373387" w:rsidRDefault="00A67766" w:rsidP="00336309">
            <w:pPr>
              <w:pStyle w:val="NoSpacing"/>
              <w:ind w:left="270" w:hanging="270"/>
              <w:rPr>
                <w:sz w:val="20"/>
                <w:szCs w:val="20"/>
              </w:rPr>
            </w:pPr>
            <w:r w:rsidRPr="00373387">
              <w:rPr>
                <w:sz w:val="20"/>
                <w:szCs w:val="20"/>
              </w:rPr>
              <w:t xml:space="preserve">D: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3D348BB" w14:textId="77777777" w:rsidR="00B427AD" w:rsidRPr="00373387" w:rsidRDefault="00B427AD" w:rsidP="00200978">
            <w:pPr>
              <w:pStyle w:val="NoSpacing"/>
              <w:jc w:val="center"/>
              <w:rPr>
                <w:sz w:val="20"/>
                <w:szCs w:val="20"/>
              </w:rPr>
            </w:pPr>
            <w:r w:rsidRPr="00373387">
              <w:rPr>
                <w:sz w:val="20"/>
                <w:szCs w:val="20"/>
              </w:rPr>
              <w:t>$20</w:t>
            </w:r>
          </w:p>
        </w:tc>
        <w:tc>
          <w:tcPr>
            <w:tcW w:w="1099" w:type="pct"/>
            <w:tcBorders>
              <w:top w:val="single" w:sz="4" w:space="0" w:color="auto"/>
              <w:left w:val="single" w:sz="4" w:space="0" w:color="auto"/>
              <w:bottom w:val="single" w:sz="4" w:space="0" w:color="auto"/>
              <w:right w:val="single" w:sz="4" w:space="0" w:color="auto"/>
            </w:tcBorders>
            <w:vAlign w:val="center"/>
          </w:tcPr>
          <w:p w14:paraId="4B99F258" w14:textId="77777777" w:rsidR="00B427AD" w:rsidRPr="00373387" w:rsidRDefault="00B427AD" w:rsidP="00200978">
            <w:pPr>
              <w:pStyle w:val="NoSpacing"/>
              <w:jc w:val="center"/>
              <w:rPr>
                <w:sz w:val="20"/>
                <w:szCs w:val="20"/>
              </w:rPr>
            </w:pPr>
            <w:r w:rsidRPr="00373387">
              <w:rPr>
                <w:sz w:val="20"/>
                <w:szCs w:val="20"/>
              </w:rPr>
              <w:t>$30</w:t>
            </w:r>
          </w:p>
        </w:tc>
        <w:tc>
          <w:tcPr>
            <w:tcW w:w="1100" w:type="pct"/>
            <w:tcBorders>
              <w:top w:val="single" w:sz="4" w:space="0" w:color="auto"/>
              <w:left w:val="single" w:sz="4" w:space="0" w:color="auto"/>
              <w:bottom w:val="single" w:sz="4" w:space="0" w:color="auto"/>
              <w:right w:val="single" w:sz="4" w:space="0" w:color="auto"/>
            </w:tcBorders>
            <w:vAlign w:val="center"/>
          </w:tcPr>
          <w:p w14:paraId="6BF2ED96" w14:textId="77777777" w:rsidR="00B427AD" w:rsidRPr="00373387" w:rsidRDefault="00B427AD" w:rsidP="00200978">
            <w:pPr>
              <w:pStyle w:val="NoSpacing"/>
              <w:jc w:val="center"/>
              <w:rPr>
                <w:sz w:val="20"/>
                <w:szCs w:val="20"/>
              </w:rPr>
            </w:pPr>
            <w:r w:rsidRPr="00373387">
              <w:rPr>
                <w:sz w:val="20"/>
                <w:szCs w:val="20"/>
              </w:rPr>
              <w:t>$40</w:t>
            </w:r>
          </w:p>
        </w:tc>
      </w:tr>
      <w:tr w:rsidR="00A67766" w:rsidRPr="00373387" w14:paraId="116B64A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42B07A4A" w14:textId="495F4203" w:rsidR="00A67766" w:rsidRPr="00373387" w:rsidRDefault="00A67766" w:rsidP="00336309">
            <w:pPr>
              <w:pStyle w:val="NoSpacing"/>
              <w:ind w:left="270" w:hanging="270"/>
              <w:rPr>
                <w:sz w:val="20"/>
                <w:szCs w:val="20"/>
              </w:rPr>
            </w:pPr>
            <w:r w:rsidRPr="00373387">
              <w:rPr>
                <w:sz w:val="20"/>
                <w:szCs w:val="20"/>
              </w:rPr>
              <w:t xml:space="preserve">E: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07504400" w14:textId="053A3D50" w:rsidR="00A67766" w:rsidRPr="00373387" w:rsidRDefault="00A67766" w:rsidP="00200978">
            <w:pPr>
              <w:pStyle w:val="NoSpacing"/>
              <w:jc w:val="center"/>
              <w:rPr>
                <w:sz w:val="20"/>
                <w:szCs w:val="20"/>
              </w:rPr>
            </w:pPr>
            <w:r w:rsidRPr="00373387">
              <w:rPr>
                <w:sz w:val="20"/>
                <w:szCs w:val="20"/>
              </w:rPr>
              <w:t>$30</w:t>
            </w:r>
          </w:p>
        </w:tc>
        <w:tc>
          <w:tcPr>
            <w:tcW w:w="1099" w:type="pct"/>
            <w:tcBorders>
              <w:top w:val="single" w:sz="4" w:space="0" w:color="auto"/>
              <w:left w:val="single" w:sz="4" w:space="0" w:color="auto"/>
              <w:bottom w:val="single" w:sz="4" w:space="0" w:color="auto"/>
              <w:right w:val="single" w:sz="4" w:space="0" w:color="auto"/>
            </w:tcBorders>
            <w:vAlign w:val="center"/>
          </w:tcPr>
          <w:p w14:paraId="2D4D62AF" w14:textId="3867070A" w:rsidR="00A67766" w:rsidRPr="00373387" w:rsidRDefault="00A67766" w:rsidP="00200978">
            <w:pPr>
              <w:pStyle w:val="NoSpacing"/>
              <w:jc w:val="center"/>
              <w:rPr>
                <w:sz w:val="20"/>
                <w:szCs w:val="20"/>
              </w:rPr>
            </w:pPr>
            <w:r w:rsidRPr="00373387">
              <w:rPr>
                <w:sz w:val="20"/>
                <w:szCs w:val="20"/>
              </w:rPr>
              <w:t>$40</w:t>
            </w:r>
          </w:p>
        </w:tc>
        <w:tc>
          <w:tcPr>
            <w:tcW w:w="1100" w:type="pct"/>
            <w:tcBorders>
              <w:top w:val="single" w:sz="4" w:space="0" w:color="auto"/>
              <w:left w:val="single" w:sz="4" w:space="0" w:color="auto"/>
              <w:bottom w:val="single" w:sz="4" w:space="0" w:color="auto"/>
              <w:right w:val="single" w:sz="4" w:space="0" w:color="auto"/>
            </w:tcBorders>
            <w:vAlign w:val="center"/>
          </w:tcPr>
          <w:p w14:paraId="0CCF8D46" w14:textId="23611EB5" w:rsidR="00A67766" w:rsidRPr="00373387" w:rsidRDefault="00A67766" w:rsidP="00200978">
            <w:pPr>
              <w:pStyle w:val="NoSpacing"/>
              <w:jc w:val="center"/>
              <w:rPr>
                <w:sz w:val="20"/>
                <w:szCs w:val="20"/>
              </w:rPr>
            </w:pPr>
            <w:r w:rsidRPr="00373387">
              <w:rPr>
                <w:sz w:val="20"/>
                <w:szCs w:val="20"/>
              </w:rPr>
              <w:t>$50</w:t>
            </w:r>
          </w:p>
        </w:tc>
      </w:tr>
    </w:tbl>
    <w:p w14:paraId="2732788E" w14:textId="77777777" w:rsidR="00B427AD" w:rsidRPr="00D66173" w:rsidRDefault="00B427AD" w:rsidP="00B427AD">
      <w:pPr>
        <w:spacing w:after="0"/>
        <w:rPr>
          <w:rFonts w:ascii="Cambria" w:hAnsi="Cambria"/>
          <w:sz w:val="10"/>
          <w:szCs w:val="10"/>
        </w:rPr>
      </w:pPr>
    </w:p>
    <w:p w14:paraId="4A84FF99" w14:textId="7FE5ABDE" w:rsidR="00B34238" w:rsidRPr="00A04162" w:rsidRDefault="00B34238" w:rsidP="00090CDF">
      <w:pPr>
        <w:widowControl w:val="0"/>
        <w:spacing w:after="120" w:line="240" w:lineRule="auto"/>
        <w:rPr>
          <w:rFonts w:ascii="Cambria" w:hAnsi="Cambria"/>
        </w:rPr>
      </w:pPr>
      <w:r w:rsidRPr="00EA62E9">
        <w:rPr>
          <w:rFonts w:ascii="Cambria" w:hAnsi="Cambria"/>
          <w:u w:val="single"/>
        </w:rPr>
        <w:t>Main Study:</w:t>
      </w:r>
      <w:r w:rsidRPr="00A04162">
        <w:rPr>
          <w:rFonts w:ascii="Cambria" w:hAnsi="Cambria"/>
        </w:rPr>
        <w:t xml:space="preserve"> The outcome of the OFT parent incentive experiment will determine the starting </w:t>
      </w:r>
      <w:r w:rsidR="00BA7FDF">
        <w:rPr>
          <w:rFonts w:ascii="Cambria" w:hAnsi="Cambria"/>
        </w:rPr>
        <w:t xml:space="preserve">and </w:t>
      </w:r>
      <w:r w:rsidR="00117877">
        <w:rPr>
          <w:rFonts w:ascii="Cambria" w:hAnsi="Cambria"/>
        </w:rPr>
        <w:t>highest</w:t>
      </w:r>
      <w:r w:rsidR="00BA7FDF">
        <w:rPr>
          <w:rFonts w:ascii="Cambria" w:hAnsi="Cambria"/>
        </w:rPr>
        <w:t xml:space="preserve"> </w:t>
      </w:r>
      <w:r w:rsidRPr="00A04162">
        <w:rPr>
          <w:rFonts w:ascii="Cambria" w:hAnsi="Cambria"/>
        </w:rPr>
        <w:t>incentive value</w:t>
      </w:r>
      <w:r w:rsidR="00BA7FDF">
        <w:rPr>
          <w:rFonts w:ascii="Cambria" w:hAnsi="Cambria"/>
        </w:rPr>
        <w:t>s</w:t>
      </w:r>
      <w:r w:rsidRPr="00A04162">
        <w:rPr>
          <w:rFonts w:ascii="Cambria" w:hAnsi="Cambria"/>
        </w:rPr>
        <w:t xml:space="preserve"> for parents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tudy.</w:t>
      </w:r>
      <w:r w:rsidR="00F16733">
        <w:rPr>
          <w:rFonts w:ascii="Cambria" w:hAnsi="Cambria"/>
        </w:rPr>
        <w:t xml:space="preserve"> </w:t>
      </w:r>
      <w:r w:rsidRPr="00A04162">
        <w:rPr>
          <w:rFonts w:ascii="Cambria" w:hAnsi="Cambria"/>
        </w:rPr>
        <w:t>We will develop a responsive design model to select targeted nonresponding cases for additional intervention to minimize bias in the final participating sample.</w:t>
      </w:r>
      <w:r w:rsidR="00F16733">
        <w:rPr>
          <w:rFonts w:ascii="Cambria" w:hAnsi="Cambria"/>
        </w:rPr>
        <w:t xml:space="preserve"> </w:t>
      </w:r>
      <w:r w:rsidRPr="00A04162">
        <w:rPr>
          <w:rFonts w:ascii="Cambria" w:hAnsi="Cambria"/>
        </w:rPr>
        <w:t xml:space="preserve">The responsive design model will be presented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 xml:space="preserve">tudy data collection package to be submitted to OMB in </w:t>
      </w:r>
      <w:r w:rsidR="00200978">
        <w:rPr>
          <w:rFonts w:ascii="Cambria" w:hAnsi="Cambria"/>
        </w:rPr>
        <w:t>summer</w:t>
      </w:r>
      <w:r w:rsidRPr="00A04162">
        <w:rPr>
          <w:rFonts w:ascii="Cambria" w:hAnsi="Cambria"/>
        </w:rPr>
        <w:t xml:space="preserve"> 2017.</w:t>
      </w:r>
    </w:p>
    <w:p w14:paraId="564795AF" w14:textId="77777777" w:rsidR="00B427AD" w:rsidRPr="00BA441F" w:rsidRDefault="00B427AD" w:rsidP="00B427AD">
      <w:pPr>
        <w:spacing w:after="120" w:line="23" w:lineRule="atLeast"/>
        <w:rPr>
          <w:rFonts w:ascii="Cambria" w:hAnsi="Cambria"/>
          <w:b/>
          <w:i/>
        </w:rPr>
      </w:pPr>
      <w:r w:rsidRPr="00BA441F">
        <w:rPr>
          <w:rFonts w:ascii="Cambria" w:hAnsi="Cambria"/>
          <w:b/>
          <w:i/>
        </w:rPr>
        <w:t>Teachers</w:t>
      </w:r>
    </w:p>
    <w:p w14:paraId="58EB131C" w14:textId="4383B78B" w:rsidR="00651C99" w:rsidRDefault="00EA62E9" w:rsidP="00DA0B10">
      <w:pPr>
        <w:pStyle w:val="L1-FlLSp12"/>
        <w:spacing w:after="120" w:line="240" w:lineRule="auto"/>
        <w:rPr>
          <w:rFonts w:ascii="Cambria" w:hAnsi="Cambria"/>
          <w:sz w:val="22"/>
          <w:szCs w:val="22"/>
        </w:rPr>
      </w:pPr>
      <w:r w:rsidRPr="00891D24">
        <w:rPr>
          <w:rFonts w:ascii="Cambria" w:hAnsi="Cambria"/>
          <w:u w:val="single"/>
        </w:rPr>
        <w:t>Operational Field Test (OFT)</w:t>
      </w:r>
      <w:r>
        <w:rPr>
          <w:rFonts w:ascii="Cambria" w:hAnsi="Cambria"/>
          <w:u w:val="single"/>
        </w:rPr>
        <w:t xml:space="preserve"> and Main Study</w:t>
      </w:r>
      <w:r w:rsidRPr="00EA62E9">
        <w:rPr>
          <w:rFonts w:ascii="Cambria" w:hAnsi="Cambria"/>
          <w:u w:val="single"/>
        </w:rPr>
        <w:t>:</w:t>
      </w:r>
      <w:r w:rsidRPr="00DC39A3">
        <w:rPr>
          <w:rFonts w:ascii="Cambria" w:hAnsi="Cambria"/>
        </w:rPr>
        <w:t xml:space="preserve"> </w:t>
      </w:r>
      <w:r w:rsidR="00B427AD" w:rsidRPr="00BA441F">
        <w:rPr>
          <w:rFonts w:ascii="Cambria" w:hAnsi="Cambria"/>
          <w:sz w:val="22"/>
          <w:szCs w:val="22"/>
        </w:rPr>
        <w:t xml:space="preserve">The incentive proposed for students’ teachers is $20 per teacher survey, plus $7 per teacher student report (TSR). </w:t>
      </w:r>
      <w:r w:rsidR="00B34238" w:rsidRPr="00BA441F">
        <w:rPr>
          <w:rFonts w:ascii="Cambria" w:hAnsi="Cambria"/>
          <w:sz w:val="22"/>
          <w:szCs w:val="22"/>
        </w:rPr>
        <w:t xml:space="preserve">This incentive would be applied in both the OFT and </w:t>
      </w:r>
      <w:r w:rsidR="001A3A96" w:rsidRPr="00BA441F">
        <w:rPr>
          <w:rFonts w:ascii="Cambria" w:hAnsi="Cambria"/>
          <w:sz w:val="22"/>
          <w:szCs w:val="22"/>
        </w:rPr>
        <w:t>M</w:t>
      </w:r>
      <w:r w:rsidR="00B34238" w:rsidRPr="00BA441F">
        <w:rPr>
          <w:rFonts w:ascii="Cambria" w:hAnsi="Cambria"/>
          <w:sz w:val="22"/>
          <w:szCs w:val="22"/>
        </w:rPr>
        <w:t xml:space="preserve">ain </w:t>
      </w:r>
      <w:r w:rsidR="001A3A96" w:rsidRPr="00BA441F">
        <w:rPr>
          <w:rFonts w:ascii="Cambria" w:hAnsi="Cambria"/>
          <w:sz w:val="22"/>
          <w:szCs w:val="22"/>
        </w:rPr>
        <w:t>S</w:t>
      </w:r>
      <w:r w:rsidR="00B34238" w:rsidRPr="00BA441F">
        <w:rPr>
          <w:rFonts w:ascii="Cambria" w:hAnsi="Cambria"/>
          <w:sz w:val="22"/>
          <w:szCs w:val="22"/>
        </w:rPr>
        <w:t xml:space="preserve">tudy. </w:t>
      </w:r>
      <w:r w:rsidR="00B427AD" w:rsidRPr="00BA441F">
        <w:rPr>
          <w:rFonts w:ascii="Cambria" w:hAnsi="Cambria"/>
          <w:sz w:val="22"/>
          <w:szCs w:val="22"/>
        </w:rPr>
        <w:t xml:space="preserve">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r w:rsidR="007F5883">
        <w:rPr>
          <w:rFonts w:ascii="Cambria" w:hAnsi="Cambria"/>
          <w:sz w:val="22"/>
          <w:szCs w:val="22"/>
        </w:rPr>
        <w:t xml:space="preserve"> </w:t>
      </w:r>
      <w:r w:rsidR="00B340B5">
        <w:rPr>
          <w:rFonts w:ascii="Cambria" w:hAnsi="Cambria"/>
          <w:sz w:val="22"/>
          <w:szCs w:val="22"/>
        </w:rPr>
        <w:t>Teachers will not be asked to complete a survey in the OFT</w:t>
      </w:r>
      <w:r w:rsidR="0021128A">
        <w:rPr>
          <w:rFonts w:ascii="Cambria" w:hAnsi="Cambria"/>
          <w:sz w:val="22"/>
          <w:szCs w:val="22"/>
        </w:rPr>
        <w:t>2</w:t>
      </w:r>
      <w:r w:rsidR="00B340B5">
        <w:rPr>
          <w:rFonts w:ascii="Cambria" w:hAnsi="Cambria"/>
          <w:sz w:val="22"/>
          <w:szCs w:val="22"/>
        </w:rPr>
        <w:t>.</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466AB0DC" w14:textId="77777777" w:rsidR="005C2A08" w:rsidRDefault="005C2A08" w:rsidP="0092310C">
      <w:pPr>
        <w:widowControl w:val="0"/>
        <w:spacing w:after="120" w:line="23" w:lineRule="atLeast"/>
        <w:rPr>
          <w:rFonts w:ascii="Cambria" w:hAnsi="Cambria"/>
        </w:rPr>
      </w:pPr>
      <w:r>
        <w:rPr>
          <w:rFonts w:ascii="Cambria" w:hAnsi="Cambria"/>
          <w:u w:val="single"/>
        </w:rPr>
        <w:t>Operational Field Test (OFT):</w:t>
      </w:r>
      <w:r w:rsidRPr="005C2A08">
        <w:rPr>
          <w:rFonts w:ascii="Cambria" w:hAnsi="Cambria"/>
        </w:rPr>
        <w:t xml:space="preserve"> As part of the OFT schools recruitment</w:t>
      </w:r>
      <w:r>
        <w:rPr>
          <w:rFonts w:ascii="Cambria" w:hAnsi="Cambria"/>
        </w:rPr>
        <w:t xml:space="preserve">, we are conducting an incentive experiment. </w:t>
      </w:r>
      <w:r w:rsidRPr="00BA441F">
        <w:rPr>
          <w:rFonts w:ascii="Cambria" w:hAnsi="Cambria"/>
        </w:rPr>
        <w:t xml:space="preserve">Each school has been randomly assigned to one of the three experimental conditions. 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assessments; permission for students to leave their normal classes for the duration of the assessments; and information about the students’ teachers and parents. </w:t>
      </w:r>
      <w:r>
        <w:rPr>
          <w:rFonts w:ascii="Cambria" w:hAnsi="Cambria"/>
        </w:rPr>
        <w:t>S</w:t>
      </w:r>
      <w:r w:rsidRPr="00BA441F">
        <w:rPr>
          <w:rFonts w:ascii="Cambria" w:hAnsi="Cambria"/>
        </w:rPr>
        <w:t>ample students with disabilities</w:t>
      </w:r>
      <w:r>
        <w:rPr>
          <w:rFonts w:ascii="Cambria" w:hAnsi="Cambria"/>
        </w:rPr>
        <w:t xml:space="preserve"> may</w:t>
      </w:r>
      <w:r w:rsidRPr="00BA441F">
        <w:rPr>
          <w:rFonts w:ascii="Cambria" w:hAnsi="Cambria"/>
        </w:rPr>
        <w:t xml:space="preserve"> require accommodations and different assessment settings, such as individual administration and smaller group sessions</w:t>
      </w:r>
      <w:r>
        <w:rPr>
          <w:rFonts w:ascii="Cambria" w:hAnsi="Cambria"/>
        </w:rPr>
        <w:t xml:space="preserve">, which will add to the time the study spends in schools and perhaps </w:t>
      </w:r>
      <w:r>
        <w:rPr>
          <w:rFonts w:ascii="Cambria" w:hAnsi="Cambria"/>
        </w:rPr>
        <w:lastRenderedPageBreak/>
        <w:t>require additional assistance from school staff to assure that these students are accommodated appropriately</w:t>
      </w:r>
      <w:r w:rsidRPr="00BA441F">
        <w:rPr>
          <w:rFonts w:ascii="Cambria" w:hAnsi="Cambria"/>
        </w:rPr>
        <w:t>.</w:t>
      </w:r>
    </w:p>
    <w:p w14:paraId="060FD565" w14:textId="77777777" w:rsidR="005C2A08" w:rsidRPr="00BA441F" w:rsidRDefault="005C2A08" w:rsidP="005C2A08">
      <w:pPr>
        <w:widowControl w:val="0"/>
        <w:spacing w:after="120" w:line="23" w:lineRule="atLeast"/>
        <w:rPr>
          <w:rFonts w:ascii="Cambria" w:hAnsi="Cambria"/>
        </w:rPr>
      </w:pPr>
      <w:r w:rsidRPr="00BA441F">
        <w:rPr>
          <w:rFonts w:ascii="Cambria" w:hAnsi="Cambria"/>
        </w:rPr>
        <w:t xml:space="preserve">One of the key questions for the OFT is to determine whether sufficient numbers of students in the focal disability groups can be selected for the study. Gaining cooperation from schools that have more students in those disability groups will be important for the success of MGLS:2017. Therefore, the school sample of 103 schools will be classified by the number of students within the school in the focal disability groups (autism; </w:t>
      </w:r>
      <w:r>
        <w:rPr>
          <w:rFonts w:ascii="Cambria" w:hAnsi="Cambria"/>
        </w:rPr>
        <w:t>emotional disturbance</w:t>
      </w:r>
      <w:r w:rsidRPr="00BA441F">
        <w:rPr>
          <w:rFonts w:ascii="Cambria" w:hAnsi="Cambria"/>
        </w:rPr>
        <w:t xml:space="preserve">; and </w:t>
      </w:r>
      <w:r>
        <w:rPr>
          <w:rFonts w:ascii="Cambria" w:hAnsi="Cambria"/>
        </w:rPr>
        <w:t>specific learning disability</w:t>
      </w:r>
      <w:r w:rsidRPr="00BA441F">
        <w:rPr>
          <w:rFonts w:ascii="Cambria" w:hAnsi="Cambria"/>
        </w:rPr>
        <w:t xml:space="preserve">): (1) “higher”– schools with 17 or more sixth-grade [or age-based equivalent] students </w:t>
      </w:r>
      <w:r>
        <w:rPr>
          <w:rFonts w:ascii="Cambria" w:hAnsi="Cambria"/>
        </w:rPr>
        <w:t xml:space="preserve">in these three groups </w:t>
      </w:r>
      <w:r w:rsidRPr="00BA441F">
        <w:rPr>
          <w:rFonts w:ascii="Cambria" w:hAnsi="Cambria"/>
        </w:rPr>
        <w:t>versus (2) “lower”–schools with fewer than 17 sixth-grade [or age-based equivalent] students</w:t>
      </w:r>
      <w:r>
        <w:rPr>
          <w:rFonts w:ascii="Cambria" w:hAnsi="Cambria"/>
        </w:rPr>
        <w:t xml:space="preserve"> in these three groups</w:t>
      </w:r>
      <w:r w:rsidRPr="00BA441F">
        <w:rPr>
          <w:rFonts w:ascii="Cambria" w:hAnsi="Cambria"/>
        </w:rPr>
        <w:t>. The sample</w:t>
      </w:r>
      <w:r>
        <w:rPr>
          <w:rFonts w:ascii="Cambria" w:hAnsi="Cambria"/>
        </w:rPr>
        <w:t xml:space="preserve"> design</w:t>
      </w:r>
      <w:r w:rsidRPr="00BA441F">
        <w:rPr>
          <w:rFonts w:ascii="Cambria" w:hAnsi="Cambria"/>
        </w:rPr>
        <w:t xml:space="preserve"> assumes a </w:t>
      </w:r>
      <w:r>
        <w:rPr>
          <w:rFonts w:ascii="Cambria" w:hAnsi="Cambria"/>
        </w:rPr>
        <w:t>3</w:t>
      </w:r>
      <w:r w:rsidRPr="00BA441F">
        <w:rPr>
          <w:rFonts w:ascii="Cambria" w:hAnsi="Cambria"/>
        </w:rPr>
        <w:t xml:space="preserve"> percent school ineligibility rate, which would be determined if a sampled school has closed or does not contain students in grade 6.</w:t>
      </w:r>
    </w:p>
    <w:p w14:paraId="287A45A1" w14:textId="77777777" w:rsidR="005C2A08" w:rsidRPr="00BA441F" w:rsidRDefault="005C2A08" w:rsidP="005C2A08">
      <w:pPr>
        <w:spacing w:after="120" w:line="23" w:lineRule="atLeast"/>
        <w:rPr>
          <w:rFonts w:ascii="Cambria" w:hAnsi="Cambria"/>
        </w:rPr>
      </w:pPr>
      <w:r w:rsidRPr="00BA441F">
        <w:rPr>
          <w:rFonts w:ascii="Cambria" w:hAnsi="Cambria"/>
        </w:rPr>
        <w:t xml:space="preserve">Within the two school types (schools with “higher” or “lower” counts of students in the </w:t>
      </w:r>
      <w:r>
        <w:rPr>
          <w:rFonts w:ascii="Cambria" w:hAnsi="Cambria"/>
        </w:rPr>
        <w:t xml:space="preserve">three </w:t>
      </w:r>
      <w:r w:rsidRPr="00BA441F">
        <w:rPr>
          <w:rFonts w:ascii="Cambria" w:hAnsi="Cambria"/>
        </w:rPr>
        <w:t>disability groups), each school will be randomly assigned to one of three experimental conditions. In Condition 1, the baseline condition, we will offer one third of the sample schools a $200 incentive for participation. This amount is consistent with the amount offered for participation in other NCES studies, such as the ECLS-K, ECLS-K:2011, TIMSS, and the Program for International Student Assessment (PISA). However, based on previous difficulties in recruiting schools for the originally approved MGLS:2017 field test recruitment (to have been conducted in 2015), and the general decline in school participation in NCES longitudinal studies over the years,</w:t>
      </w:r>
      <w:r w:rsidRPr="00BA441F">
        <w:rPr>
          <w:rFonts w:ascii="Cambria" w:hAnsi="Cambria"/>
          <w:vertAlign w:val="superscript"/>
        </w:rPr>
        <w:footnoteReference w:id="4"/>
      </w:r>
      <w:r w:rsidRPr="00BA441F">
        <w:rPr>
          <w:rFonts w:ascii="Cambria" w:hAnsi="Cambria"/>
          <w:vertAlign w:val="superscript"/>
        </w:rPr>
        <w:t xml:space="preserve"> </w:t>
      </w:r>
      <w:r w:rsidRPr="00BA441F">
        <w:rPr>
          <w:rFonts w:ascii="Cambria" w:hAnsi="Cambria"/>
        </w:rPr>
        <w:t xml:space="preserve">we will test offering one third of the sample schools $400 (Condition 2), and one third of schools a choice of one of seven non-monetary incentives equivalent to $400 (Condition 3). The list of the non-monetary incentive choices is provided in </w:t>
      </w:r>
      <w:r>
        <w:rPr>
          <w:rFonts w:ascii="Cambria" w:hAnsi="Cambria"/>
        </w:rPr>
        <w:t>t</w:t>
      </w:r>
      <w:r w:rsidRPr="00BA441F">
        <w:rPr>
          <w:rFonts w:ascii="Cambria" w:hAnsi="Cambria"/>
        </w:rPr>
        <w:t>able 4.</w:t>
      </w:r>
    </w:p>
    <w:p w14:paraId="75CE0555" w14:textId="77777777" w:rsidR="005C2A08" w:rsidRPr="00BA441F" w:rsidRDefault="005C2A08" w:rsidP="005C2A08">
      <w:pPr>
        <w:spacing w:after="120" w:line="240" w:lineRule="auto"/>
        <w:rPr>
          <w:rFonts w:ascii="Cambria" w:hAnsi="Cambria"/>
        </w:rPr>
      </w:pPr>
      <w:r w:rsidRPr="00BA441F">
        <w:rPr>
          <w:rFonts w:ascii="Cambria" w:hAnsi="Cambria"/>
        </w:rPr>
        <w:t xml:space="preserve">The school incentive experiment, with the same three experimental conditions [(1) $200 or (2) $400 or (3) non-monetary incentive equivalent to $400], was also used during the MGLS:2017 IVFT, which was conducted in January through </w:t>
      </w:r>
      <w:r>
        <w:rPr>
          <w:rFonts w:ascii="Cambria" w:hAnsi="Cambria"/>
        </w:rPr>
        <w:t>May</w:t>
      </w:r>
      <w:r w:rsidRPr="00BA441F">
        <w:rPr>
          <w:rFonts w:ascii="Cambria" w:hAnsi="Cambria"/>
        </w:rPr>
        <w:t xml:space="preserve"> 2016. The IVFT has a larger sample (250 schools) and does not subdivide the schools by number of students in disability groups of interest.</w:t>
      </w:r>
    </w:p>
    <w:p w14:paraId="7BAF7188" w14:textId="77777777" w:rsidR="005C2A08" w:rsidRPr="0001752B" w:rsidRDefault="005C2A08" w:rsidP="005C2A08">
      <w:pPr>
        <w:widowControl w:val="0"/>
        <w:spacing w:before="240" w:after="60" w:line="240" w:lineRule="auto"/>
        <w:rPr>
          <w:rFonts w:ascii="Cambria" w:hAnsi="Cambria"/>
          <w:b/>
        </w:rPr>
      </w:pPr>
      <w:r w:rsidRPr="0001752B">
        <w:rPr>
          <w:rFonts w:ascii="Cambria" w:hAnsi="Cambria"/>
          <w:b/>
        </w:rPr>
        <w:t>Table 4.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7"/>
        <w:gridCol w:w="1828"/>
      </w:tblGrid>
      <w:tr w:rsidR="005C2A08" w:rsidRPr="002038B4" w14:paraId="72E6C068" w14:textId="77777777" w:rsidTr="005C2A08">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14A35EBA" w14:textId="77777777" w:rsidR="005C2A08" w:rsidRPr="002038B4" w:rsidRDefault="005C2A08" w:rsidP="005C2A08">
            <w:pPr>
              <w:pStyle w:val="NoSpacing"/>
              <w:rPr>
                <w:b/>
                <w:sz w:val="20"/>
                <w:szCs w:val="20"/>
              </w:rPr>
            </w:pPr>
            <w:r w:rsidRPr="002038B4">
              <w:rPr>
                <w:b/>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5A75C3D6" w14:textId="77777777" w:rsidR="005C2A08" w:rsidRPr="002038B4" w:rsidRDefault="005C2A08" w:rsidP="005C2A08">
            <w:pPr>
              <w:pStyle w:val="NoSpacing"/>
              <w:jc w:val="center"/>
              <w:rPr>
                <w:b/>
                <w:sz w:val="20"/>
                <w:szCs w:val="20"/>
              </w:rPr>
            </w:pPr>
            <w:r w:rsidRPr="002038B4">
              <w:rPr>
                <w:b/>
                <w:sz w:val="20"/>
                <w:szCs w:val="20"/>
              </w:rPr>
              <w:t>Value</w:t>
            </w:r>
          </w:p>
        </w:tc>
      </w:tr>
      <w:tr w:rsidR="005C2A08" w:rsidRPr="002038B4" w14:paraId="59E03A80" w14:textId="77777777" w:rsidTr="005C2A08">
        <w:trPr>
          <w:cantSplit/>
          <w:tblHeader/>
        </w:trPr>
        <w:tc>
          <w:tcPr>
            <w:tcW w:w="4134" w:type="pct"/>
            <w:tcMar>
              <w:top w:w="14" w:type="dxa"/>
              <w:left w:w="29" w:type="dxa"/>
              <w:bottom w:w="14" w:type="dxa"/>
              <w:right w:w="14" w:type="dxa"/>
            </w:tcMar>
            <w:vAlign w:val="center"/>
            <w:hideMark/>
          </w:tcPr>
          <w:p w14:paraId="1970438E" w14:textId="77777777" w:rsidR="005C2A08" w:rsidRPr="002038B4" w:rsidRDefault="005C2A08" w:rsidP="005C2A08">
            <w:pPr>
              <w:pStyle w:val="NoSpacing"/>
              <w:rPr>
                <w:sz w:val="20"/>
                <w:szCs w:val="20"/>
              </w:rPr>
            </w:pPr>
            <w:r w:rsidRPr="002038B4">
              <w:rPr>
                <w:sz w:val="20"/>
                <w:szCs w:val="20"/>
              </w:rPr>
              <w:t xml:space="preserve">Registration for Association for Middle Level Education (AMLE) </w:t>
            </w:r>
            <w:r w:rsidRPr="002038B4">
              <w:rPr>
                <w:sz w:val="20"/>
                <w:szCs w:val="20"/>
                <w:u w:val="single"/>
              </w:rPr>
              <w:t>or</w:t>
            </w:r>
            <w:r w:rsidRPr="002038B4">
              <w:rPr>
                <w:sz w:val="20"/>
                <w:szCs w:val="20"/>
              </w:rPr>
              <w:t xml:space="preserve"> Regional Annual Meeting</w:t>
            </w:r>
          </w:p>
        </w:tc>
        <w:tc>
          <w:tcPr>
            <w:tcW w:w="866" w:type="pct"/>
            <w:tcMar>
              <w:top w:w="14" w:type="dxa"/>
              <w:left w:w="29" w:type="dxa"/>
              <w:bottom w:w="14" w:type="dxa"/>
              <w:right w:w="14" w:type="dxa"/>
            </w:tcMar>
            <w:vAlign w:val="center"/>
            <w:hideMark/>
          </w:tcPr>
          <w:p w14:paraId="02DC561D" w14:textId="77777777" w:rsidR="005C2A08" w:rsidRPr="002038B4" w:rsidRDefault="005C2A08" w:rsidP="005C2A08">
            <w:pPr>
              <w:pStyle w:val="NoSpacing"/>
              <w:jc w:val="center"/>
              <w:rPr>
                <w:sz w:val="20"/>
                <w:szCs w:val="20"/>
              </w:rPr>
            </w:pPr>
            <w:r w:rsidRPr="002038B4">
              <w:rPr>
                <w:sz w:val="20"/>
                <w:szCs w:val="20"/>
              </w:rPr>
              <w:t>$400</w:t>
            </w:r>
          </w:p>
        </w:tc>
      </w:tr>
      <w:tr w:rsidR="005C2A08" w:rsidRPr="002038B4" w14:paraId="4E97A3FC" w14:textId="77777777" w:rsidTr="005C2A08">
        <w:trPr>
          <w:cantSplit/>
          <w:tblHeader/>
        </w:trPr>
        <w:tc>
          <w:tcPr>
            <w:tcW w:w="4134" w:type="pct"/>
            <w:tcMar>
              <w:top w:w="14" w:type="dxa"/>
              <w:left w:w="29" w:type="dxa"/>
              <w:bottom w:w="14" w:type="dxa"/>
              <w:right w:w="14" w:type="dxa"/>
            </w:tcMar>
            <w:vAlign w:val="center"/>
            <w:hideMark/>
          </w:tcPr>
          <w:p w14:paraId="0A31218A" w14:textId="77777777" w:rsidR="005C2A08" w:rsidRPr="002038B4" w:rsidRDefault="005C2A08" w:rsidP="005C2A08">
            <w:pPr>
              <w:pStyle w:val="NoSpacing"/>
              <w:rPr>
                <w:sz w:val="20"/>
                <w:szCs w:val="20"/>
              </w:rPr>
            </w:pPr>
            <w:r w:rsidRPr="002038B4">
              <w:rPr>
                <w:sz w:val="20"/>
                <w:szCs w:val="20"/>
              </w:rPr>
              <w:t>Two-Year School Membership in AMLE</w:t>
            </w:r>
          </w:p>
        </w:tc>
        <w:tc>
          <w:tcPr>
            <w:tcW w:w="866" w:type="pct"/>
            <w:tcMar>
              <w:top w:w="14" w:type="dxa"/>
              <w:left w:w="29" w:type="dxa"/>
              <w:bottom w:w="14" w:type="dxa"/>
              <w:right w:w="14" w:type="dxa"/>
            </w:tcMar>
            <w:vAlign w:val="center"/>
            <w:hideMark/>
          </w:tcPr>
          <w:p w14:paraId="19E057DE" w14:textId="77777777" w:rsidR="005C2A08" w:rsidRPr="002038B4" w:rsidRDefault="005C2A08" w:rsidP="005C2A08">
            <w:pPr>
              <w:pStyle w:val="NoSpacing"/>
              <w:jc w:val="center"/>
              <w:rPr>
                <w:sz w:val="20"/>
                <w:szCs w:val="20"/>
              </w:rPr>
            </w:pPr>
            <w:r w:rsidRPr="002038B4">
              <w:rPr>
                <w:sz w:val="20"/>
                <w:szCs w:val="20"/>
              </w:rPr>
              <w:t>$400</w:t>
            </w:r>
          </w:p>
        </w:tc>
      </w:tr>
      <w:tr w:rsidR="005C2A08" w:rsidRPr="002038B4" w14:paraId="738698D8" w14:textId="77777777" w:rsidTr="005C2A08">
        <w:trPr>
          <w:cantSplit/>
          <w:tblHeader/>
        </w:trPr>
        <w:tc>
          <w:tcPr>
            <w:tcW w:w="4134" w:type="pct"/>
            <w:tcMar>
              <w:top w:w="14" w:type="dxa"/>
              <w:left w:w="29" w:type="dxa"/>
              <w:bottom w:w="14" w:type="dxa"/>
              <w:right w:w="14" w:type="dxa"/>
            </w:tcMar>
            <w:vAlign w:val="center"/>
            <w:hideMark/>
          </w:tcPr>
          <w:p w14:paraId="2A7AC733" w14:textId="77777777" w:rsidR="005C2A08" w:rsidRPr="002038B4" w:rsidRDefault="005C2A08" w:rsidP="005C2A08">
            <w:pPr>
              <w:pStyle w:val="NoSpacing"/>
              <w:rPr>
                <w:sz w:val="20"/>
                <w:szCs w:val="20"/>
              </w:rPr>
            </w:pPr>
            <w:r w:rsidRPr="002038B4">
              <w:rPr>
                <w:sz w:val="20"/>
                <w:szCs w:val="20"/>
              </w:rPr>
              <w:t>Membership in Regional ML Organization plus Subscriptions to Professional Journals</w:t>
            </w:r>
          </w:p>
        </w:tc>
        <w:tc>
          <w:tcPr>
            <w:tcW w:w="866" w:type="pct"/>
            <w:tcMar>
              <w:top w:w="14" w:type="dxa"/>
              <w:left w:w="29" w:type="dxa"/>
              <w:bottom w:w="14" w:type="dxa"/>
              <w:right w:w="14" w:type="dxa"/>
            </w:tcMar>
            <w:vAlign w:val="center"/>
            <w:hideMark/>
          </w:tcPr>
          <w:p w14:paraId="4338C266" w14:textId="77777777" w:rsidR="005C2A08" w:rsidRPr="002038B4" w:rsidRDefault="005C2A08" w:rsidP="005C2A08">
            <w:pPr>
              <w:pStyle w:val="NoSpacing"/>
              <w:jc w:val="center"/>
              <w:rPr>
                <w:sz w:val="20"/>
                <w:szCs w:val="20"/>
              </w:rPr>
            </w:pPr>
            <w:r w:rsidRPr="002038B4">
              <w:rPr>
                <w:sz w:val="20"/>
                <w:szCs w:val="20"/>
              </w:rPr>
              <w:t>$400</w:t>
            </w:r>
          </w:p>
        </w:tc>
      </w:tr>
      <w:tr w:rsidR="005C2A08" w:rsidRPr="002038B4" w14:paraId="1D074920" w14:textId="77777777" w:rsidTr="005C2A08">
        <w:trPr>
          <w:cantSplit/>
          <w:tblHeader/>
        </w:trPr>
        <w:tc>
          <w:tcPr>
            <w:tcW w:w="4134" w:type="pct"/>
            <w:tcMar>
              <w:top w:w="14" w:type="dxa"/>
              <w:left w:w="29" w:type="dxa"/>
              <w:bottom w:w="14" w:type="dxa"/>
              <w:right w:w="14" w:type="dxa"/>
            </w:tcMar>
            <w:vAlign w:val="center"/>
            <w:hideMark/>
          </w:tcPr>
          <w:p w14:paraId="0DA295DA" w14:textId="77777777" w:rsidR="005C2A08" w:rsidRPr="002038B4" w:rsidRDefault="005C2A08" w:rsidP="005C2A08">
            <w:pPr>
              <w:pStyle w:val="NoSpacing"/>
              <w:rPr>
                <w:sz w:val="20"/>
                <w:szCs w:val="20"/>
              </w:rPr>
            </w:pPr>
            <w:r w:rsidRPr="002038B4">
              <w:rPr>
                <w:sz w:val="20"/>
                <w:szCs w:val="20"/>
              </w:rPr>
              <w:t>Professional Development Webinar</w:t>
            </w:r>
          </w:p>
        </w:tc>
        <w:tc>
          <w:tcPr>
            <w:tcW w:w="866" w:type="pct"/>
            <w:tcMar>
              <w:top w:w="14" w:type="dxa"/>
              <w:left w:w="29" w:type="dxa"/>
              <w:bottom w:w="14" w:type="dxa"/>
              <w:right w:w="14" w:type="dxa"/>
            </w:tcMar>
            <w:vAlign w:val="center"/>
            <w:hideMark/>
          </w:tcPr>
          <w:p w14:paraId="315B7794" w14:textId="77777777" w:rsidR="005C2A08" w:rsidRPr="002038B4" w:rsidRDefault="005C2A08" w:rsidP="005C2A08">
            <w:pPr>
              <w:pStyle w:val="NoSpacing"/>
              <w:jc w:val="center"/>
              <w:rPr>
                <w:sz w:val="20"/>
                <w:szCs w:val="20"/>
              </w:rPr>
            </w:pPr>
            <w:r w:rsidRPr="002038B4">
              <w:rPr>
                <w:sz w:val="20"/>
                <w:szCs w:val="20"/>
              </w:rPr>
              <w:t>$400</w:t>
            </w:r>
          </w:p>
        </w:tc>
      </w:tr>
      <w:tr w:rsidR="005C2A08" w:rsidRPr="002038B4" w14:paraId="5C0AE244" w14:textId="77777777" w:rsidTr="005C2A08">
        <w:trPr>
          <w:cantSplit/>
          <w:tblHeader/>
        </w:trPr>
        <w:tc>
          <w:tcPr>
            <w:tcW w:w="4134" w:type="pct"/>
            <w:tcMar>
              <w:top w:w="14" w:type="dxa"/>
              <w:left w:w="29" w:type="dxa"/>
              <w:bottom w:w="14" w:type="dxa"/>
              <w:right w:w="14" w:type="dxa"/>
            </w:tcMar>
            <w:vAlign w:val="center"/>
          </w:tcPr>
          <w:p w14:paraId="3B8D1ABB" w14:textId="77777777" w:rsidR="005C2A08" w:rsidRPr="002038B4" w:rsidRDefault="005C2A08" w:rsidP="005C2A08">
            <w:pPr>
              <w:pStyle w:val="NoSpacing"/>
              <w:rPr>
                <w:sz w:val="20"/>
                <w:szCs w:val="20"/>
              </w:rPr>
            </w:pPr>
            <w:r w:rsidRPr="002038B4">
              <w:rPr>
                <w:sz w:val="20"/>
                <w:szCs w:val="20"/>
              </w:rPr>
              <w:t xml:space="preserve">School Supplies </w:t>
            </w:r>
          </w:p>
        </w:tc>
        <w:tc>
          <w:tcPr>
            <w:tcW w:w="866" w:type="pct"/>
            <w:tcMar>
              <w:top w:w="14" w:type="dxa"/>
              <w:left w:w="29" w:type="dxa"/>
              <w:bottom w:w="14" w:type="dxa"/>
              <w:right w:w="14" w:type="dxa"/>
            </w:tcMar>
            <w:vAlign w:val="center"/>
          </w:tcPr>
          <w:p w14:paraId="2F474410" w14:textId="77777777" w:rsidR="005C2A08" w:rsidRPr="002038B4" w:rsidRDefault="005C2A08" w:rsidP="005C2A08">
            <w:pPr>
              <w:pStyle w:val="NoSpacing"/>
              <w:jc w:val="center"/>
              <w:rPr>
                <w:sz w:val="20"/>
                <w:szCs w:val="20"/>
              </w:rPr>
            </w:pPr>
            <w:r w:rsidRPr="002038B4">
              <w:rPr>
                <w:sz w:val="20"/>
                <w:szCs w:val="20"/>
              </w:rPr>
              <w:t>$400</w:t>
            </w:r>
          </w:p>
        </w:tc>
      </w:tr>
      <w:tr w:rsidR="005C2A08" w:rsidRPr="002038B4" w14:paraId="5A3AC6D2" w14:textId="77777777" w:rsidTr="005C2A08">
        <w:trPr>
          <w:cantSplit/>
          <w:tblHeader/>
        </w:trPr>
        <w:tc>
          <w:tcPr>
            <w:tcW w:w="4134" w:type="pct"/>
            <w:tcMar>
              <w:top w:w="14" w:type="dxa"/>
              <w:left w:w="29" w:type="dxa"/>
              <w:bottom w:w="14" w:type="dxa"/>
              <w:right w:w="14" w:type="dxa"/>
            </w:tcMar>
            <w:vAlign w:val="center"/>
          </w:tcPr>
          <w:p w14:paraId="28973D58" w14:textId="77777777" w:rsidR="005C2A08" w:rsidRPr="002038B4" w:rsidRDefault="005C2A08" w:rsidP="005C2A08">
            <w:pPr>
              <w:pStyle w:val="NoSpacing"/>
              <w:rPr>
                <w:sz w:val="20"/>
                <w:szCs w:val="20"/>
              </w:rPr>
            </w:pPr>
            <w:r w:rsidRPr="002038B4">
              <w:rPr>
                <w:sz w:val="20"/>
                <w:szCs w:val="20"/>
              </w:rPr>
              <w:t>Library of Middle Level Publications</w:t>
            </w:r>
          </w:p>
        </w:tc>
        <w:tc>
          <w:tcPr>
            <w:tcW w:w="866" w:type="pct"/>
            <w:tcMar>
              <w:top w:w="14" w:type="dxa"/>
              <w:left w:w="29" w:type="dxa"/>
              <w:bottom w:w="14" w:type="dxa"/>
              <w:right w:w="14" w:type="dxa"/>
            </w:tcMar>
            <w:vAlign w:val="center"/>
          </w:tcPr>
          <w:p w14:paraId="4D192F5C" w14:textId="77777777" w:rsidR="005C2A08" w:rsidRPr="002038B4" w:rsidRDefault="005C2A08" w:rsidP="005C2A08">
            <w:pPr>
              <w:pStyle w:val="NoSpacing"/>
              <w:jc w:val="center"/>
              <w:rPr>
                <w:sz w:val="20"/>
                <w:szCs w:val="20"/>
              </w:rPr>
            </w:pPr>
            <w:r w:rsidRPr="002038B4">
              <w:rPr>
                <w:sz w:val="20"/>
                <w:szCs w:val="20"/>
              </w:rPr>
              <w:t>$400</w:t>
            </w:r>
          </w:p>
        </w:tc>
      </w:tr>
    </w:tbl>
    <w:p w14:paraId="1BEA3D6F" w14:textId="77777777" w:rsidR="005C2A08" w:rsidRPr="00BA441F" w:rsidRDefault="005C2A08" w:rsidP="005C2A08">
      <w:pPr>
        <w:spacing w:after="0"/>
        <w:rPr>
          <w:rFonts w:ascii="Cambria" w:hAnsi="Cambria"/>
        </w:rPr>
      </w:pPr>
    </w:p>
    <w:p w14:paraId="04438852" w14:textId="77777777" w:rsidR="005C2A08" w:rsidRPr="00BA441F" w:rsidRDefault="005C2A08" w:rsidP="005C2A08">
      <w:pPr>
        <w:pStyle w:val="ListParagraph"/>
        <w:spacing w:after="120" w:line="240" w:lineRule="auto"/>
        <w:ind w:left="0"/>
        <w:contextualSpacing w:val="0"/>
        <w:rPr>
          <w:rFonts w:ascii="Cambria" w:hAnsi="Cambria"/>
        </w:rPr>
      </w:pPr>
      <w:r w:rsidRPr="00BA441F">
        <w:rPr>
          <w:rFonts w:ascii="Cambria" w:hAnsi="Cambria"/>
        </w:rPr>
        <w:t xml:space="preserve">Recruitment of schools for the OFT began in April 2016 and </w:t>
      </w:r>
      <w:r>
        <w:rPr>
          <w:rFonts w:ascii="Cambria" w:hAnsi="Cambria"/>
        </w:rPr>
        <w:t xml:space="preserve">will </w:t>
      </w:r>
      <w:r w:rsidRPr="00BA441F">
        <w:rPr>
          <w:rFonts w:ascii="Cambria" w:hAnsi="Cambria"/>
        </w:rPr>
        <w:t xml:space="preserve">continue until approximately April 2017. Results from the IVFT recruitment effort will be reviewed in summer 2016 and may inform recruitment efforts for OFT sample schools that by that point have not yet agreed to participate in the OFT. Administrators at non-participating IVFT schools will be asked to complete a brief </w:t>
      </w:r>
      <w:r>
        <w:rPr>
          <w:rFonts w:ascii="Cambria" w:hAnsi="Cambria"/>
        </w:rPr>
        <w:t>survey via web or phone</w:t>
      </w:r>
      <w:r w:rsidRPr="00BA441F">
        <w:rPr>
          <w:rFonts w:ascii="Cambria" w:hAnsi="Cambria"/>
        </w:rPr>
        <w:t xml:space="preserve"> about their reasons for not participating in the study and what about the study plan and/or incentives, if anything, would have changed the school’s mind. A change </w:t>
      </w:r>
      <w:r>
        <w:rPr>
          <w:rFonts w:ascii="Cambria" w:hAnsi="Cambria"/>
        </w:rPr>
        <w:t>request package with a revised</w:t>
      </w:r>
      <w:r w:rsidRPr="00BA441F">
        <w:rPr>
          <w:rFonts w:ascii="Cambria" w:hAnsi="Cambria"/>
        </w:rPr>
        <w:t xml:space="preserve"> OFT recruitment plan may be submitted in </w:t>
      </w:r>
      <w:r>
        <w:rPr>
          <w:rFonts w:ascii="Cambria" w:hAnsi="Cambria"/>
        </w:rPr>
        <w:t xml:space="preserve">the fall of </w:t>
      </w:r>
      <w:r w:rsidRPr="00BA441F">
        <w:rPr>
          <w:rFonts w:ascii="Cambria" w:hAnsi="Cambria"/>
        </w:rPr>
        <w:t>2016 if we learn from the IVFT debriefing questionnaire that a particular incentive may be effective for gaining school cooperation in the study. The debriefing questionnaire will also be used in the OFT to inform the main study</w:t>
      </w:r>
      <w:r>
        <w:rPr>
          <w:rFonts w:ascii="Cambria" w:hAnsi="Cambria"/>
        </w:rPr>
        <w:t xml:space="preserve"> (appendix OFT1-W.4.b)</w:t>
      </w:r>
      <w:r w:rsidRPr="00BA441F">
        <w:rPr>
          <w:rFonts w:ascii="Cambria" w:hAnsi="Cambria"/>
        </w:rPr>
        <w:t>. As with the IVFT, the debriefing questionnaire will include the following questions of nonparticipating schools:</w:t>
      </w:r>
    </w:p>
    <w:p w14:paraId="2DD15FB9" w14:textId="77777777" w:rsidR="005C2A08" w:rsidRPr="00BA441F" w:rsidRDefault="005C2A08" w:rsidP="005C2A08">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For what reasons did your school decide not to participate in MGLS:2017?</w:t>
      </w:r>
    </w:p>
    <w:p w14:paraId="5451FCF2" w14:textId="77777777" w:rsidR="005C2A08" w:rsidRPr="00BA441F" w:rsidRDefault="005C2A08" w:rsidP="005C2A08">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Your school was offered [incentive] to participate in the study. Would a different incentive have changed your mind about participating? In other words, would you have agreed to let your school participate in MGLS:2017, if the incentive was a different amount or type of incentive?</w:t>
      </w:r>
    </w:p>
    <w:p w14:paraId="6861A75A" w14:textId="77777777" w:rsidR="005C2A08" w:rsidRPr="00BA441F" w:rsidRDefault="005C2A08" w:rsidP="005C2A08">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lastRenderedPageBreak/>
        <w:t>[If yes] How much or what would the incentive need to be for your school to decide to participate? [record comments]</w:t>
      </w:r>
    </w:p>
    <w:p w14:paraId="055E26ED" w14:textId="77777777" w:rsidR="005C2A08" w:rsidRPr="00BA441F" w:rsidRDefault="005C2A08" w:rsidP="005C2A08">
      <w:pPr>
        <w:pStyle w:val="ListParagraph"/>
        <w:numPr>
          <w:ilvl w:val="0"/>
          <w:numId w:val="15"/>
        </w:numPr>
        <w:spacing w:after="120" w:line="240" w:lineRule="auto"/>
        <w:ind w:left="540" w:hanging="270"/>
        <w:contextualSpacing w:val="0"/>
        <w:rPr>
          <w:rFonts w:ascii="Cambria" w:hAnsi="Cambria"/>
        </w:rPr>
      </w:pPr>
      <w:r w:rsidRPr="00BA441F">
        <w:rPr>
          <w:rFonts w:ascii="Cambria" w:hAnsi="Cambria"/>
        </w:rPr>
        <w:t>Is there anything else, not mentioned above, we could have done to enable your school to participate?</w:t>
      </w:r>
    </w:p>
    <w:p w14:paraId="1DF98A37" w14:textId="03DA227F" w:rsidR="005C2A08" w:rsidRDefault="005C2A08" w:rsidP="005C2A08">
      <w:pPr>
        <w:pStyle w:val="ListParagraph"/>
        <w:spacing w:after="120" w:line="240" w:lineRule="auto"/>
        <w:ind w:left="0"/>
        <w:rPr>
          <w:rFonts w:ascii="Cambria" w:hAnsi="Cambria"/>
        </w:rPr>
      </w:pPr>
      <w:r w:rsidRPr="00BA441F">
        <w:rPr>
          <w:rFonts w:ascii="Cambria" w:hAnsi="Cambria"/>
        </w:rPr>
        <w:t>The results of the school incentive experiment in the OFT will be combined with the results of the experiment in the IVFT. With the combined 350 schools between the two field test samples, we will be able to observe potential impact of the different incentive treatments to inform school recruitment strategies in the Main Study.</w:t>
      </w:r>
    </w:p>
    <w:p w14:paraId="12474AA0" w14:textId="77777777" w:rsidR="0092310C" w:rsidRDefault="00B1550F" w:rsidP="001D003E">
      <w:pPr>
        <w:spacing w:after="120" w:line="240" w:lineRule="auto"/>
        <w:rPr>
          <w:rFonts w:ascii="Cambria" w:hAnsi="Cambria"/>
        </w:rPr>
      </w:pPr>
      <w:r>
        <w:rPr>
          <w:rFonts w:ascii="Cambria" w:hAnsi="Cambria"/>
          <w:u w:val="single"/>
        </w:rPr>
        <w:t>Main Study</w:t>
      </w:r>
      <w:r w:rsidR="001D003E">
        <w:rPr>
          <w:rFonts w:ascii="Cambria" w:hAnsi="Cambria"/>
          <w:u w:val="single"/>
        </w:rPr>
        <w:t xml:space="preserve"> (MS)</w:t>
      </w:r>
      <w:r w:rsidR="00B34238" w:rsidRPr="00A04162">
        <w:rPr>
          <w:rFonts w:ascii="Cambria" w:hAnsi="Cambria"/>
          <w:u w:val="single"/>
        </w:rPr>
        <w:t>:</w:t>
      </w:r>
      <w:r w:rsidR="0092310C">
        <w:rPr>
          <w:rFonts w:ascii="Cambria" w:hAnsi="Cambria"/>
          <w:u w:val="single"/>
        </w:rPr>
        <w:t xml:space="preserve"> </w:t>
      </w:r>
      <w:r w:rsidR="005C2A08">
        <w:rPr>
          <w:rFonts w:ascii="Cambria" w:hAnsi="Cambria"/>
        </w:rPr>
        <w:t>A</w:t>
      </w:r>
      <w:r w:rsidRPr="0049525E">
        <w:rPr>
          <w:rFonts w:ascii="Cambria" w:hAnsi="Cambria"/>
        </w:rPr>
        <w:t xml:space="preserve"> school-level incentive for the </w:t>
      </w:r>
      <w:r w:rsidR="007F5883">
        <w:rPr>
          <w:rFonts w:ascii="Cambria" w:hAnsi="Cambria"/>
        </w:rPr>
        <w:t>Main S</w:t>
      </w:r>
      <w:r w:rsidRPr="0049525E">
        <w:rPr>
          <w:rFonts w:ascii="Cambria" w:hAnsi="Cambria"/>
        </w:rPr>
        <w:t xml:space="preserve">tudy </w:t>
      </w:r>
      <w:r w:rsidR="005C2A08">
        <w:rPr>
          <w:rFonts w:ascii="Cambria" w:hAnsi="Cambria"/>
        </w:rPr>
        <w:t xml:space="preserve">of $400 or non-monetary equivalent to $400 in materials or services </w:t>
      </w:r>
      <w:r w:rsidRPr="0049525E">
        <w:rPr>
          <w:rFonts w:ascii="Cambria" w:hAnsi="Cambria"/>
        </w:rPr>
        <w:t>was approved</w:t>
      </w:r>
      <w:r w:rsidR="0049525E">
        <w:rPr>
          <w:rFonts w:ascii="Cambria" w:hAnsi="Cambria"/>
        </w:rPr>
        <w:t xml:space="preserve"> in April 2</w:t>
      </w:r>
      <w:r w:rsidR="0049525E" w:rsidRPr="0049525E">
        <w:rPr>
          <w:rFonts w:ascii="Cambria" w:hAnsi="Cambria"/>
        </w:rPr>
        <w:t>017</w:t>
      </w:r>
      <w:r w:rsidRPr="0049525E">
        <w:rPr>
          <w:rFonts w:ascii="Cambria" w:hAnsi="Cambria"/>
        </w:rPr>
        <w:t xml:space="preserve"> (</w:t>
      </w:r>
      <w:r w:rsidR="0049525E" w:rsidRPr="0049525E">
        <w:rPr>
          <w:rFonts w:ascii="Cambria" w:hAnsi="Cambria"/>
        </w:rPr>
        <w:t>1850-0911 v</w:t>
      </w:r>
      <w:r w:rsidR="001D003E">
        <w:rPr>
          <w:rFonts w:ascii="Cambria" w:hAnsi="Cambria"/>
        </w:rPr>
        <w:t>.</w:t>
      </w:r>
      <w:r w:rsidR="0049525E" w:rsidRPr="0049525E">
        <w:rPr>
          <w:rFonts w:ascii="Cambria" w:hAnsi="Cambria"/>
        </w:rPr>
        <w:t>13)</w:t>
      </w:r>
      <w:r w:rsidR="005C2A08">
        <w:rPr>
          <w:rFonts w:ascii="Cambria" w:hAnsi="Cambria"/>
        </w:rPr>
        <w:t xml:space="preserve"> based on the results of the IVFT and OFT</w:t>
      </w:r>
      <w:r w:rsidR="0049525E" w:rsidRPr="0049525E">
        <w:rPr>
          <w:rFonts w:ascii="Cambria" w:hAnsi="Cambria"/>
        </w:rPr>
        <w:t>.</w:t>
      </w:r>
    </w:p>
    <w:p w14:paraId="54FD7637" w14:textId="1C375868" w:rsidR="00E445AA" w:rsidRPr="00BA441F" w:rsidRDefault="00305E37" w:rsidP="001D003E">
      <w:pPr>
        <w:spacing w:after="120" w:line="240" w:lineRule="auto"/>
        <w:rPr>
          <w:rFonts w:ascii="Cambria" w:hAnsi="Cambria"/>
        </w:rPr>
      </w:pPr>
      <w:r>
        <w:rPr>
          <w:rFonts w:ascii="Cambria" w:hAnsi="Cambria"/>
        </w:rPr>
        <w:t xml:space="preserve">As described in more detail in </w:t>
      </w:r>
      <w:r w:rsidR="001D003E">
        <w:rPr>
          <w:rFonts w:ascii="Cambria" w:hAnsi="Cambria"/>
        </w:rPr>
        <w:t>the Supporting Statement P</w:t>
      </w:r>
      <w:r>
        <w:rPr>
          <w:rFonts w:ascii="Cambria" w:hAnsi="Cambria"/>
        </w:rPr>
        <w:t xml:space="preserve">art B of this </w:t>
      </w:r>
      <w:r w:rsidR="001D003E">
        <w:rPr>
          <w:rFonts w:ascii="Cambria" w:hAnsi="Cambria"/>
        </w:rPr>
        <w:t>submission</w:t>
      </w:r>
      <w:r>
        <w:rPr>
          <w:rFonts w:ascii="Cambria" w:hAnsi="Cambria"/>
        </w:rPr>
        <w:t xml:space="preserve">, we will offer an additional $200 (for a total of $600) to schools associated with districts that initially decline to participate </w:t>
      </w:r>
      <w:r w:rsidR="001D003E">
        <w:rPr>
          <w:rFonts w:ascii="Cambria" w:hAnsi="Cambria"/>
        </w:rPr>
        <w:t xml:space="preserve">and </w:t>
      </w:r>
      <w:r>
        <w:rPr>
          <w:rFonts w:ascii="Cambria" w:hAnsi="Cambria"/>
        </w:rPr>
        <w:t>that have one or more schools that are designated as having “higher” counts of students in the focal disability groups.</w:t>
      </w:r>
    </w:p>
    <w:p w14:paraId="1D943808" w14:textId="77777777" w:rsidR="0092310C" w:rsidRDefault="00B1550F" w:rsidP="00090CDF">
      <w:pPr>
        <w:pStyle w:val="ListParagraph"/>
        <w:spacing w:after="120" w:line="240" w:lineRule="auto"/>
        <w:ind w:left="0"/>
        <w:rPr>
          <w:rFonts w:ascii="Cambria" w:hAnsi="Cambria"/>
        </w:rPr>
      </w:pPr>
      <w:r>
        <w:rPr>
          <w:rFonts w:ascii="Cambria" w:hAnsi="Cambria"/>
          <w:u w:val="single"/>
        </w:rPr>
        <w:t>OFT Follow-up</w:t>
      </w:r>
      <w:r w:rsidR="001D003E">
        <w:rPr>
          <w:rFonts w:ascii="Cambria" w:hAnsi="Cambria"/>
          <w:u w:val="single"/>
        </w:rPr>
        <w:t xml:space="preserve"> (OFT2)</w:t>
      </w:r>
      <w:r>
        <w:rPr>
          <w:rFonts w:ascii="Cambria" w:hAnsi="Cambria"/>
          <w:u w:val="single"/>
        </w:rPr>
        <w:t>:</w:t>
      </w:r>
      <w:r w:rsidR="0092310C">
        <w:rPr>
          <w:rFonts w:ascii="Cambria" w:hAnsi="Cambria"/>
        </w:rPr>
        <w:t xml:space="preserve"> </w:t>
      </w:r>
      <w:r w:rsidR="001D003E" w:rsidRPr="001D003E">
        <w:rPr>
          <w:rFonts w:ascii="Cambria" w:hAnsi="Cambria"/>
        </w:rPr>
        <w:t>OFT2 consists of a shorter student session and of fewer staff surveys than in OFT1. However, there is still considerable burden for the school to provide tracking information and to coordinate student sessions. We will offer schools $200 in cash or cash equivalent to encourage their participation in OFT2</w:t>
      </w:r>
      <w:r w:rsidR="007F5883">
        <w:rPr>
          <w:rFonts w:ascii="Cambria" w:hAnsi="Cambria"/>
        </w:rPr>
        <w:t>.</w:t>
      </w:r>
    </w:p>
    <w:p w14:paraId="5A639353" w14:textId="5406A27B" w:rsidR="00B427AD" w:rsidRPr="00BA441F" w:rsidRDefault="00B427AD" w:rsidP="00090CDF">
      <w:pPr>
        <w:spacing w:after="120" w:line="240" w:lineRule="auto"/>
        <w:rPr>
          <w:rFonts w:ascii="Cambria" w:hAnsi="Cambria"/>
        </w:rPr>
      </w:pPr>
      <w:r w:rsidRPr="00BA441F">
        <w:rPr>
          <w:rFonts w:ascii="Cambria" w:hAnsi="Cambria"/>
          <w:b/>
          <w:i/>
        </w:rPr>
        <w:t>School Coordinators</w:t>
      </w:r>
    </w:p>
    <w:p w14:paraId="3917ABBF" w14:textId="1CE2C1A6" w:rsidR="00B427AD" w:rsidRPr="00BA441F" w:rsidRDefault="00B1550F" w:rsidP="00090CDF">
      <w:pPr>
        <w:widowControl w:val="0"/>
        <w:spacing w:after="120" w:line="240" w:lineRule="auto"/>
        <w:rPr>
          <w:rFonts w:ascii="Cambria" w:hAnsi="Cambria"/>
        </w:rPr>
      </w:pPr>
      <w:r>
        <w:rPr>
          <w:rFonts w:ascii="Cambria" w:hAnsi="Cambria"/>
          <w:u w:val="single"/>
        </w:rPr>
        <w:t xml:space="preserve">Operational </w:t>
      </w:r>
      <w:r w:rsidRPr="00891D24">
        <w:rPr>
          <w:rFonts w:ascii="Cambria" w:hAnsi="Cambria"/>
          <w:u w:val="single"/>
        </w:rPr>
        <w:t>Field Test</w:t>
      </w:r>
      <w:r w:rsidR="0092310C">
        <w:rPr>
          <w:rFonts w:ascii="Cambria" w:hAnsi="Cambria"/>
          <w:u w:val="single"/>
        </w:rPr>
        <w:t xml:space="preserve"> </w:t>
      </w:r>
      <w:r w:rsidR="00570412">
        <w:rPr>
          <w:rFonts w:ascii="Cambria" w:hAnsi="Cambria"/>
          <w:u w:val="single"/>
        </w:rPr>
        <w:t>(OFT), Main Study</w:t>
      </w:r>
      <w:r w:rsidR="001D003E">
        <w:rPr>
          <w:rFonts w:ascii="Cambria" w:hAnsi="Cambria"/>
          <w:u w:val="single"/>
        </w:rPr>
        <w:t xml:space="preserve"> (MS)</w:t>
      </w:r>
      <w:r w:rsidR="00570412">
        <w:rPr>
          <w:rFonts w:ascii="Cambria" w:hAnsi="Cambria"/>
          <w:u w:val="single"/>
        </w:rPr>
        <w:t xml:space="preserve">, and OFT </w:t>
      </w:r>
      <w:r>
        <w:rPr>
          <w:rFonts w:ascii="Cambria" w:hAnsi="Cambria"/>
          <w:u w:val="single"/>
        </w:rPr>
        <w:t>Follow-up</w:t>
      </w:r>
      <w:r w:rsidR="001D003E">
        <w:rPr>
          <w:rFonts w:ascii="Cambria" w:hAnsi="Cambria"/>
          <w:u w:val="single"/>
        </w:rPr>
        <w:t xml:space="preserve"> (OFT2)</w:t>
      </w:r>
      <w:r w:rsidR="00DC39A3" w:rsidRPr="00EA62E9">
        <w:rPr>
          <w:rFonts w:ascii="Cambria" w:hAnsi="Cambria"/>
          <w:u w:val="single"/>
        </w:rPr>
        <w:t>:</w:t>
      </w:r>
      <w:r w:rsidR="00DC39A3" w:rsidRPr="00BA441F">
        <w:rPr>
          <w:rFonts w:ascii="Cambria" w:hAnsi="Cambria"/>
        </w:rPr>
        <w:t xml:space="preserve"> </w:t>
      </w:r>
      <w:r w:rsidR="00B427AD" w:rsidRPr="00BA441F">
        <w:rPr>
          <w:rFonts w:ascii="Cambria" w:hAnsi="Cambria"/>
        </w:rPr>
        <w:t>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sidR="009E1D62">
        <w:rPr>
          <w:rFonts w:ascii="Cambria" w:hAnsi="Cambria"/>
        </w:rPr>
        <w:t xml:space="preserve"> </w:t>
      </w:r>
      <w:r w:rsidR="00570412">
        <w:rPr>
          <w:rFonts w:ascii="Cambria" w:hAnsi="Cambria"/>
        </w:rPr>
        <w:t>(</w:t>
      </w:r>
      <w:r w:rsidR="009E1D62">
        <w:rPr>
          <w:rFonts w:ascii="Cambria" w:hAnsi="Cambria"/>
        </w:rPr>
        <w:t xml:space="preserve">for </w:t>
      </w:r>
      <w:r w:rsidR="00570412">
        <w:rPr>
          <w:rFonts w:ascii="Cambria" w:hAnsi="Cambria"/>
        </w:rPr>
        <w:t xml:space="preserve">OFT and </w:t>
      </w:r>
      <w:r w:rsidR="009E1D62">
        <w:rPr>
          <w:rFonts w:ascii="Cambria" w:hAnsi="Cambria"/>
        </w:rPr>
        <w:t>Main Study</w:t>
      </w:r>
      <w:r w:rsidR="00570412">
        <w:rPr>
          <w:rFonts w:ascii="Cambria" w:hAnsi="Cambria"/>
        </w:rPr>
        <w:t>)</w:t>
      </w:r>
      <w:r w:rsidR="009E1D62">
        <w:rPr>
          <w:rFonts w:ascii="Cambria" w:hAnsi="Cambria"/>
        </w:rPr>
        <w:t xml:space="preserve"> and enrollment status update information for OFT</w:t>
      </w:r>
      <w:r w:rsidR="009D476F">
        <w:rPr>
          <w:rFonts w:ascii="Cambria" w:hAnsi="Cambria"/>
        </w:rPr>
        <w:t>2</w:t>
      </w:r>
      <w:r w:rsidR="00B427AD"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52725183"/>
      <w:r w:rsidRPr="00BA441F">
        <w:rPr>
          <w:rFonts w:ascii="Cambria" w:hAnsi="Cambria"/>
        </w:rPr>
        <w:t>A.10 Assurance of Confidentiality</w:t>
      </w:r>
      <w:bookmarkEnd w:id="26"/>
      <w:bookmarkEnd w:id="27"/>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2CA7ED91"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the OFT, as reflected in </w:t>
      </w:r>
      <w:r w:rsidRPr="006314C4">
        <w:rPr>
          <w:rFonts w:ascii="Cambria" w:hAnsi="Cambria"/>
        </w:rPr>
        <w:t xml:space="preserve">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 base-year (OFT1) materials and Main Study (MS1) Endorsement Request Letter and State Letter and Sample Endorsement Letter were not updated because they have already been used, given that OFT and MS endorsement and state letters became operational prior to the implementation of the revised pledge. All other aspects of the Main Study (MS1) and recruitment for OFT follow-up (OFT2) </w:t>
      </w:r>
      <w:r w:rsidR="008E0CF0">
        <w:rPr>
          <w:rFonts w:ascii="Cambria" w:hAnsi="Cambria"/>
        </w:rPr>
        <w:t>now</w:t>
      </w:r>
      <w:r w:rsidRPr="006314C4">
        <w:rPr>
          <w:rFonts w:ascii="Cambria" w:hAnsi="Cambria"/>
        </w:rPr>
        <w:t xml:space="preserve"> include the revised pledge.</w:t>
      </w:r>
    </w:p>
    <w:p w14:paraId="5866325E" w14:textId="3E1480F1" w:rsidR="00B427AD" w:rsidRDefault="00B427AD" w:rsidP="00090CDF">
      <w:pPr>
        <w:widowControl w:val="0"/>
        <w:spacing w:after="120" w:line="240" w:lineRule="auto"/>
        <w:rPr>
          <w:rFonts w:ascii="Cambria" w:hAnsi="Cambria"/>
        </w:rPr>
      </w:pPr>
      <w:r w:rsidRPr="00BA441F">
        <w:rPr>
          <w:rFonts w:ascii="Cambria" w:hAnsi="Cambria"/>
        </w:rPr>
        <w:t xml:space="preserve">The confidentiality plan developed for MGLS:2017 requires that all contractor and subcontractor personnel and field workers who will have access to individual identifiers sign confidentiality agreements and notarized nondisclosure affidavits. The plan also requires that all personnel receive training regarding the meaning of </w:t>
      </w:r>
      <w:r w:rsidRPr="00BA441F">
        <w:rPr>
          <w:rFonts w:ascii="Cambria" w:hAnsi="Cambria"/>
        </w:rPr>
        <w:lastRenderedPageBreak/>
        <w:t>confidentiality, particularly as it relates to handling requests for information and providing assurance to respondents about the protection of their responses. NCES understands the legal and ethical need to protect the privacy of the MGLS:2017 respondents and has extensive experience in developing data files for release that meet the government’s requirements to protect individually identifiable data from disclosure. The data files, accompanying software, and documentation will be delivered to NCES by the data collection contractor at the end of the project. Neither names nor addresses will be included in any data file.</w:t>
      </w:r>
    </w:p>
    <w:p w14:paraId="6181F1A4" w14:textId="01ABDD70" w:rsidR="00B71E4C" w:rsidRPr="00B71E4C" w:rsidRDefault="00B71E4C" w:rsidP="00090CDF">
      <w:pPr>
        <w:widowControl w:val="0"/>
        <w:spacing w:after="120" w:line="240" w:lineRule="auto"/>
        <w:rPr>
          <w:rFonts w:ascii="Cambria" w:hAnsi="Cambria"/>
        </w:rPr>
      </w:pPr>
      <w:r>
        <w:rPr>
          <w:rFonts w:ascii="Cambria" w:hAnsi="Cambria"/>
        </w:rPr>
        <w:t xml:space="preserve">MGLS:2017 will adhere to the following list of </w:t>
      </w:r>
      <w:r w:rsidRPr="00B71E4C">
        <w:rPr>
          <w:rFonts w:ascii="Cambria" w:hAnsi="Cambria"/>
        </w:rPr>
        <w:t>security, privacy, and confidentiality laws and regulations to protect PII data:</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All new legislation that impacts the data collected through the inter-agency agreement for this study.</w:t>
      </w:r>
    </w:p>
    <w:p w14:paraId="395AB2CE" w14:textId="4E1B738C" w:rsidR="00B71E4C" w:rsidRPr="00EB5494" w:rsidRDefault="005368F9" w:rsidP="00EB5494">
      <w:pPr>
        <w:pStyle w:val="BodyText"/>
        <w:spacing w:before="0" w:after="60" w:line="240" w:lineRule="auto"/>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63A71C3C" w14:textId="77777777" w:rsidR="00B427AD" w:rsidRPr="00BA441F" w:rsidRDefault="00B427AD" w:rsidP="00090CDF">
      <w:pPr>
        <w:pStyle w:val="Heading2"/>
        <w:spacing w:before="0" w:after="120" w:line="240" w:lineRule="auto"/>
        <w:rPr>
          <w:rFonts w:ascii="Cambria" w:hAnsi="Cambria"/>
        </w:rPr>
      </w:pPr>
      <w:bookmarkStart w:id="28" w:name="_Toc412022731"/>
      <w:bookmarkStart w:id="29" w:name="_Toc452725184"/>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090CDF">
      <w:pPr>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1C75333F"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 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w:t>
      </w:r>
      <w:r w:rsidR="00B427AD" w:rsidRPr="00BA441F">
        <w:rPr>
          <w:rFonts w:ascii="Cambria" w:hAnsi="Cambria"/>
        </w:rPr>
        <w:lastRenderedPageBreak/>
        <w:t xml:space="preserve">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29F1E8A8"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goal of describing the development, academic outcomes, and characteristics of middle grades students, we will be asking parents a few questions that could be viewed as sensitive in nature</w:t>
      </w:r>
      <w:r w:rsidR="00F660C8" w:rsidRPr="009F4D1F">
        <w:rPr>
          <w:rFonts w:ascii="Cambria" w:hAnsi="Cambria"/>
        </w:rPr>
        <w:t xml:space="preserve"> by some respondents. Questions about family income, disciplinary practices, 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10E999B8" w:rsidR="00F660C8" w:rsidRDefault="007F5252" w:rsidP="00090CDF">
      <w:pPr>
        <w:spacing w:after="120" w:line="240" w:lineRule="auto"/>
        <w:rPr>
          <w:rFonts w:ascii="Cambria" w:hAnsi="Cambria"/>
        </w:rPr>
      </w:pPr>
      <w:r>
        <w:rPr>
          <w:rFonts w:ascii="Cambria" w:hAnsi="Cambria"/>
          <w:b/>
        </w:rPr>
        <w:t xml:space="preserve">Student. </w:t>
      </w:r>
      <w:r w:rsidR="00F660C8" w:rsidRPr="00BA441F">
        <w:rPr>
          <w:rFonts w:ascii="Cambria" w:hAnsi="Cambria"/>
        </w:rPr>
        <w:t>The student questionnaire includes a few questions that could be sensitive for some students. Questions about internalizing attitudes or behaviors, perceptions of competencies in mathematics, and school and class attendance are included in this self-report survey. 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42954C10" w:rsidR="003728E6" w:rsidRPr="00BA441F" w:rsidRDefault="003728E6" w:rsidP="00090CDF">
      <w:pPr>
        <w:spacing w:after="120" w:line="240" w:lineRule="auto"/>
        <w:rPr>
          <w:rFonts w:ascii="Cambria" w:hAnsi="Cambria"/>
        </w:rPr>
      </w:pPr>
      <w:r>
        <w:rPr>
          <w:rFonts w:ascii="Cambria" w:hAnsi="Cambria"/>
        </w:rPr>
        <w:t>The in-school session 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52725185"/>
      <w:r w:rsidRPr="00BA441F">
        <w:rPr>
          <w:rFonts w:ascii="Cambria" w:hAnsi="Cambria"/>
        </w:rPr>
        <w:t>A.12 Estimates of Burden</w:t>
      </w:r>
      <w:bookmarkEnd w:id="30"/>
      <w:bookmarkEnd w:id="31"/>
    </w:p>
    <w:p w14:paraId="7DBF3304" w14:textId="77777777" w:rsidR="00F16733" w:rsidRDefault="00FD3165" w:rsidP="00090CDF">
      <w:pPr>
        <w:spacing w:after="120" w:line="240" w:lineRule="auto"/>
        <w:rPr>
          <w:rFonts w:ascii="Cambria" w:hAnsi="Cambria"/>
        </w:rPr>
      </w:pPr>
      <w:r w:rsidRPr="00BA441F">
        <w:rPr>
          <w:rFonts w:ascii="Cambria" w:hAnsi="Cambria"/>
        </w:rPr>
        <w:t>Burden estimates for the OFT data collection, Main Study recruitment, and OFT tracking and recruitment activities are shown in this section.</w:t>
      </w:r>
    </w:p>
    <w:p w14:paraId="61D81E21" w14:textId="4ADD80AD" w:rsidR="00F16733" w:rsidRDefault="00FD3165" w:rsidP="00090CDF">
      <w:pPr>
        <w:spacing w:after="120" w:line="240" w:lineRule="auto"/>
        <w:rPr>
          <w:rFonts w:ascii="Cambria" w:hAnsi="Cambria"/>
        </w:rPr>
      </w:pPr>
      <w:r w:rsidRPr="002B0748">
        <w:rPr>
          <w:rFonts w:ascii="Cambria" w:hAnsi="Cambria"/>
          <w:b/>
          <w:u w:val="single"/>
        </w:rPr>
        <w:t>Operational Field Test:</w:t>
      </w:r>
      <w:r w:rsidR="00ED7C90">
        <w:rPr>
          <w:rFonts w:ascii="Cambria" w:hAnsi="Cambria"/>
          <w:u w:val="single"/>
        </w:rPr>
        <w:t xml:space="preserve"> </w:t>
      </w:r>
      <w:r w:rsidR="00B427AD" w:rsidRPr="00BA441F">
        <w:rPr>
          <w:rFonts w:ascii="Cambria" w:hAnsi="Cambria"/>
        </w:rPr>
        <w:t>T</w:t>
      </w:r>
      <w:r w:rsidR="00D627AF">
        <w:rPr>
          <w:rFonts w:ascii="Cambria" w:hAnsi="Cambria"/>
        </w:rPr>
        <w:t xml:space="preserve">he </w:t>
      </w:r>
      <w:r w:rsidR="00004272" w:rsidRPr="00004272">
        <w:rPr>
          <w:rFonts w:ascii="Cambria" w:hAnsi="Cambria"/>
          <w:u w:val="single"/>
        </w:rPr>
        <w:t>OFT R</w:t>
      </w:r>
      <w:r w:rsidR="00D627AF" w:rsidRPr="00004272">
        <w:rPr>
          <w:rFonts w:ascii="Cambria" w:hAnsi="Cambria"/>
          <w:u w:val="single"/>
        </w:rPr>
        <w:t>ecruitment</w:t>
      </w:r>
      <w:r w:rsidR="00D627AF">
        <w:rPr>
          <w:rFonts w:ascii="Cambria" w:hAnsi="Cambria"/>
        </w:rPr>
        <w:t xml:space="preserve"> portion of </w:t>
      </w:r>
      <w:r w:rsidR="004A028E">
        <w:rPr>
          <w:rFonts w:ascii="Cambria" w:hAnsi="Cambria"/>
        </w:rPr>
        <w:t>t</w:t>
      </w:r>
      <w:r w:rsidR="00B427AD" w:rsidRPr="00BA441F">
        <w:rPr>
          <w:rFonts w:ascii="Cambria" w:hAnsi="Cambria"/>
        </w:rPr>
        <w:t xml:space="preserve">able 5 shows the expected burden for districts, schools, and parents during </w:t>
      </w:r>
      <w:r w:rsidR="00890C43">
        <w:rPr>
          <w:rFonts w:ascii="Cambria" w:hAnsi="Cambria"/>
        </w:rPr>
        <w:t>the OFT recruitment activities.</w:t>
      </w:r>
      <w:r w:rsidR="00705DC2">
        <w:rPr>
          <w:rFonts w:ascii="Cambria" w:hAnsi="Cambria"/>
        </w:rPr>
        <w:t xml:space="preserve"> </w:t>
      </w:r>
      <w:r w:rsidR="00B427AD" w:rsidRPr="00BA441F">
        <w:rPr>
          <w:rFonts w:ascii="Cambria" w:hAnsi="Cambria"/>
        </w:rPr>
        <w:t xml:space="preserve">For the OFT, we anticipate collecting data within 50 schools, from approximately 1,120 participating students, their parents, and their teachers. </w:t>
      </w:r>
      <w:r w:rsidRPr="00BA441F">
        <w:rPr>
          <w:rFonts w:ascii="Cambria" w:hAnsi="Cambria"/>
        </w:rPr>
        <w:t>Because OFT recruitment is still ongoing, burden for this activity is carried over</w:t>
      </w:r>
      <w:r w:rsidR="00EC27BF">
        <w:rPr>
          <w:rFonts w:ascii="Cambria" w:hAnsi="Cambria"/>
        </w:rPr>
        <w:t xml:space="preserve"> from the prior OMB Recruitment package (OMB# 1850-0911 v.10)</w:t>
      </w:r>
      <w:r w:rsidR="00F42E24">
        <w:rPr>
          <w:rFonts w:ascii="Cambria" w:hAnsi="Cambria"/>
        </w:rPr>
        <w:t xml:space="preserve"> </w:t>
      </w:r>
      <w:r w:rsidR="00EC27BF">
        <w:rPr>
          <w:rFonts w:ascii="Cambria" w:hAnsi="Cambria"/>
        </w:rPr>
        <w:t>and included in the burden estimates below</w:t>
      </w:r>
      <w:r w:rsidRPr="00BA441F">
        <w:rPr>
          <w:rFonts w:ascii="Cambria" w:hAnsi="Cambria"/>
        </w:rPr>
        <w:t>.</w:t>
      </w:r>
    </w:p>
    <w:p w14:paraId="742E8E51" w14:textId="1198151C" w:rsidR="00B427AD" w:rsidRPr="00BA441F" w:rsidRDefault="00B427AD" w:rsidP="00090CDF">
      <w:pPr>
        <w:spacing w:after="120" w:line="240" w:lineRule="auto"/>
        <w:rPr>
          <w:rFonts w:ascii="Cambria" w:hAnsi="Cambria"/>
        </w:rPr>
      </w:pPr>
      <w:r w:rsidRPr="00BA441F">
        <w:rPr>
          <w:rFonts w:ascii="Cambria" w:hAnsi="Cambria"/>
        </w:rPr>
        <w:t xml:space="preserve">As shown in Part B, we anticipate </w:t>
      </w:r>
      <w:r w:rsidR="00291C19">
        <w:rPr>
          <w:rFonts w:ascii="Cambria" w:hAnsi="Cambria"/>
        </w:rPr>
        <w:t xml:space="preserve">(a) </w:t>
      </w:r>
      <w:r w:rsidRPr="00BA441F">
        <w:rPr>
          <w:rFonts w:ascii="Cambria" w:hAnsi="Cambria"/>
        </w:rPr>
        <w:t xml:space="preserve">contacting approximately 103 schools (with an estimated 97 percent school-eligibility rate and 50 percent participation rate) to reach the approximately 50 schools needed for participation, and </w:t>
      </w:r>
      <w:r w:rsidR="00291C19">
        <w:rPr>
          <w:rFonts w:ascii="Cambria" w:hAnsi="Cambria"/>
        </w:rPr>
        <w:t xml:space="preserve">(b) </w:t>
      </w:r>
      <w:r w:rsidRPr="00BA441F">
        <w:rPr>
          <w:rFonts w:ascii="Cambria" w:hAnsi="Cambria"/>
        </w:rPr>
        <w:t xml:space="preserve">contacting the parents of approximately 1,750 students </w:t>
      </w:r>
      <w:r w:rsidR="0019524D">
        <w:rPr>
          <w:rFonts w:ascii="Cambria" w:hAnsi="Cambria"/>
        </w:rPr>
        <w:t xml:space="preserve">(with an estimated 200 students in each of the focal disability groups) </w:t>
      </w:r>
      <w:r w:rsidRPr="00BA441F">
        <w:rPr>
          <w:rFonts w:ascii="Cambria" w:hAnsi="Cambria"/>
        </w:rPr>
        <w:t xml:space="preserve">to yield approximately 1,120 participating students. In order to draw </w:t>
      </w:r>
      <w:r w:rsidRPr="00BA441F">
        <w:rPr>
          <w:rFonts w:ascii="Cambria" w:hAnsi="Cambria"/>
        </w:rPr>
        <w:lastRenderedPageBreak/>
        <w:t>samples of students with disabilities, we may need to obtain student records information from up to four districts.</w:t>
      </w:r>
    </w:p>
    <w:p w14:paraId="32A3870C" w14:textId="30806344" w:rsidR="00890C43" w:rsidRDefault="00B427AD" w:rsidP="00090CDF">
      <w:pPr>
        <w:spacing w:after="120" w:line="240" w:lineRule="auto"/>
        <w:rPr>
          <w:rFonts w:ascii="Cambria" w:hAnsi="Cambria"/>
        </w:rPr>
      </w:pPr>
      <w:r w:rsidRPr="00BA441F">
        <w:rPr>
          <w:rFonts w:ascii="Cambria" w:hAnsi="Cambria"/>
        </w:rPr>
        <w:t xml:space="preserve">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OFT. The debrief may be completed via phone or email and will ask school administrators what factors led to the decision to participate or not to participate in MGLS:2017. For example, the debrief may ask whether content, incentives, time, and/or other factors impacted the decision. The </w:t>
      </w:r>
      <w:r w:rsidR="00291C19">
        <w:rPr>
          <w:rFonts w:ascii="Cambria" w:hAnsi="Cambria"/>
        </w:rPr>
        <w:t>results</w:t>
      </w:r>
      <w:r w:rsidRPr="00BA441F">
        <w:rPr>
          <w:rFonts w:ascii="Cambria" w:hAnsi="Cambria"/>
        </w:rPr>
        <w:t xml:space="preserve"> will be used to inform recruitment efforts for the main study. For those participating, we estimate an additional 4 hours for the provision of student rosters, </w:t>
      </w:r>
      <w:r w:rsidRPr="00BA441F">
        <w:rPr>
          <w:rFonts w:ascii="Cambria" w:hAnsi="Cambria" w:cs="Arial"/>
          <w:color w:val="000000"/>
        </w:rPr>
        <w:t>including information about students for sampling, contact information for their parents, and their math and special education teachers (</w:t>
      </w:r>
      <w:r w:rsidRPr="00BA441F">
        <w:rPr>
          <w:rFonts w:ascii="Cambria" w:hAnsi="Cambria"/>
        </w:rPr>
        <w:t xml:space="preserve">see Appendices </w:t>
      </w:r>
      <w:r w:rsidR="008A2E3B" w:rsidRPr="00BA441F">
        <w:rPr>
          <w:rFonts w:ascii="Cambria" w:hAnsi="Cambria"/>
        </w:rPr>
        <w:t>OFT1-</w:t>
      </w:r>
      <w:r w:rsidR="00B42862">
        <w:rPr>
          <w:rFonts w:ascii="Cambria" w:hAnsi="Cambria"/>
        </w:rPr>
        <w:t>S</w:t>
      </w:r>
      <w:r w:rsidR="008A2E3B" w:rsidRPr="00BA441F">
        <w:rPr>
          <w:rFonts w:ascii="Cambria" w:hAnsi="Cambria"/>
        </w:rPr>
        <w:t xml:space="preserve"> </w:t>
      </w:r>
      <w:r w:rsidRPr="00BA441F">
        <w:rPr>
          <w:rFonts w:ascii="Cambria" w:hAnsi="Cambria"/>
        </w:rPr>
        <w:t xml:space="preserve">and </w:t>
      </w:r>
      <w:r w:rsidR="008A2E3B" w:rsidRPr="00BA441F">
        <w:rPr>
          <w:rFonts w:ascii="Cambria" w:hAnsi="Cambria"/>
        </w:rPr>
        <w:t>OFT1-</w:t>
      </w:r>
      <w:r w:rsidR="00B42862">
        <w:rPr>
          <w:rFonts w:ascii="Cambria" w:hAnsi="Cambria"/>
        </w:rPr>
        <w:t>T</w:t>
      </w:r>
      <w:r w:rsidR="00890C43">
        <w:rPr>
          <w:rFonts w:ascii="Cambria" w:hAnsi="Cambria"/>
        </w:rPr>
        <w:t>).</w:t>
      </w:r>
    </w:p>
    <w:p w14:paraId="3916A77F" w14:textId="46809D58" w:rsidR="00B427AD" w:rsidRDefault="00B427AD" w:rsidP="00090CDF">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75490DCA" w14:textId="6B9FB54C" w:rsidR="00004272" w:rsidRPr="00BA441F" w:rsidRDefault="00004272" w:rsidP="00090CDF">
      <w:pPr>
        <w:spacing w:after="60" w:line="240" w:lineRule="auto"/>
        <w:rPr>
          <w:rFonts w:ascii="Cambria" w:hAnsi="Cambria"/>
        </w:rPr>
      </w:pPr>
      <w:r w:rsidRPr="00561F12">
        <w:rPr>
          <w:rFonts w:ascii="Cambria" w:hAnsi="Cambria"/>
        </w:rPr>
        <w:t xml:space="preserve">The </w:t>
      </w:r>
      <w:r w:rsidRPr="00004272">
        <w:rPr>
          <w:rFonts w:ascii="Cambria" w:hAnsi="Cambria"/>
          <w:u w:val="single"/>
        </w:rPr>
        <w:t>OFT Data Collection</w:t>
      </w:r>
      <w:r w:rsidRPr="00561F12">
        <w:rPr>
          <w:rFonts w:ascii="Cambria" w:hAnsi="Cambria"/>
        </w:rPr>
        <w:t xml:space="preserve"> portion of </w:t>
      </w:r>
      <w:r w:rsidR="004A028E">
        <w:rPr>
          <w:rFonts w:ascii="Cambria" w:hAnsi="Cambria"/>
        </w:rPr>
        <w:t>t</w:t>
      </w:r>
      <w:r w:rsidRPr="00561F12">
        <w:rPr>
          <w:rFonts w:ascii="Cambria" w:hAnsi="Cambria"/>
        </w:rPr>
        <w:t>able 5</w:t>
      </w:r>
      <w:r w:rsidRPr="00BA441F">
        <w:rPr>
          <w:rFonts w:ascii="Cambria" w:hAnsi="Cambria"/>
        </w:rPr>
        <w:t xml:space="preserve"> shows the expected burden for the OFT data collection. The burden time estimates are based on the maximum reasonable expected burden per respondent:</w:t>
      </w:r>
    </w:p>
    <w:p w14:paraId="0EA30721"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1F554380"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p>
    <w:p w14:paraId="250B360E" w14:textId="1B4DFB69" w:rsidR="00004272" w:rsidRDefault="00004272" w:rsidP="00090CDF">
      <w:pPr>
        <w:pStyle w:val="ListParagraph"/>
        <w:numPr>
          <w:ilvl w:val="1"/>
          <w:numId w:val="18"/>
        </w:numPr>
        <w:spacing w:after="60" w:line="240" w:lineRule="auto"/>
        <w:ind w:left="72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 xml:space="preserve">will complete a teacher survey that is expected to take approximately 20 minutes to complete, and complete a teacher student record for each sampled student in their class, which is expected to take approximately 10 minutes per student to complete. </w:t>
      </w:r>
      <w:r w:rsidRPr="00EC437B">
        <w:rPr>
          <w:rFonts w:ascii="Cambria" w:hAnsi="Cambria"/>
        </w:rPr>
        <w:t>The teacher-level survey burd</w:t>
      </w:r>
      <w:r w:rsidR="006A3CD5">
        <w:rPr>
          <w:rFonts w:ascii="Cambria" w:hAnsi="Cambria"/>
        </w:rPr>
        <w:t>en estimates assume on average three 6</w:t>
      </w:r>
      <w:r w:rsidR="006A3CD5" w:rsidRPr="006A3CD5">
        <w:rPr>
          <w:rFonts w:ascii="Cambria" w:hAnsi="Cambria"/>
          <w:vertAlign w:val="superscript"/>
        </w:rPr>
        <w:t>th</w:t>
      </w:r>
      <w:r w:rsidR="006A3CD5">
        <w:rPr>
          <w:rFonts w:ascii="Cambria" w:hAnsi="Cambria"/>
        </w:rPr>
        <w:t xml:space="preserve"> grade </w:t>
      </w:r>
      <w:r w:rsidRPr="00EC437B">
        <w:rPr>
          <w:rFonts w:ascii="Cambria" w:hAnsi="Cambria"/>
        </w:rPr>
        <w:t xml:space="preserve">math </w:t>
      </w:r>
      <w:r w:rsidR="0019524D">
        <w:rPr>
          <w:rFonts w:ascii="Cambria" w:hAnsi="Cambria"/>
        </w:rPr>
        <w:t>teachers</w:t>
      </w:r>
      <w:r w:rsidR="0019524D" w:rsidRPr="00EC437B">
        <w:rPr>
          <w:rFonts w:ascii="Cambria" w:hAnsi="Cambria"/>
        </w:rPr>
        <w:t xml:space="preserve"> </w:t>
      </w:r>
      <w:r w:rsidRPr="00EC437B">
        <w:rPr>
          <w:rFonts w:ascii="Cambria" w:hAnsi="Cambria"/>
        </w:rPr>
        <w:t>per school</w:t>
      </w:r>
      <w:r w:rsidR="0019524D">
        <w:rPr>
          <w:rFonts w:ascii="Cambria" w:hAnsi="Cambria"/>
        </w:rPr>
        <w:t xml:space="preserve"> (with an average of approximately 12 students per teacher)</w:t>
      </w:r>
      <w:r w:rsidRPr="00EC437B">
        <w:rPr>
          <w:rFonts w:ascii="Cambria" w:hAnsi="Cambria"/>
        </w:rPr>
        <w:t>. With an estimated 50 schools needed for the OFT, this means approximately 150 mathematics teachers.</w:t>
      </w:r>
    </w:p>
    <w:p w14:paraId="3A258589" w14:textId="1C21695F" w:rsidR="00004272" w:rsidRPr="00EC437B" w:rsidRDefault="00004272" w:rsidP="00090CDF">
      <w:pPr>
        <w:pStyle w:val="ListParagraph"/>
        <w:numPr>
          <w:ilvl w:val="1"/>
          <w:numId w:val="18"/>
        </w:numPr>
        <w:spacing w:after="60" w:line="240" w:lineRule="auto"/>
        <w:ind w:left="720"/>
        <w:contextualSpacing w:val="0"/>
        <w:rPr>
          <w:rFonts w:ascii="Cambria" w:hAnsi="Cambria"/>
        </w:rPr>
      </w:pPr>
      <w:r>
        <w:rPr>
          <w:rFonts w:ascii="Cambria" w:hAnsi="Cambria"/>
        </w:rPr>
        <w:t xml:space="preserve">The special education teacher will complete a teacher survey that is expected to take approximately 10 minutes to complete, and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teacher-level survey burden estimates assume on average one special education teacher per school</w:t>
      </w:r>
      <w:r w:rsidR="0019524D">
        <w:rPr>
          <w:rFonts w:ascii="Cambria" w:hAnsi="Cambria"/>
        </w:rPr>
        <w:t xml:space="preserve"> (with an average of roughly 8 students per teacher)</w:t>
      </w:r>
      <w:r w:rsidRPr="00EC437B">
        <w:rPr>
          <w:rFonts w:ascii="Cambria" w:hAnsi="Cambria"/>
        </w:rPr>
        <w:t>. With an estimated 50 schools needed for the OFT, this means approximately 50 Special Education Teachers.</w:t>
      </w:r>
    </w:p>
    <w:p w14:paraId="4C80B96D"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1567094" w14:textId="77777777" w:rsidR="00004272" w:rsidRDefault="00004272" w:rsidP="00090CDF">
      <w:pPr>
        <w:pStyle w:val="ListParagraph"/>
        <w:numPr>
          <w:ilvl w:val="0"/>
          <w:numId w:val="16"/>
        </w:numPr>
        <w:spacing w:after="120" w:line="240" w:lineRule="auto"/>
        <w:ind w:left="720" w:hanging="36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10B1674D" w14:textId="77777777" w:rsidR="00ED7C90" w:rsidRDefault="001F4AF7" w:rsidP="00090CDF">
      <w:pPr>
        <w:spacing w:after="120" w:line="240" w:lineRule="auto"/>
        <w:rPr>
          <w:rFonts w:ascii="Cambria" w:hAnsi="Cambria"/>
        </w:rPr>
      </w:pPr>
      <w:r>
        <w:rPr>
          <w:rFonts w:ascii="Cambria" w:hAnsi="Cambria"/>
        </w:rPr>
        <w:t xml:space="preserve">The </w:t>
      </w:r>
      <w:r w:rsidRPr="001F4AF7">
        <w:rPr>
          <w:rFonts w:ascii="Cambria" w:hAnsi="Cambria"/>
          <w:u w:val="single"/>
        </w:rPr>
        <w:t>OFT Tracking</w:t>
      </w:r>
      <w:r w:rsidRPr="001F4AF7">
        <w:rPr>
          <w:rFonts w:ascii="Cambria" w:hAnsi="Cambria"/>
        </w:rPr>
        <w:t xml:space="preserve"> </w:t>
      </w:r>
      <w:r>
        <w:rPr>
          <w:rFonts w:ascii="Cambria" w:hAnsi="Cambria"/>
        </w:rPr>
        <w:t xml:space="preserve">portion of </w:t>
      </w:r>
      <w:r w:rsidR="004A028E">
        <w:rPr>
          <w:rFonts w:ascii="Cambria" w:hAnsi="Cambria"/>
        </w:rPr>
        <w:t>t</w:t>
      </w:r>
      <w:r w:rsidRPr="001F4AF7">
        <w:rPr>
          <w:rFonts w:ascii="Cambria" w:hAnsi="Cambria"/>
        </w:rPr>
        <w:t xml:space="preserve">able </w:t>
      </w:r>
      <w:r>
        <w:rPr>
          <w:rFonts w:ascii="Cambria" w:hAnsi="Cambria"/>
        </w:rPr>
        <w:t>5</w:t>
      </w:r>
      <w:r w:rsidRPr="001F4AF7">
        <w:rPr>
          <w:rFonts w:ascii="Cambria" w:hAnsi="Cambria"/>
        </w:rPr>
        <w:t xml:space="preserve"> shows the expected burden for the OFT enrollment status and tracking activities. The estimates of response burden for these proposed activities are based on </w:t>
      </w:r>
      <w:r w:rsidR="00890C43">
        <w:rPr>
          <w:rFonts w:ascii="Cambria" w:hAnsi="Cambria"/>
        </w:rPr>
        <w:t>tracking</w:t>
      </w:r>
      <w:r w:rsidRPr="001F4AF7">
        <w:rPr>
          <w:rFonts w:ascii="Cambria" w:hAnsi="Cambria"/>
        </w:rPr>
        <w:t xml:space="preserve"> experience</w:t>
      </w:r>
      <w:r w:rsidR="00890C43">
        <w:rPr>
          <w:rFonts w:ascii="Cambria" w:hAnsi="Cambria"/>
        </w:rPr>
        <w:t>s</w:t>
      </w:r>
      <w:r w:rsidRPr="001F4AF7">
        <w:rPr>
          <w:rFonts w:ascii="Cambria" w:hAnsi="Cambria"/>
        </w:rPr>
        <w:t xml:space="preserve"> </w:t>
      </w:r>
      <w:r w:rsidR="00890C43">
        <w:rPr>
          <w:rFonts w:ascii="Cambria" w:hAnsi="Cambria"/>
        </w:rPr>
        <w:t>in</w:t>
      </w:r>
      <w:r w:rsidRPr="001F4AF7">
        <w:rPr>
          <w:rFonts w:ascii="Cambria" w:hAnsi="Cambria"/>
        </w:rPr>
        <w:t xml:space="preserve"> HSLS:09.</w:t>
      </w:r>
    </w:p>
    <w:p w14:paraId="7AFE420C" w14:textId="77777777" w:rsidR="00ED7C90" w:rsidRDefault="001F4AF7" w:rsidP="00090CDF">
      <w:pPr>
        <w:spacing w:after="120" w:line="240" w:lineRule="auto"/>
        <w:rPr>
          <w:rFonts w:ascii="Cambria" w:hAnsi="Cambria"/>
        </w:rPr>
      </w:pPr>
      <w:r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Pr="001F4AF7">
        <w:rPr>
          <w:rFonts w:ascii="Cambria" w:hAnsi="Cambria"/>
        </w:rPr>
        <w:t xml:space="preserve">in Part B, we anticipate contacting </w:t>
      </w:r>
      <w:r w:rsidR="007B6626">
        <w:rPr>
          <w:rFonts w:ascii="Cambria" w:hAnsi="Cambria"/>
        </w:rPr>
        <w:t>all of the (</w:t>
      </w:r>
      <w:r w:rsidRPr="001F4AF7">
        <w:rPr>
          <w:rFonts w:ascii="Cambria" w:hAnsi="Cambria"/>
        </w:rPr>
        <w:t>approximately 50</w:t>
      </w:r>
      <w:r w:rsidR="007B6626">
        <w:rPr>
          <w:rFonts w:ascii="Cambria" w:hAnsi="Cambria"/>
        </w:rPr>
        <w:t>)</w:t>
      </w:r>
      <w:r w:rsidRPr="001F4AF7">
        <w:rPr>
          <w:rFonts w:ascii="Cambria" w:hAnsi="Cambria"/>
        </w:rPr>
        <w:t xml:space="preserve"> </w:t>
      </w:r>
      <w:r w:rsidR="007B6626">
        <w:rPr>
          <w:rFonts w:ascii="Cambria" w:hAnsi="Cambria"/>
        </w:rPr>
        <w:t xml:space="preserve">OFT base-year </w:t>
      </w:r>
      <w:r w:rsidRPr="001F4AF7">
        <w:rPr>
          <w:rFonts w:ascii="Cambria" w:hAnsi="Cambria"/>
        </w:rPr>
        <w:t xml:space="preserve">participating </w:t>
      </w:r>
      <w:r w:rsidRPr="008771D4">
        <w:rPr>
          <w:rFonts w:ascii="Cambria" w:hAnsi="Cambria"/>
        </w:rPr>
        <w:t>schools</w:t>
      </w:r>
      <w:r w:rsidRPr="001F4AF7">
        <w:rPr>
          <w:rFonts w:ascii="Cambria" w:hAnsi="Cambria"/>
        </w:rPr>
        <w:t xml:space="preserve">, and contacting the parents of </w:t>
      </w:r>
      <w:r w:rsidR="00A85D9A">
        <w:rPr>
          <w:rFonts w:ascii="Cambria" w:hAnsi="Cambria"/>
        </w:rPr>
        <w:t>the (</w:t>
      </w:r>
      <w:r w:rsidRPr="001F4AF7">
        <w:rPr>
          <w:rFonts w:ascii="Cambria" w:hAnsi="Cambria"/>
        </w:rPr>
        <w:t>approximately 1,</w:t>
      </w:r>
      <w:r w:rsidR="006164CB">
        <w:rPr>
          <w:rFonts w:ascii="Cambria" w:hAnsi="Cambria"/>
        </w:rPr>
        <w:t>12</w:t>
      </w:r>
      <w:r w:rsidR="006164CB" w:rsidRPr="001F4AF7">
        <w:rPr>
          <w:rFonts w:ascii="Cambria" w:hAnsi="Cambria"/>
        </w:rPr>
        <w:t>0</w:t>
      </w:r>
      <w:r w:rsidR="00A85D9A">
        <w:rPr>
          <w:rFonts w:ascii="Cambria" w:hAnsi="Cambria"/>
        </w:rPr>
        <w:t>)</w:t>
      </w:r>
      <w:r w:rsidRPr="001F4AF7">
        <w:rPr>
          <w:rFonts w:ascii="Cambria" w:hAnsi="Cambria"/>
        </w:rPr>
        <w:t xml:space="preserve"> </w:t>
      </w:r>
      <w:r w:rsidR="00A85D9A">
        <w:rPr>
          <w:rFonts w:ascii="Cambria" w:hAnsi="Cambria"/>
        </w:rPr>
        <w:t xml:space="preserve">OFT </w:t>
      </w:r>
      <w:r w:rsidR="006164CB">
        <w:rPr>
          <w:rFonts w:ascii="Cambria" w:hAnsi="Cambria"/>
        </w:rPr>
        <w:t>base-year participating</w:t>
      </w:r>
      <w:r w:rsidR="006164CB" w:rsidRPr="001F4AF7">
        <w:rPr>
          <w:rFonts w:ascii="Cambria" w:hAnsi="Cambria"/>
        </w:rPr>
        <w:t xml:space="preserve"> </w:t>
      </w:r>
      <w:r w:rsidRPr="001F4AF7">
        <w:rPr>
          <w:rFonts w:ascii="Cambria" w:hAnsi="Cambria"/>
        </w:rPr>
        <w:t xml:space="preserve">students. </w:t>
      </w:r>
      <w:r w:rsidR="00A85D9A">
        <w:rPr>
          <w:rFonts w:ascii="Cambria" w:hAnsi="Cambria"/>
        </w:rPr>
        <w:t xml:space="preserve">In addition, we will contact an estimated 25 schools to which students have </w:t>
      </w:r>
      <w:r w:rsidR="00A27BC7">
        <w:rPr>
          <w:rFonts w:ascii="Cambria" w:hAnsi="Cambria"/>
        </w:rPr>
        <w:t xml:space="preserve">moved (“mover schools”) for OFT enrollment status </w:t>
      </w:r>
      <w:r w:rsidR="0033210D">
        <w:rPr>
          <w:rFonts w:ascii="Cambria" w:hAnsi="Cambria"/>
        </w:rPr>
        <w:t>update</w:t>
      </w:r>
      <w:r w:rsidR="00A27BC7">
        <w:rPr>
          <w:rFonts w:ascii="Cambria" w:hAnsi="Cambria"/>
        </w:rPr>
        <w:t xml:space="preserve"> activities.</w:t>
      </w:r>
    </w:p>
    <w:p w14:paraId="2BA76F23" w14:textId="00D4B3B1" w:rsidR="001F4AF7" w:rsidRPr="001F4AF7" w:rsidRDefault="001F4AF7" w:rsidP="00090CDF">
      <w:pPr>
        <w:widowControl w:val="0"/>
        <w:spacing w:after="120" w:line="240" w:lineRule="auto"/>
        <w:rPr>
          <w:rFonts w:ascii="Cambria" w:hAnsi="Cambria"/>
        </w:rPr>
      </w:pPr>
      <w:r w:rsidRPr="001F4AF7">
        <w:rPr>
          <w:rFonts w:ascii="Cambria" w:hAnsi="Cambria"/>
        </w:rPr>
        <w:t>We estimate that it will take 20 minutes on average for school staff to provide enrollment status of sampled students and 5 minutes on average for parents to provide updated contact information.</w:t>
      </w:r>
    </w:p>
    <w:p w14:paraId="32E1E955" w14:textId="79CDC27B" w:rsidR="001F4AF7" w:rsidRDefault="001F4AF7" w:rsidP="00090CDF">
      <w:pPr>
        <w:spacing w:after="120" w:line="240" w:lineRule="auto"/>
        <w:rPr>
          <w:rFonts w:ascii="Cambria" w:hAnsi="Cambria"/>
        </w:rPr>
      </w:pPr>
      <w:r w:rsidRPr="001F4AF7">
        <w:rPr>
          <w:rFonts w:ascii="Cambria" w:hAnsi="Cambria"/>
        </w:rPr>
        <w:t>We project that approximately 95 percent of schools will provide enrollment status and 20 percent of parents will provide updated contact information.</w:t>
      </w:r>
    </w:p>
    <w:p w14:paraId="6C299968" w14:textId="384EA8EA" w:rsidR="00004272" w:rsidRDefault="00004272" w:rsidP="00090CDF">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Pr="00004272">
        <w:rPr>
          <w:rFonts w:ascii="Cambria" w:hAnsi="Cambria"/>
          <w:u w:val="single"/>
        </w:rPr>
        <w:t>Main Study Recruitment</w:t>
      </w:r>
      <w:r w:rsidRPr="00004272">
        <w:rPr>
          <w:rFonts w:ascii="Cambria" w:hAnsi="Cambria"/>
        </w:rPr>
        <w:t xml:space="preserve"> </w:t>
      </w:r>
      <w:r>
        <w:rPr>
          <w:rFonts w:ascii="Cambria" w:hAnsi="Cambria"/>
        </w:rPr>
        <w:t xml:space="preserve">portion of </w:t>
      </w:r>
      <w:r w:rsidR="004A028E">
        <w:rPr>
          <w:rFonts w:ascii="Cambria" w:hAnsi="Cambria"/>
        </w:rPr>
        <w:t>t</w:t>
      </w:r>
      <w:r w:rsidRPr="00BA441F">
        <w:rPr>
          <w:rFonts w:ascii="Cambria" w:hAnsi="Cambria"/>
        </w:rPr>
        <w:t xml:space="preserve">able </w:t>
      </w:r>
      <w:r>
        <w:rPr>
          <w:rFonts w:ascii="Cambria" w:hAnsi="Cambria"/>
        </w:rPr>
        <w:t>5</w:t>
      </w:r>
      <w:r w:rsidRPr="00BA441F">
        <w:rPr>
          <w:rFonts w:ascii="Cambria" w:hAnsi="Cambria"/>
        </w:rPr>
        <w:t xml:space="preserve"> shows the expected burden for districts, schools, and parents during the Main Study recruitment activities. For the Main Study</w:t>
      </w:r>
      <w:r>
        <w:rPr>
          <w:rFonts w:ascii="Cambria" w:hAnsi="Cambria"/>
        </w:rPr>
        <w:t xml:space="preserve"> Base-year</w:t>
      </w:r>
      <w:r w:rsidRPr="00BA441F">
        <w:rPr>
          <w:rFonts w:ascii="Cambria" w:hAnsi="Cambria"/>
        </w:rPr>
        <w:t xml:space="preserve">, we anticipate collecting data within </w:t>
      </w:r>
      <w:r>
        <w:rPr>
          <w:rFonts w:ascii="Cambria" w:hAnsi="Cambria"/>
        </w:rPr>
        <w:t>9</w:t>
      </w:r>
      <w:r w:rsidRPr="00BA441F">
        <w:rPr>
          <w:rFonts w:ascii="Cambria" w:hAnsi="Cambria"/>
        </w:rPr>
        <w:t>00 schools</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w:t>
      </w:r>
      <w:r>
        <w:rPr>
          <w:rFonts w:ascii="Cambria" w:hAnsi="Cambria"/>
        </w:rPr>
        <w:lastRenderedPageBreak/>
        <w:t>the school sampling process will include a reserve sample. Assuming a 60 percent school participation rate, we will need to contact approximately 1,500 schools to get to a yield of 900.</w:t>
      </w:r>
    </w:p>
    <w:p w14:paraId="12EF1B1A" w14:textId="77777777" w:rsidR="00004272" w:rsidRPr="00BA441F" w:rsidRDefault="00004272" w:rsidP="00090CDF">
      <w:pPr>
        <w:spacing w:after="120" w:line="240" w:lineRule="auto"/>
        <w:rPr>
          <w:rFonts w:ascii="Cambria" w:hAnsi="Cambria"/>
        </w:rPr>
      </w:pPr>
      <w:r>
        <w:rPr>
          <w:rFonts w:ascii="Cambria" w:hAnsi="Cambria"/>
        </w:rPr>
        <w:t>The student sampling process is designed to achieve approximately 20,322 grade 6 participants (Part B, Table 4), to obtain which we plan to sample approximately 26,100 students (Part B).</w:t>
      </w:r>
      <w:r w:rsidRPr="00BA441F">
        <w:rPr>
          <w:rFonts w:ascii="Cambria" w:hAnsi="Cambria"/>
        </w:rPr>
        <w:t xml:space="preserve"> In order to draw samples of students with disabilities, we </w:t>
      </w:r>
      <w:r>
        <w:rPr>
          <w:rFonts w:ascii="Cambria" w:hAnsi="Cambria"/>
        </w:rPr>
        <w:t>estimate needing</w:t>
      </w:r>
      <w:r w:rsidRPr="00BA441F">
        <w:rPr>
          <w:rFonts w:ascii="Cambria" w:hAnsi="Cambria"/>
        </w:rPr>
        <w:t xml:space="preserve"> to </w:t>
      </w:r>
      <w:r>
        <w:rPr>
          <w:rFonts w:ascii="Cambria" w:hAnsi="Cambria"/>
        </w:rPr>
        <w:t>request</w:t>
      </w:r>
      <w:r w:rsidRPr="00BA441F">
        <w:rPr>
          <w:rFonts w:ascii="Cambria" w:hAnsi="Cambria"/>
        </w:rPr>
        <w:t xml:space="preserve"> student records from up to four districts.</w:t>
      </w:r>
    </w:p>
    <w:p w14:paraId="79EF7E19" w14:textId="180F2C9D" w:rsidR="00004272" w:rsidRDefault="00004272" w:rsidP="00090CDF">
      <w:pPr>
        <w:spacing w:after="120" w:line="240" w:lineRule="auto"/>
        <w:rPr>
          <w:rFonts w:ascii="Cambria" w:hAnsi="Cambria"/>
        </w:rPr>
      </w:pPr>
      <w:r w:rsidRPr="00BA441F">
        <w:rPr>
          <w:rFonts w:ascii="Cambria" w:hAnsi="Cambria"/>
        </w:rPr>
        <w:t xml:space="preserve">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Main Study. For those participating, we estimate an additional 4 hours for the provision of student rosters, including information about students for sampling, contact information for their parents, and their math and special education teachers (see Appendices </w:t>
      </w:r>
      <w:r>
        <w:rPr>
          <w:rFonts w:ascii="Cambria" w:hAnsi="Cambria"/>
        </w:rPr>
        <w:t>MS1-</w:t>
      </w:r>
      <w:r w:rsidR="00863CDA">
        <w:rPr>
          <w:rFonts w:ascii="Cambria" w:hAnsi="Cambria"/>
        </w:rPr>
        <w:t>S</w:t>
      </w:r>
      <w:r w:rsidRPr="00BA441F">
        <w:rPr>
          <w:rFonts w:ascii="Cambria" w:hAnsi="Cambria"/>
        </w:rPr>
        <w:t xml:space="preserve"> and </w:t>
      </w:r>
      <w:r>
        <w:rPr>
          <w:rFonts w:ascii="Cambria" w:hAnsi="Cambria"/>
        </w:rPr>
        <w:t>MS1-</w:t>
      </w:r>
      <w:r w:rsidR="00863CDA">
        <w:rPr>
          <w:rFonts w:ascii="Cambria" w:hAnsi="Cambria"/>
        </w:rPr>
        <w:t>T</w:t>
      </w:r>
      <w:r w:rsidRPr="00BA441F">
        <w:rPr>
          <w:rFonts w:ascii="Cambria" w:hAnsi="Cambria"/>
        </w:rPr>
        <w:t>). 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16AA1738" w14:textId="55926E17" w:rsidR="00890C43" w:rsidRPr="00CA4FF8" w:rsidRDefault="00890C43" w:rsidP="00090CDF">
      <w:pPr>
        <w:widowControl w:val="0"/>
        <w:spacing w:after="120" w:line="240" w:lineRule="auto"/>
        <w:rPr>
          <w:rFonts w:ascii="Cambria" w:hAnsi="Cambria"/>
        </w:rPr>
      </w:pPr>
      <w:r w:rsidRPr="00890C43">
        <w:rPr>
          <w:rFonts w:ascii="Cambria" w:hAnsi="Cambria"/>
        </w:rPr>
        <w:t xml:space="preserve">The total response burden estimate for </w:t>
      </w:r>
      <w:r>
        <w:rPr>
          <w:rFonts w:ascii="Cambria" w:hAnsi="Cambria"/>
        </w:rPr>
        <w:t xml:space="preserve">district </w:t>
      </w:r>
      <w:r w:rsidRPr="00890C43">
        <w:rPr>
          <w:rFonts w:ascii="Cambria" w:hAnsi="Cambria"/>
        </w:rPr>
        <w:t xml:space="preserve">IRB approvals </w:t>
      </w:r>
      <w:r>
        <w:rPr>
          <w:rFonts w:ascii="Cambria" w:hAnsi="Cambria"/>
        </w:rPr>
        <w:t xml:space="preserve">(in the </w:t>
      </w:r>
      <w:r w:rsidRPr="00890C43">
        <w:rPr>
          <w:rFonts w:ascii="Cambria" w:hAnsi="Cambria"/>
        </w:rPr>
        <w:t xml:space="preserve">special handling districts </w:t>
      </w:r>
      <w:r>
        <w:rPr>
          <w:rFonts w:ascii="Cambria" w:hAnsi="Cambria"/>
        </w:rPr>
        <w:t>that</w:t>
      </w:r>
      <w:r w:rsidRPr="00890C43">
        <w:rPr>
          <w:rFonts w:ascii="Cambria" w:hAnsi="Cambria"/>
        </w:rPr>
        <w:t xml:space="preserve"> require completion of a research application before they will allow schools under their jurisdiction to participate in a study</w:t>
      </w:r>
      <w:r>
        <w:rPr>
          <w:rFonts w:ascii="Cambria" w:hAnsi="Cambria"/>
        </w:rPr>
        <w:t>) is</w:t>
      </w:r>
      <w:r w:rsidRPr="00890C43">
        <w:rPr>
          <w:rFonts w:ascii="Cambria" w:hAnsi="Cambria"/>
        </w:rPr>
        <w:t xml:space="preserve"> based on </w:t>
      </w:r>
      <w:r w:rsidR="00A27BC7">
        <w:rPr>
          <w:rFonts w:ascii="Cambria" w:hAnsi="Cambria"/>
        </w:rPr>
        <w:t xml:space="preserve">an </w:t>
      </w:r>
      <w:r w:rsidR="00705DC2">
        <w:rPr>
          <w:rFonts w:ascii="Cambria" w:hAnsi="Cambria"/>
        </w:rPr>
        <w:t xml:space="preserve">estimated </w:t>
      </w:r>
      <w:r w:rsidRPr="00890C43">
        <w:rPr>
          <w:rFonts w:ascii="Cambria" w:hAnsi="Cambria"/>
        </w:rPr>
        <w:t xml:space="preserve">120 minutes for </w:t>
      </w:r>
      <w:r w:rsidR="00705DC2">
        <w:rPr>
          <w:rFonts w:ascii="Cambria" w:hAnsi="Cambria"/>
        </w:rPr>
        <w:t xml:space="preserve">IRB </w:t>
      </w:r>
      <w:r w:rsidRPr="00890C43">
        <w:rPr>
          <w:rFonts w:ascii="Cambria" w:hAnsi="Cambria"/>
        </w:rPr>
        <w:t xml:space="preserve">staff approval and </w:t>
      </w:r>
      <w:r>
        <w:rPr>
          <w:rFonts w:ascii="Cambria" w:hAnsi="Cambria"/>
        </w:rPr>
        <w:t>12</w:t>
      </w:r>
      <w:r w:rsidRPr="00890C43">
        <w:rPr>
          <w:rFonts w:ascii="Cambria" w:hAnsi="Cambria"/>
        </w:rPr>
        <w:t xml:space="preserve">0 minutes </w:t>
      </w:r>
      <w:r>
        <w:rPr>
          <w:rFonts w:ascii="Cambria" w:hAnsi="Cambria"/>
        </w:rPr>
        <w:t xml:space="preserve">per panelist </w:t>
      </w:r>
      <w:r w:rsidRPr="00890C43">
        <w:rPr>
          <w:rFonts w:ascii="Cambria" w:hAnsi="Cambria"/>
        </w:rPr>
        <w:t>for approval</w:t>
      </w:r>
      <w:r>
        <w:rPr>
          <w:rFonts w:ascii="Cambria" w:hAnsi="Cambria"/>
        </w:rPr>
        <w:t xml:space="preserve"> by the district’s IRB panel, which is estimated </w:t>
      </w:r>
      <w:r w:rsidR="00705DC2">
        <w:rPr>
          <w:rFonts w:ascii="Cambria" w:hAnsi="Cambria"/>
        </w:rPr>
        <w:t>to</w:t>
      </w:r>
      <w:r>
        <w:rPr>
          <w:rFonts w:ascii="Cambria" w:hAnsi="Cambria"/>
        </w:rPr>
        <w:t xml:space="preserve"> average 5 panelists</w:t>
      </w:r>
      <w:r w:rsidRPr="00890C43">
        <w:rPr>
          <w:rFonts w:ascii="Cambria" w:hAnsi="Cambria"/>
        </w:rPr>
        <w:t>.</w:t>
      </w:r>
    </w:p>
    <w:p w14:paraId="015834A4" w14:textId="77777777" w:rsidR="00090CDF" w:rsidRDefault="00090CDF">
      <w:pPr>
        <w:spacing w:after="240" w:line="259" w:lineRule="auto"/>
        <w:ind w:hanging="360"/>
        <w:rPr>
          <w:rFonts w:ascii="Cambria" w:eastAsia="Times New Roman" w:hAnsi="Cambria" w:cstheme="minorHAnsi"/>
          <w:b/>
        </w:rPr>
      </w:pPr>
      <w:bookmarkStart w:id="32" w:name="_Toc412022733"/>
      <w:r>
        <w:br w:type="page"/>
      </w:r>
    </w:p>
    <w:p w14:paraId="22EC9AFD" w14:textId="0AC34C71" w:rsidR="00B427AD" w:rsidRPr="0001752B" w:rsidRDefault="00B427AD" w:rsidP="00D83027">
      <w:pPr>
        <w:pStyle w:val="TableTitle"/>
      </w:pPr>
      <w:r w:rsidRPr="0001752B">
        <w:lastRenderedPageBreak/>
        <w:t xml:space="preserve">Table </w:t>
      </w:r>
      <w:r w:rsidR="000401B9">
        <w:t>5</w:t>
      </w:r>
      <w:r w:rsidRPr="0001752B">
        <w:t xml:space="preserve">. </w:t>
      </w:r>
      <w:r w:rsidR="005F7141" w:rsidRPr="0001752B">
        <w:t xml:space="preserve">OFT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852"/>
        <w:gridCol w:w="928"/>
        <w:gridCol w:w="1239"/>
        <w:gridCol w:w="1239"/>
        <w:gridCol w:w="930"/>
        <w:gridCol w:w="723"/>
        <w:gridCol w:w="1134"/>
        <w:gridCol w:w="1141"/>
      </w:tblGrid>
      <w:tr w:rsidR="0049727F" w:rsidRPr="00651C99" w14:paraId="32DEDCD7" w14:textId="77777777" w:rsidTr="00004272">
        <w:trPr>
          <w:trHeight w:val="20"/>
        </w:trPr>
        <w:tc>
          <w:tcPr>
            <w:tcW w:w="1261" w:type="pct"/>
            <w:shd w:val="clear" w:color="auto" w:fill="auto"/>
            <w:vAlign w:val="center"/>
            <w:hideMark/>
          </w:tcPr>
          <w:p w14:paraId="4C724E51"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hAnsiTheme="minorHAnsi" w:cstheme="minorHAnsi"/>
                <w:b/>
                <w:sz w:val="18"/>
                <w:szCs w:val="18"/>
              </w:rPr>
              <w:t>Operational Field Test (OFT)</w:t>
            </w:r>
          </w:p>
        </w:tc>
        <w:tc>
          <w:tcPr>
            <w:tcW w:w="389" w:type="pct"/>
            <w:vAlign w:val="center"/>
          </w:tcPr>
          <w:p w14:paraId="5833518A"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424" w:type="pct"/>
            <w:vAlign w:val="center"/>
          </w:tcPr>
          <w:p w14:paraId="43CC0C59" w14:textId="77777777"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66" w:type="pct"/>
            <w:vAlign w:val="center"/>
          </w:tcPr>
          <w:p w14:paraId="06029DC8"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566" w:type="pct"/>
            <w:shd w:val="clear" w:color="auto" w:fill="auto"/>
            <w:vAlign w:val="center"/>
            <w:hideMark/>
          </w:tcPr>
          <w:p w14:paraId="2D6BC744"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25" w:type="pct"/>
            <w:shd w:val="clear" w:color="auto" w:fill="auto"/>
            <w:vAlign w:val="center"/>
            <w:hideMark/>
          </w:tcPr>
          <w:p w14:paraId="1AC84BBB" w14:textId="4D9247F4"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 xml:space="preserve">Average </w:t>
            </w:r>
            <w:r w:rsidR="006E1D7C" w:rsidRPr="00651C99">
              <w:rPr>
                <w:rFonts w:asciiTheme="minorHAnsi" w:eastAsia="Times New Roman" w:hAnsiTheme="minorHAnsi" w:cs="Calibri"/>
                <w:b/>
                <w:bCs/>
                <w:color w:val="000000"/>
                <w:sz w:val="18"/>
                <w:szCs w:val="18"/>
              </w:rPr>
              <w:t xml:space="preserve">Burden Time </w:t>
            </w:r>
            <w:r w:rsidRPr="00651C99">
              <w:rPr>
                <w:rFonts w:asciiTheme="minorHAnsi" w:eastAsia="Times New Roman" w:hAnsiTheme="minorHAnsi" w:cs="Calibri"/>
                <w:b/>
                <w:bCs/>
                <w:color w:val="000000"/>
                <w:sz w:val="18"/>
                <w:szCs w:val="18"/>
              </w:rPr>
              <w:t>(minutes)</w:t>
            </w:r>
          </w:p>
        </w:tc>
        <w:tc>
          <w:tcPr>
            <w:tcW w:w="330" w:type="pct"/>
            <w:shd w:val="clear" w:color="auto" w:fill="auto"/>
            <w:vAlign w:val="center"/>
            <w:hideMark/>
          </w:tcPr>
          <w:p w14:paraId="110DF81D" w14:textId="6CFE7C2A" w:rsidR="005F7141" w:rsidRPr="00651C99" w:rsidRDefault="006E1D7C"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w:t>
            </w:r>
            <w:r w:rsidR="005F7141" w:rsidRPr="00651C99">
              <w:rPr>
                <w:rFonts w:asciiTheme="minorHAnsi" w:eastAsia="Times New Roman" w:hAnsiTheme="minorHAnsi" w:cs="Calibri"/>
                <w:b/>
                <w:bCs/>
                <w:color w:val="000000"/>
                <w:sz w:val="18"/>
                <w:szCs w:val="18"/>
              </w:rPr>
              <w:t>den (hours)</w:t>
            </w:r>
          </w:p>
        </w:tc>
        <w:tc>
          <w:tcPr>
            <w:tcW w:w="518" w:type="pct"/>
            <w:shd w:val="clear" w:color="auto" w:fill="auto"/>
            <w:vAlign w:val="center"/>
            <w:hideMark/>
          </w:tcPr>
          <w:p w14:paraId="5FF42655" w14:textId="1DDAC2D7" w:rsidR="005F7141" w:rsidRPr="00651C99" w:rsidRDefault="006E1D7C" w:rsidP="006E1D7C">
            <w:pPr>
              <w:spacing w:after="0" w:line="240" w:lineRule="auto"/>
              <w:ind w:left="-108" w:right="-109"/>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Pr>
                <w:rFonts w:asciiTheme="minorHAnsi" w:eastAsia="Times New Roman" w:hAnsiTheme="minorHAnsi" w:cs="Calibri"/>
                <w:b/>
                <w:bCs/>
                <w:color w:val="000000"/>
                <w:sz w:val="18"/>
                <w:szCs w:val="18"/>
              </w:rPr>
              <w:t>R</w:t>
            </w:r>
            <w:r w:rsidRPr="00651C99">
              <w:rPr>
                <w:rFonts w:asciiTheme="minorHAnsi" w:eastAsia="Times New Roman" w:hAnsiTheme="minorHAnsi" w:cs="Calibri"/>
                <w:b/>
                <w:bCs/>
                <w:color w:val="000000"/>
                <w:sz w:val="18"/>
                <w:szCs w:val="18"/>
              </w:rPr>
              <w:t>espondent Average Hourly Wage</w:t>
            </w:r>
            <w:r w:rsidR="005F7141" w:rsidRPr="00651C99">
              <w:rPr>
                <w:rFonts w:asciiTheme="minorHAnsi" w:eastAsia="Times New Roman" w:hAnsiTheme="minorHAnsi" w:cs="Calibri"/>
                <w:b/>
                <w:bCs/>
                <w:color w:val="000000"/>
                <w:sz w:val="18"/>
                <w:szCs w:val="18"/>
                <w:vertAlign w:val="superscript"/>
              </w:rPr>
              <w:t>1</w:t>
            </w:r>
          </w:p>
        </w:tc>
        <w:tc>
          <w:tcPr>
            <w:tcW w:w="521" w:type="pct"/>
            <w:shd w:val="clear" w:color="auto" w:fill="auto"/>
            <w:vAlign w:val="center"/>
            <w:hideMark/>
          </w:tcPr>
          <w:p w14:paraId="346F74C1" w14:textId="3C0B6F98" w:rsidR="005F7141" w:rsidRPr="00651C99" w:rsidRDefault="006E1D7C" w:rsidP="006E1D7C">
            <w:pPr>
              <w:spacing w:after="0" w:line="240" w:lineRule="auto"/>
              <w:ind w:left="-107" w:right="-36"/>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sidR="00EF16F5" w:rsidRPr="006E1D7C">
              <w:rPr>
                <w:rFonts w:asciiTheme="minorHAnsi" w:eastAsia="Times New Roman" w:hAnsiTheme="minorHAnsi" w:cs="Calibri"/>
                <w:b/>
                <w:bCs/>
                <w:color w:val="000000"/>
                <w:sz w:val="18"/>
                <w:szCs w:val="18"/>
              </w:rPr>
              <w:t>Respondent Burden Time Cost</w:t>
            </w:r>
          </w:p>
        </w:tc>
      </w:tr>
      <w:tr w:rsidR="00EF16F5" w:rsidRPr="00651C99" w14:paraId="2B834E88" w14:textId="77777777" w:rsidTr="00561F12">
        <w:trPr>
          <w:trHeight w:val="20"/>
        </w:trPr>
        <w:tc>
          <w:tcPr>
            <w:tcW w:w="5000" w:type="pct"/>
            <w:gridSpan w:val="9"/>
            <w:shd w:val="clear" w:color="auto" w:fill="auto"/>
            <w:vAlign w:val="center"/>
          </w:tcPr>
          <w:p w14:paraId="72C931AA" w14:textId="784BB325" w:rsidR="00EF16F5" w:rsidRPr="00651C99" w:rsidRDefault="000401B9" w:rsidP="00004272">
            <w:pPr>
              <w:pStyle w:val="NoSpacing"/>
              <w:rPr>
                <w:rFonts w:cstheme="minorHAnsi"/>
                <w:b/>
                <w:i/>
                <w:sz w:val="18"/>
                <w:szCs w:val="18"/>
              </w:rPr>
            </w:pPr>
            <w:r>
              <w:rPr>
                <w:rFonts w:cstheme="minorHAnsi"/>
                <w:b/>
                <w:i/>
                <w:sz w:val="18"/>
                <w:szCs w:val="18"/>
              </w:rPr>
              <w:t>OFT Recruitment</w:t>
            </w:r>
          </w:p>
        </w:tc>
      </w:tr>
      <w:tr w:rsidR="000401B9" w:rsidRPr="005F38E7" w14:paraId="4BCCBC98" w14:textId="77777777" w:rsidTr="00004272">
        <w:trPr>
          <w:trHeight w:val="20"/>
        </w:trPr>
        <w:tc>
          <w:tcPr>
            <w:tcW w:w="1261" w:type="pct"/>
            <w:shd w:val="clear" w:color="auto" w:fill="auto"/>
            <w:vAlign w:val="center"/>
          </w:tcPr>
          <w:p w14:paraId="67686FFA" w14:textId="4EE9DD24"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2C9CA8FB" w14:textId="2A108E6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12</w:t>
            </w:r>
          </w:p>
        </w:tc>
        <w:tc>
          <w:tcPr>
            <w:tcW w:w="424" w:type="pct"/>
            <w:vAlign w:val="center"/>
          </w:tcPr>
          <w:p w14:paraId="110B72E3" w14:textId="62FB861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67%</w:t>
            </w:r>
          </w:p>
        </w:tc>
        <w:tc>
          <w:tcPr>
            <w:tcW w:w="566" w:type="pct"/>
            <w:vAlign w:val="center"/>
          </w:tcPr>
          <w:p w14:paraId="7F432FCC" w14:textId="1B1FBB8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566" w:type="pct"/>
            <w:shd w:val="clear" w:color="auto" w:fill="auto"/>
            <w:noWrap/>
            <w:vAlign w:val="center"/>
          </w:tcPr>
          <w:p w14:paraId="4F8DB44C" w14:textId="301DAC37"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425" w:type="pct"/>
            <w:shd w:val="clear" w:color="auto" w:fill="auto"/>
            <w:noWrap/>
            <w:vAlign w:val="center"/>
          </w:tcPr>
          <w:p w14:paraId="0A4AA5F3" w14:textId="135755B1"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6CCD02B0" w14:textId="620D351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w:t>
            </w:r>
          </w:p>
        </w:tc>
        <w:tc>
          <w:tcPr>
            <w:tcW w:w="518" w:type="pct"/>
            <w:shd w:val="clear" w:color="auto" w:fill="auto"/>
            <w:noWrap/>
            <w:vAlign w:val="center"/>
          </w:tcPr>
          <w:p w14:paraId="0FED089C" w14:textId="4950CCFD"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3700717" w14:textId="726A4578" w:rsidR="000401B9" w:rsidRPr="005F38E7" w:rsidRDefault="000401B9" w:rsidP="00561F12">
            <w:pPr>
              <w:pStyle w:val="NoSpacing"/>
              <w:jc w:val="right"/>
              <w:rPr>
                <w:sz w:val="18"/>
                <w:szCs w:val="18"/>
              </w:rPr>
            </w:pPr>
            <w:r w:rsidRPr="005F38E7">
              <w:rPr>
                <w:sz w:val="18"/>
                <w:szCs w:val="18"/>
              </w:rPr>
              <w:t xml:space="preserve">$132 </w:t>
            </w:r>
          </w:p>
        </w:tc>
      </w:tr>
      <w:tr w:rsidR="000401B9" w:rsidRPr="005F38E7" w14:paraId="12086E89" w14:textId="77777777" w:rsidTr="00004272">
        <w:trPr>
          <w:trHeight w:val="20"/>
        </w:trPr>
        <w:tc>
          <w:tcPr>
            <w:tcW w:w="1261" w:type="pct"/>
            <w:shd w:val="clear" w:color="auto" w:fill="auto"/>
            <w:vAlign w:val="center"/>
          </w:tcPr>
          <w:p w14:paraId="086BF8C0" w14:textId="51AE5B46"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313295F3" w14:textId="2CA978D4" w:rsidR="000401B9" w:rsidRPr="005F38E7" w:rsidRDefault="000401B9" w:rsidP="00561F12">
            <w:pPr>
              <w:pStyle w:val="NoSpacing"/>
              <w:jc w:val="right"/>
              <w:rPr>
                <w:rFonts w:cstheme="minorHAnsi"/>
                <w:sz w:val="18"/>
                <w:szCs w:val="18"/>
              </w:rPr>
            </w:pPr>
          </w:p>
        </w:tc>
        <w:tc>
          <w:tcPr>
            <w:tcW w:w="424" w:type="pct"/>
            <w:vAlign w:val="center"/>
          </w:tcPr>
          <w:p w14:paraId="7CAF4797" w14:textId="293FBA5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33%</w:t>
            </w:r>
          </w:p>
        </w:tc>
        <w:tc>
          <w:tcPr>
            <w:tcW w:w="566" w:type="pct"/>
            <w:vAlign w:val="center"/>
          </w:tcPr>
          <w:p w14:paraId="6B5A7486" w14:textId="1D4B5D46"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566" w:type="pct"/>
            <w:shd w:val="clear" w:color="auto" w:fill="auto"/>
            <w:noWrap/>
            <w:vAlign w:val="center"/>
          </w:tcPr>
          <w:p w14:paraId="08351E83" w14:textId="6BBBFD8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425" w:type="pct"/>
            <w:shd w:val="clear" w:color="auto" w:fill="auto"/>
            <w:noWrap/>
            <w:vAlign w:val="center"/>
          </w:tcPr>
          <w:p w14:paraId="78E0355E" w14:textId="5F00F24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4C6C56AD" w14:textId="602C48F2"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73460A87" w14:textId="33CB5CCF"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610EDB85" w14:textId="6F02EC8D"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7A0BBB09" w14:textId="77777777" w:rsidTr="00004272">
        <w:trPr>
          <w:trHeight w:val="20"/>
        </w:trPr>
        <w:tc>
          <w:tcPr>
            <w:tcW w:w="1261" w:type="pct"/>
            <w:shd w:val="clear" w:color="auto" w:fill="auto"/>
            <w:vAlign w:val="center"/>
          </w:tcPr>
          <w:p w14:paraId="119B4B41" w14:textId="5E39D88E"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0DA2BF9A" w14:textId="7B54CA2D" w:rsidR="000401B9" w:rsidRPr="005F38E7" w:rsidRDefault="000401B9" w:rsidP="005F38E7">
            <w:pPr>
              <w:pStyle w:val="NoSpacing"/>
              <w:jc w:val="right"/>
              <w:rPr>
                <w:rFonts w:cstheme="minorHAnsi"/>
                <w:sz w:val="18"/>
                <w:szCs w:val="18"/>
              </w:rPr>
            </w:pPr>
            <w:r w:rsidRPr="005F38E7">
              <w:rPr>
                <w:rFonts w:eastAsia="Times New Roman" w:cs="Calibri"/>
                <w:color w:val="000000"/>
                <w:sz w:val="18"/>
                <w:szCs w:val="18"/>
              </w:rPr>
              <w:t>103</w:t>
            </w:r>
            <w:r w:rsidR="005F38E7" w:rsidRPr="005F38E7">
              <w:rPr>
                <w:rFonts w:eastAsia="Times New Roman" w:cs="Calibri"/>
                <w:color w:val="000000"/>
                <w:sz w:val="18"/>
                <w:szCs w:val="18"/>
                <w:vertAlign w:val="superscript"/>
              </w:rPr>
              <w:t>2</w:t>
            </w:r>
          </w:p>
        </w:tc>
        <w:tc>
          <w:tcPr>
            <w:tcW w:w="424" w:type="pct"/>
            <w:vAlign w:val="center"/>
          </w:tcPr>
          <w:p w14:paraId="379D3942" w14:textId="6C7C5D4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r w:rsidR="005F38E7" w:rsidRPr="005F38E7">
              <w:rPr>
                <w:rFonts w:eastAsia="Times New Roman" w:cs="Calibri"/>
                <w:color w:val="000000"/>
                <w:sz w:val="18"/>
                <w:szCs w:val="18"/>
                <w:vertAlign w:val="superscript"/>
              </w:rPr>
              <w:t>2</w:t>
            </w:r>
          </w:p>
        </w:tc>
        <w:tc>
          <w:tcPr>
            <w:tcW w:w="566" w:type="pct"/>
            <w:vAlign w:val="center"/>
          </w:tcPr>
          <w:p w14:paraId="25AA694D" w14:textId="28C2598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15967E06" w14:textId="42F240B4"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496D77DB" w14:textId="62A901FF"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079BF7EF" w14:textId="08BE6DD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05834A78" w14:textId="0C891259"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8CC8B61" w14:textId="0191A51F"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6C25CFAB" w14:textId="77777777" w:rsidTr="00004272">
        <w:trPr>
          <w:trHeight w:val="20"/>
        </w:trPr>
        <w:tc>
          <w:tcPr>
            <w:tcW w:w="1261" w:type="pct"/>
            <w:shd w:val="clear" w:color="auto" w:fill="auto"/>
            <w:vAlign w:val="center"/>
          </w:tcPr>
          <w:p w14:paraId="59BDF6D4" w14:textId="4B783FFF"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67B31B6C" w14:textId="77777777" w:rsidR="000401B9" w:rsidRPr="005F38E7" w:rsidRDefault="000401B9" w:rsidP="00561F12">
            <w:pPr>
              <w:pStyle w:val="NoSpacing"/>
              <w:jc w:val="right"/>
              <w:rPr>
                <w:rFonts w:cstheme="minorHAnsi"/>
                <w:sz w:val="18"/>
                <w:szCs w:val="18"/>
              </w:rPr>
            </w:pPr>
          </w:p>
        </w:tc>
        <w:tc>
          <w:tcPr>
            <w:tcW w:w="424" w:type="pct"/>
            <w:vAlign w:val="center"/>
          </w:tcPr>
          <w:p w14:paraId="5D2FFA77" w14:textId="5F3BFA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vAlign w:val="center"/>
          </w:tcPr>
          <w:p w14:paraId="14A88737" w14:textId="1AF840F3"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2058169C" w14:textId="40E066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6E68190A" w14:textId="7BBB784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2A958195" w14:textId="6202FA2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217</w:t>
            </w:r>
          </w:p>
        </w:tc>
        <w:tc>
          <w:tcPr>
            <w:tcW w:w="518" w:type="pct"/>
            <w:shd w:val="clear" w:color="auto" w:fill="auto"/>
            <w:noWrap/>
            <w:vAlign w:val="center"/>
          </w:tcPr>
          <w:p w14:paraId="4498E8A7" w14:textId="2743EF28"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392218FF" w14:textId="743A9976" w:rsidR="000401B9" w:rsidRPr="005F38E7" w:rsidRDefault="000401B9" w:rsidP="00561F12">
            <w:pPr>
              <w:pStyle w:val="NoSpacing"/>
              <w:jc w:val="right"/>
              <w:rPr>
                <w:sz w:val="18"/>
                <w:szCs w:val="18"/>
              </w:rPr>
            </w:pPr>
            <w:r w:rsidRPr="005F38E7">
              <w:rPr>
                <w:sz w:val="18"/>
                <w:szCs w:val="18"/>
              </w:rPr>
              <w:t xml:space="preserve">$9,576 </w:t>
            </w:r>
          </w:p>
        </w:tc>
      </w:tr>
      <w:tr w:rsidR="000401B9" w:rsidRPr="005F38E7" w14:paraId="692259BC" w14:textId="77777777" w:rsidTr="00004272">
        <w:trPr>
          <w:trHeight w:val="20"/>
        </w:trPr>
        <w:tc>
          <w:tcPr>
            <w:tcW w:w="1261" w:type="pct"/>
            <w:shd w:val="clear" w:color="auto" w:fill="auto"/>
            <w:vAlign w:val="center"/>
          </w:tcPr>
          <w:p w14:paraId="7551E7DA" w14:textId="071E2C19"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62388E27" w14:textId="2B8E61A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1,750</w:t>
            </w:r>
          </w:p>
        </w:tc>
        <w:tc>
          <w:tcPr>
            <w:tcW w:w="424" w:type="pct"/>
            <w:vAlign w:val="center"/>
          </w:tcPr>
          <w:p w14:paraId="2EB26707" w14:textId="1045CBDE"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64%</w:t>
            </w:r>
          </w:p>
        </w:tc>
        <w:tc>
          <w:tcPr>
            <w:tcW w:w="566" w:type="pct"/>
            <w:vAlign w:val="center"/>
          </w:tcPr>
          <w:p w14:paraId="0D2750DC" w14:textId="60AAC8F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566" w:type="pct"/>
            <w:shd w:val="clear" w:color="auto" w:fill="auto"/>
            <w:noWrap/>
            <w:vAlign w:val="center"/>
          </w:tcPr>
          <w:p w14:paraId="3855CF2E" w14:textId="12EC398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425" w:type="pct"/>
            <w:shd w:val="clear" w:color="auto" w:fill="auto"/>
            <w:noWrap/>
            <w:vAlign w:val="center"/>
          </w:tcPr>
          <w:p w14:paraId="4EF9E795" w14:textId="0B6766F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10</w:t>
            </w:r>
          </w:p>
        </w:tc>
        <w:tc>
          <w:tcPr>
            <w:tcW w:w="330" w:type="pct"/>
            <w:shd w:val="clear" w:color="auto" w:fill="auto"/>
            <w:noWrap/>
            <w:vAlign w:val="center"/>
          </w:tcPr>
          <w:p w14:paraId="64363118" w14:textId="18E65F7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187</w:t>
            </w:r>
          </w:p>
        </w:tc>
        <w:tc>
          <w:tcPr>
            <w:tcW w:w="518" w:type="pct"/>
            <w:shd w:val="clear" w:color="auto" w:fill="auto"/>
            <w:noWrap/>
            <w:vAlign w:val="center"/>
          </w:tcPr>
          <w:p w14:paraId="0E064A20" w14:textId="58E9E9A5" w:rsidR="000401B9" w:rsidRPr="005F38E7" w:rsidRDefault="000401B9" w:rsidP="00561F12">
            <w:pPr>
              <w:pStyle w:val="NoSpacing"/>
              <w:jc w:val="right"/>
              <w:rPr>
                <w:sz w:val="18"/>
                <w:szCs w:val="18"/>
              </w:rPr>
            </w:pPr>
            <w:r w:rsidRPr="005F38E7">
              <w:rPr>
                <w:sz w:val="18"/>
                <w:szCs w:val="18"/>
              </w:rPr>
              <w:t>$22.71</w:t>
            </w:r>
          </w:p>
        </w:tc>
        <w:tc>
          <w:tcPr>
            <w:tcW w:w="521" w:type="pct"/>
            <w:shd w:val="clear" w:color="auto" w:fill="auto"/>
            <w:noWrap/>
            <w:vAlign w:val="center"/>
          </w:tcPr>
          <w:p w14:paraId="22567063" w14:textId="20B5315D" w:rsidR="000401B9" w:rsidRPr="005F38E7" w:rsidRDefault="000401B9" w:rsidP="00561F12">
            <w:pPr>
              <w:pStyle w:val="NoSpacing"/>
              <w:jc w:val="right"/>
              <w:rPr>
                <w:sz w:val="18"/>
                <w:szCs w:val="18"/>
              </w:rPr>
            </w:pPr>
            <w:r w:rsidRPr="005F38E7">
              <w:rPr>
                <w:sz w:val="18"/>
                <w:szCs w:val="18"/>
              </w:rPr>
              <w:t xml:space="preserve">$4,247 </w:t>
            </w:r>
          </w:p>
        </w:tc>
      </w:tr>
      <w:tr w:rsidR="000401B9" w:rsidRPr="005F38E7" w14:paraId="49E6376B" w14:textId="77777777" w:rsidTr="00004272">
        <w:trPr>
          <w:trHeight w:val="20"/>
        </w:trPr>
        <w:tc>
          <w:tcPr>
            <w:tcW w:w="1261" w:type="pct"/>
            <w:shd w:val="clear" w:color="auto" w:fill="F2F2F2" w:themeFill="background1" w:themeFillShade="F2"/>
            <w:vAlign w:val="center"/>
          </w:tcPr>
          <w:p w14:paraId="7B0560E5" w14:textId="775E459A" w:rsidR="000401B9" w:rsidRPr="005F38E7" w:rsidRDefault="005F38E7" w:rsidP="00004272">
            <w:pPr>
              <w:pStyle w:val="NoSpacing"/>
              <w:ind w:right="-96" w:firstLine="5"/>
              <w:rPr>
                <w:rFonts w:cstheme="minorHAnsi"/>
                <w:sz w:val="18"/>
                <w:szCs w:val="18"/>
              </w:rPr>
            </w:pPr>
            <w:r w:rsidRPr="00004272">
              <w:rPr>
                <w:rFonts w:cstheme="minorHAnsi"/>
                <w:b/>
                <w:sz w:val="16"/>
                <w:szCs w:val="16"/>
              </w:rPr>
              <w:t xml:space="preserve">Approved Total for </w:t>
            </w:r>
            <w:r w:rsidR="00004272" w:rsidRPr="00004272">
              <w:rPr>
                <w:rFonts w:cstheme="minorHAnsi"/>
                <w:b/>
                <w:sz w:val="16"/>
                <w:szCs w:val="16"/>
              </w:rPr>
              <w:t>OFT R</w:t>
            </w:r>
            <w:r w:rsidRPr="00004272">
              <w:rPr>
                <w:rFonts w:cstheme="minorHAnsi"/>
                <w:b/>
                <w:sz w:val="16"/>
                <w:szCs w:val="16"/>
              </w:rPr>
              <w:t>ecruitment</w:t>
            </w:r>
            <w:r w:rsidRPr="00651C99">
              <w:rPr>
                <w:rFonts w:cstheme="minorHAnsi"/>
                <w:b/>
                <w:sz w:val="18"/>
                <w:szCs w:val="18"/>
                <w:vertAlign w:val="superscript"/>
              </w:rPr>
              <w:t>3</w:t>
            </w:r>
          </w:p>
        </w:tc>
        <w:tc>
          <w:tcPr>
            <w:tcW w:w="389" w:type="pct"/>
            <w:shd w:val="clear" w:color="auto" w:fill="F2F2F2" w:themeFill="background1" w:themeFillShade="F2"/>
            <w:vAlign w:val="center"/>
          </w:tcPr>
          <w:p w14:paraId="186335AB" w14:textId="6F06D6BA"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310E99FE" w14:textId="7468936E"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566" w:type="pct"/>
            <w:shd w:val="clear" w:color="auto" w:fill="F2F2F2" w:themeFill="background1" w:themeFillShade="F2"/>
            <w:vAlign w:val="center"/>
          </w:tcPr>
          <w:p w14:paraId="183679F2" w14:textId="6AECD885"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566" w:type="pct"/>
            <w:shd w:val="clear" w:color="auto" w:fill="F2F2F2" w:themeFill="background1" w:themeFillShade="F2"/>
            <w:noWrap/>
            <w:vAlign w:val="center"/>
          </w:tcPr>
          <w:p w14:paraId="7CF0F621" w14:textId="1B3B665F"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425" w:type="pct"/>
            <w:shd w:val="clear" w:color="auto" w:fill="F2F2F2" w:themeFill="background1" w:themeFillShade="F2"/>
            <w:noWrap/>
            <w:vAlign w:val="center"/>
          </w:tcPr>
          <w:p w14:paraId="431F3930" w14:textId="50D30E52"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330" w:type="pct"/>
            <w:shd w:val="clear" w:color="auto" w:fill="F2F2F2" w:themeFill="background1" w:themeFillShade="F2"/>
            <w:noWrap/>
            <w:vAlign w:val="center"/>
          </w:tcPr>
          <w:p w14:paraId="1FE1C12E" w14:textId="4BD94863"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441</w:t>
            </w:r>
          </w:p>
        </w:tc>
        <w:tc>
          <w:tcPr>
            <w:tcW w:w="518" w:type="pct"/>
            <w:shd w:val="clear" w:color="auto" w:fill="F2F2F2" w:themeFill="background1" w:themeFillShade="F2"/>
            <w:noWrap/>
            <w:vAlign w:val="center"/>
          </w:tcPr>
          <w:p w14:paraId="32BCB3EA" w14:textId="69BAEDAE" w:rsidR="000401B9" w:rsidRPr="005F38E7" w:rsidRDefault="000401B9" w:rsidP="00561F12">
            <w:pPr>
              <w:pStyle w:val="NoSpacing"/>
              <w:jc w:val="right"/>
              <w:rPr>
                <w:sz w:val="18"/>
                <w:szCs w:val="18"/>
              </w:rPr>
            </w:pPr>
            <w:r w:rsidRPr="005F38E7">
              <w:rPr>
                <w:b/>
                <w:bCs/>
                <w:sz w:val="18"/>
                <w:szCs w:val="18"/>
              </w:rPr>
              <w:t>-</w:t>
            </w:r>
          </w:p>
        </w:tc>
        <w:tc>
          <w:tcPr>
            <w:tcW w:w="521" w:type="pct"/>
            <w:shd w:val="clear" w:color="auto" w:fill="F2F2F2" w:themeFill="background1" w:themeFillShade="F2"/>
            <w:noWrap/>
            <w:vAlign w:val="center"/>
          </w:tcPr>
          <w:p w14:paraId="0C4EE650" w14:textId="433D25BF" w:rsidR="000401B9" w:rsidRPr="005F38E7" w:rsidRDefault="000401B9" w:rsidP="00561F12">
            <w:pPr>
              <w:pStyle w:val="NoSpacing"/>
              <w:jc w:val="right"/>
              <w:rPr>
                <w:sz w:val="18"/>
                <w:szCs w:val="18"/>
              </w:rPr>
            </w:pPr>
            <w:r w:rsidRPr="005F38E7">
              <w:rPr>
                <w:b/>
                <w:bCs/>
                <w:sz w:val="18"/>
                <w:szCs w:val="18"/>
              </w:rPr>
              <w:t xml:space="preserve">$15,455 </w:t>
            </w:r>
          </w:p>
        </w:tc>
      </w:tr>
      <w:tr w:rsidR="00004272" w:rsidRPr="00651C99" w14:paraId="7DD1959C" w14:textId="77777777" w:rsidTr="00B90AA7">
        <w:trPr>
          <w:trHeight w:val="20"/>
        </w:trPr>
        <w:tc>
          <w:tcPr>
            <w:tcW w:w="5000" w:type="pct"/>
            <w:gridSpan w:val="9"/>
            <w:shd w:val="clear" w:color="auto" w:fill="auto"/>
            <w:vAlign w:val="center"/>
          </w:tcPr>
          <w:p w14:paraId="60718393" w14:textId="0129D460" w:rsidR="00004272" w:rsidRPr="00651C99" w:rsidRDefault="00004272" w:rsidP="00004272">
            <w:pPr>
              <w:pStyle w:val="NoSpacing"/>
              <w:rPr>
                <w:rFonts w:cstheme="minorHAnsi"/>
                <w:b/>
                <w:i/>
                <w:sz w:val="18"/>
                <w:szCs w:val="18"/>
              </w:rPr>
            </w:pPr>
            <w:r>
              <w:rPr>
                <w:rFonts w:cstheme="minorHAnsi"/>
                <w:b/>
                <w:i/>
                <w:sz w:val="18"/>
                <w:szCs w:val="18"/>
              </w:rPr>
              <w:t>OFT Data Collection</w:t>
            </w:r>
          </w:p>
        </w:tc>
      </w:tr>
      <w:tr w:rsidR="005F7141" w:rsidRPr="00651C99" w14:paraId="487CFE96" w14:textId="77777777" w:rsidTr="00651C99">
        <w:trPr>
          <w:trHeight w:val="20"/>
        </w:trPr>
        <w:tc>
          <w:tcPr>
            <w:tcW w:w="5000" w:type="pct"/>
            <w:gridSpan w:val="9"/>
            <w:shd w:val="clear" w:color="auto" w:fill="auto"/>
            <w:vAlign w:val="center"/>
          </w:tcPr>
          <w:p w14:paraId="2ACAFDF2" w14:textId="77777777" w:rsidR="005F7141" w:rsidRPr="00651C99" w:rsidRDefault="005F7141" w:rsidP="00D11A14">
            <w:pPr>
              <w:pStyle w:val="NoSpacing"/>
              <w:rPr>
                <w:rFonts w:cstheme="minorHAnsi"/>
                <w:b/>
                <w:i/>
                <w:sz w:val="18"/>
                <w:szCs w:val="18"/>
              </w:rPr>
            </w:pPr>
            <w:r w:rsidRPr="00004272">
              <w:rPr>
                <w:rFonts w:cstheme="minorHAnsi"/>
                <w:b/>
                <w:i/>
                <w:color w:val="595959" w:themeColor="text1" w:themeTint="A6"/>
                <w:sz w:val="18"/>
                <w:szCs w:val="18"/>
              </w:rPr>
              <w:t>Students and Parents</w:t>
            </w:r>
          </w:p>
        </w:tc>
      </w:tr>
      <w:tr w:rsidR="0049727F" w:rsidRPr="00651C99" w14:paraId="0E0F5D55" w14:textId="77777777" w:rsidTr="00004272">
        <w:trPr>
          <w:trHeight w:val="20"/>
        </w:trPr>
        <w:tc>
          <w:tcPr>
            <w:tcW w:w="1261" w:type="pct"/>
            <w:shd w:val="clear" w:color="auto" w:fill="auto"/>
            <w:vAlign w:val="center"/>
          </w:tcPr>
          <w:p w14:paraId="7E3F99E1" w14:textId="77777777" w:rsidR="005F7141" w:rsidRPr="00651C99" w:rsidRDefault="005F7141" w:rsidP="00D11A14">
            <w:pPr>
              <w:pStyle w:val="NoSpacing"/>
              <w:rPr>
                <w:rFonts w:cstheme="minorHAnsi"/>
                <w:sz w:val="18"/>
                <w:szCs w:val="18"/>
              </w:rPr>
            </w:pPr>
            <w:r w:rsidRPr="00651C99">
              <w:rPr>
                <w:rFonts w:cstheme="minorHAnsi"/>
                <w:sz w:val="18"/>
                <w:szCs w:val="18"/>
              </w:rPr>
              <w:t xml:space="preserve"> Student Survey</w:t>
            </w:r>
          </w:p>
        </w:tc>
        <w:tc>
          <w:tcPr>
            <w:tcW w:w="389" w:type="pct"/>
            <w:vAlign w:val="center"/>
          </w:tcPr>
          <w:p w14:paraId="68FF4153" w14:textId="2BED5004" w:rsidR="005F7141" w:rsidRPr="00651C99" w:rsidRDefault="005F7141" w:rsidP="00D11A14">
            <w:pPr>
              <w:pStyle w:val="NoSpacing"/>
              <w:jc w:val="right"/>
              <w:rPr>
                <w:rFonts w:cstheme="minorHAnsi"/>
                <w:sz w:val="18"/>
                <w:szCs w:val="18"/>
              </w:rPr>
            </w:pPr>
            <w:r w:rsidRPr="00651C99">
              <w:rPr>
                <w:rFonts w:cstheme="minorHAnsi"/>
                <w:sz w:val="18"/>
                <w:szCs w:val="18"/>
              </w:rPr>
              <w:t>1,750</w:t>
            </w:r>
          </w:p>
        </w:tc>
        <w:tc>
          <w:tcPr>
            <w:tcW w:w="424" w:type="pct"/>
            <w:vAlign w:val="center"/>
          </w:tcPr>
          <w:p w14:paraId="2379FF4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1A42C60C" w14:textId="4A237129"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566" w:type="pct"/>
            <w:shd w:val="clear" w:color="auto" w:fill="auto"/>
            <w:noWrap/>
            <w:vAlign w:val="center"/>
          </w:tcPr>
          <w:p w14:paraId="0EB474E2"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3BF4B042" w14:textId="77777777" w:rsidR="005F7141" w:rsidRPr="00651C99" w:rsidRDefault="005F7141" w:rsidP="00D11A14">
            <w:pPr>
              <w:pStyle w:val="NoSpacing"/>
              <w:jc w:val="right"/>
              <w:rPr>
                <w:rFonts w:cstheme="minorHAnsi"/>
                <w:sz w:val="18"/>
                <w:szCs w:val="18"/>
              </w:rPr>
            </w:pPr>
            <w:r w:rsidRPr="00651C99">
              <w:rPr>
                <w:rFonts w:cstheme="minorHAnsi"/>
                <w:sz w:val="18"/>
                <w:szCs w:val="18"/>
              </w:rPr>
              <w:t>20</w:t>
            </w:r>
          </w:p>
        </w:tc>
        <w:tc>
          <w:tcPr>
            <w:tcW w:w="330" w:type="pct"/>
            <w:shd w:val="clear" w:color="auto" w:fill="auto"/>
            <w:noWrap/>
            <w:vAlign w:val="center"/>
          </w:tcPr>
          <w:p w14:paraId="351AA99F" w14:textId="77777777" w:rsidR="005F7141" w:rsidRPr="00651C99" w:rsidRDefault="005F7141" w:rsidP="00D11A14">
            <w:pPr>
              <w:pStyle w:val="NoSpacing"/>
              <w:jc w:val="right"/>
              <w:rPr>
                <w:rFonts w:cstheme="minorHAnsi"/>
                <w:sz w:val="18"/>
                <w:szCs w:val="18"/>
              </w:rPr>
            </w:pPr>
            <w:r w:rsidRPr="00651C99">
              <w:rPr>
                <w:rFonts w:cstheme="minorHAnsi"/>
                <w:sz w:val="18"/>
                <w:szCs w:val="18"/>
              </w:rPr>
              <w:t>373</w:t>
            </w:r>
          </w:p>
        </w:tc>
        <w:tc>
          <w:tcPr>
            <w:tcW w:w="518" w:type="pct"/>
            <w:shd w:val="clear" w:color="auto" w:fill="auto"/>
            <w:noWrap/>
            <w:vAlign w:val="center"/>
          </w:tcPr>
          <w:p w14:paraId="5AEA03D7" w14:textId="77777777" w:rsidR="005F7141" w:rsidRPr="00651C99" w:rsidRDefault="005F7141" w:rsidP="00D11A14">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5EA22918" w14:textId="68E65EF5" w:rsidR="005F7141" w:rsidRPr="00651C99" w:rsidRDefault="005F7141" w:rsidP="00ED3041">
            <w:pPr>
              <w:pStyle w:val="NoSpacing"/>
              <w:jc w:val="right"/>
              <w:rPr>
                <w:sz w:val="18"/>
                <w:szCs w:val="18"/>
              </w:rPr>
            </w:pPr>
            <w:r w:rsidRPr="00651C99">
              <w:rPr>
                <w:sz w:val="18"/>
                <w:szCs w:val="18"/>
              </w:rPr>
              <w:t>$2,70</w:t>
            </w:r>
            <w:r w:rsidR="00ED3041" w:rsidRPr="00651C99">
              <w:rPr>
                <w:sz w:val="18"/>
                <w:szCs w:val="18"/>
              </w:rPr>
              <w:t>4</w:t>
            </w:r>
            <w:r w:rsidRPr="00651C99">
              <w:rPr>
                <w:sz w:val="18"/>
                <w:szCs w:val="18"/>
              </w:rPr>
              <w:t xml:space="preserve"> </w:t>
            </w:r>
          </w:p>
        </w:tc>
      </w:tr>
      <w:tr w:rsidR="0049727F" w:rsidRPr="00651C99" w14:paraId="79485DA1" w14:textId="77777777" w:rsidTr="00004272">
        <w:trPr>
          <w:trHeight w:val="20"/>
        </w:trPr>
        <w:tc>
          <w:tcPr>
            <w:tcW w:w="1261" w:type="pct"/>
            <w:shd w:val="clear" w:color="auto" w:fill="auto"/>
            <w:vAlign w:val="center"/>
          </w:tcPr>
          <w:p w14:paraId="7E7C30A9" w14:textId="0E8B3AE4" w:rsidR="005F7141" w:rsidRPr="00651C99" w:rsidRDefault="005F7141" w:rsidP="005F38E7">
            <w:pPr>
              <w:pStyle w:val="NoSpacing"/>
              <w:rPr>
                <w:rFonts w:cstheme="minorHAnsi"/>
                <w:color w:val="A6A6A6" w:themeColor="background1" w:themeShade="A6"/>
                <w:sz w:val="18"/>
                <w:szCs w:val="18"/>
              </w:rPr>
            </w:pPr>
            <w:r w:rsidRPr="00651C99">
              <w:rPr>
                <w:rFonts w:cstheme="minorHAnsi"/>
                <w:color w:val="A6A6A6" w:themeColor="background1" w:themeShade="A6"/>
                <w:sz w:val="18"/>
                <w:szCs w:val="18"/>
              </w:rPr>
              <w:t xml:space="preserve"> Student Assessment</w:t>
            </w:r>
            <w:r w:rsidR="005F38E7" w:rsidRPr="005F38E7">
              <w:rPr>
                <w:rFonts w:cstheme="minorHAnsi"/>
                <w:sz w:val="18"/>
                <w:szCs w:val="18"/>
                <w:vertAlign w:val="superscript"/>
              </w:rPr>
              <w:t>4</w:t>
            </w:r>
          </w:p>
        </w:tc>
        <w:tc>
          <w:tcPr>
            <w:tcW w:w="389" w:type="pct"/>
            <w:vAlign w:val="center"/>
          </w:tcPr>
          <w:p w14:paraId="7D63B8B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1,750</w:t>
            </w:r>
          </w:p>
        </w:tc>
        <w:tc>
          <w:tcPr>
            <w:tcW w:w="424" w:type="pct"/>
            <w:vAlign w:val="center"/>
          </w:tcPr>
          <w:p w14:paraId="75B2C927"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64%</w:t>
            </w:r>
          </w:p>
        </w:tc>
        <w:tc>
          <w:tcPr>
            <w:tcW w:w="566" w:type="pct"/>
            <w:vAlign w:val="center"/>
          </w:tcPr>
          <w:p w14:paraId="66DBDAAC"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566" w:type="pct"/>
            <w:shd w:val="clear" w:color="auto" w:fill="auto"/>
            <w:noWrap/>
            <w:vAlign w:val="center"/>
          </w:tcPr>
          <w:p w14:paraId="1B60DBE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425" w:type="pct"/>
            <w:shd w:val="clear" w:color="auto" w:fill="auto"/>
            <w:noWrap/>
            <w:vAlign w:val="center"/>
          </w:tcPr>
          <w:p w14:paraId="6DE17B45"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70</w:t>
            </w:r>
          </w:p>
        </w:tc>
        <w:tc>
          <w:tcPr>
            <w:tcW w:w="330" w:type="pct"/>
            <w:shd w:val="clear" w:color="auto" w:fill="auto"/>
            <w:noWrap/>
            <w:vAlign w:val="center"/>
          </w:tcPr>
          <w:p w14:paraId="7E42E90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1,307</w:t>
            </w:r>
          </w:p>
        </w:tc>
        <w:tc>
          <w:tcPr>
            <w:tcW w:w="518" w:type="pct"/>
            <w:shd w:val="clear" w:color="auto" w:fill="auto"/>
            <w:noWrap/>
            <w:vAlign w:val="center"/>
          </w:tcPr>
          <w:p w14:paraId="67F34940"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c>
          <w:tcPr>
            <w:tcW w:w="521" w:type="pct"/>
            <w:shd w:val="clear" w:color="auto" w:fill="auto"/>
            <w:noWrap/>
            <w:vAlign w:val="center"/>
          </w:tcPr>
          <w:p w14:paraId="7B4DF8A2"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r>
      <w:tr w:rsidR="0049727F" w:rsidRPr="00651C99" w14:paraId="076FAF72" w14:textId="77777777" w:rsidTr="00004272">
        <w:trPr>
          <w:trHeight w:val="20"/>
        </w:trPr>
        <w:tc>
          <w:tcPr>
            <w:tcW w:w="1261" w:type="pct"/>
            <w:shd w:val="clear" w:color="auto" w:fill="auto"/>
            <w:vAlign w:val="center"/>
          </w:tcPr>
          <w:p w14:paraId="683CD036" w14:textId="77777777" w:rsidR="005F7141" w:rsidRPr="00651C99" w:rsidRDefault="005F7141" w:rsidP="00B56C40">
            <w:pPr>
              <w:pStyle w:val="NoSpacing"/>
              <w:ind w:firstLine="72"/>
              <w:rPr>
                <w:rFonts w:cstheme="minorHAnsi"/>
                <w:sz w:val="18"/>
                <w:szCs w:val="18"/>
              </w:rPr>
            </w:pPr>
            <w:r w:rsidRPr="00651C99">
              <w:rPr>
                <w:rFonts w:cstheme="minorHAnsi"/>
                <w:sz w:val="18"/>
                <w:szCs w:val="18"/>
              </w:rPr>
              <w:t>Students' parents</w:t>
            </w:r>
          </w:p>
        </w:tc>
        <w:tc>
          <w:tcPr>
            <w:tcW w:w="389" w:type="pct"/>
            <w:vAlign w:val="center"/>
          </w:tcPr>
          <w:p w14:paraId="000CA906" w14:textId="102C6B12" w:rsidR="005F7141" w:rsidRPr="00651C99" w:rsidRDefault="005F7141" w:rsidP="005F38E7">
            <w:pPr>
              <w:pStyle w:val="NoSpacing"/>
              <w:jc w:val="right"/>
              <w:rPr>
                <w:rFonts w:cstheme="minorHAnsi"/>
                <w:sz w:val="18"/>
                <w:szCs w:val="18"/>
              </w:rPr>
            </w:pPr>
            <w:r w:rsidRPr="00651C99">
              <w:rPr>
                <w:rFonts w:cstheme="minorHAnsi"/>
                <w:sz w:val="18"/>
                <w:szCs w:val="18"/>
              </w:rPr>
              <w:t>1,750</w:t>
            </w:r>
            <w:r w:rsidR="005F38E7">
              <w:rPr>
                <w:sz w:val="18"/>
                <w:szCs w:val="18"/>
                <w:vertAlign w:val="superscript"/>
              </w:rPr>
              <w:t>5</w:t>
            </w:r>
          </w:p>
        </w:tc>
        <w:tc>
          <w:tcPr>
            <w:tcW w:w="424" w:type="pct"/>
            <w:vAlign w:val="center"/>
          </w:tcPr>
          <w:p w14:paraId="00BCF2E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6BBEF902" w14:textId="7C8EDB71" w:rsidR="005F7141" w:rsidRPr="00651C99" w:rsidRDefault="005F7141" w:rsidP="005F38E7">
            <w:pPr>
              <w:pStyle w:val="NoSpacing"/>
              <w:jc w:val="right"/>
              <w:rPr>
                <w:rFonts w:cstheme="minorHAnsi"/>
                <w:sz w:val="18"/>
                <w:szCs w:val="18"/>
              </w:rPr>
            </w:pPr>
            <w:r w:rsidRPr="00651C99">
              <w:rPr>
                <w:rFonts w:cstheme="minorHAnsi"/>
                <w:sz w:val="18"/>
                <w:szCs w:val="18"/>
              </w:rPr>
              <w:t>1,120</w:t>
            </w:r>
            <w:r w:rsidR="005F38E7">
              <w:rPr>
                <w:sz w:val="18"/>
                <w:szCs w:val="18"/>
                <w:vertAlign w:val="superscript"/>
              </w:rPr>
              <w:t>5</w:t>
            </w:r>
          </w:p>
        </w:tc>
        <w:tc>
          <w:tcPr>
            <w:tcW w:w="566" w:type="pct"/>
            <w:shd w:val="clear" w:color="auto" w:fill="auto"/>
            <w:noWrap/>
            <w:vAlign w:val="center"/>
          </w:tcPr>
          <w:p w14:paraId="1863A39B"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41881FD7" w14:textId="3D6271AB" w:rsidR="005F7141" w:rsidRPr="00651C99" w:rsidRDefault="00726E89" w:rsidP="00D11A14">
            <w:pPr>
              <w:pStyle w:val="NoSpacing"/>
              <w:jc w:val="right"/>
              <w:rPr>
                <w:rFonts w:cstheme="minorHAnsi"/>
                <w:sz w:val="18"/>
                <w:szCs w:val="18"/>
              </w:rPr>
            </w:pPr>
            <w:r>
              <w:rPr>
                <w:rFonts w:cstheme="minorHAnsi"/>
                <w:sz w:val="18"/>
                <w:szCs w:val="18"/>
              </w:rPr>
              <w:t>40</w:t>
            </w:r>
          </w:p>
        </w:tc>
        <w:tc>
          <w:tcPr>
            <w:tcW w:w="330" w:type="pct"/>
            <w:shd w:val="clear" w:color="auto" w:fill="auto"/>
            <w:noWrap/>
            <w:vAlign w:val="center"/>
          </w:tcPr>
          <w:p w14:paraId="1E3A4D3B" w14:textId="391B2ECB" w:rsidR="005F7141" w:rsidRPr="00651C99" w:rsidRDefault="00726E89" w:rsidP="00D11A14">
            <w:pPr>
              <w:pStyle w:val="NoSpacing"/>
              <w:jc w:val="right"/>
              <w:rPr>
                <w:rFonts w:cstheme="minorHAnsi"/>
                <w:sz w:val="18"/>
                <w:szCs w:val="18"/>
              </w:rPr>
            </w:pPr>
            <w:r>
              <w:rPr>
                <w:rFonts w:cstheme="minorHAnsi"/>
                <w:sz w:val="18"/>
                <w:szCs w:val="18"/>
              </w:rPr>
              <w:t>747</w:t>
            </w:r>
          </w:p>
        </w:tc>
        <w:tc>
          <w:tcPr>
            <w:tcW w:w="518" w:type="pct"/>
            <w:shd w:val="clear" w:color="auto" w:fill="auto"/>
            <w:noWrap/>
            <w:vAlign w:val="center"/>
          </w:tcPr>
          <w:p w14:paraId="3DB186E8" w14:textId="77777777" w:rsidR="005F7141" w:rsidRPr="00651C99" w:rsidRDefault="005F7141" w:rsidP="00D11A14">
            <w:pPr>
              <w:pStyle w:val="NoSpacing"/>
              <w:jc w:val="right"/>
              <w:rPr>
                <w:sz w:val="18"/>
                <w:szCs w:val="18"/>
              </w:rPr>
            </w:pPr>
            <w:r w:rsidRPr="00651C99">
              <w:rPr>
                <w:sz w:val="18"/>
                <w:szCs w:val="18"/>
              </w:rPr>
              <w:t xml:space="preserve">$22.71 </w:t>
            </w:r>
          </w:p>
        </w:tc>
        <w:tc>
          <w:tcPr>
            <w:tcW w:w="521" w:type="pct"/>
            <w:shd w:val="clear" w:color="auto" w:fill="auto"/>
            <w:noWrap/>
            <w:vAlign w:val="center"/>
          </w:tcPr>
          <w:p w14:paraId="5E914E24" w14:textId="4264E548" w:rsidR="005F7141" w:rsidRPr="00651C99" w:rsidRDefault="005F7141" w:rsidP="00726E89">
            <w:pPr>
              <w:pStyle w:val="NoSpacing"/>
              <w:jc w:val="right"/>
              <w:rPr>
                <w:sz w:val="18"/>
                <w:szCs w:val="18"/>
              </w:rPr>
            </w:pPr>
            <w:r w:rsidRPr="00651C99">
              <w:rPr>
                <w:sz w:val="18"/>
                <w:szCs w:val="18"/>
              </w:rPr>
              <w:t>$</w:t>
            </w:r>
            <w:r w:rsidR="00726E89">
              <w:rPr>
                <w:sz w:val="18"/>
                <w:szCs w:val="18"/>
              </w:rPr>
              <w:t>16,964</w:t>
            </w:r>
            <w:r w:rsidRPr="00651C99">
              <w:rPr>
                <w:sz w:val="18"/>
                <w:szCs w:val="18"/>
              </w:rPr>
              <w:t xml:space="preserve"> </w:t>
            </w:r>
          </w:p>
        </w:tc>
      </w:tr>
      <w:tr w:rsidR="005F7141" w:rsidRPr="00651C99" w14:paraId="3D1565AE" w14:textId="77777777" w:rsidTr="00651C99">
        <w:trPr>
          <w:trHeight w:val="20"/>
        </w:trPr>
        <w:tc>
          <w:tcPr>
            <w:tcW w:w="5000" w:type="pct"/>
            <w:gridSpan w:val="9"/>
            <w:shd w:val="clear" w:color="auto" w:fill="auto"/>
            <w:vAlign w:val="center"/>
          </w:tcPr>
          <w:p w14:paraId="62AA5F43" w14:textId="18474238" w:rsidR="005F7141" w:rsidRPr="00004272" w:rsidRDefault="0055283A" w:rsidP="00D11A14">
            <w:pPr>
              <w:pStyle w:val="NoSpacing"/>
              <w:rPr>
                <w:b/>
                <w:i/>
                <w:color w:val="595959" w:themeColor="text1" w:themeTint="A6"/>
                <w:sz w:val="18"/>
                <w:szCs w:val="18"/>
              </w:rPr>
            </w:pPr>
            <w:r w:rsidRPr="00004272">
              <w:rPr>
                <w:b/>
                <w:i/>
                <w:color w:val="595959" w:themeColor="text1" w:themeTint="A6"/>
                <w:sz w:val="18"/>
                <w:szCs w:val="18"/>
              </w:rPr>
              <w:t>Students’ mathematics teacher</w:t>
            </w:r>
          </w:p>
        </w:tc>
      </w:tr>
      <w:tr w:rsidR="0049727F" w:rsidRPr="00651C99" w14:paraId="1BB7FF82" w14:textId="77777777" w:rsidTr="00004272">
        <w:trPr>
          <w:trHeight w:val="20"/>
        </w:trPr>
        <w:tc>
          <w:tcPr>
            <w:tcW w:w="1261" w:type="pct"/>
            <w:shd w:val="clear" w:color="auto" w:fill="auto"/>
            <w:vAlign w:val="center"/>
          </w:tcPr>
          <w:p w14:paraId="78EAA3F7" w14:textId="483AABF2" w:rsidR="005F7141" w:rsidRPr="00B56C40" w:rsidRDefault="0055283A" w:rsidP="0055283A">
            <w:pPr>
              <w:pStyle w:val="NoSpacing"/>
              <w:tabs>
                <w:tab w:val="left" w:pos="102"/>
              </w:tabs>
              <w:ind w:firstLine="72"/>
              <w:rPr>
                <w:rFonts w:cstheme="minorHAnsi"/>
                <w:sz w:val="18"/>
                <w:szCs w:val="18"/>
              </w:rPr>
            </w:pPr>
            <w:r w:rsidRPr="00B56C40">
              <w:rPr>
                <w:rFonts w:cstheme="minorHAnsi"/>
                <w:sz w:val="18"/>
                <w:szCs w:val="18"/>
              </w:rPr>
              <w:t>Teacher survey</w:t>
            </w:r>
          </w:p>
        </w:tc>
        <w:tc>
          <w:tcPr>
            <w:tcW w:w="389" w:type="pct"/>
            <w:vAlign w:val="center"/>
          </w:tcPr>
          <w:p w14:paraId="5CA1402D" w14:textId="78787380" w:rsidR="005F7141" w:rsidRPr="00651C99" w:rsidRDefault="00480683" w:rsidP="00D11A14">
            <w:pPr>
              <w:pStyle w:val="NoSpacing"/>
              <w:jc w:val="right"/>
              <w:rPr>
                <w:rFonts w:cstheme="minorHAnsi"/>
                <w:sz w:val="18"/>
                <w:szCs w:val="18"/>
              </w:rPr>
            </w:pPr>
            <w:r w:rsidRPr="00651C99">
              <w:rPr>
                <w:rFonts w:cstheme="minorHAnsi"/>
                <w:sz w:val="18"/>
                <w:szCs w:val="18"/>
              </w:rPr>
              <w:t>150</w:t>
            </w:r>
          </w:p>
        </w:tc>
        <w:tc>
          <w:tcPr>
            <w:tcW w:w="424" w:type="pct"/>
            <w:vAlign w:val="center"/>
          </w:tcPr>
          <w:p w14:paraId="3127EB85" w14:textId="77777777" w:rsidR="005F7141" w:rsidRPr="00651C99" w:rsidRDefault="005F7141" w:rsidP="00D11A14">
            <w:pPr>
              <w:pStyle w:val="NoSpacing"/>
              <w:jc w:val="right"/>
              <w:rPr>
                <w:rFonts w:cstheme="minorHAnsi"/>
                <w:sz w:val="18"/>
                <w:szCs w:val="18"/>
              </w:rPr>
            </w:pPr>
            <w:r w:rsidRPr="00651C99">
              <w:rPr>
                <w:rFonts w:cstheme="minorHAnsi"/>
                <w:sz w:val="18"/>
                <w:szCs w:val="18"/>
              </w:rPr>
              <w:t>92%</w:t>
            </w:r>
          </w:p>
        </w:tc>
        <w:tc>
          <w:tcPr>
            <w:tcW w:w="566" w:type="pct"/>
            <w:vAlign w:val="center"/>
          </w:tcPr>
          <w:p w14:paraId="638319BE" w14:textId="3FF3FF25"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566" w:type="pct"/>
            <w:shd w:val="clear" w:color="auto" w:fill="auto"/>
            <w:noWrap/>
            <w:vAlign w:val="center"/>
          </w:tcPr>
          <w:p w14:paraId="377F725A" w14:textId="0E8FFBD8"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425" w:type="pct"/>
            <w:shd w:val="clear" w:color="auto" w:fill="auto"/>
            <w:noWrap/>
            <w:vAlign w:val="center"/>
          </w:tcPr>
          <w:p w14:paraId="2F52C8DA" w14:textId="7F9239B1" w:rsidR="005F7141" w:rsidRPr="00651C99" w:rsidRDefault="0055283A" w:rsidP="00FC385C">
            <w:pPr>
              <w:pStyle w:val="NoSpacing"/>
              <w:jc w:val="right"/>
              <w:rPr>
                <w:rFonts w:cstheme="minorHAnsi"/>
                <w:sz w:val="18"/>
                <w:szCs w:val="18"/>
              </w:rPr>
            </w:pPr>
            <w:r>
              <w:rPr>
                <w:rFonts w:cstheme="minorHAnsi"/>
                <w:sz w:val="18"/>
                <w:szCs w:val="18"/>
              </w:rPr>
              <w:t>20</w:t>
            </w:r>
          </w:p>
        </w:tc>
        <w:tc>
          <w:tcPr>
            <w:tcW w:w="330" w:type="pct"/>
            <w:shd w:val="clear" w:color="auto" w:fill="auto"/>
            <w:noWrap/>
            <w:vAlign w:val="center"/>
          </w:tcPr>
          <w:p w14:paraId="15F02B17" w14:textId="69CD5B07" w:rsidR="005F7141" w:rsidRPr="00651C99" w:rsidRDefault="0055283A" w:rsidP="00FC385C">
            <w:pPr>
              <w:pStyle w:val="NoSpacing"/>
              <w:jc w:val="right"/>
              <w:rPr>
                <w:rFonts w:cstheme="minorHAnsi"/>
                <w:sz w:val="18"/>
                <w:szCs w:val="18"/>
              </w:rPr>
            </w:pPr>
            <w:r>
              <w:rPr>
                <w:rFonts w:cstheme="minorHAnsi"/>
                <w:sz w:val="18"/>
                <w:szCs w:val="18"/>
              </w:rPr>
              <w:t>46</w:t>
            </w:r>
          </w:p>
        </w:tc>
        <w:tc>
          <w:tcPr>
            <w:tcW w:w="518" w:type="pct"/>
            <w:shd w:val="clear" w:color="auto" w:fill="auto"/>
            <w:noWrap/>
            <w:vAlign w:val="center"/>
          </w:tcPr>
          <w:p w14:paraId="39B1C74E" w14:textId="77777777" w:rsidR="005F7141" w:rsidRPr="00651C99" w:rsidRDefault="005F7141" w:rsidP="00D11A14">
            <w:pPr>
              <w:pStyle w:val="NoSpacing"/>
              <w:jc w:val="right"/>
              <w:rPr>
                <w:sz w:val="18"/>
                <w:szCs w:val="18"/>
              </w:rPr>
            </w:pPr>
            <w:r w:rsidRPr="00651C99">
              <w:rPr>
                <w:sz w:val="18"/>
                <w:szCs w:val="18"/>
              </w:rPr>
              <w:t xml:space="preserve">$27.70 </w:t>
            </w:r>
          </w:p>
        </w:tc>
        <w:tc>
          <w:tcPr>
            <w:tcW w:w="521" w:type="pct"/>
            <w:shd w:val="clear" w:color="auto" w:fill="auto"/>
            <w:noWrap/>
            <w:vAlign w:val="center"/>
          </w:tcPr>
          <w:p w14:paraId="7437CCC8" w14:textId="110FBF54" w:rsidR="005F7141" w:rsidRPr="00651C99" w:rsidRDefault="005F7141" w:rsidP="0055283A">
            <w:pPr>
              <w:pStyle w:val="NoSpacing"/>
              <w:jc w:val="right"/>
              <w:rPr>
                <w:sz w:val="18"/>
                <w:szCs w:val="18"/>
              </w:rPr>
            </w:pPr>
            <w:r w:rsidRPr="00651C99">
              <w:rPr>
                <w:sz w:val="18"/>
                <w:szCs w:val="18"/>
              </w:rPr>
              <w:t>$</w:t>
            </w:r>
            <w:r w:rsidR="0055283A">
              <w:rPr>
                <w:sz w:val="18"/>
                <w:szCs w:val="18"/>
              </w:rPr>
              <w:t>1,274</w:t>
            </w:r>
            <w:r w:rsidRPr="00651C99">
              <w:rPr>
                <w:sz w:val="18"/>
                <w:szCs w:val="18"/>
              </w:rPr>
              <w:t xml:space="preserve"> </w:t>
            </w:r>
          </w:p>
        </w:tc>
      </w:tr>
      <w:tr w:rsidR="0055283A" w:rsidRPr="00651C99" w14:paraId="4FDEDDE7" w14:textId="77777777" w:rsidTr="00004272">
        <w:trPr>
          <w:trHeight w:val="20"/>
        </w:trPr>
        <w:tc>
          <w:tcPr>
            <w:tcW w:w="1261" w:type="pct"/>
            <w:shd w:val="clear" w:color="auto" w:fill="auto"/>
            <w:vAlign w:val="center"/>
          </w:tcPr>
          <w:p w14:paraId="6F2F90F3" w14:textId="6CD28FE2" w:rsidR="0055283A" w:rsidRPr="00B56C40" w:rsidRDefault="0055283A" w:rsidP="0055283A">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0ED8A8F3" w14:textId="767E46F0" w:rsidR="0055283A" w:rsidRPr="00651C99" w:rsidRDefault="0055283A" w:rsidP="0055283A">
            <w:pPr>
              <w:pStyle w:val="NoSpacing"/>
              <w:jc w:val="right"/>
              <w:rPr>
                <w:rFonts w:cstheme="minorHAnsi"/>
                <w:sz w:val="18"/>
                <w:szCs w:val="18"/>
              </w:rPr>
            </w:pPr>
            <w:r w:rsidRPr="0049727F">
              <w:rPr>
                <w:rFonts w:cstheme="minorHAnsi"/>
                <w:sz w:val="18"/>
                <w:szCs w:val="18"/>
              </w:rPr>
              <w:t>150*</w:t>
            </w:r>
          </w:p>
        </w:tc>
        <w:tc>
          <w:tcPr>
            <w:tcW w:w="424" w:type="pct"/>
            <w:vAlign w:val="center"/>
          </w:tcPr>
          <w:p w14:paraId="28D630B2" w14:textId="657452BB"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3C16DBE7" w14:textId="3A96BF5A" w:rsidR="0055283A" w:rsidRPr="00651C99" w:rsidRDefault="0055283A" w:rsidP="0055283A">
            <w:pPr>
              <w:pStyle w:val="NoSpacing"/>
              <w:jc w:val="right"/>
              <w:rPr>
                <w:rFonts w:cstheme="minorHAnsi"/>
                <w:sz w:val="18"/>
                <w:szCs w:val="18"/>
              </w:rPr>
            </w:pPr>
            <w:r w:rsidRPr="0049727F">
              <w:rPr>
                <w:rFonts w:cstheme="minorHAnsi"/>
                <w:sz w:val="18"/>
                <w:szCs w:val="18"/>
              </w:rPr>
              <w:t>138*</w:t>
            </w:r>
          </w:p>
        </w:tc>
        <w:tc>
          <w:tcPr>
            <w:tcW w:w="566" w:type="pct"/>
            <w:shd w:val="clear" w:color="auto" w:fill="auto"/>
            <w:noWrap/>
            <w:vAlign w:val="center"/>
          </w:tcPr>
          <w:p w14:paraId="53FF1272" w14:textId="52510915" w:rsidR="0055283A" w:rsidRPr="00651C99" w:rsidRDefault="0055283A" w:rsidP="005F38E7">
            <w:pPr>
              <w:pStyle w:val="NoSpacing"/>
              <w:jc w:val="right"/>
              <w:rPr>
                <w:rFonts w:cstheme="minorHAnsi"/>
                <w:sz w:val="18"/>
                <w:szCs w:val="18"/>
              </w:rPr>
            </w:pPr>
            <w:r w:rsidRPr="0049727F">
              <w:rPr>
                <w:rFonts w:cstheme="minorHAnsi"/>
                <w:sz w:val="18"/>
                <w:szCs w:val="18"/>
              </w:rPr>
              <w:t>1,610</w:t>
            </w:r>
            <w:r w:rsidR="005F38E7">
              <w:rPr>
                <w:sz w:val="18"/>
                <w:szCs w:val="18"/>
                <w:vertAlign w:val="superscript"/>
              </w:rPr>
              <w:t>6</w:t>
            </w:r>
          </w:p>
        </w:tc>
        <w:tc>
          <w:tcPr>
            <w:tcW w:w="425" w:type="pct"/>
            <w:shd w:val="clear" w:color="auto" w:fill="auto"/>
            <w:noWrap/>
            <w:vAlign w:val="center"/>
          </w:tcPr>
          <w:p w14:paraId="7B737DF8" w14:textId="296827D9"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18B49C24" w14:textId="1BCD76DE" w:rsidR="0055283A" w:rsidRPr="00651C99" w:rsidRDefault="0055283A" w:rsidP="0055283A">
            <w:pPr>
              <w:pStyle w:val="NoSpacing"/>
              <w:jc w:val="right"/>
              <w:rPr>
                <w:rFonts w:cstheme="minorHAnsi"/>
                <w:sz w:val="18"/>
                <w:szCs w:val="18"/>
              </w:rPr>
            </w:pPr>
            <w:r w:rsidRPr="0049727F">
              <w:rPr>
                <w:rFonts w:cstheme="minorHAnsi"/>
                <w:sz w:val="18"/>
                <w:szCs w:val="18"/>
              </w:rPr>
              <w:t>268</w:t>
            </w:r>
          </w:p>
        </w:tc>
        <w:tc>
          <w:tcPr>
            <w:tcW w:w="518" w:type="pct"/>
            <w:shd w:val="clear" w:color="auto" w:fill="auto"/>
            <w:noWrap/>
            <w:vAlign w:val="center"/>
          </w:tcPr>
          <w:p w14:paraId="63D6CD18" w14:textId="3455DD9E" w:rsidR="0055283A" w:rsidRPr="00651C99" w:rsidRDefault="0055283A" w:rsidP="0055283A">
            <w:pPr>
              <w:pStyle w:val="NoSpacing"/>
              <w:jc w:val="right"/>
              <w:rPr>
                <w:sz w:val="18"/>
                <w:szCs w:val="18"/>
              </w:rPr>
            </w:pPr>
            <w:r w:rsidRPr="0049727F">
              <w:rPr>
                <w:sz w:val="18"/>
                <w:szCs w:val="18"/>
              </w:rPr>
              <w:t xml:space="preserve">$27.70 </w:t>
            </w:r>
          </w:p>
        </w:tc>
        <w:tc>
          <w:tcPr>
            <w:tcW w:w="521" w:type="pct"/>
            <w:shd w:val="clear" w:color="auto" w:fill="auto"/>
            <w:noWrap/>
            <w:vAlign w:val="center"/>
          </w:tcPr>
          <w:p w14:paraId="4286FE84" w14:textId="5D23CE5D" w:rsidR="0055283A" w:rsidRPr="00651C99" w:rsidRDefault="0055283A" w:rsidP="0055283A">
            <w:pPr>
              <w:pStyle w:val="NoSpacing"/>
              <w:jc w:val="right"/>
              <w:rPr>
                <w:sz w:val="18"/>
                <w:szCs w:val="18"/>
              </w:rPr>
            </w:pPr>
            <w:r w:rsidRPr="0049727F">
              <w:rPr>
                <w:sz w:val="18"/>
                <w:szCs w:val="18"/>
              </w:rPr>
              <w:t xml:space="preserve">$7,424 </w:t>
            </w:r>
          </w:p>
        </w:tc>
      </w:tr>
      <w:tr w:rsidR="0055283A" w:rsidRPr="00651C99" w14:paraId="6B20E05A" w14:textId="77777777" w:rsidTr="0055283A">
        <w:trPr>
          <w:trHeight w:val="20"/>
        </w:trPr>
        <w:tc>
          <w:tcPr>
            <w:tcW w:w="5000" w:type="pct"/>
            <w:gridSpan w:val="9"/>
            <w:shd w:val="clear" w:color="auto" w:fill="auto"/>
            <w:vAlign w:val="center"/>
          </w:tcPr>
          <w:p w14:paraId="3D61C720" w14:textId="0412A505" w:rsidR="0055283A" w:rsidRPr="00004272" w:rsidRDefault="0055283A" w:rsidP="0055283A">
            <w:pPr>
              <w:pStyle w:val="NoSpacing"/>
              <w:rPr>
                <w:color w:val="595959" w:themeColor="text1" w:themeTint="A6"/>
                <w:sz w:val="18"/>
                <w:szCs w:val="18"/>
              </w:rPr>
            </w:pPr>
            <w:r w:rsidRPr="00004272">
              <w:rPr>
                <w:rFonts w:cstheme="minorHAnsi"/>
                <w:b/>
                <w:i/>
                <w:color w:val="595959" w:themeColor="text1" w:themeTint="A6"/>
                <w:sz w:val="18"/>
                <w:szCs w:val="18"/>
              </w:rPr>
              <w:t>Students' special education teacher</w:t>
            </w:r>
          </w:p>
        </w:tc>
      </w:tr>
      <w:tr w:rsidR="0055283A" w:rsidRPr="00651C99" w14:paraId="6FAEEAA9" w14:textId="77777777" w:rsidTr="00004272">
        <w:trPr>
          <w:trHeight w:val="20"/>
        </w:trPr>
        <w:tc>
          <w:tcPr>
            <w:tcW w:w="1261" w:type="pct"/>
            <w:shd w:val="clear" w:color="auto" w:fill="auto"/>
            <w:vAlign w:val="center"/>
          </w:tcPr>
          <w:p w14:paraId="0DA4F95F" w14:textId="18C6C2C6" w:rsidR="0055283A" w:rsidRPr="00B56C40" w:rsidRDefault="0055283A" w:rsidP="00B56C40">
            <w:pPr>
              <w:pStyle w:val="NoSpacing"/>
              <w:ind w:firstLine="72"/>
              <w:rPr>
                <w:rFonts w:cstheme="minorHAnsi"/>
                <w:sz w:val="18"/>
                <w:szCs w:val="18"/>
              </w:rPr>
            </w:pPr>
            <w:r w:rsidRPr="00B56C40">
              <w:rPr>
                <w:rFonts w:cstheme="minorHAnsi"/>
                <w:sz w:val="18"/>
                <w:szCs w:val="18"/>
              </w:rPr>
              <w:t>Teacher survey</w:t>
            </w:r>
          </w:p>
        </w:tc>
        <w:tc>
          <w:tcPr>
            <w:tcW w:w="389" w:type="pct"/>
            <w:vAlign w:val="center"/>
          </w:tcPr>
          <w:p w14:paraId="0CFF7C4B" w14:textId="40C1FEC7"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4050075D" w14:textId="6097E38A"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59374483" w14:textId="4C55ADA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384C4B9A" w14:textId="795D5A1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425" w:type="pct"/>
            <w:shd w:val="clear" w:color="auto" w:fill="auto"/>
            <w:noWrap/>
            <w:vAlign w:val="center"/>
          </w:tcPr>
          <w:p w14:paraId="61FD3001" w14:textId="5A52FF4F"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49278721" w14:textId="1227A9F8" w:rsidR="0055283A" w:rsidRPr="00651C99" w:rsidRDefault="0055283A" w:rsidP="0055283A">
            <w:pPr>
              <w:pStyle w:val="NoSpacing"/>
              <w:jc w:val="right"/>
              <w:rPr>
                <w:rFonts w:cstheme="minorHAnsi"/>
                <w:sz w:val="18"/>
                <w:szCs w:val="18"/>
              </w:rPr>
            </w:pPr>
            <w:r w:rsidRPr="0049727F">
              <w:rPr>
                <w:rFonts w:cstheme="minorHAnsi"/>
                <w:sz w:val="18"/>
                <w:szCs w:val="18"/>
              </w:rPr>
              <w:t>8</w:t>
            </w:r>
          </w:p>
        </w:tc>
        <w:tc>
          <w:tcPr>
            <w:tcW w:w="518" w:type="pct"/>
            <w:shd w:val="clear" w:color="auto" w:fill="auto"/>
            <w:noWrap/>
            <w:vAlign w:val="center"/>
          </w:tcPr>
          <w:p w14:paraId="0C77E4FE" w14:textId="03278A84"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E989C3E" w14:textId="6A07EBE6" w:rsidR="0055283A" w:rsidRPr="00651C99" w:rsidRDefault="0055283A" w:rsidP="0055283A">
            <w:pPr>
              <w:pStyle w:val="NoSpacing"/>
              <w:jc w:val="right"/>
              <w:rPr>
                <w:sz w:val="18"/>
                <w:szCs w:val="18"/>
              </w:rPr>
            </w:pPr>
            <w:r w:rsidRPr="0049727F">
              <w:rPr>
                <w:sz w:val="18"/>
                <w:szCs w:val="18"/>
              </w:rPr>
              <w:t xml:space="preserve">$229 </w:t>
            </w:r>
          </w:p>
        </w:tc>
      </w:tr>
      <w:tr w:rsidR="0055283A" w:rsidRPr="00651C99" w14:paraId="154C0620" w14:textId="77777777" w:rsidTr="00004272">
        <w:trPr>
          <w:trHeight w:val="20"/>
        </w:trPr>
        <w:tc>
          <w:tcPr>
            <w:tcW w:w="1261" w:type="pct"/>
            <w:shd w:val="clear" w:color="auto" w:fill="auto"/>
            <w:vAlign w:val="center"/>
          </w:tcPr>
          <w:p w14:paraId="674BD2B5" w14:textId="1C2ADB48" w:rsidR="0055283A" w:rsidRPr="00B56C40" w:rsidRDefault="0055283A" w:rsidP="00B56C40">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62DF46E3" w14:textId="72BF57A2"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2AAF6A34" w14:textId="3191D22C"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268A0A69" w14:textId="4238A040"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18BE167E" w14:textId="7780156B" w:rsidR="0055283A" w:rsidRPr="00651C99" w:rsidRDefault="0055283A" w:rsidP="005F38E7">
            <w:pPr>
              <w:pStyle w:val="NoSpacing"/>
              <w:jc w:val="right"/>
              <w:rPr>
                <w:rFonts w:cstheme="minorHAnsi"/>
                <w:sz w:val="18"/>
                <w:szCs w:val="18"/>
              </w:rPr>
            </w:pPr>
            <w:r w:rsidRPr="0049727F">
              <w:rPr>
                <w:rFonts w:cstheme="minorHAnsi"/>
                <w:sz w:val="18"/>
                <w:szCs w:val="18"/>
              </w:rPr>
              <w:t>368</w:t>
            </w:r>
            <w:r w:rsidR="005F38E7">
              <w:rPr>
                <w:sz w:val="18"/>
                <w:szCs w:val="18"/>
                <w:vertAlign w:val="superscript"/>
              </w:rPr>
              <w:t>7</w:t>
            </w:r>
          </w:p>
        </w:tc>
        <w:tc>
          <w:tcPr>
            <w:tcW w:w="425" w:type="pct"/>
            <w:shd w:val="clear" w:color="auto" w:fill="auto"/>
            <w:noWrap/>
            <w:vAlign w:val="center"/>
          </w:tcPr>
          <w:p w14:paraId="4F71AA07" w14:textId="733F94C6" w:rsidR="0055283A" w:rsidRPr="00651C99" w:rsidRDefault="0055283A" w:rsidP="0055283A">
            <w:pPr>
              <w:pStyle w:val="NoSpacing"/>
              <w:jc w:val="right"/>
              <w:rPr>
                <w:rFonts w:cstheme="minorHAnsi"/>
                <w:sz w:val="18"/>
                <w:szCs w:val="18"/>
              </w:rPr>
            </w:pPr>
            <w:r w:rsidRPr="0049727F">
              <w:rPr>
                <w:rFonts w:cstheme="minorHAnsi"/>
                <w:sz w:val="18"/>
                <w:szCs w:val="18"/>
              </w:rPr>
              <w:t>25</w:t>
            </w:r>
          </w:p>
        </w:tc>
        <w:tc>
          <w:tcPr>
            <w:tcW w:w="330" w:type="pct"/>
            <w:shd w:val="clear" w:color="auto" w:fill="auto"/>
            <w:noWrap/>
            <w:vAlign w:val="center"/>
          </w:tcPr>
          <w:p w14:paraId="5694A89B" w14:textId="693B741A" w:rsidR="0055283A" w:rsidRPr="00651C99" w:rsidRDefault="0055283A" w:rsidP="0055283A">
            <w:pPr>
              <w:pStyle w:val="NoSpacing"/>
              <w:jc w:val="right"/>
              <w:rPr>
                <w:rFonts w:cstheme="minorHAnsi"/>
                <w:sz w:val="18"/>
                <w:szCs w:val="18"/>
              </w:rPr>
            </w:pPr>
            <w:r w:rsidRPr="0049727F">
              <w:rPr>
                <w:rFonts w:cstheme="minorHAnsi"/>
                <w:sz w:val="18"/>
                <w:szCs w:val="18"/>
              </w:rPr>
              <w:t>153</w:t>
            </w:r>
          </w:p>
        </w:tc>
        <w:tc>
          <w:tcPr>
            <w:tcW w:w="518" w:type="pct"/>
            <w:shd w:val="clear" w:color="auto" w:fill="auto"/>
            <w:noWrap/>
            <w:vAlign w:val="center"/>
          </w:tcPr>
          <w:p w14:paraId="201528E3" w14:textId="28E1F32C"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6CE597D" w14:textId="7F3A9DC5" w:rsidR="0055283A" w:rsidRPr="00651C99" w:rsidRDefault="0055283A" w:rsidP="0055283A">
            <w:pPr>
              <w:pStyle w:val="NoSpacing"/>
              <w:jc w:val="right"/>
              <w:rPr>
                <w:sz w:val="18"/>
                <w:szCs w:val="18"/>
              </w:rPr>
            </w:pPr>
            <w:r w:rsidRPr="0049727F">
              <w:rPr>
                <w:sz w:val="18"/>
                <w:szCs w:val="18"/>
              </w:rPr>
              <w:t xml:space="preserve">$4,383 </w:t>
            </w:r>
          </w:p>
        </w:tc>
      </w:tr>
      <w:tr w:rsidR="0055283A" w:rsidRPr="00651C99" w14:paraId="281FD0B2" w14:textId="77777777" w:rsidTr="00651C99">
        <w:trPr>
          <w:trHeight w:val="20"/>
        </w:trPr>
        <w:tc>
          <w:tcPr>
            <w:tcW w:w="5000" w:type="pct"/>
            <w:gridSpan w:val="9"/>
            <w:shd w:val="clear" w:color="auto" w:fill="auto"/>
            <w:vAlign w:val="center"/>
          </w:tcPr>
          <w:p w14:paraId="33F3B97D" w14:textId="77777777" w:rsidR="0055283A" w:rsidRPr="00004272" w:rsidRDefault="0055283A" w:rsidP="0055283A">
            <w:pPr>
              <w:pStyle w:val="NoSpacing"/>
              <w:rPr>
                <w:b/>
                <w:i/>
                <w:color w:val="595959" w:themeColor="text1" w:themeTint="A6"/>
                <w:sz w:val="18"/>
                <w:szCs w:val="18"/>
              </w:rPr>
            </w:pPr>
            <w:r w:rsidRPr="00004272">
              <w:rPr>
                <w:rFonts w:cstheme="minorHAnsi"/>
                <w:b/>
                <w:i/>
                <w:color w:val="595959" w:themeColor="text1" w:themeTint="A6"/>
                <w:sz w:val="18"/>
                <w:szCs w:val="18"/>
              </w:rPr>
              <w:t>School administrators and coordinators</w:t>
            </w:r>
          </w:p>
        </w:tc>
      </w:tr>
      <w:tr w:rsidR="0055283A" w:rsidRPr="00651C99" w14:paraId="450BA20B" w14:textId="77777777" w:rsidTr="00004272">
        <w:trPr>
          <w:trHeight w:val="20"/>
        </w:trPr>
        <w:tc>
          <w:tcPr>
            <w:tcW w:w="1261" w:type="pct"/>
            <w:shd w:val="clear" w:color="auto" w:fill="auto"/>
            <w:vAlign w:val="center"/>
          </w:tcPr>
          <w:p w14:paraId="6795FFC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Students' school administrators</w:t>
            </w:r>
          </w:p>
        </w:tc>
        <w:tc>
          <w:tcPr>
            <w:tcW w:w="389" w:type="pct"/>
            <w:vAlign w:val="center"/>
          </w:tcPr>
          <w:p w14:paraId="00832BBA"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4331204A" w14:textId="77777777" w:rsidR="0055283A" w:rsidRPr="00651C99" w:rsidRDefault="0055283A" w:rsidP="0055283A">
            <w:pPr>
              <w:pStyle w:val="NoSpacing"/>
              <w:jc w:val="right"/>
              <w:rPr>
                <w:rFonts w:cstheme="minorHAnsi"/>
                <w:sz w:val="18"/>
                <w:szCs w:val="18"/>
              </w:rPr>
            </w:pPr>
            <w:r w:rsidRPr="00651C99">
              <w:rPr>
                <w:rFonts w:cstheme="minorHAnsi"/>
                <w:sz w:val="18"/>
                <w:szCs w:val="18"/>
              </w:rPr>
              <w:t>99%</w:t>
            </w:r>
          </w:p>
        </w:tc>
        <w:tc>
          <w:tcPr>
            <w:tcW w:w="566" w:type="pct"/>
            <w:vAlign w:val="center"/>
          </w:tcPr>
          <w:p w14:paraId="4EB086AF"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566" w:type="pct"/>
            <w:shd w:val="clear" w:color="auto" w:fill="auto"/>
            <w:noWrap/>
            <w:vAlign w:val="center"/>
          </w:tcPr>
          <w:p w14:paraId="652BB7AC"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425" w:type="pct"/>
            <w:shd w:val="clear" w:color="auto" w:fill="auto"/>
            <w:noWrap/>
            <w:vAlign w:val="center"/>
          </w:tcPr>
          <w:p w14:paraId="593221FE" w14:textId="198B88BE" w:rsidR="0055283A" w:rsidRPr="00651C99" w:rsidRDefault="0055283A" w:rsidP="0055283A">
            <w:pPr>
              <w:pStyle w:val="NoSpacing"/>
              <w:jc w:val="right"/>
              <w:rPr>
                <w:rFonts w:cstheme="minorHAnsi"/>
                <w:sz w:val="18"/>
                <w:szCs w:val="18"/>
              </w:rPr>
            </w:pPr>
            <w:r w:rsidRPr="00651C99">
              <w:rPr>
                <w:rFonts w:cstheme="minorHAnsi"/>
                <w:sz w:val="18"/>
                <w:szCs w:val="18"/>
              </w:rPr>
              <w:t>40</w:t>
            </w:r>
          </w:p>
        </w:tc>
        <w:tc>
          <w:tcPr>
            <w:tcW w:w="330" w:type="pct"/>
            <w:shd w:val="clear" w:color="auto" w:fill="auto"/>
            <w:noWrap/>
            <w:vAlign w:val="center"/>
          </w:tcPr>
          <w:p w14:paraId="734EE550" w14:textId="1909A463" w:rsidR="0055283A" w:rsidRPr="00651C99" w:rsidRDefault="0055283A" w:rsidP="0055283A">
            <w:pPr>
              <w:pStyle w:val="NoSpacing"/>
              <w:jc w:val="right"/>
              <w:rPr>
                <w:rFonts w:cstheme="minorHAnsi"/>
                <w:sz w:val="18"/>
                <w:szCs w:val="18"/>
              </w:rPr>
            </w:pPr>
            <w:r w:rsidRPr="00651C99">
              <w:rPr>
                <w:rFonts w:cstheme="minorHAnsi"/>
                <w:sz w:val="18"/>
                <w:szCs w:val="18"/>
              </w:rPr>
              <w:t>33</w:t>
            </w:r>
          </w:p>
        </w:tc>
        <w:tc>
          <w:tcPr>
            <w:tcW w:w="518" w:type="pct"/>
            <w:shd w:val="clear" w:color="auto" w:fill="auto"/>
            <w:noWrap/>
            <w:vAlign w:val="center"/>
          </w:tcPr>
          <w:p w14:paraId="34C01850" w14:textId="77777777" w:rsidR="0055283A" w:rsidRPr="00651C99" w:rsidRDefault="0055283A" w:rsidP="0055283A">
            <w:pPr>
              <w:pStyle w:val="NoSpacing"/>
              <w:jc w:val="right"/>
              <w:rPr>
                <w:sz w:val="18"/>
                <w:szCs w:val="18"/>
              </w:rPr>
            </w:pPr>
            <w:r w:rsidRPr="00651C99">
              <w:rPr>
                <w:sz w:val="18"/>
                <w:szCs w:val="18"/>
              </w:rPr>
              <w:t xml:space="preserve">$44.13 </w:t>
            </w:r>
          </w:p>
        </w:tc>
        <w:tc>
          <w:tcPr>
            <w:tcW w:w="521" w:type="pct"/>
            <w:shd w:val="clear" w:color="auto" w:fill="auto"/>
            <w:noWrap/>
            <w:vAlign w:val="center"/>
          </w:tcPr>
          <w:p w14:paraId="48717E6B" w14:textId="17F6DAB4" w:rsidR="0055283A" w:rsidRPr="00651C99" w:rsidRDefault="0055283A" w:rsidP="00D14138">
            <w:pPr>
              <w:pStyle w:val="NoSpacing"/>
              <w:jc w:val="right"/>
              <w:rPr>
                <w:sz w:val="18"/>
                <w:szCs w:val="18"/>
              </w:rPr>
            </w:pPr>
            <w:r w:rsidRPr="00651C99">
              <w:rPr>
                <w:sz w:val="18"/>
                <w:szCs w:val="18"/>
              </w:rPr>
              <w:t>$1,4</w:t>
            </w:r>
            <w:r w:rsidR="00D14138">
              <w:rPr>
                <w:sz w:val="18"/>
                <w:szCs w:val="18"/>
              </w:rPr>
              <w:t>56</w:t>
            </w:r>
            <w:r w:rsidRPr="00651C99">
              <w:rPr>
                <w:sz w:val="18"/>
                <w:szCs w:val="18"/>
              </w:rPr>
              <w:t xml:space="preserve"> </w:t>
            </w:r>
          </w:p>
        </w:tc>
      </w:tr>
      <w:tr w:rsidR="0055283A" w:rsidRPr="00651C99" w14:paraId="64C64DF0" w14:textId="77777777" w:rsidTr="00004272">
        <w:trPr>
          <w:trHeight w:val="20"/>
        </w:trPr>
        <w:tc>
          <w:tcPr>
            <w:tcW w:w="1261" w:type="pct"/>
            <w:shd w:val="clear" w:color="auto" w:fill="auto"/>
            <w:vAlign w:val="center"/>
          </w:tcPr>
          <w:p w14:paraId="6A544B4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School coordinator</w:t>
            </w:r>
          </w:p>
        </w:tc>
        <w:tc>
          <w:tcPr>
            <w:tcW w:w="389" w:type="pct"/>
            <w:vAlign w:val="center"/>
          </w:tcPr>
          <w:p w14:paraId="3ED9918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3BAFD51C" w14:textId="77777777" w:rsidR="0055283A" w:rsidRPr="00651C99" w:rsidRDefault="0055283A" w:rsidP="0055283A">
            <w:pPr>
              <w:pStyle w:val="NoSpacing"/>
              <w:jc w:val="right"/>
              <w:rPr>
                <w:rFonts w:cstheme="minorHAnsi"/>
                <w:sz w:val="18"/>
                <w:szCs w:val="18"/>
              </w:rPr>
            </w:pPr>
            <w:r w:rsidRPr="00651C99">
              <w:rPr>
                <w:rFonts w:cstheme="minorHAnsi"/>
                <w:sz w:val="18"/>
                <w:szCs w:val="18"/>
              </w:rPr>
              <w:t>100%</w:t>
            </w:r>
          </w:p>
        </w:tc>
        <w:tc>
          <w:tcPr>
            <w:tcW w:w="566" w:type="pct"/>
            <w:vAlign w:val="center"/>
          </w:tcPr>
          <w:p w14:paraId="638F657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566" w:type="pct"/>
            <w:shd w:val="clear" w:color="auto" w:fill="auto"/>
            <w:noWrap/>
            <w:vAlign w:val="center"/>
          </w:tcPr>
          <w:p w14:paraId="0F338AD4"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5" w:type="pct"/>
            <w:shd w:val="clear" w:color="auto" w:fill="auto"/>
            <w:noWrap/>
            <w:vAlign w:val="center"/>
          </w:tcPr>
          <w:p w14:paraId="47619446" w14:textId="77777777" w:rsidR="0055283A" w:rsidRPr="00651C99" w:rsidRDefault="0055283A" w:rsidP="0055283A">
            <w:pPr>
              <w:pStyle w:val="NoSpacing"/>
              <w:jc w:val="right"/>
              <w:rPr>
                <w:rFonts w:cstheme="minorHAnsi"/>
                <w:sz w:val="18"/>
                <w:szCs w:val="18"/>
              </w:rPr>
            </w:pPr>
            <w:r w:rsidRPr="00651C99">
              <w:rPr>
                <w:rFonts w:cstheme="minorHAnsi"/>
                <w:sz w:val="18"/>
                <w:szCs w:val="18"/>
              </w:rPr>
              <w:t>720</w:t>
            </w:r>
          </w:p>
        </w:tc>
        <w:tc>
          <w:tcPr>
            <w:tcW w:w="330" w:type="pct"/>
            <w:shd w:val="clear" w:color="auto" w:fill="auto"/>
            <w:noWrap/>
            <w:vAlign w:val="center"/>
          </w:tcPr>
          <w:p w14:paraId="0582102F" w14:textId="77777777" w:rsidR="0055283A" w:rsidRPr="00651C99" w:rsidRDefault="0055283A" w:rsidP="0055283A">
            <w:pPr>
              <w:pStyle w:val="NoSpacing"/>
              <w:jc w:val="right"/>
              <w:rPr>
                <w:rFonts w:cstheme="minorHAnsi"/>
                <w:sz w:val="18"/>
                <w:szCs w:val="18"/>
              </w:rPr>
            </w:pPr>
            <w:r w:rsidRPr="00651C99">
              <w:rPr>
                <w:rFonts w:cstheme="minorHAnsi"/>
                <w:sz w:val="18"/>
                <w:szCs w:val="18"/>
              </w:rPr>
              <w:t>600</w:t>
            </w:r>
          </w:p>
        </w:tc>
        <w:tc>
          <w:tcPr>
            <w:tcW w:w="518" w:type="pct"/>
            <w:shd w:val="clear" w:color="auto" w:fill="auto"/>
            <w:noWrap/>
            <w:vAlign w:val="center"/>
          </w:tcPr>
          <w:p w14:paraId="69B38AE0" w14:textId="77777777" w:rsidR="0055283A" w:rsidRPr="00651C99" w:rsidRDefault="0055283A" w:rsidP="0055283A">
            <w:pPr>
              <w:pStyle w:val="NoSpacing"/>
              <w:jc w:val="right"/>
              <w:rPr>
                <w:sz w:val="18"/>
                <w:szCs w:val="18"/>
              </w:rPr>
            </w:pPr>
            <w:r w:rsidRPr="00651C99">
              <w:rPr>
                <w:sz w:val="18"/>
                <w:szCs w:val="18"/>
              </w:rPr>
              <w:t xml:space="preserve">$26.94 </w:t>
            </w:r>
          </w:p>
        </w:tc>
        <w:tc>
          <w:tcPr>
            <w:tcW w:w="521" w:type="pct"/>
            <w:shd w:val="clear" w:color="auto" w:fill="auto"/>
            <w:noWrap/>
            <w:vAlign w:val="center"/>
          </w:tcPr>
          <w:p w14:paraId="27E3AF3C" w14:textId="77777777" w:rsidR="0055283A" w:rsidRPr="00651C99" w:rsidRDefault="0055283A" w:rsidP="0055283A">
            <w:pPr>
              <w:pStyle w:val="NoSpacing"/>
              <w:jc w:val="right"/>
              <w:rPr>
                <w:sz w:val="18"/>
                <w:szCs w:val="18"/>
              </w:rPr>
            </w:pPr>
            <w:r w:rsidRPr="00651C99">
              <w:rPr>
                <w:sz w:val="18"/>
                <w:szCs w:val="18"/>
              </w:rPr>
              <w:t xml:space="preserve">$16,164 </w:t>
            </w:r>
          </w:p>
        </w:tc>
      </w:tr>
      <w:tr w:rsidR="00FD7DD9" w:rsidRPr="00651C99" w14:paraId="48AAE97A" w14:textId="77777777" w:rsidTr="00A05B58">
        <w:trPr>
          <w:trHeight w:val="20"/>
        </w:trPr>
        <w:tc>
          <w:tcPr>
            <w:tcW w:w="5000" w:type="pct"/>
            <w:gridSpan w:val="9"/>
            <w:shd w:val="clear" w:color="auto" w:fill="auto"/>
            <w:vAlign w:val="center"/>
          </w:tcPr>
          <w:p w14:paraId="16D37136" w14:textId="00078E75" w:rsidR="00FD7DD9" w:rsidRPr="00651C99" w:rsidRDefault="00FD7DD9" w:rsidP="00FD7DD9">
            <w:pPr>
              <w:pStyle w:val="NoSpacing"/>
              <w:rPr>
                <w:rFonts w:cstheme="minorHAnsi"/>
                <w:b/>
                <w:i/>
                <w:sz w:val="18"/>
                <w:szCs w:val="18"/>
              </w:rPr>
            </w:pPr>
            <w:r>
              <w:rPr>
                <w:rFonts w:cstheme="minorHAnsi"/>
                <w:b/>
                <w:i/>
                <w:sz w:val="18"/>
                <w:szCs w:val="18"/>
              </w:rPr>
              <w:t>OFT Tracking</w:t>
            </w:r>
          </w:p>
        </w:tc>
      </w:tr>
      <w:tr w:rsidR="00FD7DD9" w:rsidRPr="00651C99" w14:paraId="2739E65A" w14:textId="77777777" w:rsidTr="00A05B58">
        <w:trPr>
          <w:trHeight w:val="20"/>
        </w:trPr>
        <w:tc>
          <w:tcPr>
            <w:tcW w:w="5000" w:type="pct"/>
            <w:gridSpan w:val="9"/>
            <w:shd w:val="clear" w:color="auto" w:fill="auto"/>
            <w:vAlign w:val="center"/>
          </w:tcPr>
          <w:p w14:paraId="5FCBC463" w14:textId="0FAA93FC" w:rsidR="00FD7DD9" w:rsidRPr="00651C99" w:rsidRDefault="00FD7DD9" w:rsidP="00A05B58">
            <w:pPr>
              <w:pStyle w:val="NoSpacing"/>
              <w:rPr>
                <w:rFonts w:cstheme="minorHAnsi"/>
                <w:b/>
                <w:i/>
                <w:sz w:val="18"/>
                <w:szCs w:val="18"/>
              </w:rPr>
            </w:pPr>
            <w:r w:rsidRPr="00FD7DD9">
              <w:rPr>
                <w:rFonts w:cstheme="minorHAnsi"/>
                <w:b/>
                <w:i/>
                <w:color w:val="595959" w:themeColor="text1" w:themeTint="A6"/>
                <w:sz w:val="18"/>
                <w:szCs w:val="18"/>
              </w:rPr>
              <w:t>Tracking: Enrollment Status Update</w:t>
            </w:r>
          </w:p>
        </w:tc>
      </w:tr>
      <w:tr w:rsidR="00FD7DD9" w:rsidRPr="00651C99" w14:paraId="15C709B4" w14:textId="77777777" w:rsidTr="00A05B58">
        <w:trPr>
          <w:trHeight w:val="20"/>
        </w:trPr>
        <w:tc>
          <w:tcPr>
            <w:tcW w:w="1261" w:type="pct"/>
            <w:shd w:val="clear" w:color="auto" w:fill="auto"/>
            <w:vAlign w:val="center"/>
          </w:tcPr>
          <w:p w14:paraId="7346E31C" w14:textId="794C0D83" w:rsidR="00FD7DD9" w:rsidRPr="00651C99" w:rsidRDefault="00FD7DD9" w:rsidP="00A05B58">
            <w:pPr>
              <w:pStyle w:val="NoSpacing"/>
              <w:rPr>
                <w:rFonts w:cstheme="minorHAnsi"/>
                <w:sz w:val="18"/>
                <w:szCs w:val="18"/>
              </w:rPr>
            </w:pPr>
            <w:r>
              <w:rPr>
                <w:rFonts w:ascii="Calibri" w:hAnsi="Calibri"/>
                <w:color w:val="000000"/>
                <w:sz w:val="18"/>
                <w:szCs w:val="18"/>
              </w:rPr>
              <w:t>School staff</w:t>
            </w:r>
          </w:p>
        </w:tc>
        <w:tc>
          <w:tcPr>
            <w:tcW w:w="389" w:type="pct"/>
            <w:vAlign w:val="center"/>
          </w:tcPr>
          <w:p w14:paraId="01838FE7" w14:textId="55989938" w:rsidR="00FD7DD9" w:rsidRPr="00651C99" w:rsidRDefault="00FD7DD9" w:rsidP="00A05B58">
            <w:pPr>
              <w:pStyle w:val="NoSpacing"/>
              <w:jc w:val="right"/>
              <w:rPr>
                <w:rFonts w:cstheme="minorHAnsi"/>
                <w:sz w:val="18"/>
                <w:szCs w:val="18"/>
              </w:rPr>
            </w:pPr>
            <w:r>
              <w:rPr>
                <w:rFonts w:ascii="Calibri" w:hAnsi="Calibri"/>
                <w:color w:val="000000"/>
                <w:sz w:val="18"/>
                <w:szCs w:val="18"/>
              </w:rPr>
              <w:t>50</w:t>
            </w:r>
          </w:p>
        </w:tc>
        <w:tc>
          <w:tcPr>
            <w:tcW w:w="424" w:type="pct"/>
            <w:vAlign w:val="center"/>
          </w:tcPr>
          <w:p w14:paraId="2F344598" w14:textId="207C2474"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035EA64D" w14:textId="7030E496"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566" w:type="pct"/>
            <w:shd w:val="clear" w:color="auto" w:fill="auto"/>
            <w:noWrap/>
            <w:vAlign w:val="center"/>
          </w:tcPr>
          <w:p w14:paraId="611E7AED" w14:textId="02853AF4"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425" w:type="pct"/>
            <w:shd w:val="clear" w:color="auto" w:fill="auto"/>
            <w:noWrap/>
            <w:vAlign w:val="center"/>
          </w:tcPr>
          <w:p w14:paraId="695EB8F7" w14:textId="6986E28B"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1EABC4F" w14:textId="075AF558" w:rsidR="00FD7DD9" w:rsidRPr="00651C99" w:rsidRDefault="00FD7DD9" w:rsidP="00A05B58">
            <w:pPr>
              <w:pStyle w:val="NoSpacing"/>
              <w:jc w:val="right"/>
              <w:rPr>
                <w:rFonts w:cstheme="minorHAnsi"/>
                <w:sz w:val="18"/>
                <w:szCs w:val="18"/>
              </w:rPr>
            </w:pPr>
            <w:r>
              <w:rPr>
                <w:rFonts w:ascii="Calibri" w:hAnsi="Calibri"/>
                <w:color w:val="000000"/>
                <w:sz w:val="18"/>
                <w:szCs w:val="18"/>
              </w:rPr>
              <w:t>16</w:t>
            </w:r>
          </w:p>
        </w:tc>
        <w:tc>
          <w:tcPr>
            <w:tcW w:w="518" w:type="pct"/>
            <w:shd w:val="clear" w:color="auto" w:fill="auto"/>
            <w:noWrap/>
            <w:vAlign w:val="center"/>
          </w:tcPr>
          <w:p w14:paraId="55472812" w14:textId="042F3355"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25D920AB" w14:textId="660D8DFE" w:rsidR="00FD7DD9" w:rsidRPr="00651C99" w:rsidRDefault="00FD7DD9" w:rsidP="00A05B58">
            <w:pPr>
              <w:pStyle w:val="NoSpacing"/>
              <w:jc w:val="right"/>
              <w:rPr>
                <w:sz w:val="18"/>
                <w:szCs w:val="18"/>
              </w:rPr>
            </w:pPr>
            <w:r>
              <w:rPr>
                <w:rFonts w:ascii="Calibri" w:hAnsi="Calibri"/>
                <w:color w:val="000000"/>
                <w:sz w:val="18"/>
                <w:szCs w:val="18"/>
              </w:rPr>
              <w:t xml:space="preserve">$706 </w:t>
            </w:r>
          </w:p>
        </w:tc>
      </w:tr>
      <w:tr w:rsidR="00FD7DD9" w:rsidRPr="00651C99" w14:paraId="67508C23" w14:textId="77777777" w:rsidTr="00A05B58">
        <w:trPr>
          <w:trHeight w:val="20"/>
        </w:trPr>
        <w:tc>
          <w:tcPr>
            <w:tcW w:w="1261" w:type="pct"/>
            <w:shd w:val="clear" w:color="auto" w:fill="auto"/>
            <w:vAlign w:val="center"/>
          </w:tcPr>
          <w:p w14:paraId="670211F7" w14:textId="75AF41B0" w:rsidR="00FD7DD9" w:rsidRPr="00651C99" w:rsidRDefault="00FD7DD9" w:rsidP="00A05B58">
            <w:pPr>
              <w:pStyle w:val="NoSpacing"/>
              <w:rPr>
                <w:rFonts w:cstheme="minorHAnsi"/>
                <w:sz w:val="18"/>
                <w:szCs w:val="18"/>
              </w:rPr>
            </w:pPr>
            <w:r>
              <w:rPr>
                <w:rFonts w:ascii="Calibri" w:hAnsi="Calibri"/>
                <w:color w:val="000000"/>
                <w:sz w:val="18"/>
                <w:szCs w:val="18"/>
              </w:rPr>
              <w:t>Mover schools</w:t>
            </w:r>
          </w:p>
        </w:tc>
        <w:tc>
          <w:tcPr>
            <w:tcW w:w="389" w:type="pct"/>
            <w:vAlign w:val="center"/>
          </w:tcPr>
          <w:p w14:paraId="55781775" w14:textId="57FC0E65" w:rsidR="00FD7DD9" w:rsidRPr="00651C99" w:rsidRDefault="00FD7DD9" w:rsidP="00A05B58">
            <w:pPr>
              <w:pStyle w:val="NoSpacing"/>
              <w:jc w:val="right"/>
              <w:rPr>
                <w:rFonts w:cstheme="minorHAnsi"/>
                <w:sz w:val="18"/>
                <w:szCs w:val="18"/>
              </w:rPr>
            </w:pPr>
            <w:r>
              <w:rPr>
                <w:rFonts w:ascii="Calibri" w:hAnsi="Calibri"/>
                <w:color w:val="000000"/>
                <w:sz w:val="18"/>
                <w:szCs w:val="18"/>
              </w:rPr>
              <w:t>25</w:t>
            </w:r>
            <w:r w:rsidR="001F4AF7" w:rsidRPr="001F4AF7">
              <w:rPr>
                <w:rFonts w:ascii="Calibri" w:hAnsi="Calibri"/>
                <w:color w:val="000000"/>
                <w:sz w:val="18"/>
                <w:szCs w:val="18"/>
                <w:vertAlign w:val="superscript"/>
              </w:rPr>
              <w:t>8</w:t>
            </w:r>
          </w:p>
        </w:tc>
        <w:tc>
          <w:tcPr>
            <w:tcW w:w="424" w:type="pct"/>
            <w:vAlign w:val="center"/>
          </w:tcPr>
          <w:p w14:paraId="7B28BE77" w14:textId="60C0D8EE"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651FC8B3" w14:textId="614F00A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566" w:type="pct"/>
            <w:shd w:val="clear" w:color="auto" w:fill="auto"/>
            <w:noWrap/>
            <w:vAlign w:val="center"/>
          </w:tcPr>
          <w:p w14:paraId="0F636368" w14:textId="2ED8A02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425" w:type="pct"/>
            <w:shd w:val="clear" w:color="auto" w:fill="auto"/>
            <w:noWrap/>
            <w:vAlign w:val="center"/>
          </w:tcPr>
          <w:p w14:paraId="72E9413A" w14:textId="47847BFD"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97853F7" w14:textId="40957CDD" w:rsidR="00FD7DD9" w:rsidRPr="00651C99" w:rsidRDefault="00FD7DD9" w:rsidP="00A05B58">
            <w:pPr>
              <w:pStyle w:val="NoSpacing"/>
              <w:jc w:val="right"/>
              <w:rPr>
                <w:rFonts w:cstheme="minorHAnsi"/>
                <w:sz w:val="18"/>
                <w:szCs w:val="18"/>
              </w:rPr>
            </w:pPr>
            <w:r>
              <w:rPr>
                <w:rFonts w:ascii="Calibri" w:hAnsi="Calibri"/>
                <w:color w:val="000000"/>
                <w:sz w:val="18"/>
                <w:szCs w:val="18"/>
              </w:rPr>
              <w:t>8</w:t>
            </w:r>
          </w:p>
        </w:tc>
        <w:tc>
          <w:tcPr>
            <w:tcW w:w="518" w:type="pct"/>
            <w:shd w:val="clear" w:color="auto" w:fill="auto"/>
            <w:noWrap/>
            <w:vAlign w:val="center"/>
          </w:tcPr>
          <w:p w14:paraId="183A1B5A" w14:textId="41E40FF7"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0837FF79" w14:textId="65453CDD" w:rsidR="00FD7DD9" w:rsidRPr="00651C99" w:rsidRDefault="00FD7DD9" w:rsidP="00A05B58">
            <w:pPr>
              <w:pStyle w:val="NoSpacing"/>
              <w:jc w:val="right"/>
              <w:rPr>
                <w:sz w:val="18"/>
                <w:szCs w:val="18"/>
              </w:rPr>
            </w:pPr>
            <w:r>
              <w:rPr>
                <w:rFonts w:ascii="Calibri" w:hAnsi="Calibri"/>
                <w:color w:val="000000"/>
                <w:sz w:val="18"/>
                <w:szCs w:val="18"/>
              </w:rPr>
              <w:t xml:space="preserve">$353 </w:t>
            </w:r>
          </w:p>
        </w:tc>
      </w:tr>
      <w:tr w:rsidR="00FD7DD9" w:rsidRPr="00651C99" w14:paraId="5A0984B4" w14:textId="77777777" w:rsidTr="00A05B58">
        <w:trPr>
          <w:trHeight w:val="20"/>
        </w:trPr>
        <w:tc>
          <w:tcPr>
            <w:tcW w:w="5000" w:type="pct"/>
            <w:gridSpan w:val="9"/>
            <w:shd w:val="clear" w:color="auto" w:fill="auto"/>
            <w:vAlign w:val="center"/>
          </w:tcPr>
          <w:p w14:paraId="6B8B4CAD" w14:textId="75BF1BE8" w:rsidR="00FD7DD9" w:rsidRPr="00004272" w:rsidRDefault="00FD7DD9" w:rsidP="00A05B58">
            <w:pPr>
              <w:pStyle w:val="NoSpacing"/>
              <w:rPr>
                <w:b/>
                <w:i/>
                <w:color w:val="595959" w:themeColor="text1" w:themeTint="A6"/>
                <w:sz w:val="18"/>
                <w:szCs w:val="18"/>
              </w:rPr>
            </w:pPr>
            <w:r w:rsidRPr="00FD7DD9">
              <w:rPr>
                <w:b/>
                <w:i/>
                <w:color w:val="595959" w:themeColor="text1" w:themeTint="A6"/>
                <w:sz w:val="18"/>
                <w:szCs w:val="18"/>
              </w:rPr>
              <w:t>Tracking: Locating Update</w:t>
            </w:r>
          </w:p>
        </w:tc>
      </w:tr>
      <w:tr w:rsidR="00FD7DD9" w:rsidRPr="00651C99" w14:paraId="44957A4A" w14:textId="77777777" w:rsidTr="00A05B58">
        <w:trPr>
          <w:trHeight w:val="20"/>
        </w:trPr>
        <w:tc>
          <w:tcPr>
            <w:tcW w:w="1261" w:type="pct"/>
            <w:shd w:val="clear" w:color="auto" w:fill="auto"/>
            <w:vAlign w:val="center"/>
          </w:tcPr>
          <w:p w14:paraId="3A34D0F9" w14:textId="4AC35F2B" w:rsidR="00FD7DD9" w:rsidRPr="00FD7DD9" w:rsidRDefault="00FD7DD9" w:rsidP="00FD7DD9">
            <w:pPr>
              <w:pStyle w:val="NoSpacing"/>
              <w:rPr>
                <w:rFonts w:ascii="Calibri" w:hAnsi="Calibri"/>
                <w:color w:val="000000"/>
                <w:sz w:val="18"/>
                <w:szCs w:val="18"/>
              </w:rPr>
            </w:pPr>
            <w:r>
              <w:rPr>
                <w:rFonts w:ascii="Calibri" w:hAnsi="Calibri"/>
                <w:color w:val="000000"/>
                <w:sz w:val="18"/>
                <w:szCs w:val="18"/>
              </w:rPr>
              <w:t>Parents</w:t>
            </w:r>
          </w:p>
        </w:tc>
        <w:tc>
          <w:tcPr>
            <w:tcW w:w="389" w:type="pct"/>
            <w:vAlign w:val="center"/>
          </w:tcPr>
          <w:p w14:paraId="1741A34C" w14:textId="203187D5" w:rsidR="00FD7DD9" w:rsidRPr="00651C99" w:rsidRDefault="00FD7DD9" w:rsidP="00A05B58">
            <w:pPr>
              <w:pStyle w:val="NoSpacing"/>
              <w:jc w:val="right"/>
              <w:rPr>
                <w:rFonts w:cstheme="minorHAnsi"/>
                <w:sz w:val="18"/>
                <w:szCs w:val="18"/>
              </w:rPr>
            </w:pPr>
            <w:r>
              <w:rPr>
                <w:rFonts w:ascii="Calibri" w:hAnsi="Calibri"/>
                <w:color w:val="000000"/>
                <w:sz w:val="18"/>
                <w:szCs w:val="18"/>
              </w:rPr>
              <w:t>1120</w:t>
            </w:r>
          </w:p>
        </w:tc>
        <w:tc>
          <w:tcPr>
            <w:tcW w:w="424" w:type="pct"/>
            <w:vAlign w:val="center"/>
          </w:tcPr>
          <w:p w14:paraId="4C224EFC" w14:textId="2B6D7C56"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566" w:type="pct"/>
            <w:vAlign w:val="center"/>
          </w:tcPr>
          <w:p w14:paraId="5B3CF21C" w14:textId="31D57788"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566" w:type="pct"/>
            <w:shd w:val="clear" w:color="auto" w:fill="auto"/>
            <w:noWrap/>
            <w:vAlign w:val="center"/>
          </w:tcPr>
          <w:p w14:paraId="4C2110D6" w14:textId="68741424"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425" w:type="pct"/>
            <w:shd w:val="clear" w:color="auto" w:fill="auto"/>
            <w:noWrap/>
            <w:vAlign w:val="center"/>
          </w:tcPr>
          <w:p w14:paraId="2B8FB477" w14:textId="4BCED64C" w:rsidR="00FD7DD9" w:rsidRPr="00651C99" w:rsidRDefault="00FD7DD9" w:rsidP="00A05B58">
            <w:pPr>
              <w:pStyle w:val="NoSpacing"/>
              <w:jc w:val="right"/>
              <w:rPr>
                <w:rFonts w:cstheme="minorHAnsi"/>
                <w:sz w:val="18"/>
                <w:szCs w:val="18"/>
              </w:rPr>
            </w:pPr>
            <w:r>
              <w:rPr>
                <w:rFonts w:ascii="Calibri" w:hAnsi="Calibri"/>
                <w:color w:val="000000"/>
                <w:sz w:val="18"/>
                <w:szCs w:val="18"/>
              </w:rPr>
              <w:t>5</w:t>
            </w:r>
          </w:p>
        </w:tc>
        <w:tc>
          <w:tcPr>
            <w:tcW w:w="330" w:type="pct"/>
            <w:shd w:val="clear" w:color="auto" w:fill="auto"/>
            <w:noWrap/>
            <w:vAlign w:val="center"/>
          </w:tcPr>
          <w:p w14:paraId="430B0116" w14:textId="6E55C858" w:rsidR="00FD7DD9" w:rsidRPr="00651C99" w:rsidRDefault="00FD7DD9" w:rsidP="00A05B58">
            <w:pPr>
              <w:pStyle w:val="NoSpacing"/>
              <w:jc w:val="right"/>
              <w:rPr>
                <w:rFonts w:cstheme="minorHAnsi"/>
                <w:sz w:val="18"/>
                <w:szCs w:val="18"/>
              </w:rPr>
            </w:pPr>
            <w:r>
              <w:rPr>
                <w:rFonts w:ascii="Calibri" w:hAnsi="Calibri"/>
                <w:color w:val="000000"/>
                <w:sz w:val="18"/>
                <w:szCs w:val="18"/>
              </w:rPr>
              <w:t>19</w:t>
            </w:r>
          </w:p>
        </w:tc>
        <w:tc>
          <w:tcPr>
            <w:tcW w:w="518" w:type="pct"/>
            <w:shd w:val="clear" w:color="auto" w:fill="auto"/>
            <w:noWrap/>
            <w:vAlign w:val="center"/>
          </w:tcPr>
          <w:p w14:paraId="18358A40" w14:textId="03FB2A45" w:rsidR="00FD7DD9" w:rsidRPr="00651C99" w:rsidRDefault="00FD7DD9" w:rsidP="00A05B58">
            <w:pPr>
              <w:pStyle w:val="NoSpacing"/>
              <w:jc w:val="right"/>
              <w:rPr>
                <w:sz w:val="18"/>
                <w:szCs w:val="18"/>
              </w:rPr>
            </w:pPr>
            <w:r>
              <w:rPr>
                <w:rFonts w:ascii="Calibri" w:hAnsi="Calibri"/>
                <w:color w:val="000000"/>
                <w:sz w:val="18"/>
                <w:szCs w:val="18"/>
              </w:rPr>
              <w:t xml:space="preserve">$22.71 </w:t>
            </w:r>
          </w:p>
        </w:tc>
        <w:tc>
          <w:tcPr>
            <w:tcW w:w="521" w:type="pct"/>
            <w:shd w:val="clear" w:color="auto" w:fill="auto"/>
            <w:noWrap/>
            <w:vAlign w:val="center"/>
          </w:tcPr>
          <w:p w14:paraId="59058A3F" w14:textId="43B370D7" w:rsidR="00FD7DD9" w:rsidRPr="00651C99" w:rsidRDefault="00FD7DD9" w:rsidP="00A05B58">
            <w:pPr>
              <w:pStyle w:val="NoSpacing"/>
              <w:jc w:val="right"/>
              <w:rPr>
                <w:sz w:val="18"/>
                <w:szCs w:val="18"/>
              </w:rPr>
            </w:pPr>
            <w:r>
              <w:rPr>
                <w:rFonts w:ascii="Calibri" w:hAnsi="Calibri"/>
                <w:color w:val="000000"/>
                <w:sz w:val="18"/>
                <w:szCs w:val="18"/>
              </w:rPr>
              <w:t xml:space="preserve">$431 </w:t>
            </w:r>
          </w:p>
        </w:tc>
      </w:tr>
      <w:tr w:rsidR="009B5833" w:rsidRPr="00651C99" w14:paraId="2AF3D551" w14:textId="77777777" w:rsidTr="00004272">
        <w:trPr>
          <w:trHeight w:val="20"/>
        </w:trPr>
        <w:tc>
          <w:tcPr>
            <w:tcW w:w="1261" w:type="pct"/>
            <w:shd w:val="clear" w:color="auto" w:fill="D9D9D9" w:themeFill="background1" w:themeFillShade="D9"/>
            <w:noWrap/>
            <w:vAlign w:val="center"/>
          </w:tcPr>
          <w:p w14:paraId="2CABBB00" w14:textId="06FFC367" w:rsidR="009B5833" w:rsidRPr="00651C99" w:rsidRDefault="009B5833" w:rsidP="009B5833">
            <w:pPr>
              <w:pStyle w:val="NoSpacing"/>
              <w:rPr>
                <w:rFonts w:cstheme="minorHAnsi"/>
                <w:b/>
                <w:sz w:val="18"/>
                <w:szCs w:val="18"/>
              </w:rPr>
            </w:pPr>
            <w:r w:rsidRPr="00651C99">
              <w:rPr>
                <w:rFonts w:cstheme="minorHAnsi"/>
                <w:b/>
                <w:sz w:val="18"/>
                <w:szCs w:val="18"/>
              </w:rPr>
              <w:t>Total for all OFT activities</w:t>
            </w:r>
          </w:p>
        </w:tc>
        <w:tc>
          <w:tcPr>
            <w:tcW w:w="389" w:type="pct"/>
            <w:shd w:val="clear" w:color="auto" w:fill="D9D9D9" w:themeFill="background1" w:themeFillShade="D9"/>
            <w:vAlign w:val="center"/>
          </w:tcPr>
          <w:p w14:paraId="5331AA91" w14:textId="5A534D7C" w:rsidR="009B5833" w:rsidRPr="00651C99" w:rsidRDefault="009B5833" w:rsidP="009B5833">
            <w:pPr>
              <w:pStyle w:val="NoSpacing"/>
              <w:jc w:val="right"/>
              <w:rPr>
                <w:rFonts w:cstheme="minorHAnsi"/>
                <w:b/>
                <w:sz w:val="18"/>
                <w:szCs w:val="18"/>
              </w:rPr>
            </w:pPr>
            <w:r>
              <w:rPr>
                <w:rFonts w:ascii="Calibri" w:hAnsi="Calibri"/>
                <w:b/>
                <w:bCs/>
                <w:color w:val="000000"/>
                <w:sz w:val="18"/>
                <w:szCs w:val="18"/>
              </w:rPr>
              <w:t>-</w:t>
            </w:r>
          </w:p>
        </w:tc>
        <w:tc>
          <w:tcPr>
            <w:tcW w:w="424" w:type="pct"/>
            <w:shd w:val="clear" w:color="auto" w:fill="D9D9D9" w:themeFill="background1" w:themeFillShade="D9"/>
            <w:vAlign w:val="center"/>
          </w:tcPr>
          <w:p w14:paraId="33696607" w14:textId="0016EB28" w:rsidR="009B5833" w:rsidRPr="00651C99" w:rsidRDefault="009B5833" w:rsidP="009B5833">
            <w:pPr>
              <w:pStyle w:val="NoSpacing"/>
              <w:jc w:val="right"/>
              <w:rPr>
                <w:rFonts w:cstheme="minorHAnsi"/>
                <w:b/>
                <w:sz w:val="18"/>
                <w:szCs w:val="18"/>
              </w:rPr>
            </w:pPr>
            <w:r>
              <w:rPr>
                <w:rFonts w:ascii="Calibri" w:hAnsi="Calibri"/>
                <w:b/>
                <w:bCs/>
                <w:color w:val="000000"/>
                <w:sz w:val="18"/>
                <w:szCs w:val="18"/>
              </w:rPr>
              <w:t>-</w:t>
            </w:r>
          </w:p>
        </w:tc>
        <w:tc>
          <w:tcPr>
            <w:tcW w:w="566" w:type="pct"/>
            <w:shd w:val="clear" w:color="auto" w:fill="D9D9D9" w:themeFill="background1" w:themeFillShade="D9"/>
            <w:vAlign w:val="center"/>
          </w:tcPr>
          <w:p w14:paraId="6D7BDCDA" w14:textId="23E70D1E" w:rsidR="009B5833" w:rsidRPr="00651C99" w:rsidRDefault="00BC11B1" w:rsidP="009B5833">
            <w:pPr>
              <w:pStyle w:val="NoSpacing"/>
              <w:jc w:val="right"/>
              <w:rPr>
                <w:rFonts w:cstheme="minorHAnsi"/>
                <w:b/>
                <w:sz w:val="18"/>
                <w:szCs w:val="18"/>
              </w:rPr>
            </w:pPr>
            <w:r>
              <w:rPr>
                <w:rFonts w:ascii="Calibri" w:hAnsi="Calibri"/>
                <w:b/>
                <w:bCs/>
                <w:color w:val="000000"/>
                <w:sz w:val="18"/>
                <w:szCs w:val="18"/>
              </w:rPr>
              <w:t>2,707</w:t>
            </w:r>
          </w:p>
        </w:tc>
        <w:tc>
          <w:tcPr>
            <w:tcW w:w="566" w:type="pct"/>
            <w:shd w:val="clear" w:color="auto" w:fill="D9D9D9" w:themeFill="background1" w:themeFillShade="D9"/>
            <w:noWrap/>
            <w:vAlign w:val="center"/>
          </w:tcPr>
          <w:p w14:paraId="43D48DE2" w14:textId="45CC4365" w:rsidR="009B5833" w:rsidRPr="00651C99" w:rsidRDefault="00BC11B1" w:rsidP="009B5833">
            <w:pPr>
              <w:pStyle w:val="NoSpacing"/>
              <w:jc w:val="right"/>
              <w:rPr>
                <w:rFonts w:cstheme="minorHAnsi"/>
                <w:b/>
                <w:sz w:val="18"/>
                <w:szCs w:val="18"/>
              </w:rPr>
            </w:pPr>
            <w:r>
              <w:rPr>
                <w:rFonts w:ascii="Calibri" w:hAnsi="Calibri"/>
                <w:b/>
                <w:bCs/>
                <w:color w:val="000000"/>
                <w:sz w:val="18"/>
                <w:szCs w:val="18"/>
              </w:rPr>
              <w:t>6,029</w:t>
            </w:r>
          </w:p>
        </w:tc>
        <w:tc>
          <w:tcPr>
            <w:tcW w:w="425" w:type="pct"/>
            <w:shd w:val="clear" w:color="auto" w:fill="D9D9D9" w:themeFill="background1" w:themeFillShade="D9"/>
            <w:noWrap/>
            <w:vAlign w:val="center"/>
          </w:tcPr>
          <w:p w14:paraId="4C53E627" w14:textId="4114ADED" w:rsidR="009B5833" w:rsidRPr="00651C99" w:rsidRDefault="009B5833" w:rsidP="009B5833">
            <w:pPr>
              <w:pStyle w:val="NoSpacing"/>
              <w:jc w:val="right"/>
              <w:rPr>
                <w:rFonts w:cstheme="minorHAnsi"/>
                <w:b/>
                <w:sz w:val="18"/>
                <w:szCs w:val="18"/>
              </w:rPr>
            </w:pPr>
            <w:r>
              <w:rPr>
                <w:rFonts w:ascii="Calibri" w:hAnsi="Calibri"/>
                <w:b/>
                <w:bCs/>
                <w:color w:val="000000"/>
                <w:sz w:val="18"/>
                <w:szCs w:val="18"/>
              </w:rPr>
              <w:t>-</w:t>
            </w:r>
          </w:p>
        </w:tc>
        <w:tc>
          <w:tcPr>
            <w:tcW w:w="330" w:type="pct"/>
            <w:shd w:val="clear" w:color="auto" w:fill="D9D9D9" w:themeFill="background1" w:themeFillShade="D9"/>
            <w:noWrap/>
            <w:vAlign w:val="center"/>
          </w:tcPr>
          <w:p w14:paraId="49B131D8" w14:textId="7F3E9857" w:rsidR="009B5833" w:rsidRPr="00ED6408" w:rsidRDefault="009B5833" w:rsidP="009B5833">
            <w:pPr>
              <w:pStyle w:val="NoSpacing"/>
              <w:jc w:val="right"/>
              <w:rPr>
                <w:rFonts w:cstheme="minorHAnsi"/>
                <w:b/>
                <w:sz w:val="18"/>
                <w:szCs w:val="18"/>
              </w:rPr>
            </w:pPr>
            <w:r>
              <w:rPr>
                <w:rFonts w:ascii="Calibri" w:hAnsi="Calibri"/>
                <w:b/>
                <w:bCs/>
                <w:color w:val="000000"/>
                <w:sz w:val="18"/>
                <w:szCs w:val="18"/>
              </w:rPr>
              <w:t>2,</w:t>
            </w:r>
            <w:r w:rsidR="00BC11B1">
              <w:rPr>
                <w:rFonts w:ascii="Calibri" w:hAnsi="Calibri"/>
                <w:b/>
                <w:bCs/>
                <w:color w:val="000000"/>
                <w:sz w:val="18"/>
                <w:szCs w:val="18"/>
              </w:rPr>
              <w:t>712</w:t>
            </w:r>
          </w:p>
        </w:tc>
        <w:tc>
          <w:tcPr>
            <w:tcW w:w="518" w:type="pct"/>
            <w:shd w:val="clear" w:color="auto" w:fill="D9D9D9" w:themeFill="background1" w:themeFillShade="D9"/>
            <w:noWrap/>
            <w:vAlign w:val="center"/>
          </w:tcPr>
          <w:p w14:paraId="2DD216D8" w14:textId="23013947" w:rsidR="009B5833" w:rsidRPr="00651C99" w:rsidRDefault="009B5833" w:rsidP="009B5833">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6FC31B1B" w14:textId="16A8E39B" w:rsidR="009B5833" w:rsidRPr="00651C99" w:rsidRDefault="009B5833" w:rsidP="009B5833">
            <w:pPr>
              <w:pStyle w:val="NoSpacing"/>
              <w:jc w:val="right"/>
              <w:rPr>
                <w:b/>
                <w:sz w:val="18"/>
                <w:szCs w:val="18"/>
              </w:rPr>
            </w:pPr>
            <w:r>
              <w:rPr>
                <w:rFonts w:ascii="Calibri" w:hAnsi="Calibri"/>
                <w:b/>
                <w:bCs/>
                <w:color w:val="000000"/>
                <w:sz w:val="18"/>
                <w:szCs w:val="18"/>
              </w:rPr>
              <w:t>$</w:t>
            </w:r>
            <w:r w:rsidR="00BC11B1">
              <w:rPr>
                <w:rFonts w:ascii="Calibri" w:hAnsi="Calibri"/>
                <w:b/>
                <w:bCs/>
                <w:color w:val="000000"/>
                <w:sz w:val="18"/>
                <w:szCs w:val="18"/>
              </w:rPr>
              <w:t>67,543</w:t>
            </w:r>
            <w:r>
              <w:rPr>
                <w:rFonts w:ascii="Calibri" w:hAnsi="Calibri"/>
                <w:b/>
                <w:bCs/>
                <w:color w:val="000000"/>
                <w:sz w:val="18"/>
                <w:szCs w:val="18"/>
              </w:rPr>
              <w:t xml:space="preserve"> </w:t>
            </w:r>
          </w:p>
        </w:tc>
      </w:tr>
      <w:tr w:rsidR="009B5833" w:rsidRPr="00651C99" w14:paraId="5B13FF7A" w14:textId="77777777" w:rsidTr="00561F12">
        <w:trPr>
          <w:trHeight w:val="20"/>
        </w:trPr>
        <w:tc>
          <w:tcPr>
            <w:tcW w:w="5000" w:type="pct"/>
            <w:gridSpan w:val="9"/>
            <w:shd w:val="clear" w:color="auto" w:fill="auto"/>
            <w:vAlign w:val="center"/>
          </w:tcPr>
          <w:p w14:paraId="6D25B815" w14:textId="3254E530" w:rsidR="009B5833" w:rsidRPr="00651C99" w:rsidRDefault="009B5833" w:rsidP="009B5833">
            <w:pPr>
              <w:pStyle w:val="NoSpacing"/>
              <w:rPr>
                <w:rFonts w:cstheme="minorHAnsi"/>
                <w:b/>
                <w:i/>
                <w:sz w:val="18"/>
                <w:szCs w:val="18"/>
              </w:rPr>
            </w:pPr>
            <w:r>
              <w:rPr>
                <w:rFonts w:cstheme="minorHAnsi"/>
                <w:b/>
                <w:i/>
                <w:sz w:val="18"/>
                <w:szCs w:val="18"/>
              </w:rPr>
              <w:t>Main Study Recruitment</w:t>
            </w:r>
          </w:p>
        </w:tc>
      </w:tr>
      <w:tr w:rsidR="009B5833" w:rsidRPr="005F38E7" w14:paraId="2D8508D0" w14:textId="77777777" w:rsidTr="00004272">
        <w:trPr>
          <w:trHeight w:val="20"/>
        </w:trPr>
        <w:tc>
          <w:tcPr>
            <w:tcW w:w="1261" w:type="pct"/>
            <w:shd w:val="clear" w:color="auto" w:fill="auto"/>
            <w:vAlign w:val="center"/>
          </w:tcPr>
          <w:p w14:paraId="293CE348" w14:textId="77777777" w:rsidR="009B5833" w:rsidRPr="005F38E7" w:rsidRDefault="009B5833" w:rsidP="009B5833">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1FE81394" w14:textId="19455661" w:rsidR="009B5833" w:rsidRPr="005F38E7" w:rsidRDefault="009B5833" w:rsidP="009B5833">
            <w:pPr>
              <w:pStyle w:val="NoSpacing"/>
              <w:jc w:val="right"/>
              <w:rPr>
                <w:rFonts w:cstheme="minorHAnsi"/>
                <w:sz w:val="18"/>
                <w:szCs w:val="18"/>
              </w:rPr>
            </w:pPr>
            <w:r w:rsidRPr="00380A1F">
              <w:rPr>
                <w:color w:val="000000"/>
                <w:sz w:val="19"/>
                <w:szCs w:val="19"/>
              </w:rPr>
              <w:t>1,050</w:t>
            </w:r>
          </w:p>
        </w:tc>
        <w:tc>
          <w:tcPr>
            <w:tcW w:w="424" w:type="pct"/>
            <w:vAlign w:val="center"/>
          </w:tcPr>
          <w:p w14:paraId="2543E71D" w14:textId="50CC4BA7" w:rsidR="009B5833" w:rsidRPr="005F38E7" w:rsidRDefault="009B5833" w:rsidP="009B5833">
            <w:pPr>
              <w:pStyle w:val="NoSpacing"/>
              <w:jc w:val="right"/>
              <w:rPr>
                <w:rFonts w:cstheme="minorHAnsi"/>
                <w:sz w:val="18"/>
                <w:szCs w:val="18"/>
              </w:rPr>
            </w:pPr>
            <w:r w:rsidRPr="00380A1F">
              <w:rPr>
                <w:color w:val="000000"/>
                <w:sz w:val="19"/>
                <w:szCs w:val="19"/>
              </w:rPr>
              <w:t>30%</w:t>
            </w:r>
          </w:p>
        </w:tc>
        <w:tc>
          <w:tcPr>
            <w:tcW w:w="566" w:type="pct"/>
            <w:vAlign w:val="center"/>
          </w:tcPr>
          <w:p w14:paraId="39060EEA" w14:textId="4F029A3E" w:rsidR="009B5833" w:rsidRPr="005F38E7" w:rsidRDefault="009B5833" w:rsidP="009B5833">
            <w:pPr>
              <w:pStyle w:val="NoSpacing"/>
              <w:jc w:val="right"/>
              <w:rPr>
                <w:rFonts w:cstheme="minorHAnsi"/>
                <w:sz w:val="18"/>
                <w:szCs w:val="18"/>
              </w:rPr>
            </w:pPr>
            <w:r w:rsidRPr="00380A1F">
              <w:rPr>
                <w:color w:val="000000"/>
                <w:sz w:val="19"/>
                <w:szCs w:val="19"/>
              </w:rPr>
              <w:t>315</w:t>
            </w:r>
          </w:p>
        </w:tc>
        <w:tc>
          <w:tcPr>
            <w:tcW w:w="566" w:type="pct"/>
            <w:shd w:val="clear" w:color="auto" w:fill="auto"/>
            <w:noWrap/>
            <w:vAlign w:val="center"/>
          </w:tcPr>
          <w:p w14:paraId="3876F682" w14:textId="199358EC" w:rsidR="009B5833" w:rsidRPr="005F38E7" w:rsidRDefault="009B5833" w:rsidP="009B5833">
            <w:pPr>
              <w:pStyle w:val="NoSpacing"/>
              <w:jc w:val="right"/>
              <w:rPr>
                <w:rFonts w:cstheme="minorHAnsi"/>
                <w:sz w:val="18"/>
                <w:szCs w:val="18"/>
              </w:rPr>
            </w:pPr>
            <w:r w:rsidRPr="00380A1F">
              <w:rPr>
                <w:color w:val="000000"/>
                <w:sz w:val="19"/>
                <w:szCs w:val="19"/>
              </w:rPr>
              <w:t>315</w:t>
            </w:r>
          </w:p>
        </w:tc>
        <w:tc>
          <w:tcPr>
            <w:tcW w:w="425" w:type="pct"/>
            <w:shd w:val="clear" w:color="auto" w:fill="auto"/>
            <w:noWrap/>
            <w:vAlign w:val="center"/>
          </w:tcPr>
          <w:p w14:paraId="46DBA85A" w14:textId="2296AFD8" w:rsidR="009B5833" w:rsidRPr="005F38E7" w:rsidRDefault="009B5833" w:rsidP="009B5833">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73D65757" w14:textId="2530D739" w:rsidR="009B5833" w:rsidRPr="005F38E7" w:rsidRDefault="009B5833" w:rsidP="009B5833">
            <w:pPr>
              <w:pStyle w:val="NoSpacing"/>
              <w:jc w:val="right"/>
              <w:rPr>
                <w:rFonts w:cstheme="minorHAnsi"/>
                <w:sz w:val="18"/>
                <w:szCs w:val="18"/>
              </w:rPr>
            </w:pPr>
            <w:r w:rsidRPr="00380A1F">
              <w:rPr>
                <w:color w:val="000000"/>
                <w:sz w:val="19"/>
                <w:szCs w:val="19"/>
              </w:rPr>
              <w:t>105</w:t>
            </w:r>
          </w:p>
        </w:tc>
        <w:tc>
          <w:tcPr>
            <w:tcW w:w="518" w:type="pct"/>
            <w:shd w:val="clear" w:color="auto" w:fill="auto"/>
            <w:noWrap/>
            <w:vAlign w:val="center"/>
          </w:tcPr>
          <w:p w14:paraId="00E18BDC" w14:textId="484C011F" w:rsidR="009B5833" w:rsidRPr="005F38E7" w:rsidRDefault="009B5833" w:rsidP="009B5833">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67BF35EF" w14:textId="265F7DC3" w:rsidR="009B5833" w:rsidRPr="005F38E7" w:rsidRDefault="009B5833" w:rsidP="009B5833">
            <w:pPr>
              <w:pStyle w:val="NoSpacing"/>
              <w:jc w:val="right"/>
              <w:rPr>
                <w:sz w:val="18"/>
                <w:szCs w:val="18"/>
              </w:rPr>
            </w:pPr>
            <w:r w:rsidRPr="00380A1F">
              <w:rPr>
                <w:color w:val="000000"/>
                <w:sz w:val="19"/>
                <w:szCs w:val="19"/>
              </w:rPr>
              <w:t xml:space="preserve">$4,634 </w:t>
            </w:r>
          </w:p>
        </w:tc>
      </w:tr>
      <w:tr w:rsidR="009B5833" w:rsidRPr="005F38E7" w14:paraId="297A15E5" w14:textId="77777777" w:rsidTr="00004272">
        <w:trPr>
          <w:trHeight w:val="20"/>
        </w:trPr>
        <w:tc>
          <w:tcPr>
            <w:tcW w:w="1261" w:type="pct"/>
            <w:shd w:val="clear" w:color="auto" w:fill="auto"/>
            <w:vAlign w:val="center"/>
          </w:tcPr>
          <w:p w14:paraId="63AFE396" w14:textId="77777777" w:rsidR="009B5833" w:rsidRPr="005F38E7" w:rsidRDefault="009B5833" w:rsidP="009B5833">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6DBACB07" w14:textId="77777777" w:rsidR="009B5833" w:rsidRPr="005F38E7" w:rsidRDefault="009B5833" w:rsidP="009B5833">
            <w:pPr>
              <w:pStyle w:val="NoSpacing"/>
              <w:jc w:val="right"/>
              <w:rPr>
                <w:rFonts w:cstheme="minorHAnsi"/>
                <w:sz w:val="18"/>
                <w:szCs w:val="18"/>
              </w:rPr>
            </w:pPr>
          </w:p>
        </w:tc>
        <w:tc>
          <w:tcPr>
            <w:tcW w:w="424" w:type="pct"/>
            <w:vAlign w:val="center"/>
          </w:tcPr>
          <w:p w14:paraId="320BCE12" w14:textId="164A4E57" w:rsidR="009B5833" w:rsidRPr="005F38E7" w:rsidRDefault="009B5833" w:rsidP="009B5833">
            <w:pPr>
              <w:pStyle w:val="NoSpacing"/>
              <w:jc w:val="right"/>
              <w:rPr>
                <w:rFonts w:cstheme="minorHAnsi"/>
                <w:sz w:val="18"/>
                <w:szCs w:val="18"/>
              </w:rPr>
            </w:pPr>
            <w:r w:rsidRPr="00380A1F">
              <w:rPr>
                <w:color w:val="000000"/>
                <w:sz w:val="19"/>
                <w:szCs w:val="19"/>
              </w:rPr>
              <w:t>70%</w:t>
            </w:r>
          </w:p>
        </w:tc>
        <w:tc>
          <w:tcPr>
            <w:tcW w:w="566" w:type="pct"/>
            <w:vAlign w:val="center"/>
          </w:tcPr>
          <w:p w14:paraId="09ED4C0E" w14:textId="5683FA59" w:rsidR="009B5833" w:rsidRPr="005F38E7" w:rsidRDefault="009B5833" w:rsidP="009B5833">
            <w:pPr>
              <w:pStyle w:val="NoSpacing"/>
              <w:jc w:val="right"/>
              <w:rPr>
                <w:rFonts w:cstheme="minorHAnsi"/>
                <w:sz w:val="18"/>
                <w:szCs w:val="18"/>
              </w:rPr>
            </w:pPr>
            <w:r w:rsidRPr="00380A1F">
              <w:rPr>
                <w:color w:val="000000"/>
                <w:sz w:val="19"/>
                <w:szCs w:val="19"/>
              </w:rPr>
              <w:t>735</w:t>
            </w:r>
          </w:p>
        </w:tc>
        <w:tc>
          <w:tcPr>
            <w:tcW w:w="566" w:type="pct"/>
            <w:shd w:val="clear" w:color="auto" w:fill="auto"/>
            <w:noWrap/>
            <w:vAlign w:val="center"/>
          </w:tcPr>
          <w:p w14:paraId="6F8B5B72" w14:textId="3AA01B61" w:rsidR="009B5833" w:rsidRPr="005F38E7" w:rsidRDefault="009B5833" w:rsidP="009B5833">
            <w:pPr>
              <w:pStyle w:val="NoSpacing"/>
              <w:jc w:val="right"/>
              <w:rPr>
                <w:rFonts w:cstheme="minorHAnsi"/>
                <w:sz w:val="18"/>
                <w:szCs w:val="18"/>
              </w:rPr>
            </w:pPr>
            <w:r w:rsidRPr="00380A1F">
              <w:rPr>
                <w:color w:val="000000"/>
                <w:sz w:val="19"/>
                <w:szCs w:val="19"/>
              </w:rPr>
              <w:t>735</w:t>
            </w:r>
          </w:p>
        </w:tc>
        <w:tc>
          <w:tcPr>
            <w:tcW w:w="425" w:type="pct"/>
            <w:shd w:val="clear" w:color="auto" w:fill="auto"/>
            <w:noWrap/>
            <w:vAlign w:val="center"/>
          </w:tcPr>
          <w:p w14:paraId="5040249E" w14:textId="65FFB36F" w:rsidR="009B5833" w:rsidRPr="005F38E7" w:rsidRDefault="009B5833" w:rsidP="009B5833">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47C99325" w14:textId="437701C0" w:rsidR="009B5833" w:rsidRPr="005F38E7" w:rsidRDefault="009B5833" w:rsidP="009B5833">
            <w:pPr>
              <w:pStyle w:val="NoSpacing"/>
              <w:jc w:val="right"/>
              <w:rPr>
                <w:rFonts w:cstheme="minorHAnsi"/>
                <w:sz w:val="18"/>
                <w:szCs w:val="18"/>
              </w:rPr>
            </w:pPr>
            <w:r w:rsidRPr="00380A1F">
              <w:rPr>
                <w:color w:val="000000"/>
                <w:sz w:val="19"/>
                <w:szCs w:val="19"/>
              </w:rPr>
              <w:t>3,185</w:t>
            </w:r>
          </w:p>
        </w:tc>
        <w:tc>
          <w:tcPr>
            <w:tcW w:w="518" w:type="pct"/>
            <w:shd w:val="clear" w:color="auto" w:fill="auto"/>
            <w:noWrap/>
            <w:vAlign w:val="center"/>
          </w:tcPr>
          <w:p w14:paraId="1B1ED2CD" w14:textId="3BCF2A18" w:rsidR="009B5833" w:rsidRPr="005F38E7" w:rsidRDefault="009B5833" w:rsidP="009B5833">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89CC95" w14:textId="1EC8A297" w:rsidR="009B5833" w:rsidRPr="005F38E7" w:rsidRDefault="009B5833" w:rsidP="009B5833">
            <w:pPr>
              <w:pStyle w:val="NoSpacing"/>
              <w:jc w:val="right"/>
              <w:rPr>
                <w:sz w:val="18"/>
                <w:szCs w:val="18"/>
              </w:rPr>
            </w:pPr>
            <w:r w:rsidRPr="00380A1F">
              <w:rPr>
                <w:color w:val="000000"/>
                <w:sz w:val="19"/>
                <w:szCs w:val="19"/>
              </w:rPr>
              <w:t xml:space="preserve">$140,554 </w:t>
            </w:r>
          </w:p>
        </w:tc>
      </w:tr>
      <w:tr w:rsidR="009B5833" w:rsidRPr="005F38E7" w14:paraId="6DEE0987" w14:textId="77777777" w:rsidTr="00004272">
        <w:trPr>
          <w:trHeight w:val="20"/>
        </w:trPr>
        <w:tc>
          <w:tcPr>
            <w:tcW w:w="1261" w:type="pct"/>
            <w:shd w:val="clear" w:color="auto" w:fill="auto"/>
            <w:vAlign w:val="center"/>
          </w:tcPr>
          <w:p w14:paraId="0FE8BC48" w14:textId="20440EA9" w:rsidR="009B5833" w:rsidRPr="005F38E7" w:rsidRDefault="009B5833" w:rsidP="009B5833">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89" w:type="pct"/>
            <w:vAlign w:val="center"/>
          </w:tcPr>
          <w:p w14:paraId="6E8BDD8F" w14:textId="05DAA5CC" w:rsidR="009B5833" w:rsidRPr="00380A1F" w:rsidRDefault="009B5833" w:rsidP="009B5833">
            <w:pPr>
              <w:pStyle w:val="NoSpacing"/>
              <w:jc w:val="right"/>
              <w:rPr>
                <w:color w:val="000000"/>
                <w:sz w:val="19"/>
                <w:szCs w:val="19"/>
              </w:rPr>
            </w:pPr>
            <w:r w:rsidRPr="00D77652">
              <w:rPr>
                <w:rFonts w:cstheme="minorHAnsi"/>
                <w:sz w:val="18"/>
                <w:szCs w:val="18"/>
              </w:rPr>
              <w:t>263</w:t>
            </w:r>
          </w:p>
        </w:tc>
        <w:tc>
          <w:tcPr>
            <w:tcW w:w="424" w:type="pct"/>
            <w:vAlign w:val="center"/>
          </w:tcPr>
          <w:p w14:paraId="06BFBB20" w14:textId="2FBC9D97" w:rsidR="009B5833" w:rsidRPr="00380A1F" w:rsidRDefault="009B5833" w:rsidP="009B5833">
            <w:pPr>
              <w:pStyle w:val="NoSpacing"/>
              <w:jc w:val="right"/>
              <w:rPr>
                <w:color w:val="000000"/>
                <w:sz w:val="19"/>
                <w:szCs w:val="19"/>
              </w:rPr>
            </w:pPr>
            <w:r w:rsidRPr="00D77652">
              <w:rPr>
                <w:color w:val="000000"/>
                <w:sz w:val="19"/>
                <w:szCs w:val="19"/>
              </w:rPr>
              <w:t>100%</w:t>
            </w:r>
          </w:p>
        </w:tc>
        <w:tc>
          <w:tcPr>
            <w:tcW w:w="566" w:type="pct"/>
            <w:vAlign w:val="center"/>
          </w:tcPr>
          <w:p w14:paraId="047A7DFD" w14:textId="71F684D1" w:rsidR="009B5833" w:rsidRPr="00380A1F" w:rsidRDefault="009B5833" w:rsidP="009B5833">
            <w:pPr>
              <w:pStyle w:val="NoSpacing"/>
              <w:jc w:val="right"/>
              <w:rPr>
                <w:color w:val="000000"/>
                <w:sz w:val="19"/>
                <w:szCs w:val="19"/>
              </w:rPr>
            </w:pPr>
            <w:r w:rsidRPr="00D77652">
              <w:rPr>
                <w:color w:val="000000"/>
                <w:sz w:val="19"/>
                <w:szCs w:val="19"/>
              </w:rPr>
              <w:t>263</w:t>
            </w:r>
          </w:p>
        </w:tc>
        <w:tc>
          <w:tcPr>
            <w:tcW w:w="566" w:type="pct"/>
            <w:shd w:val="clear" w:color="auto" w:fill="auto"/>
            <w:noWrap/>
            <w:vAlign w:val="center"/>
          </w:tcPr>
          <w:p w14:paraId="6A4011B3" w14:textId="19523366" w:rsidR="009B5833" w:rsidRPr="00380A1F" w:rsidRDefault="009B5833" w:rsidP="009B5833">
            <w:pPr>
              <w:pStyle w:val="NoSpacing"/>
              <w:jc w:val="right"/>
              <w:rPr>
                <w:color w:val="000000"/>
                <w:sz w:val="19"/>
                <w:szCs w:val="19"/>
              </w:rPr>
            </w:pPr>
            <w:r w:rsidRPr="00D77652">
              <w:rPr>
                <w:color w:val="000000"/>
                <w:sz w:val="19"/>
                <w:szCs w:val="19"/>
              </w:rPr>
              <w:t>263</w:t>
            </w:r>
          </w:p>
        </w:tc>
        <w:tc>
          <w:tcPr>
            <w:tcW w:w="425" w:type="pct"/>
            <w:shd w:val="clear" w:color="auto" w:fill="auto"/>
            <w:noWrap/>
            <w:vAlign w:val="center"/>
          </w:tcPr>
          <w:p w14:paraId="36F3E21C" w14:textId="018A9212" w:rsidR="009B5833" w:rsidRPr="00380A1F" w:rsidRDefault="009B5833" w:rsidP="009B5833">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45361D18" w14:textId="3C1270FD" w:rsidR="009B5833" w:rsidRPr="00380A1F" w:rsidRDefault="009B5833" w:rsidP="009B5833">
            <w:pPr>
              <w:pStyle w:val="NoSpacing"/>
              <w:jc w:val="right"/>
              <w:rPr>
                <w:color w:val="000000"/>
                <w:sz w:val="19"/>
                <w:szCs w:val="19"/>
              </w:rPr>
            </w:pPr>
            <w:r w:rsidRPr="00D77652">
              <w:rPr>
                <w:color w:val="000000"/>
                <w:sz w:val="19"/>
                <w:szCs w:val="19"/>
              </w:rPr>
              <w:t>526</w:t>
            </w:r>
          </w:p>
        </w:tc>
        <w:tc>
          <w:tcPr>
            <w:tcW w:w="518" w:type="pct"/>
            <w:shd w:val="clear" w:color="auto" w:fill="auto"/>
            <w:noWrap/>
            <w:vAlign w:val="center"/>
          </w:tcPr>
          <w:p w14:paraId="48070227" w14:textId="2A857972" w:rsidR="009B5833" w:rsidRPr="00380A1F" w:rsidRDefault="009B5833" w:rsidP="009B5833">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4FEA633D" w14:textId="5D90E00E" w:rsidR="009B5833" w:rsidRPr="00380A1F" w:rsidRDefault="009B5833" w:rsidP="009B5833">
            <w:pPr>
              <w:pStyle w:val="NoSpacing"/>
              <w:jc w:val="right"/>
              <w:rPr>
                <w:color w:val="000000"/>
                <w:sz w:val="19"/>
                <w:szCs w:val="19"/>
              </w:rPr>
            </w:pPr>
            <w:r w:rsidRPr="00D77652">
              <w:rPr>
                <w:color w:val="000000"/>
                <w:sz w:val="19"/>
                <w:szCs w:val="19"/>
              </w:rPr>
              <w:t>$23,212</w:t>
            </w:r>
          </w:p>
        </w:tc>
      </w:tr>
      <w:tr w:rsidR="009B5833" w:rsidRPr="005F38E7" w14:paraId="5F2C2566" w14:textId="77777777" w:rsidTr="00004272">
        <w:trPr>
          <w:trHeight w:val="20"/>
        </w:trPr>
        <w:tc>
          <w:tcPr>
            <w:tcW w:w="1261" w:type="pct"/>
            <w:shd w:val="clear" w:color="auto" w:fill="auto"/>
            <w:vAlign w:val="center"/>
          </w:tcPr>
          <w:p w14:paraId="3C1E6E39" w14:textId="6DF33B97" w:rsidR="009B5833" w:rsidRPr="005F38E7" w:rsidRDefault="009B5833" w:rsidP="009B5833">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89" w:type="pct"/>
            <w:vAlign w:val="center"/>
          </w:tcPr>
          <w:p w14:paraId="767763D6" w14:textId="02D2C9FB" w:rsidR="009B5833" w:rsidRPr="00380A1F" w:rsidRDefault="009B5833" w:rsidP="009B5833">
            <w:pPr>
              <w:pStyle w:val="NoSpacing"/>
              <w:jc w:val="right"/>
              <w:rPr>
                <w:color w:val="000000"/>
                <w:sz w:val="19"/>
                <w:szCs w:val="19"/>
              </w:rPr>
            </w:pPr>
            <w:r w:rsidRPr="00D77652">
              <w:rPr>
                <w:rFonts w:cstheme="minorHAnsi"/>
                <w:sz w:val="18"/>
                <w:szCs w:val="18"/>
              </w:rPr>
              <w:t>263</w:t>
            </w:r>
            <w:r w:rsidRPr="00705DC2">
              <w:rPr>
                <w:rFonts w:cstheme="minorHAnsi"/>
                <w:sz w:val="18"/>
                <w:szCs w:val="18"/>
                <w:vertAlign w:val="subscript"/>
              </w:rPr>
              <w:t>*</w:t>
            </w:r>
            <w:r>
              <w:rPr>
                <w:rFonts w:cstheme="minorHAnsi"/>
                <w:sz w:val="18"/>
                <w:szCs w:val="18"/>
              </w:rPr>
              <w:t>5</w:t>
            </w:r>
          </w:p>
        </w:tc>
        <w:tc>
          <w:tcPr>
            <w:tcW w:w="424" w:type="pct"/>
            <w:vAlign w:val="center"/>
          </w:tcPr>
          <w:p w14:paraId="5D3DEE7E" w14:textId="19F06A88" w:rsidR="009B5833" w:rsidRPr="00380A1F" w:rsidRDefault="009B5833" w:rsidP="009B5833">
            <w:pPr>
              <w:pStyle w:val="NoSpacing"/>
              <w:jc w:val="right"/>
              <w:rPr>
                <w:color w:val="000000"/>
                <w:sz w:val="19"/>
                <w:szCs w:val="19"/>
              </w:rPr>
            </w:pPr>
            <w:r w:rsidRPr="00D77652">
              <w:rPr>
                <w:color w:val="000000"/>
                <w:sz w:val="19"/>
                <w:szCs w:val="19"/>
              </w:rPr>
              <w:t>100%</w:t>
            </w:r>
          </w:p>
        </w:tc>
        <w:tc>
          <w:tcPr>
            <w:tcW w:w="566" w:type="pct"/>
            <w:vAlign w:val="center"/>
          </w:tcPr>
          <w:p w14:paraId="2BF34B3D" w14:textId="37339708" w:rsidR="009B5833" w:rsidRPr="00380A1F" w:rsidRDefault="009B5833" w:rsidP="009B5833">
            <w:pPr>
              <w:pStyle w:val="NoSpacing"/>
              <w:jc w:val="right"/>
              <w:rPr>
                <w:color w:val="000000"/>
                <w:sz w:val="19"/>
                <w:szCs w:val="19"/>
              </w:rPr>
            </w:pPr>
            <w:r w:rsidRPr="00D77652">
              <w:rPr>
                <w:color w:val="000000"/>
                <w:sz w:val="19"/>
                <w:szCs w:val="19"/>
              </w:rPr>
              <w:t>1,315</w:t>
            </w:r>
          </w:p>
        </w:tc>
        <w:tc>
          <w:tcPr>
            <w:tcW w:w="566" w:type="pct"/>
            <w:shd w:val="clear" w:color="auto" w:fill="auto"/>
            <w:noWrap/>
            <w:vAlign w:val="center"/>
          </w:tcPr>
          <w:p w14:paraId="2F9A397B" w14:textId="5135ED84" w:rsidR="009B5833" w:rsidRPr="00380A1F" w:rsidRDefault="009B5833" w:rsidP="009B5833">
            <w:pPr>
              <w:pStyle w:val="NoSpacing"/>
              <w:jc w:val="right"/>
              <w:rPr>
                <w:color w:val="000000"/>
                <w:sz w:val="19"/>
                <w:szCs w:val="19"/>
              </w:rPr>
            </w:pPr>
            <w:r w:rsidRPr="00D77652">
              <w:rPr>
                <w:color w:val="000000"/>
                <w:sz w:val="19"/>
                <w:szCs w:val="19"/>
              </w:rPr>
              <w:t>1,315</w:t>
            </w:r>
          </w:p>
        </w:tc>
        <w:tc>
          <w:tcPr>
            <w:tcW w:w="425" w:type="pct"/>
            <w:shd w:val="clear" w:color="auto" w:fill="auto"/>
            <w:noWrap/>
            <w:vAlign w:val="center"/>
          </w:tcPr>
          <w:p w14:paraId="4A9BE0C0" w14:textId="1CE5B21A" w:rsidR="009B5833" w:rsidRPr="00380A1F" w:rsidRDefault="009B5833" w:rsidP="009B5833">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590A0103" w14:textId="32EE5E6C" w:rsidR="009B5833" w:rsidRPr="00380A1F" w:rsidRDefault="009B5833" w:rsidP="009B5833">
            <w:pPr>
              <w:pStyle w:val="NoSpacing"/>
              <w:jc w:val="right"/>
              <w:rPr>
                <w:color w:val="000000"/>
                <w:sz w:val="19"/>
                <w:szCs w:val="19"/>
              </w:rPr>
            </w:pPr>
            <w:r w:rsidRPr="00D77652">
              <w:rPr>
                <w:color w:val="000000"/>
                <w:sz w:val="19"/>
                <w:szCs w:val="19"/>
              </w:rPr>
              <w:t>2,630</w:t>
            </w:r>
          </w:p>
        </w:tc>
        <w:tc>
          <w:tcPr>
            <w:tcW w:w="518" w:type="pct"/>
            <w:shd w:val="clear" w:color="auto" w:fill="auto"/>
            <w:noWrap/>
            <w:vAlign w:val="center"/>
          </w:tcPr>
          <w:p w14:paraId="6FD5B311" w14:textId="7DA919F1" w:rsidR="009B5833" w:rsidRPr="00380A1F" w:rsidRDefault="009B5833" w:rsidP="009B5833">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7443915A" w14:textId="5B55220B" w:rsidR="009B5833" w:rsidRPr="00380A1F" w:rsidRDefault="009B5833" w:rsidP="009B5833">
            <w:pPr>
              <w:pStyle w:val="NoSpacing"/>
              <w:jc w:val="right"/>
              <w:rPr>
                <w:color w:val="000000"/>
                <w:sz w:val="19"/>
                <w:szCs w:val="19"/>
              </w:rPr>
            </w:pPr>
            <w:r w:rsidRPr="00D77652">
              <w:rPr>
                <w:color w:val="000000"/>
                <w:sz w:val="19"/>
                <w:szCs w:val="19"/>
              </w:rPr>
              <w:t>$116,062</w:t>
            </w:r>
          </w:p>
        </w:tc>
      </w:tr>
      <w:tr w:rsidR="009B5833" w:rsidRPr="005F38E7" w14:paraId="2921D02E" w14:textId="77777777" w:rsidTr="00004272">
        <w:trPr>
          <w:trHeight w:val="20"/>
        </w:trPr>
        <w:tc>
          <w:tcPr>
            <w:tcW w:w="1261" w:type="pct"/>
            <w:shd w:val="clear" w:color="auto" w:fill="auto"/>
            <w:vAlign w:val="center"/>
          </w:tcPr>
          <w:p w14:paraId="4BA6BAA6" w14:textId="77777777" w:rsidR="009B5833" w:rsidRPr="005F38E7" w:rsidRDefault="009B5833" w:rsidP="009B5833">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56533E95" w14:textId="325C1F36" w:rsidR="009B5833" w:rsidRPr="005F38E7" w:rsidRDefault="009B5833" w:rsidP="009B5833">
            <w:pPr>
              <w:pStyle w:val="NoSpacing"/>
              <w:jc w:val="right"/>
              <w:rPr>
                <w:rFonts w:cstheme="minorHAnsi"/>
                <w:sz w:val="18"/>
                <w:szCs w:val="18"/>
              </w:rPr>
            </w:pPr>
            <w:r w:rsidRPr="00380A1F">
              <w:rPr>
                <w:color w:val="000000"/>
                <w:sz w:val="19"/>
                <w:szCs w:val="19"/>
              </w:rPr>
              <w:t>1,500</w:t>
            </w:r>
          </w:p>
        </w:tc>
        <w:tc>
          <w:tcPr>
            <w:tcW w:w="424" w:type="pct"/>
            <w:vAlign w:val="center"/>
          </w:tcPr>
          <w:p w14:paraId="5294B085" w14:textId="5F45FC03" w:rsidR="009B5833" w:rsidRPr="005F38E7" w:rsidRDefault="009B5833" w:rsidP="009B5833">
            <w:pPr>
              <w:pStyle w:val="NoSpacing"/>
              <w:jc w:val="right"/>
              <w:rPr>
                <w:rFonts w:cstheme="minorHAnsi"/>
                <w:sz w:val="18"/>
                <w:szCs w:val="18"/>
              </w:rPr>
            </w:pPr>
            <w:r w:rsidRPr="00380A1F">
              <w:rPr>
                <w:color w:val="000000"/>
                <w:sz w:val="19"/>
                <w:szCs w:val="19"/>
              </w:rPr>
              <w:t>40%</w:t>
            </w:r>
          </w:p>
        </w:tc>
        <w:tc>
          <w:tcPr>
            <w:tcW w:w="566" w:type="pct"/>
            <w:vAlign w:val="center"/>
          </w:tcPr>
          <w:p w14:paraId="2D44C8B7" w14:textId="6A7638A4" w:rsidR="009B5833" w:rsidRPr="005F38E7" w:rsidRDefault="009B5833" w:rsidP="009B5833">
            <w:pPr>
              <w:pStyle w:val="NoSpacing"/>
              <w:jc w:val="right"/>
              <w:rPr>
                <w:rFonts w:cstheme="minorHAnsi"/>
                <w:sz w:val="18"/>
                <w:szCs w:val="18"/>
              </w:rPr>
            </w:pPr>
            <w:r w:rsidRPr="00380A1F">
              <w:rPr>
                <w:color w:val="000000"/>
                <w:sz w:val="19"/>
                <w:szCs w:val="19"/>
              </w:rPr>
              <w:t>600</w:t>
            </w:r>
          </w:p>
        </w:tc>
        <w:tc>
          <w:tcPr>
            <w:tcW w:w="566" w:type="pct"/>
            <w:shd w:val="clear" w:color="auto" w:fill="auto"/>
            <w:noWrap/>
            <w:vAlign w:val="center"/>
          </w:tcPr>
          <w:p w14:paraId="42D4EB9F" w14:textId="2F5A8586" w:rsidR="009B5833" w:rsidRPr="005F38E7" w:rsidRDefault="009B5833" w:rsidP="009B5833">
            <w:pPr>
              <w:pStyle w:val="NoSpacing"/>
              <w:jc w:val="right"/>
              <w:rPr>
                <w:rFonts w:cstheme="minorHAnsi"/>
                <w:sz w:val="18"/>
                <w:szCs w:val="18"/>
              </w:rPr>
            </w:pPr>
            <w:r w:rsidRPr="00380A1F">
              <w:rPr>
                <w:color w:val="000000"/>
                <w:sz w:val="19"/>
                <w:szCs w:val="19"/>
              </w:rPr>
              <w:t>600</w:t>
            </w:r>
          </w:p>
        </w:tc>
        <w:tc>
          <w:tcPr>
            <w:tcW w:w="425" w:type="pct"/>
            <w:shd w:val="clear" w:color="auto" w:fill="auto"/>
            <w:noWrap/>
            <w:vAlign w:val="center"/>
          </w:tcPr>
          <w:p w14:paraId="7D60161D" w14:textId="1344CA4E" w:rsidR="009B5833" w:rsidRPr="005F38E7" w:rsidRDefault="009B5833" w:rsidP="009B5833">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6A3D5131" w14:textId="3593238F" w:rsidR="009B5833" w:rsidRPr="005F38E7" w:rsidRDefault="009B5833" w:rsidP="009B5833">
            <w:pPr>
              <w:pStyle w:val="NoSpacing"/>
              <w:jc w:val="right"/>
              <w:rPr>
                <w:rFonts w:cstheme="minorHAnsi"/>
                <w:sz w:val="18"/>
                <w:szCs w:val="18"/>
              </w:rPr>
            </w:pPr>
            <w:r w:rsidRPr="00380A1F">
              <w:rPr>
                <w:color w:val="000000"/>
                <w:sz w:val="19"/>
                <w:szCs w:val="19"/>
              </w:rPr>
              <w:t>200</w:t>
            </w:r>
          </w:p>
        </w:tc>
        <w:tc>
          <w:tcPr>
            <w:tcW w:w="518" w:type="pct"/>
            <w:shd w:val="clear" w:color="auto" w:fill="auto"/>
            <w:noWrap/>
            <w:vAlign w:val="center"/>
          </w:tcPr>
          <w:p w14:paraId="4D60ABFA" w14:textId="58DFFB93" w:rsidR="009B5833" w:rsidRPr="005F38E7" w:rsidRDefault="009B5833" w:rsidP="009B5833">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10B2743C" w14:textId="0F4715B2" w:rsidR="009B5833" w:rsidRPr="005F38E7" w:rsidRDefault="009B5833" w:rsidP="009B5833">
            <w:pPr>
              <w:pStyle w:val="NoSpacing"/>
              <w:jc w:val="right"/>
              <w:rPr>
                <w:sz w:val="18"/>
                <w:szCs w:val="18"/>
              </w:rPr>
            </w:pPr>
            <w:r w:rsidRPr="00380A1F">
              <w:rPr>
                <w:color w:val="000000"/>
                <w:sz w:val="19"/>
                <w:szCs w:val="19"/>
              </w:rPr>
              <w:t xml:space="preserve">$8,826 </w:t>
            </w:r>
          </w:p>
        </w:tc>
      </w:tr>
      <w:tr w:rsidR="009B5833" w:rsidRPr="005F38E7" w14:paraId="1AE19222" w14:textId="77777777" w:rsidTr="00004272">
        <w:trPr>
          <w:trHeight w:val="20"/>
        </w:trPr>
        <w:tc>
          <w:tcPr>
            <w:tcW w:w="1261" w:type="pct"/>
            <w:shd w:val="clear" w:color="auto" w:fill="auto"/>
            <w:vAlign w:val="center"/>
          </w:tcPr>
          <w:p w14:paraId="113C38E6" w14:textId="77777777" w:rsidR="009B5833" w:rsidRPr="005F38E7" w:rsidRDefault="009B5833" w:rsidP="009B5833">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4E5F8E45" w14:textId="77777777" w:rsidR="009B5833" w:rsidRPr="005F38E7" w:rsidRDefault="009B5833" w:rsidP="009B5833">
            <w:pPr>
              <w:pStyle w:val="NoSpacing"/>
              <w:jc w:val="right"/>
              <w:rPr>
                <w:rFonts w:cstheme="minorHAnsi"/>
                <w:sz w:val="18"/>
                <w:szCs w:val="18"/>
              </w:rPr>
            </w:pPr>
          </w:p>
        </w:tc>
        <w:tc>
          <w:tcPr>
            <w:tcW w:w="424" w:type="pct"/>
            <w:vAlign w:val="center"/>
          </w:tcPr>
          <w:p w14:paraId="42E1C82E" w14:textId="76A58017" w:rsidR="009B5833" w:rsidRPr="005F38E7" w:rsidRDefault="009B5833" w:rsidP="009B5833">
            <w:pPr>
              <w:pStyle w:val="NoSpacing"/>
              <w:jc w:val="right"/>
              <w:rPr>
                <w:rFonts w:cstheme="minorHAnsi"/>
                <w:sz w:val="18"/>
                <w:szCs w:val="18"/>
              </w:rPr>
            </w:pPr>
            <w:r w:rsidRPr="00380A1F">
              <w:rPr>
                <w:color w:val="000000"/>
                <w:sz w:val="19"/>
                <w:szCs w:val="19"/>
              </w:rPr>
              <w:t>60%</w:t>
            </w:r>
          </w:p>
        </w:tc>
        <w:tc>
          <w:tcPr>
            <w:tcW w:w="566" w:type="pct"/>
            <w:vAlign w:val="center"/>
          </w:tcPr>
          <w:p w14:paraId="6AC961C1" w14:textId="36850033" w:rsidR="009B5833" w:rsidRPr="005F38E7" w:rsidRDefault="009B5833" w:rsidP="009B5833">
            <w:pPr>
              <w:pStyle w:val="NoSpacing"/>
              <w:jc w:val="right"/>
              <w:rPr>
                <w:rFonts w:cstheme="minorHAnsi"/>
                <w:sz w:val="18"/>
                <w:szCs w:val="18"/>
              </w:rPr>
            </w:pPr>
            <w:r w:rsidRPr="00380A1F">
              <w:rPr>
                <w:color w:val="000000"/>
                <w:sz w:val="19"/>
                <w:szCs w:val="19"/>
              </w:rPr>
              <w:t>900</w:t>
            </w:r>
          </w:p>
        </w:tc>
        <w:tc>
          <w:tcPr>
            <w:tcW w:w="566" w:type="pct"/>
            <w:shd w:val="clear" w:color="auto" w:fill="auto"/>
            <w:noWrap/>
            <w:vAlign w:val="center"/>
          </w:tcPr>
          <w:p w14:paraId="4AB8092C" w14:textId="7AE19700" w:rsidR="009B5833" w:rsidRPr="005F38E7" w:rsidRDefault="009B5833" w:rsidP="009B5833">
            <w:pPr>
              <w:pStyle w:val="NoSpacing"/>
              <w:jc w:val="right"/>
              <w:rPr>
                <w:rFonts w:cstheme="minorHAnsi"/>
                <w:sz w:val="18"/>
                <w:szCs w:val="18"/>
              </w:rPr>
            </w:pPr>
            <w:r w:rsidRPr="00380A1F">
              <w:rPr>
                <w:color w:val="000000"/>
                <w:sz w:val="19"/>
                <w:szCs w:val="19"/>
              </w:rPr>
              <w:t>900</w:t>
            </w:r>
          </w:p>
        </w:tc>
        <w:tc>
          <w:tcPr>
            <w:tcW w:w="425" w:type="pct"/>
            <w:shd w:val="clear" w:color="auto" w:fill="auto"/>
            <w:noWrap/>
            <w:vAlign w:val="center"/>
          </w:tcPr>
          <w:p w14:paraId="1144B195" w14:textId="0B31E50B" w:rsidR="009B5833" w:rsidRPr="005F38E7" w:rsidRDefault="009B5833" w:rsidP="009B5833">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135D5761" w14:textId="0CA66BAD" w:rsidR="009B5833" w:rsidRPr="005F38E7" w:rsidRDefault="009B5833" w:rsidP="009B5833">
            <w:pPr>
              <w:pStyle w:val="NoSpacing"/>
              <w:jc w:val="right"/>
              <w:rPr>
                <w:rFonts w:cstheme="minorHAnsi"/>
                <w:sz w:val="18"/>
                <w:szCs w:val="18"/>
              </w:rPr>
            </w:pPr>
            <w:r w:rsidRPr="00380A1F">
              <w:rPr>
                <w:color w:val="000000"/>
                <w:sz w:val="19"/>
                <w:szCs w:val="19"/>
              </w:rPr>
              <w:t>3,900</w:t>
            </w:r>
          </w:p>
        </w:tc>
        <w:tc>
          <w:tcPr>
            <w:tcW w:w="518" w:type="pct"/>
            <w:shd w:val="clear" w:color="auto" w:fill="auto"/>
            <w:noWrap/>
            <w:vAlign w:val="center"/>
          </w:tcPr>
          <w:p w14:paraId="7EEDEB31" w14:textId="52E99793" w:rsidR="009B5833" w:rsidRPr="005F38E7" w:rsidRDefault="009B5833" w:rsidP="009B5833">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64B788" w14:textId="5E4922D2" w:rsidR="009B5833" w:rsidRPr="005F38E7" w:rsidRDefault="009B5833" w:rsidP="009B5833">
            <w:pPr>
              <w:pStyle w:val="NoSpacing"/>
              <w:jc w:val="right"/>
              <w:rPr>
                <w:sz w:val="18"/>
                <w:szCs w:val="18"/>
              </w:rPr>
            </w:pPr>
            <w:r w:rsidRPr="00380A1F">
              <w:rPr>
                <w:color w:val="000000"/>
                <w:sz w:val="19"/>
                <w:szCs w:val="19"/>
              </w:rPr>
              <w:t xml:space="preserve">$172,107 </w:t>
            </w:r>
          </w:p>
        </w:tc>
      </w:tr>
      <w:tr w:rsidR="009B5833" w:rsidRPr="005F38E7" w14:paraId="12EF42B8" w14:textId="77777777" w:rsidTr="00004272">
        <w:trPr>
          <w:trHeight w:val="20"/>
        </w:trPr>
        <w:tc>
          <w:tcPr>
            <w:tcW w:w="1261" w:type="pct"/>
            <w:shd w:val="clear" w:color="auto" w:fill="auto"/>
            <w:vAlign w:val="center"/>
          </w:tcPr>
          <w:p w14:paraId="5AAFDEE4" w14:textId="77777777" w:rsidR="009B5833" w:rsidRPr="005F38E7" w:rsidRDefault="009B5833" w:rsidP="009B5833">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2806C80A" w14:textId="3B3BA3BD" w:rsidR="009B5833" w:rsidRPr="005F38E7" w:rsidRDefault="009B5833" w:rsidP="009B5833">
            <w:pPr>
              <w:pStyle w:val="NoSpacing"/>
              <w:jc w:val="right"/>
              <w:rPr>
                <w:rFonts w:cstheme="minorHAnsi"/>
                <w:sz w:val="18"/>
                <w:szCs w:val="18"/>
              </w:rPr>
            </w:pPr>
            <w:r w:rsidRPr="00380A1F">
              <w:rPr>
                <w:color w:val="000000"/>
                <w:sz w:val="19"/>
                <w:szCs w:val="19"/>
              </w:rPr>
              <w:t>26,100</w:t>
            </w:r>
          </w:p>
        </w:tc>
        <w:tc>
          <w:tcPr>
            <w:tcW w:w="424" w:type="pct"/>
            <w:vAlign w:val="center"/>
          </w:tcPr>
          <w:p w14:paraId="27350119" w14:textId="7189E368" w:rsidR="009B5833" w:rsidRPr="005F38E7" w:rsidRDefault="009B5833" w:rsidP="009B5833">
            <w:pPr>
              <w:pStyle w:val="NoSpacing"/>
              <w:jc w:val="right"/>
              <w:rPr>
                <w:rFonts w:cstheme="minorHAnsi"/>
                <w:sz w:val="18"/>
                <w:szCs w:val="18"/>
              </w:rPr>
            </w:pPr>
            <w:r w:rsidRPr="00380A1F">
              <w:rPr>
                <w:color w:val="000000"/>
                <w:sz w:val="19"/>
                <w:szCs w:val="19"/>
              </w:rPr>
              <w:t>95%</w:t>
            </w:r>
          </w:p>
        </w:tc>
        <w:tc>
          <w:tcPr>
            <w:tcW w:w="566" w:type="pct"/>
            <w:vAlign w:val="center"/>
          </w:tcPr>
          <w:p w14:paraId="3777F147" w14:textId="02254A5E" w:rsidR="009B5833" w:rsidRPr="005F38E7" w:rsidRDefault="009B5833" w:rsidP="009B5833">
            <w:pPr>
              <w:pStyle w:val="NoSpacing"/>
              <w:jc w:val="right"/>
              <w:rPr>
                <w:rFonts w:cstheme="minorHAnsi"/>
                <w:sz w:val="18"/>
                <w:szCs w:val="18"/>
              </w:rPr>
            </w:pPr>
            <w:r w:rsidRPr="00380A1F">
              <w:rPr>
                <w:color w:val="000000"/>
                <w:sz w:val="19"/>
                <w:szCs w:val="19"/>
              </w:rPr>
              <w:t>24,795</w:t>
            </w:r>
          </w:p>
        </w:tc>
        <w:tc>
          <w:tcPr>
            <w:tcW w:w="566" w:type="pct"/>
            <w:shd w:val="clear" w:color="auto" w:fill="auto"/>
            <w:noWrap/>
            <w:vAlign w:val="center"/>
          </w:tcPr>
          <w:p w14:paraId="0F6FF86D" w14:textId="5C50F745" w:rsidR="009B5833" w:rsidRPr="005F38E7" w:rsidRDefault="009B5833" w:rsidP="009B5833">
            <w:pPr>
              <w:pStyle w:val="NoSpacing"/>
              <w:jc w:val="right"/>
              <w:rPr>
                <w:rFonts w:cstheme="minorHAnsi"/>
                <w:sz w:val="18"/>
                <w:szCs w:val="18"/>
              </w:rPr>
            </w:pPr>
            <w:r w:rsidRPr="00380A1F">
              <w:rPr>
                <w:color w:val="000000"/>
                <w:sz w:val="19"/>
                <w:szCs w:val="19"/>
              </w:rPr>
              <w:t>24,795</w:t>
            </w:r>
          </w:p>
        </w:tc>
        <w:tc>
          <w:tcPr>
            <w:tcW w:w="425" w:type="pct"/>
            <w:shd w:val="clear" w:color="auto" w:fill="auto"/>
            <w:noWrap/>
            <w:vAlign w:val="center"/>
          </w:tcPr>
          <w:p w14:paraId="559A39F3" w14:textId="70C55CA3" w:rsidR="009B5833" w:rsidRPr="005F38E7" w:rsidRDefault="009B5833" w:rsidP="009B5833">
            <w:pPr>
              <w:pStyle w:val="NoSpacing"/>
              <w:jc w:val="right"/>
              <w:rPr>
                <w:rFonts w:cstheme="minorHAnsi"/>
                <w:sz w:val="18"/>
                <w:szCs w:val="18"/>
              </w:rPr>
            </w:pPr>
            <w:r w:rsidRPr="00380A1F">
              <w:rPr>
                <w:color w:val="000000"/>
                <w:sz w:val="19"/>
                <w:szCs w:val="19"/>
              </w:rPr>
              <w:t>10</w:t>
            </w:r>
          </w:p>
        </w:tc>
        <w:tc>
          <w:tcPr>
            <w:tcW w:w="330" w:type="pct"/>
            <w:shd w:val="clear" w:color="auto" w:fill="auto"/>
            <w:noWrap/>
            <w:vAlign w:val="center"/>
          </w:tcPr>
          <w:p w14:paraId="18ADFCA4" w14:textId="6893FD53" w:rsidR="009B5833" w:rsidRPr="005F38E7" w:rsidRDefault="009B5833" w:rsidP="009B5833">
            <w:pPr>
              <w:pStyle w:val="NoSpacing"/>
              <w:jc w:val="right"/>
              <w:rPr>
                <w:rFonts w:cstheme="minorHAnsi"/>
                <w:sz w:val="18"/>
                <w:szCs w:val="18"/>
              </w:rPr>
            </w:pPr>
            <w:r w:rsidRPr="00380A1F">
              <w:rPr>
                <w:color w:val="000000"/>
                <w:sz w:val="19"/>
                <w:szCs w:val="19"/>
              </w:rPr>
              <w:t>4,133</w:t>
            </w:r>
          </w:p>
        </w:tc>
        <w:tc>
          <w:tcPr>
            <w:tcW w:w="518" w:type="pct"/>
            <w:shd w:val="clear" w:color="auto" w:fill="auto"/>
            <w:noWrap/>
            <w:vAlign w:val="center"/>
          </w:tcPr>
          <w:p w14:paraId="65C1DF7D" w14:textId="58664716" w:rsidR="009B5833" w:rsidRPr="005F38E7" w:rsidRDefault="009B5833" w:rsidP="009B5833">
            <w:pPr>
              <w:pStyle w:val="NoSpacing"/>
              <w:jc w:val="right"/>
              <w:rPr>
                <w:sz w:val="18"/>
                <w:szCs w:val="18"/>
              </w:rPr>
            </w:pPr>
            <w:r w:rsidRPr="00380A1F">
              <w:rPr>
                <w:color w:val="000000"/>
                <w:sz w:val="19"/>
                <w:szCs w:val="19"/>
              </w:rPr>
              <w:t xml:space="preserve">$22.71 </w:t>
            </w:r>
          </w:p>
        </w:tc>
        <w:tc>
          <w:tcPr>
            <w:tcW w:w="521" w:type="pct"/>
            <w:shd w:val="clear" w:color="auto" w:fill="auto"/>
            <w:noWrap/>
            <w:vAlign w:val="center"/>
          </w:tcPr>
          <w:p w14:paraId="59A7BC4A" w14:textId="3B65F45A" w:rsidR="009B5833" w:rsidRPr="005F38E7" w:rsidRDefault="009B5833" w:rsidP="009B5833">
            <w:pPr>
              <w:pStyle w:val="NoSpacing"/>
              <w:jc w:val="right"/>
              <w:rPr>
                <w:sz w:val="18"/>
                <w:szCs w:val="18"/>
              </w:rPr>
            </w:pPr>
            <w:r w:rsidRPr="00380A1F">
              <w:rPr>
                <w:color w:val="000000"/>
                <w:sz w:val="19"/>
                <w:szCs w:val="19"/>
              </w:rPr>
              <w:t xml:space="preserve">$93,860 </w:t>
            </w:r>
          </w:p>
        </w:tc>
      </w:tr>
      <w:tr w:rsidR="009B5833" w:rsidRPr="005F38E7" w14:paraId="0F5A4B22" w14:textId="77777777" w:rsidTr="00004272">
        <w:trPr>
          <w:trHeight w:val="20"/>
        </w:trPr>
        <w:tc>
          <w:tcPr>
            <w:tcW w:w="1261" w:type="pct"/>
            <w:shd w:val="clear" w:color="auto" w:fill="F2F2F2" w:themeFill="background1" w:themeFillShade="F2"/>
            <w:vAlign w:val="center"/>
          </w:tcPr>
          <w:p w14:paraId="7FDF4C87" w14:textId="6502A9F5" w:rsidR="009B5833" w:rsidRPr="005F38E7" w:rsidRDefault="009B5833" w:rsidP="009B5833">
            <w:pPr>
              <w:pStyle w:val="NoSpacing"/>
              <w:ind w:right="-108" w:firstLine="5"/>
              <w:rPr>
                <w:rFonts w:cstheme="minorHAnsi"/>
                <w:sz w:val="18"/>
                <w:szCs w:val="18"/>
              </w:rPr>
            </w:pPr>
            <w:r w:rsidRPr="00651C99">
              <w:rPr>
                <w:rFonts w:cstheme="minorHAnsi"/>
                <w:b/>
                <w:sz w:val="18"/>
                <w:szCs w:val="18"/>
              </w:rPr>
              <w:t xml:space="preserve">Total for </w:t>
            </w:r>
            <w:r>
              <w:rPr>
                <w:rFonts w:cstheme="minorHAnsi"/>
                <w:b/>
                <w:sz w:val="18"/>
                <w:szCs w:val="18"/>
              </w:rPr>
              <w:t>Main Study R</w:t>
            </w:r>
            <w:r w:rsidRPr="00651C99">
              <w:rPr>
                <w:rFonts w:cstheme="minorHAnsi"/>
                <w:b/>
                <w:sz w:val="18"/>
                <w:szCs w:val="18"/>
              </w:rPr>
              <w:t>ecruitment</w:t>
            </w:r>
          </w:p>
        </w:tc>
        <w:tc>
          <w:tcPr>
            <w:tcW w:w="389" w:type="pct"/>
            <w:shd w:val="clear" w:color="auto" w:fill="F2F2F2" w:themeFill="background1" w:themeFillShade="F2"/>
            <w:vAlign w:val="center"/>
          </w:tcPr>
          <w:p w14:paraId="3487E662" w14:textId="77777777" w:rsidR="009B5833" w:rsidRPr="005F38E7" w:rsidRDefault="009B5833" w:rsidP="009B5833">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5C9E0382" w14:textId="4D9C2E7D" w:rsidR="009B5833" w:rsidRPr="005F38E7" w:rsidRDefault="009B5833" w:rsidP="009B5833">
            <w:pPr>
              <w:pStyle w:val="NoSpacing"/>
              <w:jc w:val="right"/>
              <w:rPr>
                <w:rFonts w:cstheme="minorHAnsi"/>
                <w:sz w:val="18"/>
                <w:szCs w:val="18"/>
              </w:rPr>
            </w:pPr>
            <w:r w:rsidRPr="00380A1F">
              <w:rPr>
                <w:b/>
                <w:bCs/>
                <w:color w:val="000000"/>
                <w:sz w:val="19"/>
                <w:szCs w:val="19"/>
              </w:rPr>
              <w:t>-</w:t>
            </w:r>
          </w:p>
        </w:tc>
        <w:tc>
          <w:tcPr>
            <w:tcW w:w="566" w:type="pct"/>
            <w:shd w:val="clear" w:color="auto" w:fill="F2F2F2" w:themeFill="background1" w:themeFillShade="F2"/>
            <w:vAlign w:val="center"/>
          </w:tcPr>
          <w:p w14:paraId="34F97E20" w14:textId="28992971" w:rsidR="009B5833" w:rsidRPr="005F38E7" w:rsidRDefault="009B5833" w:rsidP="009B5833">
            <w:pPr>
              <w:pStyle w:val="NoSpacing"/>
              <w:jc w:val="right"/>
              <w:rPr>
                <w:rFonts w:cstheme="minorHAnsi"/>
                <w:sz w:val="18"/>
                <w:szCs w:val="18"/>
              </w:rPr>
            </w:pPr>
            <w:r w:rsidRPr="00380A1F">
              <w:rPr>
                <w:b/>
                <w:bCs/>
                <w:color w:val="000000"/>
                <w:sz w:val="19"/>
                <w:szCs w:val="19"/>
              </w:rPr>
              <w:t>2</w:t>
            </w:r>
            <w:r>
              <w:rPr>
                <w:b/>
                <w:bCs/>
                <w:color w:val="000000"/>
                <w:sz w:val="19"/>
                <w:szCs w:val="19"/>
              </w:rPr>
              <w:t>8</w:t>
            </w:r>
            <w:r w:rsidRPr="00380A1F">
              <w:rPr>
                <w:b/>
                <w:bCs/>
                <w:color w:val="000000"/>
                <w:sz w:val="19"/>
                <w:szCs w:val="19"/>
              </w:rPr>
              <w:t>,</w:t>
            </w:r>
            <w:r>
              <w:rPr>
                <w:b/>
                <w:bCs/>
                <w:color w:val="000000"/>
                <w:sz w:val="19"/>
                <w:szCs w:val="19"/>
              </w:rPr>
              <w:t>923</w:t>
            </w:r>
          </w:p>
        </w:tc>
        <w:tc>
          <w:tcPr>
            <w:tcW w:w="566" w:type="pct"/>
            <w:shd w:val="clear" w:color="auto" w:fill="F2F2F2" w:themeFill="background1" w:themeFillShade="F2"/>
            <w:noWrap/>
            <w:vAlign w:val="center"/>
          </w:tcPr>
          <w:p w14:paraId="62685AAE" w14:textId="357F381D" w:rsidR="009B5833" w:rsidRPr="005F38E7" w:rsidRDefault="009B5833" w:rsidP="009B5833">
            <w:pPr>
              <w:pStyle w:val="NoSpacing"/>
              <w:jc w:val="right"/>
              <w:rPr>
                <w:rFonts w:cstheme="minorHAnsi"/>
                <w:sz w:val="18"/>
                <w:szCs w:val="18"/>
              </w:rPr>
            </w:pPr>
            <w:r w:rsidRPr="00380A1F">
              <w:rPr>
                <w:b/>
                <w:bCs/>
                <w:color w:val="000000"/>
                <w:sz w:val="19"/>
                <w:szCs w:val="19"/>
              </w:rPr>
              <w:t>2</w:t>
            </w:r>
            <w:r>
              <w:rPr>
                <w:b/>
                <w:bCs/>
                <w:color w:val="000000"/>
                <w:sz w:val="19"/>
                <w:szCs w:val="19"/>
              </w:rPr>
              <w:t>8</w:t>
            </w:r>
            <w:r w:rsidRPr="00380A1F">
              <w:rPr>
                <w:b/>
                <w:bCs/>
                <w:color w:val="000000"/>
                <w:sz w:val="19"/>
                <w:szCs w:val="19"/>
              </w:rPr>
              <w:t>,</w:t>
            </w:r>
            <w:r>
              <w:rPr>
                <w:b/>
                <w:bCs/>
                <w:color w:val="000000"/>
                <w:sz w:val="19"/>
                <w:szCs w:val="19"/>
              </w:rPr>
              <w:t>923</w:t>
            </w:r>
          </w:p>
        </w:tc>
        <w:tc>
          <w:tcPr>
            <w:tcW w:w="425" w:type="pct"/>
            <w:shd w:val="clear" w:color="auto" w:fill="F2F2F2" w:themeFill="background1" w:themeFillShade="F2"/>
            <w:noWrap/>
            <w:vAlign w:val="center"/>
          </w:tcPr>
          <w:p w14:paraId="586BA2DF" w14:textId="2C0043B0" w:rsidR="009B5833" w:rsidRPr="005F38E7" w:rsidRDefault="009B5833" w:rsidP="009B5833">
            <w:pPr>
              <w:pStyle w:val="NoSpacing"/>
              <w:jc w:val="right"/>
              <w:rPr>
                <w:rFonts w:cstheme="minorHAnsi"/>
                <w:sz w:val="18"/>
                <w:szCs w:val="18"/>
              </w:rPr>
            </w:pPr>
            <w:r w:rsidRPr="00380A1F">
              <w:rPr>
                <w:b/>
                <w:bCs/>
                <w:color w:val="000000"/>
                <w:sz w:val="19"/>
                <w:szCs w:val="19"/>
              </w:rPr>
              <w:t>-</w:t>
            </w:r>
          </w:p>
        </w:tc>
        <w:tc>
          <w:tcPr>
            <w:tcW w:w="330" w:type="pct"/>
            <w:shd w:val="clear" w:color="auto" w:fill="F2F2F2" w:themeFill="background1" w:themeFillShade="F2"/>
            <w:noWrap/>
            <w:vAlign w:val="center"/>
          </w:tcPr>
          <w:p w14:paraId="345420CD" w14:textId="104F8193" w:rsidR="009B5833" w:rsidRPr="005F38E7" w:rsidRDefault="009B5833" w:rsidP="009B5833">
            <w:pPr>
              <w:pStyle w:val="NoSpacing"/>
              <w:ind w:left="-98"/>
              <w:jc w:val="right"/>
              <w:rPr>
                <w:rFonts w:cstheme="minorHAnsi"/>
                <w:sz w:val="18"/>
                <w:szCs w:val="18"/>
              </w:rPr>
            </w:pPr>
            <w:r w:rsidRPr="00380A1F">
              <w:rPr>
                <w:b/>
                <w:bCs/>
                <w:color w:val="000000"/>
                <w:sz w:val="19"/>
                <w:szCs w:val="19"/>
              </w:rPr>
              <w:t>1</w:t>
            </w:r>
            <w:r>
              <w:rPr>
                <w:b/>
                <w:bCs/>
                <w:color w:val="000000"/>
                <w:sz w:val="19"/>
                <w:szCs w:val="19"/>
              </w:rPr>
              <w:t>4</w:t>
            </w:r>
            <w:r w:rsidRPr="00380A1F">
              <w:rPr>
                <w:b/>
                <w:bCs/>
                <w:color w:val="000000"/>
                <w:sz w:val="19"/>
                <w:szCs w:val="19"/>
              </w:rPr>
              <w:t>,</w:t>
            </w:r>
            <w:r>
              <w:rPr>
                <w:b/>
                <w:bCs/>
                <w:color w:val="000000"/>
                <w:sz w:val="19"/>
                <w:szCs w:val="19"/>
              </w:rPr>
              <w:t>679</w:t>
            </w:r>
          </w:p>
        </w:tc>
        <w:tc>
          <w:tcPr>
            <w:tcW w:w="518" w:type="pct"/>
            <w:shd w:val="clear" w:color="auto" w:fill="F2F2F2" w:themeFill="background1" w:themeFillShade="F2"/>
            <w:noWrap/>
            <w:vAlign w:val="center"/>
          </w:tcPr>
          <w:p w14:paraId="1A7B1F82" w14:textId="1B7A7C1A" w:rsidR="009B5833" w:rsidRPr="005F38E7" w:rsidRDefault="009B5833" w:rsidP="009B5833">
            <w:pPr>
              <w:pStyle w:val="NoSpacing"/>
              <w:jc w:val="right"/>
              <w:rPr>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00747933" w14:textId="00E0E958" w:rsidR="009B5833" w:rsidRPr="005F38E7" w:rsidRDefault="009B5833" w:rsidP="009B5833">
            <w:pPr>
              <w:pStyle w:val="NoSpacing"/>
              <w:jc w:val="right"/>
              <w:rPr>
                <w:sz w:val="18"/>
                <w:szCs w:val="18"/>
              </w:rPr>
            </w:pPr>
            <w:r w:rsidRPr="00380A1F">
              <w:rPr>
                <w:b/>
                <w:bCs/>
                <w:color w:val="000000"/>
                <w:sz w:val="19"/>
                <w:szCs w:val="19"/>
              </w:rPr>
              <w:t xml:space="preserve"> $</w:t>
            </w:r>
            <w:r>
              <w:rPr>
                <w:b/>
                <w:bCs/>
                <w:color w:val="000000"/>
                <w:sz w:val="19"/>
                <w:szCs w:val="19"/>
              </w:rPr>
              <w:t xml:space="preserve"> 559,255</w:t>
            </w:r>
            <w:r w:rsidRPr="00380A1F">
              <w:rPr>
                <w:b/>
                <w:bCs/>
                <w:color w:val="000000"/>
                <w:sz w:val="19"/>
                <w:szCs w:val="19"/>
              </w:rPr>
              <w:t xml:space="preserve"> </w:t>
            </w:r>
          </w:p>
        </w:tc>
      </w:tr>
      <w:tr w:rsidR="009B5833" w:rsidRPr="00651C99" w14:paraId="4A7E5F95" w14:textId="77777777" w:rsidTr="002E70AB">
        <w:trPr>
          <w:trHeight w:val="20"/>
        </w:trPr>
        <w:tc>
          <w:tcPr>
            <w:tcW w:w="1261" w:type="pct"/>
            <w:shd w:val="clear" w:color="auto" w:fill="BFBFBF" w:themeFill="background1" w:themeFillShade="BF"/>
            <w:noWrap/>
            <w:vAlign w:val="center"/>
          </w:tcPr>
          <w:p w14:paraId="719A2338" w14:textId="60519DE3" w:rsidR="009B5833" w:rsidRPr="00651C99" w:rsidRDefault="009B5833" w:rsidP="009B5833">
            <w:pPr>
              <w:pStyle w:val="NoSpacing"/>
              <w:rPr>
                <w:rFonts w:cstheme="minorHAnsi"/>
                <w:b/>
                <w:sz w:val="18"/>
                <w:szCs w:val="18"/>
              </w:rPr>
            </w:pPr>
            <w:r>
              <w:rPr>
                <w:rFonts w:cstheme="minorHAnsi"/>
                <w:b/>
                <w:sz w:val="18"/>
                <w:szCs w:val="18"/>
              </w:rPr>
              <w:t>Total Requested</w:t>
            </w:r>
          </w:p>
        </w:tc>
        <w:tc>
          <w:tcPr>
            <w:tcW w:w="389" w:type="pct"/>
            <w:shd w:val="clear" w:color="auto" w:fill="BFBFBF" w:themeFill="background1" w:themeFillShade="BF"/>
            <w:vAlign w:val="center"/>
          </w:tcPr>
          <w:p w14:paraId="41461361" w14:textId="74106D01" w:rsidR="009B5833" w:rsidRPr="00651C99" w:rsidRDefault="009B5833" w:rsidP="009B5833">
            <w:pPr>
              <w:pStyle w:val="NoSpacing"/>
              <w:jc w:val="right"/>
              <w:rPr>
                <w:rFonts w:cstheme="minorHAnsi"/>
                <w:b/>
                <w:sz w:val="18"/>
                <w:szCs w:val="18"/>
              </w:rPr>
            </w:pPr>
            <w:r>
              <w:rPr>
                <w:rFonts w:cstheme="minorHAnsi"/>
                <w:b/>
                <w:sz w:val="18"/>
                <w:szCs w:val="18"/>
              </w:rPr>
              <w:t>-</w:t>
            </w:r>
          </w:p>
        </w:tc>
        <w:tc>
          <w:tcPr>
            <w:tcW w:w="424" w:type="pct"/>
            <w:shd w:val="clear" w:color="auto" w:fill="BFBFBF" w:themeFill="background1" w:themeFillShade="BF"/>
            <w:vAlign w:val="center"/>
          </w:tcPr>
          <w:p w14:paraId="386249A1" w14:textId="3532BF1E" w:rsidR="009B5833" w:rsidRPr="00651C99" w:rsidRDefault="009B5833" w:rsidP="009B5833">
            <w:pPr>
              <w:pStyle w:val="NoSpacing"/>
              <w:jc w:val="right"/>
              <w:rPr>
                <w:rFonts w:cstheme="minorHAnsi"/>
                <w:b/>
                <w:sz w:val="18"/>
                <w:szCs w:val="18"/>
              </w:rPr>
            </w:pPr>
            <w:r>
              <w:rPr>
                <w:rFonts w:cstheme="minorHAnsi"/>
                <w:b/>
                <w:sz w:val="18"/>
                <w:szCs w:val="18"/>
              </w:rPr>
              <w:t>-</w:t>
            </w:r>
          </w:p>
        </w:tc>
        <w:tc>
          <w:tcPr>
            <w:tcW w:w="566" w:type="pct"/>
            <w:shd w:val="clear" w:color="auto" w:fill="BFBFBF" w:themeFill="background1" w:themeFillShade="BF"/>
            <w:vAlign w:val="center"/>
          </w:tcPr>
          <w:p w14:paraId="2DAF73B7" w14:textId="4F649269" w:rsidR="009B5833" w:rsidRPr="00651C99" w:rsidRDefault="009B5833" w:rsidP="009B5833">
            <w:pPr>
              <w:pStyle w:val="NoSpacing"/>
              <w:jc w:val="right"/>
              <w:rPr>
                <w:rFonts w:cstheme="minorHAnsi"/>
                <w:b/>
                <w:sz w:val="18"/>
                <w:szCs w:val="18"/>
              </w:rPr>
            </w:pPr>
            <w:r>
              <w:rPr>
                <w:rFonts w:cstheme="minorHAnsi"/>
                <w:b/>
                <w:sz w:val="18"/>
                <w:szCs w:val="18"/>
              </w:rPr>
              <w:t>31,630</w:t>
            </w:r>
          </w:p>
        </w:tc>
        <w:tc>
          <w:tcPr>
            <w:tcW w:w="566" w:type="pct"/>
            <w:shd w:val="clear" w:color="auto" w:fill="BFBFBF" w:themeFill="background1" w:themeFillShade="BF"/>
            <w:noWrap/>
            <w:vAlign w:val="center"/>
          </w:tcPr>
          <w:p w14:paraId="3EF6FF3C" w14:textId="3622E74E" w:rsidR="009B5833" w:rsidRDefault="009B5833" w:rsidP="009B5833">
            <w:pPr>
              <w:pStyle w:val="NoSpacing"/>
              <w:jc w:val="right"/>
              <w:rPr>
                <w:rFonts w:cstheme="minorHAnsi"/>
                <w:b/>
                <w:sz w:val="18"/>
                <w:szCs w:val="18"/>
              </w:rPr>
            </w:pPr>
            <w:r>
              <w:rPr>
                <w:rFonts w:cstheme="minorHAnsi"/>
                <w:b/>
                <w:sz w:val="18"/>
                <w:szCs w:val="18"/>
              </w:rPr>
              <w:t>34,952</w:t>
            </w:r>
          </w:p>
        </w:tc>
        <w:tc>
          <w:tcPr>
            <w:tcW w:w="425" w:type="pct"/>
            <w:shd w:val="clear" w:color="auto" w:fill="BFBFBF" w:themeFill="background1" w:themeFillShade="BF"/>
            <w:noWrap/>
            <w:vAlign w:val="center"/>
          </w:tcPr>
          <w:p w14:paraId="24AA6CC7" w14:textId="76DAB032" w:rsidR="009B5833" w:rsidRPr="00651C99" w:rsidRDefault="009B5833" w:rsidP="009B5833">
            <w:pPr>
              <w:pStyle w:val="NoSpacing"/>
              <w:jc w:val="right"/>
              <w:rPr>
                <w:rFonts w:cstheme="minorHAnsi"/>
                <w:b/>
                <w:sz w:val="18"/>
                <w:szCs w:val="18"/>
              </w:rPr>
            </w:pPr>
            <w:r>
              <w:rPr>
                <w:rFonts w:cstheme="minorHAnsi"/>
                <w:b/>
                <w:sz w:val="18"/>
                <w:szCs w:val="18"/>
              </w:rPr>
              <w:t>-</w:t>
            </w:r>
          </w:p>
        </w:tc>
        <w:tc>
          <w:tcPr>
            <w:tcW w:w="330" w:type="pct"/>
            <w:shd w:val="clear" w:color="auto" w:fill="BFBFBF" w:themeFill="background1" w:themeFillShade="BF"/>
            <w:noWrap/>
            <w:vAlign w:val="center"/>
          </w:tcPr>
          <w:p w14:paraId="391BC8D0" w14:textId="10D3CA1C" w:rsidR="009B5833" w:rsidRPr="00ED6408" w:rsidRDefault="009B5833" w:rsidP="009B5833">
            <w:pPr>
              <w:pStyle w:val="NoSpacing"/>
              <w:ind w:left="-98"/>
              <w:jc w:val="right"/>
              <w:rPr>
                <w:rFonts w:cstheme="minorHAnsi"/>
                <w:b/>
                <w:sz w:val="18"/>
                <w:szCs w:val="18"/>
              </w:rPr>
            </w:pPr>
            <w:r>
              <w:rPr>
                <w:rFonts w:cstheme="minorHAnsi"/>
                <w:b/>
                <w:sz w:val="18"/>
                <w:szCs w:val="18"/>
              </w:rPr>
              <w:t>17,391</w:t>
            </w:r>
          </w:p>
        </w:tc>
        <w:tc>
          <w:tcPr>
            <w:tcW w:w="518" w:type="pct"/>
            <w:shd w:val="clear" w:color="auto" w:fill="BFBFBF" w:themeFill="background1" w:themeFillShade="BF"/>
            <w:noWrap/>
            <w:vAlign w:val="center"/>
          </w:tcPr>
          <w:p w14:paraId="79F3A814" w14:textId="3EA66740" w:rsidR="009B5833" w:rsidRPr="00651C99" w:rsidRDefault="009B5833" w:rsidP="009B5833">
            <w:pPr>
              <w:pStyle w:val="NoSpacing"/>
              <w:jc w:val="right"/>
              <w:rPr>
                <w:rFonts w:cstheme="minorHAnsi"/>
                <w:b/>
                <w:sz w:val="18"/>
                <w:szCs w:val="18"/>
              </w:rPr>
            </w:pPr>
            <w:r>
              <w:rPr>
                <w:rFonts w:cstheme="minorHAnsi"/>
                <w:b/>
                <w:sz w:val="18"/>
                <w:szCs w:val="18"/>
              </w:rPr>
              <w:t>-</w:t>
            </w:r>
          </w:p>
        </w:tc>
        <w:tc>
          <w:tcPr>
            <w:tcW w:w="521" w:type="pct"/>
            <w:shd w:val="clear" w:color="auto" w:fill="BFBFBF" w:themeFill="background1" w:themeFillShade="BF"/>
            <w:noWrap/>
            <w:vAlign w:val="center"/>
          </w:tcPr>
          <w:p w14:paraId="13840346" w14:textId="3BCF102D" w:rsidR="009B5833" w:rsidRPr="00651C99" w:rsidRDefault="009B5833" w:rsidP="009B5833">
            <w:pPr>
              <w:pStyle w:val="NoSpacing"/>
              <w:jc w:val="right"/>
              <w:rPr>
                <w:b/>
                <w:sz w:val="18"/>
                <w:szCs w:val="18"/>
              </w:rPr>
            </w:pPr>
            <w:r>
              <w:rPr>
                <w:b/>
                <w:sz w:val="18"/>
                <w:szCs w:val="18"/>
              </w:rPr>
              <w:t>$ 626,798</w:t>
            </w:r>
          </w:p>
        </w:tc>
      </w:tr>
    </w:tbl>
    <w:p w14:paraId="674B5DAA" w14:textId="77777777" w:rsidR="005F7141" w:rsidRPr="00116683" w:rsidRDefault="005F7141" w:rsidP="00066665">
      <w:pPr>
        <w:pStyle w:val="NoSpacing"/>
        <w:spacing w:after="40"/>
        <w:ind w:left="270" w:hanging="270"/>
        <w:rPr>
          <w:rFonts w:ascii="Cambria" w:hAnsi="Cambria"/>
          <w:sz w:val="16"/>
          <w:szCs w:val="16"/>
        </w:rPr>
      </w:pPr>
      <w:r w:rsidRPr="00CA4FF8">
        <w:rPr>
          <w:rFonts w:ascii="Cambria" w:hAnsi="Cambria"/>
          <w:sz w:val="16"/>
          <w:szCs w:val="16"/>
          <w:vertAlign w:val="superscript"/>
        </w:rPr>
        <w:t>1</w:t>
      </w:r>
      <w:r w:rsidRPr="00CA4FF8">
        <w:rPr>
          <w:rFonts w:ascii="Cambria" w:hAnsi="Cambria"/>
          <w:sz w:val="16"/>
          <w:szCs w:val="16"/>
        </w:rPr>
        <w:t xml:space="preserve"> The average hourly earnings of parents in the 2014 National</w:t>
      </w:r>
      <w:r w:rsidRPr="009E56D2">
        <w:rPr>
          <w:rFonts w:ascii="Cambria" w:hAnsi="Cambria"/>
          <w:sz w:val="16"/>
          <w:szCs w:val="16"/>
        </w:rPr>
        <w:t xml:space="preserve"> Compensation Survey sponsored by the Bureau of Labor Statistics (BLS) is $22.71, of middle school teachers is $27.70, of middle school special education teachers is $28.65, of education administrators is $44.13, and of educational guidance counselors is $</w:t>
      </w:r>
      <w:r w:rsidRPr="00877ED0">
        <w:rPr>
          <w:rFonts w:ascii="Cambria" w:hAnsi="Cambria"/>
          <w:sz w:val="16"/>
          <w:szCs w:val="16"/>
        </w:rPr>
        <w:t>26.94.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counselors (21-1012); accessed on June 18, 2015.</w:t>
      </w:r>
    </w:p>
    <w:p w14:paraId="6DFCB8C5" w14:textId="5A7E90A5" w:rsidR="005F38E7" w:rsidRPr="00BA441F"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2</w:t>
      </w:r>
      <w:r w:rsidRPr="00B36772">
        <w:rPr>
          <w:rFonts w:ascii="Cambria" w:hAnsi="Cambria"/>
          <w:sz w:val="16"/>
          <w:szCs w:val="16"/>
        </w:rPr>
        <w:t xml:space="preserve"> </w:t>
      </w:r>
      <w:r w:rsidRPr="00BA441F">
        <w:rPr>
          <w:rFonts w:ascii="Cambria" w:hAnsi="Cambria"/>
          <w:sz w:val="16"/>
          <w:szCs w:val="16"/>
        </w:rPr>
        <w:t>The OFT will start with a sample of 103 schools, though it is estimated that three percent of schools will not be eligible for the study. The response rate is based on the eligible sample of 100 schools.</w:t>
      </w:r>
    </w:p>
    <w:p w14:paraId="4B227524" w14:textId="6298DAF7" w:rsidR="005F7141" w:rsidRPr="00B36772" w:rsidRDefault="005F7141" w:rsidP="00066665">
      <w:pPr>
        <w:pStyle w:val="NoSpacing"/>
        <w:spacing w:after="40"/>
        <w:ind w:left="270" w:hanging="270"/>
        <w:rPr>
          <w:rFonts w:ascii="Cambria" w:hAnsi="Cambria"/>
          <w:sz w:val="16"/>
          <w:szCs w:val="16"/>
        </w:rPr>
      </w:pPr>
      <w:r w:rsidRPr="00B36772">
        <w:rPr>
          <w:rFonts w:ascii="Cambria" w:hAnsi="Cambria"/>
          <w:sz w:val="16"/>
          <w:szCs w:val="16"/>
          <w:vertAlign w:val="superscript"/>
        </w:rPr>
        <w:t>3</w:t>
      </w:r>
      <w:r w:rsidRPr="00B36772">
        <w:rPr>
          <w:rFonts w:ascii="Cambria" w:hAnsi="Cambria"/>
          <w:sz w:val="16"/>
          <w:szCs w:val="16"/>
        </w:rPr>
        <w:t xml:space="preserve"> Recruitment activities for the </w:t>
      </w:r>
      <w:r w:rsidR="00D11A14" w:rsidRPr="00B36772">
        <w:rPr>
          <w:rFonts w:ascii="Cambria" w:hAnsi="Cambria"/>
          <w:sz w:val="16"/>
          <w:szCs w:val="16"/>
        </w:rPr>
        <w:t xml:space="preserve">OFT </w:t>
      </w:r>
      <w:r w:rsidRPr="00B36772">
        <w:rPr>
          <w:rFonts w:ascii="Cambria" w:hAnsi="Cambria"/>
          <w:sz w:val="16"/>
          <w:szCs w:val="16"/>
        </w:rPr>
        <w:t xml:space="preserve">will not be completed at the time this request will be approved, and thus the approved burden affiliated with the </w:t>
      </w:r>
      <w:r w:rsidR="00D11A14" w:rsidRPr="00B36772">
        <w:rPr>
          <w:rFonts w:ascii="Cambria" w:hAnsi="Cambria"/>
          <w:sz w:val="16"/>
          <w:szCs w:val="16"/>
        </w:rPr>
        <w:t xml:space="preserve">OFT </w:t>
      </w:r>
      <w:r w:rsidRPr="00B36772">
        <w:rPr>
          <w:rFonts w:ascii="Cambria" w:hAnsi="Cambria"/>
          <w:sz w:val="16"/>
          <w:szCs w:val="16"/>
        </w:rPr>
        <w:t>recruitment is being carried over and is included in the total requested in this submission.</w:t>
      </w:r>
    </w:p>
    <w:p w14:paraId="7D6BD199" w14:textId="77777777" w:rsidR="005F38E7"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4</w:t>
      </w:r>
      <w:r w:rsidRPr="00D71859">
        <w:rPr>
          <w:rFonts w:ascii="Cambria" w:hAnsi="Cambria"/>
          <w:sz w:val="16"/>
          <w:szCs w:val="16"/>
        </w:rPr>
        <w:t xml:space="preserve"> Burden associated w</w:t>
      </w:r>
      <w:r w:rsidRPr="00B36772">
        <w:rPr>
          <w:rFonts w:ascii="Cambria" w:hAnsi="Cambria"/>
          <w:sz w:val="16"/>
          <w:szCs w:val="16"/>
        </w:rPr>
        <w:t xml:space="preserve">ith student assessments is </w:t>
      </w:r>
      <w:r>
        <w:rPr>
          <w:rFonts w:ascii="Cambria" w:hAnsi="Cambria"/>
          <w:sz w:val="16"/>
          <w:szCs w:val="16"/>
        </w:rPr>
        <w:t>shown</w:t>
      </w:r>
      <w:r w:rsidRPr="00B36772">
        <w:rPr>
          <w:rFonts w:ascii="Cambria" w:hAnsi="Cambria"/>
          <w:sz w:val="16"/>
          <w:szCs w:val="16"/>
        </w:rPr>
        <w:t xml:space="preserve"> here for informational purposes. It is not included in the total burden calculations because, unlike the other burden presented here, it is not subject to the Paperwork Reduction Act (PRA).</w:t>
      </w:r>
    </w:p>
    <w:p w14:paraId="03F4B14F" w14:textId="052FF4AB" w:rsidR="005F7141"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5</w:t>
      </w:r>
      <w:r w:rsidR="005F7141" w:rsidRPr="00B36772">
        <w:rPr>
          <w:rFonts w:ascii="Cambria" w:hAnsi="Cambria"/>
          <w:sz w:val="16"/>
          <w:szCs w:val="16"/>
        </w:rPr>
        <w:t xml:space="preserve"> The number of parent respondents is already included in the recruitment number of respondents.</w:t>
      </w:r>
    </w:p>
    <w:p w14:paraId="436D9495" w14:textId="2CA2ABF9" w:rsidR="004E75F9"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6</w:t>
      </w:r>
      <w:r w:rsidR="004E75F9">
        <w:rPr>
          <w:rFonts w:ascii="Cambria" w:hAnsi="Cambria"/>
          <w:sz w:val="16"/>
          <w:szCs w:val="16"/>
        </w:rPr>
        <w:t xml:space="preserve"> Teachers will be asked to complete student-level reports regardless of the students’ participation, so this estimate accounts for 92% of the sampled students.</w:t>
      </w:r>
    </w:p>
    <w:p w14:paraId="6437EBE3" w14:textId="25D2ADD0" w:rsidR="004E75F9"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7</w:t>
      </w:r>
      <w:r w:rsidR="004E75F9">
        <w:rPr>
          <w:rFonts w:ascii="Cambria" w:hAnsi="Cambria"/>
          <w:sz w:val="16"/>
          <w:szCs w:val="16"/>
        </w:rPr>
        <w:t xml:space="preserve"> The number of student-level reports estimates 8 students with IEPs per school.</w:t>
      </w:r>
    </w:p>
    <w:p w14:paraId="7BC111C7" w14:textId="5B9EECCC" w:rsidR="001F4AF7" w:rsidRPr="00B36772" w:rsidRDefault="001F4AF7" w:rsidP="00066665">
      <w:pPr>
        <w:pStyle w:val="NoSpacing"/>
        <w:spacing w:after="40"/>
        <w:ind w:left="270" w:hanging="270"/>
        <w:rPr>
          <w:rFonts w:ascii="Cambria" w:hAnsi="Cambria"/>
          <w:sz w:val="16"/>
          <w:szCs w:val="16"/>
        </w:rPr>
      </w:pPr>
      <w:r w:rsidRPr="001F4AF7">
        <w:rPr>
          <w:rFonts w:ascii="Cambria" w:hAnsi="Cambria"/>
          <w:sz w:val="16"/>
          <w:szCs w:val="16"/>
          <w:vertAlign w:val="superscript"/>
        </w:rPr>
        <w:t>8</w:t>
      </w:r>
      <w:r>
        <w:rPr>
          <w:rFonts w:ascii="Cambria" w:hAnsi="Cambria"/>
          <w:sz w:val="16"/>
          <w:szCs w:val="16"/>
        </w:rPr>
        <w:t xml:space="preserve"> </w:t>
      </w:r>
      <w:r w:rsidRPr="008771D4">
        <w:rPr>
          <w:rFonts w:ascii="Cambria" w:hAnsi="Cambria"/>
          <w:sz w:val="16"/>
          <w:szCs w:val="16"/>
        </w:rPr>
        <w:t xml:space="preserve">This estimate includes schools that </w:t>
      </w:r>
      <w:r w:rsidR="006A3CD5">
        <w:rPr>
          <w:rFonts w:ascii="Cambria" w:hAnsi="Cambria"/>
          <w:sz w:val="16"/>
          <w:szCs w:val="16"/>
        </w:rPr>
        <w:t>students left after 6</w:t>
      </w:r>
      <w:r w:rsidR="006A3CD5" w:rsidRPr="006A3CD5">
        <w:rPr>
          <w:rFonts w:ascii="Cambria" w:hAnsi="Cambria"/>
          <w:sz w:val="16"/>
          <w:szCs w:val="16"/>
          <w:vertAlign w:val="superscript"/>
        </w:rPr>
        <w:t>th</w:t>
      </w:r>
      <w:r w:rsidR="006A3CD5">
        <w:rPr>
          <w:rFonts w:ascii="Cambria" w:hAnsi="Cambria"/>
          <w:sz w:val="16"/>
          <w:szCs w:val="16"/>
        </w:rPr>
        <w:t xml:space="preserve"> grade because the schools </w:t>
      </w:r>
      <w:r w:rsidRPr="008771D4">
        <w:rPr>
          <w:rFonts w:ascii="Cambria" w:hAnsi="Cambria"/>
          <w:sz w:val="16"/>
          <w:szCs w:val="16"/>
        </w:rPr>
        <w:t>end in grade 6</w:t>
      </w:r>
      <w:r w:rsidR="000C7ED3">
        <w:rPr>
          <w:rFonts w:ascii="Cambria" w:hAnsi="Cambria"/>
          <w:sz w:val="16"/>
          <w:szCs w:val="16"/>
        </w:rPr>
        <w:t>,</w:t>
      </w:r>
      <w:r w:rsidRPr="008771D4">
        <w:rPr>
          <w:rFonts w:ascii="Cambria" w:hAnsi="Cambria"/>
          <w:sz w:val="16"/>
          <w:szCs w:val="16"/>
        </w:rPr>
        <w:t xml:space="preserve"> and </w:t>
      </w:r>
      <w:r w:rsidR="006A3CD5">
        <w:rPr>
          <w:rFonts w:ascii="Cambria" w:hAnsi="Cambria"/>
          <w:sz w:val="16"/>
          <w:szCs w:val="16"/>
        </w:rPr>
        <w:t>other</w:t>
      </w:r>
      <w:r w:rsidRPr="008771D4">
        <w:rPr>
          <w:rFonts w:ascii="Cambria" w:hAnsi="Cambria"/>
          <w:sz w:val="16"/>
          <w:szCs w:val="16"/>
        </w:rPr>
        <w:t xml:space="preserve"> schools </w:t>
      </w:r>
      <w:r w:rsidR="006A3CD5">
        <w:rPr>
          <w:rFonts w:ascii="Cambria" w:hAnsi="Cambria"/>
          <w:sz w:val="16"/>
          <w:szCs w:val="16"/>
        </w:rPr>
        <w:t>from which</w:t>
      </w:r>
      <w:r w:rsidRPr="008771D4">
        <w:rPr>
          <w:rFonts w:ascii="Cambria" w:hAnsi="Cambria"/>
          <w:sz w:val="16"/>
          <w:szCs w:val="16"/>
        </w:rPr>
        <w:t xml:space="preserve"> students move</w:t>
      </w:r>
      <w:r w:rsidR="000C7ED3">
        <w:rPr>
          <w:rFonts w:ascii="Cambria" w:hAnsi="Cambria"/>
          <w:sz w:val="16"/>
          <w:szCs w:val="16"/>
        </w:rPr>
        <w:t>d since their participati</w:t>
      </w:r>
      <w:r w:rsidR="00672780">
        <w:rPr>
          <w:rFonts w:ascii="Cambria" w:hAnsi="Cambria"/>
          <w:sz w:val="16"/>
          <w:szCs w:val="16"/>
        </w:rPr>
        <w:t>on in MGLS 2017 Main Study Base-y</w:t>
      </w:r>
      <w:r w:rsidR="000C7ED3">
        <w:rPr>
          <w:rFonts w:ascii="Cambria" w:hAnsi="Cambria"/>
          <w:sz w:val="16"/>
          <w:szCs w:val="16"/>
        </w:rPr>
        <w:t>ear (when they were in 6</w:t>
      </w:r>
      <w:r w:rsidR="000C7ED3" w:rsidRPr="000C7ED3">
        <w:rPr>
          <w:rFonts w:ascii="Cambria" w:hAnsi="Cambria"/>
          <w:sz w:val="16"/>
          <w:szCs w:val="16"/>
          <w:vertAlign w:val="superscript"/>
        </w:rPr>
        <w:t>th</w:t>
      </w:r>
      <w:r w:rsidR="000C7ED3">
        <w:rPr>
          <w:rFonts w:ascii="Cambria" w:hAnsi="Cambria"/>
          <w:sz w:val="16"/>
          <w:szCs w:val="16"/>
        </w:rPr>
        <w:t xml:space="preserve"> grade)</w:t>
      </w:r>
      <w:r w:rsidRPr="008771D4">
        <w:rPr>
          <w:rFonts w:ascii="Cambria" w:hAnsi="Cambria"/>
          <w:sz w:val="16"/>
          <w:szCs w:val="16"/>
        </w:rPr>
        <w:t>.</w:t>
      </w:r>
    </w:p>
    <w:p w14:paraId="0B16EAFC" w14:textId="094182C4" w:rsidR="00090CDF" w:rsidRDefault="005F7141" w:rsidP="00066665">
      <w:pPr>
        <w:pStyle w:val="NoSpacing"/>
        <w:spacing w:after="40"/>
        <w:ind w:left="274" w:hanging="274"/>
        <w:rPr>
          <w:rFonts w:ascii="Cambria" w:eastAsiaTheme="majorEastAsia" w:hAnsi="Cambria" w:cstheme="majorBidi"/>
          <w:b/>
          <w:bCs/>
          <w:sz w:val="24"/>
          <w:szCs w:val="24"/>
        </w:rPr>
      </w:pPr>
      <w:r w:rsidRPr="00B36772">
        <w:rPr>
          <w:rFonts w:ascii="Cambria" w:hAnsi="Cambria"/>
          <w:sz w:val="16"/>
          <w:szCs w:val="16"/>
        </w:rPr>
        <w:t>* The same respondent group as above, not double counted in the total number of respondents.</w:t>
      </w:r>
      <w:bookmarkStart w:id="33" w:name="_Toc452725186"/>
      <w:r w:rsidR="00090CDF">
        <w:rPr>
          <w:rFonts w:ascii="Cambria" w:hAnsi="Cambria"/>
        </w:rPr>
        <w:br w:type="page"/>
      </w:r>
    </w:p>
    <w:p w14:paraId="37566B6B" w14:textId="7B3A6A8F" w:rsidR="00B427AD" w:rsidRPr="00BA441F" w:rsidRDefault="00B427AD" w:rsidP="00090CDF">
      <w:pPr>
        <w:pStyle w:val="Heading2"/>
        <w:keepNext w:val="0"/>
        <w:keepLines w:val="0"/>
        <w:spacing w:before="0" w:after="120" w:line="240" w:lineRule="auto"/>
        <w:rPr>
          <w:rFonts w:ascii="Cambria" w:hAnsi="Cambria"/>
        </w:rPr>
      </w:pPr>
      <w:r w:rsidRPr="00BA441F">
        <w:rPr>
          <w:rFonts w:ascii="Cambria" w:hAnsi="Cambria"/>
        </w:rPr>
        <w:lastRenderedPageBreak/>
        <w:t>A.13 Total Annual Cost Burden</w:t>
      </w:r>
      <w:bookmarkEnd w:id="32"/>
      <w:bookmarkEnd w:id="33"/>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92310C" w:rsidRDefault="00B427AD" w:rsidP="0092310C">
      <w:pPr>
        <w:pStyle w:val="Heading2"/>
        <w:keepNext w:val="0"/>
        <w:keepLines w:val="0"/>
        <w:spacing w:before="0" w:after="120" w:line="240" w:lineRule="auto"/>
        <w:rPr>
          <w:rFonts w:ascii="Cambria" w:hAnsi="Cambria"/>
        </w:rPr>
      </w:pPr>
      <w:bookmarkStart w:id="34" w:name="_Toc412022734"/>
      <w:r w:rsidRPr="0092310C">
        <w:rPr>
          <w:rFonts w:ascii="Cambria" w:hAnsi="Cambria"/>
        </w:rPr>
        <w:t>A.14 Annualized Cost to Federal Government</w:t>
      </w:r>
      <w:bookmarkEnd w:id="34"/>
    </w:p>
    <w:p w14:paraId="2DE8678C" w14:textId="38EE5681" w:rsidR="00B427AD" w:rsidRDefault="006C3229" w:rsidP="00090CDF">
      <w:pPr>
        <w:spacing w:after="120" w:line="240" w:lineRule="auto"/>
        <w:rPr>
          <w:rFonts w:ascii="Cambria" w:hAnsi="Cambria"/>
        </w:rPr>
      </w:pPr>
      <w:r>
        <w:rPr>
          <w:rFonts w:ascii="Cambria" w:hAnsi="Cambria"/>
        </w:rPr>
        <w:t xml:space="preserve">As shown in table </w:t>
      </w:r>
      <w:r w:rsidR="004A028E">
        <w:rPr>
          <w:rFonts w:ascii="Cambria" w:hAnsi="Cambria"/>
        </w:rPr>
        <w:t>6</w:t>
      </w:r>
      <w:r>
        <w:rPr>
          <w:rFonts w:ascii="Cambria" w:hAnsi="Cambria"/>
        </w:rPr>
        <w:t>, t</w:t>
      </w:r>
      <w:r w:rsidR="00B427AD" w:rsidRPr="00BA441F">
        <w:rPr>
          <w:rFonts w:ascii="Cambria" w:hAnsi="Cambria"/>
        </w:rPr>
        <w:t>he estimated cost to the federal government for contractor and subcontractor work to conduct all aspects of the OFT</w:t>
      </w:r>
      <w:r w:rsidR="00672780">
        <w:rPr>
          <w:rFonts w:ascii="Cambria" w:hAnsi="Cambria"/>
        </w:rPr>
        <w:t xml:space="preserve"> B</w:t>
      </w:r>
      <w:r w:rsidR="00676D91" w:rsidRPr="00BA441F">
        <w:rPr>
          <w:rFonts w:ascii="Cambria" w:hAnsi="Cambria"/>
        </w:rPr>
        <w:t>ase</w:t>
      </w:r>
      <w:r w:rsidR="00672780">
        <w:rPr>
          <w:rFonts w:ascii="Cambria" w:hAnsi="Cambria"/>
        </w:rPr>
        <w:t>-</w:t>
      </w:r>
      <w:r w:rsidR="00676D91" w:rsidRPr="00BA441F">
        <w:rPr>
          <w:rFonts w:ascii="Cambria" w:hAnsi="Cambria"/>
        </w:rPr>
        <w:t>year</w:t>
      </w:r>
      <w:r>
        <w:rPr>
          <w:rFonts w:ascii="Cambria" w:hAnsi="Cambria"/>
        </w:rPr>
        <w:t>,</w:t>
      </w:r>
      <w:r w:rsidR="00B427AD" w:rsidRPr="00BA441F">
        <w:rPr>
          <w:rFonts w:ascii="Cambria" w:hAnsi="Cambria"/>
        </w:rPr>
        <w:t xml:space="preserve"> </w:t>
      </w:r>
      <w:r w:rsidR="00167D7F" w:rsidRPr="00BA441F">
        <w:rPr>
          <w:rFonts w:ascii="Cambria" w:hAnsi="Cambria"/>
        </w:rPr>
        <w:t>M</w:t>
      </w:r>
      <w:r w:rsidR="001946FC" w:rsidRPr="00BA441F">
        <w:rPr>
          <w:rFonts w:ascii="Cambria" w:hAnsi="Cambria"/>
        </w:rPr>
        <w:t xml:space="preserve">ain </w:t>
      </w:r>
      <w:r w:rsidR="00167D7F" w:rsidRPr="00BA441F">
        <w:rPr>
          <w:rFonts w:ascii="Cambria" w:hAnsi="Cambria"/>
        </w:rPr>
        <w:t>S</w:t>
      </w:r>
      <w:r w:rsidR="001946FC" w:rsidRPr="00BA441F">
        <w:rPr>
          <w:rFonts w:ascii="Cambria" w:hAnsi="Cambria"/>
        </w:rPr>
        <w:t xml:space="preserve">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Pr>
          <w:rFonts w:ascii="Cambria" w:hAnsi="Cambria"/>
        </w:rPr>
        <w:t>,</w:t>
      </w:r>
      <w:r w:rsidR="009E6CB6">
        <w:rPr>
          <w:rFonts w:ascii="Cambria" w:hAnsi="Cambria"/>
        </w:rPr>
        <w:t xml:space="preserve"> </w:t>
      </w:r>
      <w:r w:rsidR="001946FC" w:rsidRPr="00BA441F">
        <w:rPr>
          <w:rFonts w:ascii="Cambria" w:hAnsi="Cambria"/>
        </w:rPr>
        <w:t>and OFT</w:t>
      </w:r>
      <w:r w:rsidR="00676D91" w:rsidRPr="00BA441F">
        <w:rPr>
          <w:rFonts w:ascii="Cambria" w:hAnsi="Cambria"/>
        </w:rPr>
        <w:t xml:space="preserve"> First Follow-up </w:t>
      </w:r>
      <w:r w:rsidR="00DE0E2C">
        <w:rPr>
          <w:rFonts w:ascii="Cambria" w:hAnsi="Cambria"/>
        </w:rPr>
        <w:t>s</w:t>
      </w:r>
      <w:r w:rsidR="001946FC" w:rsidRPr="00BA441F">
        <w:rPr>
          <w:rFonts w:ascii="Cambria" w:hAnsi="Cambria"/>
        </w:rPr>
        <w:t>ample tracking and recruitment is $</w:t>
      </w:r>
      <w:r>
        <w:rPr>
          <w:rFonts w:ascii="Cambria" w:hAnsi="Cambria"/>
        </w:rPr>
        <w:t>14,987,326</w:t>
      </w:r>
      <w:r w:rsidR="00B427AD" w:rsidRPr="00BA441F">
        <w:rPr>
          <w:rFonts w:ascii="Cambria" w:hAnsi="Cambria"/>
        </w:rPr>
        <w:t>.</w:t>
      </w:r>
      <w:r w:rsidR="00F16733">
        <w:rPr>
          <w:rFonts w:ascii="Cambria" w:hAnsi="Cambria"/>
        </w:rPr>
        <w:t xml:space="preserve"> </w:t>
      </w:r>
      <w:r w:rsidR="00E54D73">
        <w:rPr>
          <w:rFonts w:ascii="Cambria" w:hAnsi="Cambria"/>
        </w:rPr>
        <w:t>These figures include costs for planning, instrument development, recruitment, data collection, data analysis, and reporting.</w:t>
      </w:r>
      <w:r w:rsidR="000C7ED3">
        <w:rPr>
          <w:rFonts w:ascii="Cambria" w:hAnsi="Cambria"/>
        </w:rPr>
        <w:t xml:space="preserve"> </w:t>
      </w:r>
      <w:r w:rsidR="00185B31">
        <w:rPr>
          <w:rFonts w:ascii="Cambria" w:hAnsi="Cambria"/>
        </w:rPr>
        <w:t xml:space="preserve">The cost estimate for the Main Study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sidR="00672780">
        <w:rPr>
          <w:rFonts w:ascii="Cambria" w:hAnsi="Cambria"/>
        </w:rPr>
        <w:t xml:space="preserve"> </w:t>
      </w:r>
      <w:r w:rsidR="00185B31">
        <w:rPr>
          <w:rFonts w:ascii="Cambria" w:hAnsi="Cambria"/>
        </w:rPr>
        <w:t>portion associated with sampling and recrui</w:t>
      </w:r>
      <w:r w:rsidR="000C7ED3">
        <w:rPr>
          <w:rFonts w:ascii="Cambria" w:hAnsi="Cambria"/>
        </w:rPr>
        <w:t>tment activities is $1,302,292. The total cost for the activities requested in this submission is $</w:t>
      </w:r>
      <w:r w:rsidR="000C7ED3" w:rsidRPr="000C7ED3">
        <w:rPr>
          <w:rFonts w:ascii="Cambria" w:hAnsi="Cambria"/>
        </w:rPr>
        <w:t>5,423,951</w:t>
      </w:r>
      <w:r w:rsidR="000C7ED3">
        <w:rPr>
          <w:rFonts w:ascii="Cambria" w:hAnsi="Cambria"/>
        </w:rPr>
        <w:t>.</w:t>
      </w:r>
    </w:p>
    <w:p w14:paraId="4269A9DD" w14:textId="66D60C56" w:rsidR="006C3229" w:rsidRPr="008771D4" w:rsidRDefault="006C3229" w:rsidP="00090CDF">
      <w:pPr>
        <w:pStyle w:val="ExhibitTitle"/>
        <w:spacing w:after="60"/>
        <w:rPr>
          <w:rFonts w:ascii="Cambria" w:hAnsi="Cambria"/>
          <w:sz w:val="22"/>
          <w:szCs w:val="22"/>
        </w:rPr>
      </w:pPr>
      <w:bookmarkStart w:id="35" w:name="_Toc427332890"/>
      <w:r w:rsidRPr="008771D4">
        <w:rPr>
          <w:rFonts w:ascii="Cambria" w:hAnsi="Cambria"/>
          <w:sz w:val="22"/>
          <w:szCs w:val="22"/>
        </w:rPr>
        <w:t xml:space="preserve">Table </w:t>
      </w:r>
      <w:r w:rsidR="004A028E">
        <w:rPr>
          <w:rFonts w:ascii="Cambria" w:hAnsi="Cambria"/>
          <w:sz w:val="22"/>
          <w:szCs w:val="22"/>
        </w:rPr>
        <w:t>6</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5"/>
      <w:r w:rsidRPr="008771D4">
        <w:rPr>
          <w:rFonts w:ascii="Cambria" w:hAnsi="Cambria"/>
          <w:sz w:val="22"/>
          <w:szCs w:val="22"/>
        </w:rPr>
        <w:t xml:space="preserve"> for Operational Field Test, Main Study Base</w:t>
      </w:r>
      <w:r w:rsidR="00672780">
        <w:rPr>
          <w:rFonts w:ascii="Cambria" w:hAnsi="Cambria"/>
          <w:sz w:val="22"/>
          <w:szCs w:val="22"/>
        </w:rPr>
        <w:t>-y</w:t>
      </w:r>
      <w:r w:rsidRPr="008771D4">
        <w:rPr>
          <w:rFonts w:ascii="Cambria" w:hAnsi="Cambria"/>
          <w:sz w:val="22"/>
          <w:szCs w:val="22"/>
        </w:rPr>
        <w:t>ear, and OFT Sample Tracking</w:t>
      </w:r>
      <w:r w:rsidRPr="00651C99">
        <w:rPr>
          <w:vertAlign w:val="superscript"/>
        </w:rPr>
        <w:t>1</w:t>
      </w:r>
    </w:p>
    <w:tbl>
      <w:tblPr>
        <w:tblW w:w="5000" w:type="pct"/>
        <w:tblLook w:val="04A0" w:firstRow="1" w:lastRow="0" w:firstColumn="1" w:lastColumn="0" w:noHBand="0" w:noVBand="1"/>
      </w:tblPr>
      <w:tblGrid>
        <w:gridCol w:w="7705"/>
        <w:gridCol w:w="3023"/>
      </w:tblGrid>
      <w:tr w:rsidR="006C3229" w:rsidRPr="00346F91" w14:paraId="5650E10E" w14:textId="77777777" w:rsidTr="00090CDF">
        <w:trPr>
          <w:trHeight w:val="144"/>
        </w:trPr>
        <w:tc>
          <w:tcPr>
            <w:tcW w:w="3591" w:type="pct"/>
            <w:tcBorders>
              <w:top w:val="single" w:sz="12" w:space="0" w:color="auto"/>
              <w:left w:val="nil"/>
              <w:bottom w:val="nil"/>
              <w:right w:val="nil"/>
            </w:tcBorders>
            <w:shd w:val="clear" w:color="000000" w:fill="FFFFFF"/>
            <w:vAlign w:val="center"/>
            <w:hideMark/>
          </w:tcPr>
          <w:p w14:paraId="6AA66D88" w14:textId="1B021153" w:rsidR="006C3229" w:rsidRPr="008771D4" w:rsidRDefault="006C3229" w:rsidP="0092310C">
            <w:pPr>
              <w:pStyle w:val="Tabletext"/>
              <w:keepNext w:val="0"/>
              <w:widowControl w:val="0"/>
              <w:spacing w:before="0" w:after="0"/>
              <w:rPr>
                <w:rFonts w:asciiTheme="minorHAnsi" w:hAnsiTheme="minorHAnsi"/>
                <w:b/>
              </w:rPr>
            </w:pPr>
            <w:r w:rsidRPr="008771D4">
              <w:rPr>
                <w:rFonts w:asciiTheme="minorHAnsi" w:hAnsiTheme="minorHAnsi"/>
                <w:b/>
              </w:rPr>
              <w:t xml:space="preserve">Operational Field Test </w:t>
            </w:r>
            <w:r w:rsidR="00672780" w:rsidRPr="00672780">
              <w:rPr>
                <w:rFonts w:asciiTheme="minorHAnsi" w:hAnsiTheme="minorHAnsi"/>
                <w:b/>
              </w:rPr>
              <w:t>Base-year</w:t>
            </w:r>
          </w:p>
        </w:tc>
        <w:tc>
          <w:tcPr>
            <w:tcW w:w="1409" w:type="pct"/>
            <w:tcBorders>
              <w:top w:val="single" w:sz="12" w:space="0" w:color="auto"/>
              <w:left w:val="nil"/>
              <w:bottom w:val="nil"/>
              <w:right w:val="nil"/>
            </w:tcBorders>
            <w:shd w:val="clear" w:color="000000" w:fill="FFFFFF"/>
            <w:noWrap/>
            <w:vAlign w:val="center"/>
            <w:hideMark/>
          </w:tcPr>
          <w:p w14:paraId="0DC4E9FA" w14:textId="77777777" w:rsidR="006C3229" w:rsidRPr="008771D4" w:rsidRDefault="006C3229" w:rsidP="0092310C">
            <w:pPr>
              <w:pStyle w:val="Tabletext"/>
              <w:keepNext w:val="0"/>
              <w:widowControl w:val="0"/>
              <w:spacing w:before="0" w:after="0"/>
              <w:jc w:val="right"/>
              <w:rPr>
                <w:rFonts w:asciiTheme="minorHAnsi" w:hAnsiTheme="minorHAnsi"/>
                <w:b/>
              </w:rPr>
            </w:pPr>
            <w:r w:rsidRPr="008771D4">
              <w:rPr>
                <w:rFonts w:asciiTheme="minorHAnsi" w:hAnsiTheme="minorHAnsi"/>
                <w:b/>
              </w:rPr>
              <w:t xml:space="preserve"> $ 3,805,003 </w:t>
            </w:r>
          </w:p>
        </w:tc>
      </w:tr>
      <w:tr w:rsidR="006C3229" w:rsidRPr="00346F91" w14:paraId="20FEE84B" w14:textId="77777777" w:rsidTr="00090CDF">
        <w:trPr>
          <w:trHeight w:val="144"/>
        </w:trPr>
        <w:tc>
          <w:tcPr>
            <w:tcW w:w="3591" w:type="pct"/>
            <w:tcBorders>
              <w:top w:val="nil"/>
              <w:left w:val="nil"/>
              <w:bottom w:val="nil"/>
              <w:right w:val="nil"/>
            </w:tcBorders>
            <w:shd w:val="clear" w:color="000000" w:fill="FFFFFF"/>
            <w:vAlign w:val="center"/>
            <w:hideMark/>
          </w:tcPr>
          <w:p w14:paraId="77D6A9A1" w14:textId="634AA561" w:rsidR="006C3229" w:rsidRPr="008771D4" w:rsidRDefault="006C3229" w:rsidP="0092310C">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sidR="00672780" w:rsidRPr="00672780">
              <w:rPr>
                <w:rFonts w:asciiTheme="minorHAnsi" w:hAnsiTheme="minorHAnsi"/>
                <w:b/>
              </w:rPr>
              <w:t>Base-year</w:t>
            </w:r>
          </w:p>
        </w:tc>
        <w:tc>
          <w:tcPr>
            <w:tcW w:w="1409" w:type="pct"/>
            <w:tcBorders>
              <w:top w:val="nil"/>
              <w:left w:val="nil"/>
              <w:bottom w:val="nil"/>
              <w:right w:val="nil"/>
            </w:tcBorders>
            <w:shd w:val="clear" w:color="000000" w:fill="FFFFFF"/>
            <w:noWrap/>
            <w:vAlign w:val="center"/>
            <w:hideMark/>
          </w:tcPr>
          <w:p w14:paraId="013673A3" w14:textId="77777777" w:rsidR="006C3229" w:rsidRPr="008771D4" w:rsidRDefault="006C3229" w:rsidP="0092310C">
            <w:pPr>
              <w:pStyle w:val="Tabletext"/>
              <w:keepNext w:val="0"/>
              <w:widowControl w:val="0"/>
              <w:spacing w:before="0" w:after="0"/>
              <w:jc w:val="right"/>
              <w:rPr>
                <w:rFonts w:asciiTheme="minorHAnsi" w:hAnsiTheme="minorHAnsi"/>
                <w:b/>
              </w:rPr>
            </w:pPr>
            <w:r w:rsidRPr="008771D4">
              <w:rPr>
                <w:rFonts w:asciiTheme="minorHAnsi" w:hAnsiTheme="minorHAnsi"/>
                <w:b/>
              </w:rPr>
              <w:t xml:space="preserve"> $ 10,865,667 </w:t>
            </w:r>
          </w:p>
        </w:tc>
      </w:tr>
      <w:tr w:rsidR="006C3229" w:rsidRPr="00346F91" w14:paraId="7F28C7F0" w14:textId="77777777" w:rsidTr="00090CDF">
        <w:trPr>
          <w:trHeight w:val="144"/>
        </w:trPr>
        <w:tc>
          <w:tcPr>
            <w:tcW w:w="3591" w:type="pct"/>
            <w:tcBorders>
              <w:top w:val="nil"/>
              <w:left w:val="nil"/>
              <w:bottom w:val="nil"/>
              <w:right w:val="nil"/>
            </w:tcBorders>
            <w:shd w:val="clear" w:color="000000" w:fill="FFFFFF"/>
            <w:vAlign w:val="center"/>
            <w:hideMark/>
          </w:tcPr>
          <w:p w14:paraId="6E2241F0" w14:textId="0238D5EE" w:rsidR="006C3229" w:rsidRPr="008771D4" w:rsidRDefault="00672780" w:rsidP="0092310C">
            <w:pPr>
              <w:pStyle w:val="Tabletext"/>
              <w:keepNext w:val="0"/>
              <w:widowControl w:val="0"/>
              <w:spacing w:before="0" w:after="0"/>
              <w:rPr>
                <w:rFonts w:asciiTheme="minorHAnsi" w:hAnsiTheme="minorHAnsi"/>
              </w:rPr>
            </w:pPr>
            <w:r>
              <w:rPr>
                <w:rFonts w:asciiTheme="minorHAnsi" w:hAnsiTheme="minorHAnsi"/>
              </w:rPr>
              <w:t>Main Study Base-y</w:t>
            </w:r>
            <w:r w:rsidR="006C3229" w:rsidRPr="008771D4">
              <w:rPr>
                <w:rFonts w:asciiTheme="minorHAnsi" w:hAnsiTheme="minorHAnsi"/>
              </w:rPr>
              <w:t>ear – Sampling and Recruitment</w:t>
            </w:r>
          </w:p>
        </w:tc>
        <w:tc>
          <w:tcPr>
            <w:tcW w:w="1409" w:type="pct"/>
            <w:tcBorders>
              <w:top w:val="nil"/>
              <w:left w:val="nil"/>
              <w:bottom w:val="nil"/>
              <w:right w:val="nil"/>
            </w:tcBorders>
            <w:shd w:val="clear" w:color="000000" w:fill="FFFFFF"/>
            <w:noWrap/>
            <w:vAlign w:val="center"/>
            <w:hideMark/>
          </w:tcPr>
          <w:p w14:paraId="33487E79" w14:textId="77777777" w:rsidR="006C3229" w:rsidRPr="008771D4" w:rsidRDefault="006C3229" w:rsidP="0092310C">
            <w:pPr>
              <w:pStyle w:val="Tabletext"/>
              <w:keepNext w:val="0"/>
              <w:widowControl w:val="0"/>
              <w:spacing w:before="0" w:after="0"/>
              <w:jc w:val="right"/>
              <w:rPr>
                <w:rFonts w:asciiTheme="minorHAnsi" w:hAnsiTheme="minorHAnsi"/>
              </w:rPr>
            </w:pPr>
            <w:r w:rsidRPr="008771D4">
              <w:rPr>
                <w:rFonts w:asciiTheme="minorHAnsi" w:hAnsiTheme="minorHAnsi"/>
              </w:rPr>
              <w:t xml:space="preserve"> $ 1,302,292 </w:t>
            </w:r>
          </w:p>
        </w:tc>
      </w:tr>
      <w:tr w:rsidR="006C3229" w:rsidRPr="00346F91" w14:paraId="02F61537" w14:textId="77777777" w:rsidTr="00090CDF">
        <w:trPr>
          <w:trHeight w:val="144"/>
        </w:trPr>
        <w:tc>
          <w:tcPr>
            <w:tcW w:w="3591" w:type="pct"/>
            <w:tcBorders>
              <w:top w:val="nil"/>
              <w:left w:val="nil"/>
              <w:bottom w:val="nil"/>
              <w:right w:val="nil"/>
            </w:tcBorders>
            <w:shd w:val="clear" w:color="000000" w:fill="FFFFFF"/>
            <w:vAlign w:val="center"/>
            <w:hideMark/>
          </w:tcPr>
          <w:p w14:paraId="5A8B362D" w14:textId="10A864E4" w:rsidR="006C3229" w:rsidRPr="008771D4" w:rsidRDefault="006C3229" w:rsidP="0092310C">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sidR="00672780">
              <w:rPr>
                <w:rFonts w:asciiTheme="minorHAnsi" w:hAnsiTheme="minorHAnsi"/>
              </w:rPr>
              <w:t>Base-y</w:t>
            </w:r>
            <w:r w:rsidR="00672780" w:rsidRPr="008771D4">
              <w:rPr>
                <w:rFonts w:asciiTheme="minorHAnsi" w:hAnsiTheme="minorHAnsi"/>
              </w:rPr>
              <w:t xml:space="preserve">ear </w:t>
            </w:r>
            <w:r w:rsidRPr="008771D4">
              <w:rPr>
                <w:rFonts w:asciiTheme="minorHAnsi" w:hAnsiTheme="minorHAnsi"/>
              </w:rPr>
              <w:t>– Other Costs (Data Collection, Reporting)</w:t>
            </w:r>
          </w:p>
        </w:tc>
        <w:tc>
          <w:tcPr>
            <w:tcW w:w="1409" w:type="pct"/>
            <w:tcBorders>
              <w:top w:val="nil"/>
              <w:left w:val="nil"/>
              <w:bottom w:val="nil"/>
              <w:right w:val="nil"/>
            </w:tcBorders>
            <w:shd w:val="clear" w:color="000000" w:fill="FFFFFF"/>
            <w:noWrap/>
            <w:vAlign w:val="center"/>
            <w:hideMark/>
          </w:tcPr>
          <w:p w14:paraId="29AA3D15" w14:textId="77777777" w:rsidR="006C3229" w:rsidRPr="008771D4" w:rsidRDefault="006C3229" w:rsidP="0092310C">
            <w:pPr>
              <w:pStyle w:val="Tabletext"/>
              <w:keepNext w:val="0"/>
              <w:widowControl w:val="0"/>
              <w:spacing w:before="0" w:after="0"/>
              <w:jc w:val="right"/>
              <w:rPr>
                <w:rFonts w:asciiTheme="minorHAnsi" w:hAnsiTheme="minorHAnsi"/>
              </w:rPr>
            </w:pPr>
            <w:r w:rsidRPr="008771D4">
              <w:rPr>
                <w:rFonts w:asciiTheme="minorHAnsi" w:hAnsiTheme="minorHAnsi"/>
              </w:rPr>
              <w:t xml:space="preserve"> $ 9,563,375 </w:t>
            </w:r>
          </w:p>
        </w:tc>
      </w:tr>
      <w:tr w:rsidR="006C3229"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7777777" w:rsidR="006C3229" w:rsidRPr="008771D4" w:rsidRDefault="006C3229" w:rsidP="0092310C">
            <w:pPr>
              <w:pStyle w:val="Tabletext"/>
              <w:keepNext w:val="0"/>
              <w:widowControl w:val="0"/>
              <w:spacing w:before="0" w:after="0"/>
              <w:rPr>
                <w:rFonts w:asciiTheme="minorHAnsi" w:hAnsiTheme="minorHAnsi"/>
                <w:b/>
              </w:rPr>
            </w:pPr>
            <w:r w:rsidRPr="008771D4">
              <w:rPr>
                <w:rFonts w:asciiTheme="minorHAnsi" w:hAnsiTheme="minorHAnsi"/>
                <w:b/>
              </w:rPr>
              <w:t>Operational Field Test First Follow-up Sample Tracking and Recruitment</w:t>
            </w:r>
          </w:p>
        </w:tc>
        <w:tc>
          <w:tcPr>
            <w:tcW w:w="1409" w:type="pct"/>
            <w:tcBorders>
              <w:top w:val="nil"/>
              <w:left w:val="nil"/>
              <w:bottom w:val="nil"/>
              <w:right w:val="nil"/>
            </w:tcBorders>
            <w:shd w:val="clear" w:color="000000" w:fill="FFFFFF"/>
            <w:noWrap/>
            <w:vAlign w:val="center"/>
            <w:hideMark/>
          </w:tcPr>
          <w:p w14:paraId="39D29D32" w14:textId="77777777" w:rsidR="006C3229" w:rsidRPr="008771D4" w:rsidRDefault="006C3229" w:rsidP="0092310C">
            <w:pPr>
              <w:pStyle w:val="Tabletext"/>
              <w:keepNext w:val="0"/>
              <w:widowControl w:val="0"/>
              <w:spacing w:before="0" w:after="0"/>
              <w:jc w:val="right"/>
              <w:rPr>
                <w:rFonts w:asciiTheme="minorHAnsi" w:hAnsiTheme="minorHAnsi"/>
                <w:b/>
              </w:rPr>
            </w:pPr>
            <w:r w:rsidRPr="008771D4">
              <w:rPr>
                <w:rFonts w:asciiTheme="minorHAnsi" w:hAnsiTheme="minorHAnsi"/>
                <w:b/>
              </w:rPr>
              <w:t xml:space="preserve"> $ 316,656 </w:t>
            </w:r>
          </w:p>
        </w:tc>
      </w:tr>
      <w:tr w:rsidR="006C3229"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$ 14,987,326 </w:t>
            </w:r>
          </w:p>
        </w:tc>
      </w:tr>
    </w:tbl>
    <w:p w14:paraId="206AF5F0" w14:textId="6E4F5AD7"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1/5 of cost of management task in Operational Field Test </w:t>
      </w:r>
      <w:r w:rsidR="00672780" w:rsidRPr="00672780">
        <w:rPr>
          <w:rFonts w:ascii="Cambria" w:hAnsi="Cambria"/>
          <w:sz w:val="18"/>
          <w:szCs w:val="18"/>
        </w:rPr>
        <w:t>Base-year</w:t>
      </w:r>
      <w:r w:rsidRPr="008771D4">
        <w:rPr>
          <w:rFonts w:ascii="Cambria" w:hAnsi="Cambria"/>
          <w:sz w:val="18"/>
          <w:szCs w:val="18"/>
        </w:rPr>
        <w:t xml:space="preserve">; and 2/5 of cost of management task in Main Study </w:t>
      </w:r>
      <w:r w:rsidR="00672780" w:rsidRPr="00672780">
        <w:rPr>
          <w:rFonts w:ascii="Cambria" w:hAnsi="Cambria"/>
          <w:sz w:val="18"/>
          <w:szCs w:val="18"/>
        </w:rPr>
        <w:t>Base-year</w:t>
      </w:r>
      <w:r w:rsidRPr="008771D4">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6" w:name="_Toc412022735"/>
      <w:bookmarkStart w:id="37" w:name="_Toc452725187"/>
      <w:r w:rsidRPr="00BA441F">
        <w:rPr>
          <w:rFonts w:ascii="Cambria" w:hAnsi="Cambria"/>
        </w:rPr>
        <w:t>A.15 Program Changes or Adjustments</w:t>
      </w:r>
      <w:bookmarkEnd w:id="36"/>
      <w:bookmarkEnd w:id="37"/>
    </w:p>
    <w:p w14:paraId="733715AA" w14:textId="13F0ACD4" w:rsidR="00B427AD" w:rsidRPr="00BA441F" w:rsidRDefault="00705DC2" w:rsidP="00090CDF">
      <w:pPr>
        <w:spacing w:after="120" w:line="240" w:lineRule="auto"/>
        <w:rPr>
          <w:rFonts w:ascii="Cambria" w:hAnsi="Cambria"/>
        </w:rPr>
      </w:pPr>
      <w:bookmarkStart w:id="38" w:name="_Toc412022736"/>
      <w:r w:rsidRPr="00705DC2">
        <w:rPr>
          <w:rFonts w:ascii="Cambria" w:hAnsi="Cambria"/>
        </w:rPr>
        <w:t xml:space="preserve">The increase in burden from the last approved package is due to the fact that the total burden requested in this submission is a sum of burden estimates for OFT recruitment, OFT data collection, OFT tracking, and Main Study recruitment. The last approved burden was for OFT recruitment and </w:t>
      </w:r>
      <w:r w:rsidR="0033210D">
        <w:rPr>
          <w:rFonts w:ascii="Cambria" w:hAnsi="Cambria"/>
        </w:rPr>
        <w:t xml:space="preserve">the </w:t>
      </w:r>
      <w:r w:rsidRPr="00705DC2">
        <w:rPr>
          <w:rFonts w:ascii="Cambria" w:hAnsi="Cambria"/>
        </w:rPr>
        <w:t>IVFT 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39" w:name="_Toc452725188"/>
      <w:r w:rsidRPr="00BA441F">
        <w:rPr>
          <w:rFonts w:ascii="Cambria" w:hAnsi="Cambria"/>
        </w:rPr>
        <w:t>A.16 Plans for Tabulation and Publication</w:t>
      </w:r>
      <w:bookmarkEnd w:id="38"/>
      <w:bookmarkEnd w:id="39"/>
    </w:p>
    <w:p w14:paraId="77867C45" w14:textId="189FA94E" w:rsidR="00B427AD" w:rsidRPr="00BA441F" w:rsidRDefault="00B427AD" w:rsidP="00090CDF">
      <w:pPr>
        <w:spacing w:after="120" w:line="240" w:lineRule="auto"/>
        <w:rPr>
          <w:rFonts w:ascii="Cambria" w:hAnsi="Cambria"/>
        </w:rPr>
      </w:pPr>
      <w:r w:rsidRPr="00BA441F">
        <w:rPr>
          <w:rFonts w:ascii="Cambria" w:hAnsi="Cambria"/>
        </w:rPr>
        <w:t xml:space="preserve">The results from the OFT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Data File Documentation report</w:t>
      </w:r>
      <w:r w:rsidRPr="00BA441F">
        <w:rPr>
          <w:rFonts w:ascii="Cambria" w:hAnsi="Cambria"/>
        </w:rPr>
        <w:t>.</w:t>
      </w:r>
      <w:r w:rsidR="001946FC" w:rsidRPr="00BA441F">
        <w:rPr>
          <w:rFonts w:ascii="Cambria" w:hAnsi="Cambria"/>
        </w:rPr>
        <w:t xml:space="preserve"> </w:t>
      </w:r>
      <w:r w:rsidR="000A087A">
        <w:rPr>
          <w:rFonts w:ascii="Cambria" w:hAnsi="Cambria"/>
        </w:rPr>
        <w:t xml:space="preserve">The field test report will include an overview of the study, purposes of the IVFT and OFT, sample design and methodologies employed, recruitment and data collection results, and recommendations for the main study. </w:t>
      </w:r>
      <w:r w:rsidR="001946FC" w:rsidRPr="00BA441F">
        <w:rPr>
          <w:rFonts w:ascii="Cambria" w:hAnsi="Cambria"/>
        </w:rPr>
        <w:t xml:space="preserve">A schedule for the OFT, </w:t>
      </w:r>
      <w:r w:rsidR="001220D2" w:rsidRPr="00BA441F">
        <w:rPr>
          <w:rFonts w:ascii="Cambria" w:hAnsi="Cambria"/>
        </w:rPr>
        <w:t>M</w:t>
      </w:r>
      <w:r w:rsidR="001946FC" w:rsidRPr="00BA441F">
        <w:rPr>
          <w:rFonts w:ascii="Cambria" w:hAnsi="Cambria"/>
        </w:rPr>
        <w:t xml:space="preserve">ain </w:t>
      </w:r>
      <w:r w:rsidR="001220D2" w:rsidRPr="00BA441F">
        <w:rPr>
          <w:rFonts w:ascii="Cambria" w:hAnsi="Cambria"/>
        </w:rPr>
        <w:t>S</w:t>
      </w:r>
      <w:r w:rsidR="001946FC" w:rsidRPr="00BA441F">
        <w:rPr>
          <w:rFonts w:ascii="Cambria" w:hAnsi="Cambria"/>
        </w:rPr>
        <w:t xml:space="preserve">tudy, and OFT tracking and recruitment is provided in </w:t>
      </w:r>
      <w:r w:rsidR="004A028E">
        <w:rPr>
          <w:rFonts w:ascii="Cambria" w:hAnsi="Cambria"/>
        </w:rPr>
        <w:t>t</w:t>
      </w:r>
      <w:r w:rsidR="004A028E" w:rsidRPr="00BA441F">
        <w:rPr>
          <w:rFonts w:ascii="Cambria" w:hAnsi="Cambria"/>
        </w:rPr>
        <w:t xml:space="preserve">able </w:t>
      </w:r>
      <w:r w:rsidR="004A028E">
        <w:rPr>
          <w:rFonts w:ascii="Cambria" w:hAnsi="Cambria"/>
        </w:rPr>
        <w:t>7</w:t>
      </w:r>
      <w:r w:rsidR="001946FC" w:rsidRPr="00BA441F">
        <w:rPr>
          <w:rFonts w:ascii="Cambria" w:hAnsi="Cambria"/>
        </w:rPr>
        <w:t>.</w:t>
      </w:r>
    </w:p>
    <w:p w14:paraId="7D5A58DA" w14:textId="402EDE51"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4A028E">
        <w:rPr>
          <w:rFonts w:ascii="Cambria" w:hAnsi="Cambria"/>
          <w:b/>
        </w:rPr>
        <w:t>7</w:t>
      </w:r>
      <w:r w:rsidRPr="00BB257F">
        <w:rPr>
          <w:rFonts w:ascii="Cambria" w:hAnsi="Cambria"/>
          <w:b/>
        </w:rPr>
        <w:t>. Schedule for OFT</w:t>
      </w:r>
      <w:r w:rsidR="00A03F39" w:rsidRPr="00BB257F">
        <w:rPr>
          <w:rFonts w:ascii="Cambria" w:hAnsi="Cambria"/>
          <w:b/>
        </w:rPr>
        <w:t xml:space="preserve">, </w:t>
      </w:r>
      <w:r w:rsidR="00167D7F" w:rsidRPr="00BB257F">
        <w:rPr>
          <w:rFonts w:ascii="Cambria" w:hAnsi="Cambria"/>
          <w:b/>
        </w:rPr>
        <w:t>M</w:t>
      </w:r>
      <w:r w:rsidR="00A03F39" w:rsidRPr="00BB257F">
        <w:rPr>
          <w:rFonts w:ascii="Cambria" w:hAnsi="Cambria"/>
          <w:b/>
        </w:rPr>
        <w:t xml:space="preserve">ain </w:t>
      </w:r>
      <w:r w:rsidR="00167D7F" w:rsidRPr="00BB257F">
        <w:rPr>
          <w:rFonts w:ascii="Cambria" w:hAnsi="Cambria"/>
          <w:b/>
        </w:rPr>
        <w:t>S</w:t>
      </w:r>
      <w:r w:rsidR="00A03F39" w:rsidRPr="00BB257F">
        <w:rPr>
          <w:rFonts w:ascii="Cambria" w:hAnsi="Cambria"/>
          <w:b/>
        </w:rPr>
        <w:t>tudy, and OFT Tracking</w:t>
      </w:r>
    </w:p>
    <w:tbl>
      <w:tblPr>
        <w:tblStyle w:val="TableGrid"/>
        <w:tblW w:w="5000" w:type="pct"/>
        <w:tblLook w:val="04A0" w:firstRow="1" w:lastRow="0" w:firstColumn="1" w:lastColumn="0" w:noHBand="0" w:noVBand="1"/>
      </w:tblPr>
      <w:tblGrid>
        <w:gridCol w:w="5868"/>
        <w:gridCol w:w="2431"/>
        <w:gridCol w:w="2429"/>
      </w:tblGrid>
      <w:tr w:rsidR="00B427AD" w:rsidRPr="00E51837" w14:paraId="2D2196A2" w14:textId="77777777" w:rsidTr="00705DC2">
        <w:tc>
          <w:tcPr>
            <w:tcW w:w="2735"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113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1132"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705DC2">
        <w:tc>
          <w:tcPr>
            <w:tcW w:w="2735" w:type="pct"/>
            <w:vAlign w:val="center"/>
          </w:tcPr>
          <w:p w14:paraId="7C9C8416"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schools and districts</w:t>
            </w:r>
            <w:r w:rsidR="001946FC" w:rsidRPr="00E51837">
              <w:rPr>
                <w:rFonts w:asciiTheme="minorHAnsi" w:hAnsiTheme="minorHAnsi"/>
                <w:sz w:val="20"/>
                <w:szCs w:val="20"/>
              </w:rPr>
              <w:t xml:space="preserve"> for OFT</w:t>
            </w:r>
          </w:p>
        </w:tc>
        <w:tc>
          <w:tcPr>
            <w:tcW w:w="113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1132"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705DC2">
        <w:tc>
          <w:tcPr>
            <w:tcW w:w="2735" w:type="pct"/>
            <w:vAlign w:val="center"/>
          </w:tcPr>
          <w:p w14:paraId="63E6D619"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students and parents through requesting parent consent from parents</w:t>
            </w:r>
            <w:r w:rsidR="001946FC" w:rsidRPr="00E51837">
              <w:rPr>
                <w:rFonts w:asciiTheme="minorHAnsi" w:hAnsiTheme="minorHAnsi"/>
                <w:sz w:val="20"/>
                <w:szCs w:val="20"/>
              </w:rPr>
              <w:t xml:space="preserve"> for OFT</w:t>
            </w:r>
          </w:p>
        </w:tc>
        <w:tc>
          <w:tcPr>
            <w:tcW w:w="113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705DC2">
        <w:tc>
          <w:tcPr>
            <w:tcW w:w="2735" w:type="pct"/>
            <w:vAlign w:val="center"/>
          </w:tcPr>
          <w:p w14:paraId="3F3AFFD1"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OFT Data Collection</w:t>
            </w:r>
          </w:p>
        </w:tc>
        <w:tc>
          <w:tcPr>
            <w:tcW w:w="113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705DC2">
        <w:tc>
          <w:tcPr>
            <w:tcW w:w="2735" w:type="pct"/>
            <w:vAlign w:val="center"/>
          </w:tcPr>
          <w:p w14:paraId="609645D0"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Field Test Report</w:t>
            </w:r>
          </w:p>
        </w:tc>
        <w:tc>
          <w:tcPr>
            <w:tcW w:w="1133" w:type="pct"/>
            <w:vAlign w:val="center"/>
          </w:tcPr>
          <w:p w14:paraId="0001314E"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June 2017</w:t>
            </w:r>
          </w:p>
        </w:tc>
        <w:tc>
          <w:tcPr>
            <w:tcW w:w="1132"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705DC2">
        <w:tc>
          <w:tcPr>
            <w:tcW w:w="2735" w:type="pct"/>
            <w:vAlign w:val="center"/>
          </w:tcPr>
          <w:p w14:paraId="1A9CAA45" w14:textId="4C0EE03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schools and districts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73CD757"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705DC2">
        <w:tc>
          <w:tcPr>
            <w:tcW w:w="2735" w:type="pct"/>
            <w:vAlign w:val="center"/>
          </w:tcPr>
          <w:p w14:paraId="2E18EBF3" w14:textId="6D94312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students and parents through requesting parent consent from parents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1132"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705DC2">
        <w:tc>
          <w:tcPr>
            <w:tcW w:w="2735" w:type="pct"/>
            <w:vAlign w:val="center"/>
          </w:tcPr>
          <w:p w14:paraId="103F8E28" w14:textId="77777777"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Main Study Data Collection</w:t>
            </w:r>
          </w:p>
        </w:tc>
        <w:tc>
          <w:tcPr>
            <w:tcW w:w="113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1132" w:type="pct"/>
            <w:vAlign w:val="center"/>
          </w:tcPr>
          <w:p w14:paraId="588454F0" w14:textId="05D6B321"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w:t>
            </w:r>
            <w:r w:rsidR="00E55633">
              <w:rPr>
                <w:rFonts w:asciiTheme="minorHAnsi" w:hAnsiTheme="minorHAnsi"/>
                <w:sz w:val="20"/>
                <w:szCs w:val="20"/>
              </w:rPr>
              <w:t>ly</w:t>
            </w:r>
            <w:r w:rsidRPr="00E51837">
              <w:rPr>
                <w:rFonts w:asciiTheme="minorHAnsi" w:hAnsiTheme="minorHAnsi"/>
                <w:sz w:val="20"/>
                <w:szCs w:val="20"/>
              </w:rPr>
              <w:t xml:space="preserve"> 2018</w:t>
            </w:r>
          </w:p>
        </w:tc>
      </w:tr>
      <w:tr w:rsidR="001946FC" w:rsidRPr="00E51837" w14:paraId="74ECDCA9" w14:textId="77777777" w:rsidTr="00705DC2">
        <w:tc>
          <w:tcPr>
            <w:tcW w:w="2735" w:type="pct"/>
            <w:vAlign w:val="center"/>
          </w:tcPr>
          <w:p w14:paraId="1B885EE3" w14:textId="604E5747" w:rsidR="001946FC" w:rsidRPr="00E51837" w:rsidRDefault="00A03F39"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Tracking and </w:t>
            </w:r>
            <w:r w:rsidR="00BC11B1">
              <w:rPr>
                <w:rFonts w:asciiTheme="minorHAnsi" w:hAnsiTheme="minorHAnsi"/>
                <w:sz w:val="20"/>
                <w:szCs w:val="20"/>
              </w:rPr>
              <w:t>r</w:t>
            </w:r>
            <w:r w:rsidRPr="00E51837">
              <w:rPr>
                <w:rFonts w:asciiTheme="minorHAnsi" w:hAnsiTheme="minorHAnsi"/>
                <w:sz w:val="20"/>
                <w:szCs w:val="20"/>
              </w:rPr>
              <w:t>ecruitment for OFT follow-up</w:t>
            </w:r>
          </w:p>
        </w:tc>
        <w:tc>
          <w:tcPr>
            <w:tcW w:w="113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1132"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r w:rsidR="00B66FDC" w:rsidRPr="00E51837" w14:paraId="3A1F2F75" w14:textId="77777777" w:rsidTr="00705DC2">
        <w:tc>
          <w:tcPr>
            <w:tcW w:w="2735" w:type="pct"/>
            <w:vAlign w:val="center"/>
          </w:tcPr>
          <w:p w14:paraId="3523C20A" w14:textId="21BE77CE" w:rsidR="00B66FDC" w:rsidRPr="00E51837" w:rsidRDefault="00B66FDC" w:rsidP="00090CDF">
            <w:pPr>
              <w:spacing w:after="0" w:line="240" w:lineRule="auto"/>
              <w:ind w:left="360" w:hanging="360"/>
              <w:rPr>
                <w:rFonts w:asciiTheme="minorHAnsi" w:hAnsiTheme="minorHAnsi"/>
                <w:sz w:val="20"/>
                <w:szCs w:val="20"/>
              </w:rPr>
            </w:pPr>
            <w:r>
              <w:rPr>
                <w:rFonts w:asciiTheme="minorHAnsi" w:hAnsiTheme="minorHAnsi"/>
                <w:sz w:val="20"/>
                <w:szCs w:val="20"/>
              </w:rPr>
              <w:t>OFT Follow-Up Data Collection</w:t>
            </w:r>
          </w:p>
        </w:tc>
        <w:tc>
          <w:tcPr>
            <w:tcW w:w="1133" w:type="pct"/>
            <w:vAlign w:val="center"/>
          </w:tcPr>
          <w:p w14:paraId="37D7B859" w14:textId="46CA91C5"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1132" w:type="pct"/>
            <w:vAlign w:val="center"/>
          </w:tcPr>
          <w:p w14:paraId="69C80971" w14:textId="15869B94"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May 2018</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090CDF">
      <w:pPr>
        <w:pStyle w:val="Heading2"/>
        <w:keepNext w:val="0"/>
        <w:keepLines w:val="0"/>
        <w:spacing w:before="0" w:after="120" w:line="240" w:lineRule="auto"/>
        <w:rPr>
          <w:rFonts w:ascii="Cambria" w:hAnsi="Cambria"/>
        </w:rPr>
      </w:pPr>
      <w:bookmarkStart w:id="40" w:name="_Toc412022737"/>
      <w:bookmarkStart w:id="41" w:name="_Toc452725189"/>
      <w:r w:rsidRPr="00BA441F">
        <w:rPr>
          <w:rFonts w:ascii="Cambria" w:hAnsi="Cambria"/>
        </w:rPr>
        <w:t>A.17 Display OMB Expiration Date</w:t>
      </w:r>
      <w:bookmarkEnd w:id="40"/>
      <w:bookmarkEnd w:id="41"/>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2" w:name="_Toc412022738"/>
      <w:bookmarkStart w:id="43" w:name="_Toc452725190"/>
      <w:r w:rsidRPr="00BA441F">
        <w:rPr>
          <w:rFonts w:ascii="Cambria" w:hAnsi="Cambria"/>
        </w:rPr>
        <w:t>A.18 Exceptions to Certification Statement</w:t>
      </w:r>
      <w:bookmarkEnd w:id="42"/>
      <w:bookmarkEnd w:id="43"/>
    </w:p>
    <w:p w14:paraId="15E279FA" w14:textId="77777777" w:rsidR="00D54461" w:rsidRPr="00BA441F"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sectPr w:rsidR="00D54461" w:rsidRPr="00BA441F" w:rsidSect="00066665">
      <w:pgSz w:w="12240" w:h="15840" w:code="1"/>
      <w:pgMar w:top="864" w:right="864" w:bottom="79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2B09E" w14:textId="77777777" w:rsidR="00450E56" w:rsidRDefault="00450E56" w:rsidP="00B427AD">
      <w:pPr>
        <w:spacing w:after="0" w:line="240" w:lineRule="auto"/>
      </w:pPr>
      <w:r>
        <w:separator/>
      </w:r>
    </w:p>
  </w:endnote>
  <w:endnote w:type="continuationSeparator" w:id="0">
    <w:p w14:paraId="45D74BD8" w14:textId="77777777" w:rsidR="00450E56" w:rsidRDefault="00450E56"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42DD11BC" w:rsidR="002B1DFD" w:rsidRDefault="002B1DFD" w:rsidP="00610FBB">
        <w:pPr>
          <w:pStyle w:val="Footer"/>
          <w:jc w:val="center"/>
        </w:pPr>
        <w:r>
          <w:fldChar w:fldCharType="begin"/>
        </w:r>
        <w:r>
          <w:instrText xml:space="preserve"> PAGE   \* MERGEFORMAT </w:instrText>
        </w:r>
        <w:r>
          <w:fldChar w:fldCharType="separate"/>
        </w:r>
        <w:r w:rsidR="00DA778C">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2B1DFD" w:rsidRDefault="002B1DFD">
    <w:pPr>
      <w:pStyle w:val="Footer"/>
      <w:jc w:val="center"/>
    </w:pPr>
  </w:p>
  <w:p w14:paraId="37BAB0EE" w14:textId="77777777" w:rsidR="002B1DFD" w:rsidRDefault="002B1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BA62C" w14:textId="77777777" w:rsidR="00450E56" w:rsidRDefault="00450E56" w:rsidP="00B427AD">
      <w:pPr>
        <w:spacing w:after="0" w:line="240" w:lineRule="auto"/>
      </w:pPr>
      <w:r>
        <w:separator/>
      </w:r>
    </w:p>
  </w:footnote>
  <w:footnote w:type="continuationSeparator" w:id="0">
    <w:p w14:paraId="49BCBD7C" w14:textId="77777777" w:rsidR="00450E56" w:rsidRDefault="00450E56" w:rsidP="00B427AD">
      <w:pPr>
        <w:spacing w:after="0" w:line="240" w:lineRule="auto"/>
      </w:pPr>
      <w:r>
        <w:continuationSeparator/>
      </w:r>
    </w:p>
  </w:footnote>
  <w:footnote w:id="1">
    <w:p w14:paraId="12541A7B" w14:textId="77777777" w:rsidR="002B1DFD" w:rsidRPr="0060072D" w:rsidRDefault="002B1DFD"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2">
    <w:p w14:paraId="3F888D7E" w14:textId="77777777" w:rsidR="002B1DFD" w:rsidRPr="0060072D" w:rsidRDefault="002B1DFD"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3">
    <w:p w14:paraId="74A8E613" w14:textId="77777777" w:rsidR="002B1DFD" w:rsidRDefault="002B1DFD"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4">
    <w:p w14:paraId="393D4DE2" w14:textId="77777777" w:rsidR="002B1DFD" w:rsidRPr="0082173E" w:rsidRDefault="002B1DFD" w:rsidP="005C2A08">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4"/>
  </w:num>
  <w:num w:numId="3">
    <w:abstractNumId w:val="0"/>
  </w:num>
  <w:num w:numId="4">
    <w:abstractNumId w:val="16"/>
  </w:num>
  <w:num w:numId="5">
    <w:abstractNumId w:val="21"/>
  </w:num>
  <w:num w:numId="6">
    <w:abstractNumId w:val="27"/>
  </w:num>
  <w:num w:numId="7">
    <w:abstractNumId w:val="6"/>
  </w:num>
  <w:num w:numId="8">
    <w:abstractNumId w:val="15"/>
  </w:num>
  <w:num w:numId="9">
    <w:abstractNumId w:val="18"/>
  </w:num>
  <w:num w:numId="10">
    <w:abstractNumId w:val="2"/>
  </w:num>
  <w:num w:numId="11">
    <w:abstractNumId w:val="23"/>
  </w:num>
  <w:num w:numId="12">
    <w:abstractNumId w:val="25"/>
  </w:num>
  <w:num w:numId="13">
    <w:abstractNumId w:val="7"/>
  </w:num>
  <w:num w:numId="14">
    <w:abstractNumId w:val="5"/>
  </w:num>
  <w:num w:numId="15">
    <w:abstractNumId w:val="26"/>
  </w:num>
  <w:num w:numId="16">
    <w:abstractNumId w:val="12"/>
  </w:num>
  <w:num w:numId="17">
    <w:abstractNumId w:val="1"/>
  </w:num>
  <w:num w:numId="18">
    <w:abstractNumId w:val="2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8"/>
  </w:num>
  <w:num w:numId="23">
    <w:abstractNumId w:val="3"/>
  </w:num>
  <w:num w:numId="24">
    <w:abstractNumId w:val="14"/>
  </w:num>
  <w:num w:numId="25">
    <w:abstractNumId w:val="20"/>
  </w:num>
  <w:num w:numId="26">
    <w:abstractNumId w:val="13"/>
  </w:num>
  <w:num w:numId="27">
    <w:abstractNumId w:val="11"/>
  </w:num>
  <w:num w:numId="28">
    <w:abstractNumId w:val="9"/>
  </w:num>
  <w:num w:numId="29">
    <w:abstractNumId w:val="28"/>
  </w:num>
  <w:num w:numId="30">
    <w:abstractNumId w:val="10"/>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31D3"/>
    <w:rsid w:val="000151E9"/>
    <w:rsid w:val="00016F4B"/>
    <w:rsid w:val="0001752B"/>
    <w:rsid w:val="00020E82"/>
    <w:rsid w:val="000215E9"/>
    <w:rsid w:val="00023878"/>
    <w:rsid w:val="000261B7"/>
    <w:rsid w:val="000268A0"/>
    <w:rsid w:val="00032DD3"/>
    <w:rsid w:val="000401B9"/>
    <w:rsid w:val="00041F5E"/>
    <w:rsid w:val="00045631"/>
    <w:rsid w:val="00047726"/>
    <w:rsid w:val="00050839"/>
    <w:rsid w:val="00050FA9"/>
    <w:rsid w:val="00051F7A"/>
    <w:rsid w:val="00053232"/>
    <w:rsid w:val="00053C23"/>
    <w:rsid w:val="000623A5"/>
    <w:rsid w:val="00066665"/>
    <w:rsid w:val="00067A1B"/>
    <w:rsid w:val="00071F8C"/>
    <w:rsid w:val="0007427A"/>
    <w:rsid w:val="00074B2D"/>
    <w:rsid w:val="0007738A"/>
    <w:rsid w:val="00082576"/>
    <w:rsid w:val="00083D72"/>
    <w:rsid w:val="00086FFB"/>
    <w:rsid w:val="00090CDF"/>
    <w:rsid w:val="0009194F"/>
    <w:rsid w:val="00093769"/>
    <w:rsid w:val="00096C98"/>
    <w:rsid w:val="000A087A"/>
    <w:rsid w:val="000A26AC"/>
    <w:rsid w:val="000A330C"/>
    <w:rsid w:val="000A60FF"/>
    <w:rsid w:val="000B0C53"/>
    <w:rsid w:val="000B3C9F"/>
    <w:rsid w:val="000B5B9E"/>
    <w:rsid w:val="000C4A14"/>
    <w:rsid w:val="000C7ED3"/>
    <w:rsid w:val="000D103F"/>
    <w:rsid w:val="000D1675"/>
    <w:rsid w:val="000D2991"/>
    <w:rsid w:val="000D606E"/>
    <w:rsid w:val="000E28BD"/>
    <w:rsid w:val="000E2DC9"/>
    <w:rsid w:val="000F3DF8"/>
    <w:rsid w:val="000F3EBD"/>
    <w:rsid w:val="000F598A"/>
    <w:rsid w:val="000F72F3"/>
    <w:rsid w:val="00115126"/>
    <w:rsid w:val="00116683"/>
    <w:rsid w:val="00117877"/>
    <w:rsid w:val="001220D2"/>
    <w:rsid w:val="00125B8E"/>
    <w:rsid w:val="00130645"/>
    <w:rsid w:val="0013203F"/>
    <w:rsid w:val="00137E94"/>
    <w:rsid w:val="00142FEB"/>
    <w:rsid w:val="001430D6"/>
    <w:rsid w:val="0014491D"/>
    <w:rsid w:val="001525BD"/>
    <w:rsid w:val="00154382"/>
    <w:rsid w:val="00154CC2"/>
    <w:rsid w:val="00156AA5"/>
    <w:rsid w:val="001572DA"/>
    <w:rsid w:val="0016048F"/>
    <w:rsid w:val="001620BB"/>
    <w:rsid w:val="00163B06"/>
    <w:rsid w:val="0016461E"/>
    <w:rsid w:val="00165345"/>
    <w:rsid w:val="00166D34"/>
    <w:rsid w:val="00167D7F"/>
    <w:rsid w:val="0017025C"/>
    <w:rsid w:val="00180B3D"/>
    <w:rsid w:val="00185B31"/>
    <w:rsid w:val="00193FD5"/>
    <w:rsid w:val="001946FC"/>
    <w:rsid w:val="0019524D"/>
    <w:rsid w:val="00197A9F"/>
    <w:rsid w:val="001A15A7"/>
    <w:rsid w:val="001A3463"/>
    <w:rsid w:val="001A3A96"/>
    <w:rsid w:val="001B3CEB"/>
    <w:rsid w:val="001B72A5"/>
    <w:rsid w:val="001C2669"/>
    <w:rsid w:val="001C4226"/>
    <w:rsid w:val="001C7775"/>
    <w:rsid w:val="001D003E"/>
    <w:rsid w:val="001D5B6F"/>
    <w:rsid w:val="001D6612"/>
    <w:rsid w:val="001D6BBE"/>
    <w:rsid w:val="001E1D6A"/>
    <w:rsid w:val="001E24C2"/>
    <w:rsid w:val="001E2F6A"/>
    <w:rsid w:val="001E5407"/>
    <w:rsid w:val="001E58DC"/>
    <w:rsid w:val="001F1AAE"/>
    <w:rsid w:val="001F303C"/>
    <w:rsid w:val="001F4AF7"/>
    <w:rsid w:val="001F55C7"/>
    <w:rsid w:val="00200978"/>
    <w:rsid w:val="0020316B"/>
    <w:rsid w:val="002038B4"/>
    <w:rsid w:val="00206559"/>
    <w:rsid w:val="00206902"/>
    <w:rsid w:val="00206D94"/>
    <w:rsid w:val="00207385"/>
    <w:rsid w:val="0021074B"/>
    <w:rsid w:val="00210F2A"/>
    <w:rsid w:val="0021128A"/>
    <w:rsid w:val="00214081"/>
    <w:rsid w:val="00223389"/>
    <w:rsid w:val="002256F2"/>
    <w:rsid w:val="0023037F"/>
    <w:rsid w:val="00231E04"/>
    <w:rsid w:val="002429C1"/>
    <w:rsid w:val="002453D2"/>
    <w:rsid w:val="00253BDA"/>
    <w:rsid w:val="00253E19"/>
    <w:rsid w:val="002568C5"/>
    <w:rsid w:val="00261B54"/>
    <w:rsid w:val="00273C6F"/>
    <w:rsid w:val="0028112E"/>
    <w:rsid w:val="002850CD"/>
    <w:rsid w:val="00286C1B"/>
    <w:rsid w:val="00286D39"/>
    <w:rsid w:val="00291A2F"/>
    <w:rsid w:val="00291C19"/>
    <w:rsid w:val="002A1C3E"/>
    <w:rsid w:val="002A2D1A"/>
    <w:rsid w:val="002A3551"/>
    <w:rsid w:val="002B0748"/>
    <w:rsid w:val="002B1DFD"/>
    <w:rsid w:val="002B1F3F"/>
    <w:rsid w:val="002B7CEB"/>
    <w:rsid w:val="002C7467"/>
    <w:rsid w:val="002D19FA"/>
    <w:rsid w:val="002D624D"/>
    <w:rsid w:val="002E09E2"/>
    <w:rsid w:val="002E560B"/>
    <w:rsid w:val="002E6E9E"/>
    <w:rsid w:val="002E70AB"/>
    <w:rsid w:val="002F4A84"/>
    <w:rsid w:val="002F678A"/>
    <w:rsid w:val="003058ED"/>
    <w:rsid w:val="00305E37"/>
    <w:rsid w:val="003060A2"/>
    <w:rsid w:val="00311872"/>
    <w:rsid w:val="00316AB0"/>
    <w:rsid w:val="00320345"/>
    <w:rsid w:val="0032174E"/>
    <w:rsid w:val="00321915"/>
    <w:rsid w:val="00322939"/>
    <w:rsid w:val="0032413C"/>
    <w:rsid w:val="00325D65"/>
    <w:rsid w:val="0033011D"/>
    <w:rsid w:val="0033210D"/>
    <w:rsid w:val="003354B2"/>
    <w:rsid w:val="00336309"/>
    <w:rsid w:val="003409A4"/>
    <w:rsid w:val="003425A7"/>
    <w:rsid w:val="00344C2A"/>
    <w:rsid w:val="00355370"/>
    <w:rsid w:val="003625D4"/>
    <w:rsid w:val="0036756A"/>
    <w:rsid w:val="003728E6"/>
    <w:rsid w:val="00373387"/>
    <w:rsid w:val="00374E00"/>
    <w:rsid w:val="0038065B"/>
    <w:rsid w:val="00380A1F"/>
    <w:rsid w:val="00384364"/>
    <w:rsid w:val="0038471F"/>
    <w:rsid w:val="00384BC4"/>
    <w:rsid w:val="00393E7F"/>
    <w:rsid w:val="003A1B66"/>
    <w:rsid w:val="003A34ED"/>
    <w:rsid w:val="003A4250"/>
    <w:rsid w:val="003A5BEB"/>
    <w:rsid w:val="003B2F16"/>
    <w:rsid w:val="003B644B"/>
    <w:rsid w:val="003C2CE7"/>
    <w:rsid w:val="003C67DC"/>
    <w:rsid w:val="003D2A7A"/>
    <w:rsid w:val="003D338D"/>
    <w:rsid w:val="003D39E4"/>
    <w:rsid w:val="003D4BA4"/>
    <w:rsid w:val="003D59C4"/>
    <w:rsid w:val="003E27DE"/>
    <w:rsid w:val="003F3457"/>
    <w:rsid w:val="00402D9E"/>
    <w:rsid w:val="004056F7"/>
    <w:rsid w:val="00410A8F"/>
    <w:rsid w:val="00410F5E"/>
    <w:rsid w:val="00414001"/>
    <w:rsid w:val="00416AFA"/>
    <w:rsid w:val="00422F24"/>
    <w:rsid w:val="00433E06"/>
    <w:rsid w:val="00442197"/>
    <w:rsid w:val="00443066"/>
    <w:rsid w:val="004443E2"/>
    <w:rsid w:val="00445928"/>
    <w:rsid w:val="0045024B"/>
    <w:rsid w:val="0045091A"/>
    <w:rsid w:val="00450E56"/>
    <w:rsid w:val="00463F12"/>
    <w:rsid w:val="00471396"/>
    <w:rsid w:val="00474C2D"/>
    <w:rsid w:val="0047513F"/>
    <w:rsid w:val="00475911"/>
    <w:rsid w:val="00475D87"/>
    <w:rsid w:val="004774FD"/>
    <w:rsid w:val="00480683"/>
    <w:rsid w:val="00484B4C"/>
    <w:rsid w:val="00493F14"/>
    <w:rsid w:val="0049525E"/>
    <w:rsid w:val="0049727F"/>
    <w:rsid w:val="0049745D"/>
    <w:rsid w:val="004A028E"/>
    <w:rsid w:val="004A1C58"/>
    <w:rsid w:val="004A37C3"/>
    <w:rsid w:val="004B2907"/>
    <w:rsid w:val="004B2A00"/>
    <w:rsid w:val="004B36DA"/>
    <w:rsid w:val="004C3B4D"/>
    <w:rsid w:val="004C4610"/>
    <w:rsid w:val="004C6CFD"/>
    <w:rsid w:val="004D16D0"/>
    <w:rsid w:val="004D2CAD"/>
    <w:rsid w:val="004D4991"/>
    <w:rsid w:val="004D530E"/>
    <w:rsid w:val="004E0AD1"/>
    <w:rsid w:val="004E1A49"/>
    <w:rsid w:val="004E6157"/>
    <w:rsid w:val="004E75F9"/>
    <w:rsid w:val="0050150F"/>
    <w:rsid w:val="00505F4F"/>
    <w:rsid w:val="00507FC3"/>
    <w:rsid w:val="00511179"/>
    <w:rsid w:val="00517950"/>
    <w:rsid w:val="00520B11"/>
    <w:rsid w:val="00522DF5"/>
    <w:rsid w:val="00523356"/>
    <w:rsid w:val="00523D49"/>
    <w:rsid w:val="005241A8"/>
    <w:rsid w:val="00532610"/>
    <w:rsid w:val="005339E5"/>
    <w:rsid w:val="005368F9"/>
    <w:rsid w:val="00537B43"/>
    <w:rsid w:val="0054213D"/>
    <w:rsid w:val="00542908"/>
    <w:rsid w:val="00543B33"/>
    <w:rsid w:val="0055283A"/>
    <w:rsid w:val="00561F12"/>
    <w:rsid w:val="005623C1"/>
    <w:rsid w:val="005630B5"/>
    <w:rsid w:val="00564DAF"/>
    <w:rsid w:val="00564FFF"/>
    <w:rsid w:val="00567D94"/>
    <w:rsid w:val="00570412"/>
    <w:rsid w:val="005732EE"/>
    <w:rsid w:val="00581DCE"/>
    <w:rsid w:val="00582B35"/>
    <w:rsid w:val="00587047"/>
    <w:rsid w:val="00591138"/>
    <w:rsid w:val="00592CA6"/>
    <w:rsid w:val="005934F3"/>
    <w:rsid w:val="00597447"/>
    <w:rsid w:val="005A67D5"/>
    <w:rsid w:val="005B339C"/>
    <w:rsid w:val="005B3D95"/>
    <w:rsid w:val="005C0245"/>
    <w:rsid w:val="005C14B2"/>
    <w:rsid w:val="005C2A08"/>
    <w:rsid w:val="005C7853"/>
    <w:rsid w:val="005D0097"/>
    <w:rsid w:val="005D070F"/>
    <w:rsid w:val="005D1B80"/>
    <w:rsid w:val="005D39E6"/>
    <w:rsid w:val="005D443D"/>
    <w:rsid w:val="005D7D8B"/>
    <w:rsid w:val="005E3AF7"/>
    <w:rsid w:val="005E4841"/>
    <w:rsid w:val="005F38E7"/>
    <w:rsid w:val="005F3D09"/>
    <w:rsid w:val="005F581D"/>
    <w:rsid w:val="005F7141"/>
    <w:rsid w:val="00603029"/>
    <w:rsid w:val="00606972"/>
    <w:rsid w:val="00610FBB"/>
    <w:rsid w:val="0061127D"/>
    <w:rsid w:val="00611E8E"/>
    <w:rsid w:val="006122E5"/>
    <w:rsid w:val="00613A0F"/>
    <w:rsid w:val="006163B3"/>
    <w:rsid w:val="006164CB"/>
    <w:rsid w:val="00616BFD"/>
    <w:rsid w:val="00617F2B"/>
    <w:rsid w:val="0062072C"/>
    <w:rsid w:val="0062144C"/>
    <w:rsid w:val="00621B4D"/>
    <w:rsid w:val="00626644"/>
    <w:rsid w:val="00627FDF"/>
    <w:rsid w:val="006314C4"/>
    <w:rsid w:val="0064394B"/>
    <w:rsid w:val="00651C99"/>
    <w:rsid w:val="00652209"/>
    <w:rsid w:val="006538F3"/>
    <w:rsid w:val="00654B32"/>
    <w:rsid w:val="00655DB0"/>
    <w:rsid w:val="00670C8E"/>
    <w:rsid w:val="0067229A"/>
    <w:rsid w:val="00672780"/>
    <w:rsid w:val="00674C5D"/>
    <w:rsid w:val="0067547F"/>
    <w:rsid w:val="00676921"/>
    <w:rsid w:val="00676D91"/>
    <w:rsid w:val="0068059E"/>
    <w:rsid w:val="00681E95"/>
    <w:rsid w:val="00684438"/>
    <w:rsid w:val="006859AB"/>
    <w:rsid w:val="006966EA"/>
    <w:rsid w:val="006A081D"/>
    <w:rsid w:val="006A3225"/>
    <w:rsid w:val="006A3CD5"/>
    <w:rsid w:val="006B0597"/>
    <w:rsid w:val="006B1A77"/>
    <w:rsid w:val="006B2DC0"/>
    <w:rsid w:val="006B3C57"/>
    <w:rsid w:val="006C3229"/>
    <w:rsid w:val="006D04B4"/>
    <w:rsid w:val="006D7C58"/>
    <w:rsid w:val="006E12D7"/>
    <w:rsid w:val="006E1D7C"/>
    <w:rsid w:val="006E672A"/>
    <w:rsid w:val="006E6852"/>
    <w:rsid w:val="006E7AF0"/>
    <w:rsid w:val="006E7B74"/>
    <w:rsid w:val="006F56F6"/>
    <w:rsid w:val="006F7D5A"/>
    <w:rsid w:val="00702C79"/>
    <w:rsid w:val="00705DC2"/>
    <w:rsid w:val="00706316"/>
    <w:rsid w:val="0072244D"/>
    <w:rsid w:val="00726E89"/>
    <w:rsid w:val="007314D5"/>
    <w:rsid w:val="00735BE4"/>
    <w:rsid w:val="0074177F"/>
    <w:rsid w:val="00741CFE"/>
    <w:rsid w:val="00743262"/>
    <w:rsid w:val="00743EA1"/>
    <w:rsid w:val="00747345"/>
    <w:rsid w:val="007504B3"/>
    <w:rsid w:val="007505DC"/>
    <w:rsid w:val="00751F3E"/>
    <w:rsid w:val="00752438"/>
    <w:rsid w:val="0075396D"/>
    <w:rsid w:val="00754684"/>
    <w:rsid w:val="0075538C"/>
    <w:rsid w:val="00756C1A"/>
    <w:rsid w:val="00757402"/>
    <w:rsid w:val="00764180"/>
    <w:rsid w:val="0076665E"/>
    <w:rsid w:val="0077115B"/>
    <w:rsid w:val="007724E1"/>
    <w:rsid w:val="0077377D"/>
    <w:rsid w:val="0077456B"/>
    <w:rsid w:val="00775691"/>
    <w:rsid w:val="00775DA2"/>
    <w:rsid w:val="007805B9"/>
    <w:rsid w:val="007840FC"/>
    <w:rsid w:val="0078426C"/>
    <w:rsid w:val="00784930"/>
    <w:rsid w:val="00786D58"/>
    <w:rsid w:val="00791DBC"/>
    <w:rsid w:val="00796751"/>
    <w:rsid w:val="007A246E"/>
    <w:rsid w:val="007B1EFD"/>
    <w:rsid w:val="007B2988"/>
    <w:rsid w:val="007B304E"/>
    <w:rsid w:val="007B5B39"/>
    <w:rsid w:val="007B63B4"/>
    <w:rsid w:val="007B6626"/>
    <w:rsid w:val="007D18A5"/>
    <w:rsid w:val="007D2CDC"/>
    <w:rsid w:val="007D3196"/>
    <w:rsid w:val="007D5D5A"/>
    <w:rsid w:val="007E143A"/>
    <w:rsid w:val="007E30D6"/>
    <w:rsid w:val="007E3274"/>
    <w:rsid w:val="007E370C"/>
    <w:rsid w:val="007E3C8A"/>
    <w:rsid w:val="007E4875"/>
    <w:rsid w:val="007F51FB"/>
    <w:rsid w:val="007F5252"/>
    <w:rsid w:val="007F5883"/>
    <w:rsid w:val="007F626F"/>
    <w:rsid w:val="007F7136"/>
    <w:rsid w:val="007F73C5"/>
    <w:rsid w:val="0080074D"/>
    <w:rsid w:val="008013B3"/>
    <w:rsid w:val="008054AD"/>
    <w:rsid w:val="0080617F"/>
    <w:rsid w:val="00807AAC"/>
    <w:rsid w:val="00817B73"/>
    <w:rsid w:val="0082466A"/>
    <w:rsid w:val="008300F4"/>
    <w:rsid w:val="008329C3"/>
    <w:rsid w:val="008341E1"/>
    <w:rsid w:val="00841E66"/>
    <w:rsid w:val="00844536"/>
    <w:rsid w:val="0085598D"/>
    <w:rsid w:val="00856342"/>
    <w:rsid w:val="008570E0"/>
    <w:rsid w:val="008572E8"/>
    <w:rsid w:val="008578E7"/>
    <w:rsid w:val="00863CDA"/>
    <w:rsid w:val="008710DC"/>
    <w:rsid w:val="00872191"/>
    <w:rsid w:val="00872839"/>
    <w:rsid w:val="00873AE4"/>
    <w:rsid w:val="00873FC0"/>
    <w:rsid w:val="008742C8"/>
    <w:rsid w:val="008771D4"/>
    <w:rsid w:val="00877ED0"/>
    <w:rsid w:val="008801F7"/>
    <w:rsid w:val="008855A0"/>
    <w:rsid w:val="0088608B"/>
    <w:rsid w:val="00886FFF"/>
    <w:rsid w:val="00890C43"/>
    <w:rsid w:val="00892F7A"/>
    <w:rsid w:val="00893909"/>
    <w:rsid w:val="008A19FC"/>
    <w:rsid w:val="008A2E3B"/>
    <w:rsid w:val="008B0514"/>
    <w:rsid w:val="008B2A11"/>
    <w:rsid w:val="008B7811"/>
    <w:rsid w:val="008C77C9"/>
    <w:rsid w:val="008D09C9"/>
    <w:rsid w:val="008D7D80"/>
    <w:rsid w:val="008E0CF0"/>
    <w:rsid w:val="008E4A00"/>
    <w:rsid w:val="008F1963"/>
    <w:rsid w:val="008F788D"/>
    <w:rsid w:val="00913C89"/>
    <w:rsid w:val="009157C4"/>
    <w:rsid w:val="0092310C"/>
    <w:rsid w:val="009279C5"/>
    <w:rsid w:val="00931BED"/>
    <w:rsid w:val="0093538A"/>
    <w:rsid w:val="009354E4"/>
    <w:rsid w:val="00935F85"/>
    <w:rsid w:val="00950D7F"/>
    <w:rsid w:val="0095113E"/>
    <w:rsid w:val="00952E0E"/>
    <w:rsid w:val="009550D7"/>
    <w:rsid w:val="00955769"/>
    <w:rsid w:val="00960EDA"/>
    <w:rsid w:val="00960EFA"/>
    <w:rsid w:val="00963B4C"/>
    <w:rsid w:val="009667C4"/>
    <w:rsid w:val="00967651"/>
    <w:rsid w:val="00967704"/>
    <w:rsid w:val="00974C62"/>
    <w:rsid w:val="0099010E"/>
    <w:rsid w:val="0099206F"/>
    <w:rsid w:val="00993558"/>
    <w:rsid w:val="00996409"/>
    <w:rsid w:val="009A05D5"/>
    <w:rsid w:val="009A1D1E"/>
    <w:rsid w:val="009B0A18"/>
    <w:rsid w:val="009B54BA"/>
    <w:rsid w:val="009B5833"/>
    <w:rsid w:val="009B5CCB"/>
    <w:rsid w:val="009B70D1"/>
    <w:rsid w:val="009C02C4"/>
    <w:rsid w:val="009C08D9"/>
    <w:rsid w:val="009C53EC"/>
    <w:rsid w:val="009D1755"/>
    <w:rsid w:val="009D3EA4"/>
    <w:rsid w:val="009D476F"/>
    <w:rsid w:val="009D4897"/>
    <w:rsid w:val="009D4A7B"/>
    <w:rsid w:val="009D6923"/>
    <w:rsid w:val="009D6DE6"/>
    <w:rsid w:val="009E1D62"/>
    <w:rsid w:val="009E2248"/>
    <w:rsid w:val="009E2283"/>
    <w:rsid w:val="009E50CC"/>
    <w:rsid w:val="009E56D2"/>
    <w:rsid w:val="009E67CB"/>
    <w:rsid w:val="009E6CB6"/>
    <w:rsid w:val="009F097D"/>
    <w:rsid w:val="009F29AC"/>
    <w:rsid w:val="009F375D"/>
    <w:rsid w:val="009F4D1F"/>
    <w:rsid w:val="009F5875"/>
    <w:rsid w:val="00A03F39"/>
    <w:rsid w:val="00A03F4F"/>
    <w:rsid w:val="00A04162"/>
    <w:rsid w:val="00A04578"/>
    <w:rsid w:val="00A05B58"/>
    <w:rsid w:val="00A1199F"/>
    <w:rsid w:val="00A27BC7"/>
    <w:rsid w:val="00A30172"/>
    <w:rsid w:val="00A319F4"/>
    <w:rsid w:val="00A330F7"/>
    <w:rsid w:val="00A376B3"/>
    <w:rsid w:val="00A43707"/>
    <w:rsid w:val="00A44156"/>
    <w:rsid w:val="00A4444D"/>
    <w:rsid w:val="00A46073"/>
    <w:rsid w:val="00A5391E"/>
    <w:rsid w:val="00A54290"/>
    <w:rsid w:val="00A5569A"/>
    <w:rsid w:val="00A57F5C"/>
    <w:rsid w:val="00A57FB1"/>
    <w:rsid w:val="00A62E52"/>
    <w:rsid w:val="00A65F8B"/>
    <w:rsid w:val="00A67766"/>
    <w:rsid w:val="00A73ED8"/>
    <w:rsid w:val="00A8504F"/>
    <w:rsid w:val="00A85D9A"/>
    <w:rsid w:val="00A905B9"/>
    <w:rsid w:val="00A90EB9"/>
    <w:rsid w:val="00A94473"/>
    <w:rsid w:val="00A96898"/>
    <w:rsid w:val="00A9723C"/>
    <w:rsid w:val="00AA1CA4"/>
    <w:rsid w:val="00AA3056"/>
    <w:rsid w:val="00AA5039"/>
    <w:rsid w:val="00AA7218"/>
    <w:rsid w:val="00AC13F1"/>
    <w:rsid w:val="00AC4C9D"/>
    <w:rsid w:val="00AC770E"/>
    <w:rsid w:val="00AD0EF3"/>
    <w:rsid w:val="00AD4A45"/>
    <w:rsid w:val="00AD7CC0"/>
    <w:rsid w:val="00AE3609"/>
    <w:rsid w:val="00AE36D3"/>
    <w:rsid w:val="00AE5702"/>
    <w:rsid w:val="00AE7CAF"/>
    <w:rsid w:val="00AF4801"/>
    <w:rsid w:val="00AF71D1"/>
    <w:rsid w:val="00AF799F"/>
    <w:rsid w:val="00B02AE5"/>
    <w:rsid w:val="00B10223"/>
    <w:rsid w:val="00B12B9B"/>
    <w:rsid w:val="00B13F6A"/>
    <w:rsid w:val="00B14A1D"/>
    <w:rsid w:val="00B1550F"/>
    <w:rsid w:val="00B3220F"/>
    <w:rsid w:val="00B3281A"/>
    <w:rsid w:val="00B33B28"/>
    <w:rsid w:val="00B340B5"/>
    <w:rsid w:val="00B34238"/>
    <w:rsid w:val="00B36772"/>
    <w:rsid w:val="00B37869"/>
    <w:rsid w:val="00B427AD"/>
    <w:rsid w:val="00B42862"/>
    <w:rsid w:val="00B4767A"/>
    <w:rsid w:val="00B505FC"/>
    <w:rsid w:val="00B52155"/>
    <w:rsid w:val="00B56C40"/>
    <w:rsid w:val="00B5754E"/>
    <w:rsid w:val="00B57FD8"/>
    <w:rsid w:val="00B60196"/>
    <w:rsid w:val="00B63131"/>
    <w:rsid w:val="00B66FDC"/>
    <w:rsid w:val="00B71E4C"/>
    <w:rsid w:val="00B8022E"/>
    <w:rsid w:val="00B80DF2"/>
    <w:rsid w:val="00B90AA7"/>
    <w:rsid w:val="00B91470"/>
    <w:rsid w:val="00B93842"/>
    <w:rsid w:val="00B96B11"/>
    <w:rsid w:val="00BA34CE"/>
    <w:rsid w:val="00BA441F"/>
    <w:rsid w:val="00BA4759"/>
    <w:rsid w:val="00BA7FDF"/>
    <w:rsid w:val="00BB257F"/>
    <w:rsid w:val="00BC11B1"/>
    <w:rsid w:val="00BC245A"/>
    <w:rsid w:val="00BC3D75"/>
    <w:rsid w:val="00BC4E3C"/>
    <w:rsid w:val="00BD07D6"/>
    <w:rsid w:val="00BD780E"/>
    <w:rsid w:val="00BE0104"/>
    <w:rsid w:val="00BE1BC8"/>
    <w:rsid w:val="00BE2E67"/>
    <w:rsid w:val="00BE3435"/>
    <w:rsid w:val="00BE61C4"/>
    <w:rsid w:val="00BF0050"/>
    <w:rsid w:val="00BF156C"/>
    <w:rsid w:val="00BF1D75"/>
    <w:rsid w:val="00C11B6E"/>
    <w:rsid w:val="00C12CA4"/>
    <w:rsid w:val="00C162A9"/>
    <w:rsid w:val="00C2421B"/>
    <w:rsid w:val="00C267E8"/>
    <w:rsid w:val="00C2719D"/>
    <w:rsid w:val="00C2765B"/>
    <w:rsid w:val="00C27F7C"/>
    <w:rsid w:val="00C3078D"/>
    <w:rsid w:val="00C3169B"/>
    <w:rsid w:val="00C33A51"/>
    <w:rsid w:val="00C343FC"/>
    <w:rsid w:val="00C53AB3"/>
    <w:rsid w:val="00C5586A"/>
    <w:rsid w:val="00C57CFA"/>
    <w:rsid w:val="00C6383A"/>
    <w:rsid w:val="00C64B59"/>
    <w:rsid w:val="00C65BD8"/>
    <w:rsid w:val="00C70A5F"/>
    <w:rsid w:val="00C73B56"/>
    <w:rsid w:val="00C74DE9"/>
    <w:rsid w:val="00C76B28"/>
    <w:rsid w:val="00C8110F"/>
    <w:rsid w:val="00C9188F"/>
    <w:rsid w:val="00C921A1"/>
    <w:rsid w:val="00C97436"/>
    <w:rsid w:val="00CA4FF8"/>
    <w:rsid w:val="00CA62E4"/>
    <w:rsid w:val="00CB0CC1"/>
    <w:rsid w:val="00CB4EE9"/>
    <w:rsid w:val="00CC0F71"/>
    <w:rsid w:val="00CC47B9"/>
    <w:rsid w:val="00CC6479"/>
    <w:rsid w:val="00CC7072"/>
    <w:rsid w:val="00CD3F80"/>
    <w:rsid w:val="00CD48EA"/>
    <w:rsid w:val="00CD6655"/>
    <w:rsid w:val="00CD6E6A"/>
    <w:rsid w:val="00CE632F"/>
    <w:rsid w:val="00CF2272"/>
    <w:rsid w:val="00CF65BC"/>
    <w:rsid w:val="00CF73F6"/>
    <w:rsid w:val="00D027B5"/>
    <w:rsid w:val="00D02FD1"/>
    <w:rsid w:val="00D03311"/>
    <w:rsid w:val="00D04A6A"/>
    <w:rsid w:val="00D074CF"/>
    <w:rsid w:val="00D07B47"/>
    <w:rsid w:val="00D1158B"/>
    <w:rsid w:val="00D11A14"/>
    <w:rsid w:val="00D14138"/>
    <w:rsid w:val="00D148E8"/>
    <w:rsid w:val="00D15A33"/>
    <w:rsid w:val="00D17C1F"/>
    <w:rsid w:val="00D27CDD"/>
    <w:rsid w:val="00D3093D"/>
    <w:rsid w:val="00D316B8"/>
    <w:rsid w:val="00D40202"/>
    <w:rsid w:val="00D427B3"/>
    <w:rsid w:val="00D4675E"/>
    <w:rsid w:val="00D533CB"/>
    <w:rsid w:val="00D54461"/>
    <w:rsid w:val="00D60EE1"/>
    <w:rsid w:val="00D627AF"/>
    <w:rsid w:val="00D63CD1"/>
    <w:rsid w:val="00D66173"/>
    <w:rsid w:val="00D710B4"/>
    <w:rsid w:val="00D71859"/>
    <w:rsid w:val="00D740FF"/>
    <w:rsid w:val="00D750C2"/>
    <w:rsid w:val="00D75E29"/>
    <w:rsid w:val="00D7686F"/>
    <w:rsid w:val="00D8062B"/>
    <w:rsid w:val="00D80D29"/>
    <w:rsid w:val="00D83027"/>
    <w:rsid w:val="00D83C57"/>
    <w:rsid w:val="00D9127A"/>
    <w:rsid w:val="00D93822"/>
    <w:rsid w:val="00DA0B10"/>
    <w:rsid w:val="00DA1B9D"/>
    <w:rsid w:val="00DA1D65"/>
    <w:rsid w:val="00DA6110"/>
    <w:rsid w:val="00DA778C"/>
    <w:rsid w:val="00DB032B"/>
    <w:rsid w:val="00DB09FA"/>
    <w:rsid w:val="00DB28FD"/>
    <w:rsid w:val="00DB3949"/>
    <w:rsid w:val="00DB6F24"/>
    <w:rsid w:val="00DC1117"/>
    <w:rsid w:val="00DC1B37"/>
    <w:rsid w:val="00DC27B8"/>
    <w:rsid w:val="00DC39A3"/>
    <w:rsid w:val="00DD3E54"/>
    <w:rsid w:val="00DD4887"/>
    <w:rsid w:val="00DE0E2C"/>
    <w:rsid w:val="00DE1D55"/>
    <w:rsid w:val="00DE2837"/>
    <w:rsid w:val="00DE2FAA"/>
    <w:rsid w:val="00DE3A94"/>
    <w:rsid w:val="00DE43DE"/>
    <w:rsid w:val="00DE4DB8"/>
    <w:rsid w:val="00DE5465"/>
    <w:rsid w:val="00DF37EA"/>
    <w:rsid w:val="00DF4410"/>
    <w:rsid w:val="00E0161B"/>
    <w:rsid w:val="00E0458E"/>
    <w:rsid w:val="00E058C5"/>
    <w:rsid w:val="00E17817"/>
    <w:rsid w:val="00E24DB7"/>
    <w:rsid w:val="00E26148"/>
    <w:rsid w:val="00E27EF1"/>
    <w:rsid w:val="00E31CE7"/>
    <w:rsid w:val="00E32583"/>
    <w:rsid w:val="00E445AA"/>
    <w:rsid w:val="00E514F0"/>
    <w:rsid w:val="00E51837"/>
    <w:rsid w:val="00E51F6C"/>
    <w:rsid w:val="00E53FC6"/>
    <w:rsid w:val="00E54D73"/>
    <w:rsid w:val="00E55633"/>
    <w:rsid w:val="00E60C21"/>
    <w:rsid w:val="00E65AFC"/>
    <w:rsid w:val="00E7286A"/>
    <w:rsid w:val="00E75147"/>
    <w:rsid w:val="00E80B1C"/>
    <w:rsid w:val="00E8178A"/>
    <w:rsid w:val="00E82C85"/>
    <w:rsid w:val="00E85DEF"/>
    <w:rsid w:val="00E86EA4"/>
    <w:rsid w:val="00E92687"/>
    <w:rsid w:val="00E93654"/>
    <w:rsid w:val="00E97BF1"/>
    <w:rsid w:val="00EA62E9"/>
    <w:rsid w:val="00EA65D9"/>
    <w:rsid w:val="00EB08CF"/>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D82"/>
    <w:rsid w:val="00EE70BD"/>
    <w:rsid w:val="00EF16F5"/>
    <w:rsid w:val="00EF29CD"/>
    <w:rsid w:val="00EF343D"/>
    <w:rsid w:val="00EF75BE"/>
    <w:rsid w:val="00F06EF2"/>
    <w:rsid w:val="00F070D0"/>
    <w:rsid w:val="00F12337"/>
    <w:rsid w:val="00F133E5"/>
    <w:rsid w:val="00F15EAC"/>
    <w:rsid w:val="00F16733"/>
    <w:rsid w:val="00F2035D"/>
    <w:rsid w:val="00F221B7"/>
    <w:rsid w:val="00F25907"/>
    <w:rsid w:val="00F25BC6"/>
    <w:rsid w:val="00F269B2"/>
    <w:rsid w:val="00F27350"/>
    <w:rsid w:val="00F31DDB"/>
    <w:rsid w:val="00F42E24"/>
    <w:rsid w:val="00F43970"/>
    <w:rsid w:val="00F462F5"/>
    <w:rsid w:val="00F525C1"/>
    <w:rsid w:val="00F542C3"/>
    <w:rsid w:val="00F660C8"/>
    <w:rsid w:val="00F72668"/>
    <w:rsid w:val="00F75F56"/>
    <w:rsid w:val="00F76FC4"/>
    <w:rsid w:val="00F945C8"/>
    <w:rsid w:val="00F94A83"/>
    <w:rsid w:val="00F958B2"/>
    <w:rsid w:val="00F96B58"/>
    <w:rsid w:val="00F96F6D"/>
    <w:rsid w:val="00F974D1"/>
    <w:rsid w:val="00FA01C3"/>
    <w:rsid w:val="00FA1436"/>
    <w:rsid w:val="00FA2806"/>
    <w:rsid w:val="00FB0BB0"/>
    <w:rsid w:val="00FB2D3A"/>
    <w:rsid w:val="00FB4DE2"/>
    <w:rsid w:val="00FC20A6"/>
    <w:rsid w:val="00FC385C"/>
    <w:rsid w:val="00FC708E"/>
    <w:rsid w:val="00FC71D8"/>
    <w:rsid w:val="00FD1026"/>
    <w:rsid w:val="00FD3165"/>
    <w:rsid w:val="00FD3FF9"/>
    <w:rsid w:val="00FD4206"/>
    <w:rsid w:val="00FD6681"/>
    <w:rsid w:val="00FD7DD9"/>
    <w:rsid w:val="00FE2E1F"/>
    <w:rsid w:val="00FE3A23"/>
    <w:rsid w:val="00FE41F6"/>
    <w:rsid w:val="00FE4308"/>
    <w:rsid w:val="00FF2EAB"/>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8A5A-5208-418C-AEE5-1575C1EE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12059</Words>
  <Characters>68738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2017-04-04T22:36:00Z</dcterms:created>
  <dcterms:modified xsi:type="dcterms:W3CDTF">2017-06-10T03:42:00Z</dcterms:modified>
</cp:coreProperties>
</file>