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51D1A" w14:textId="77777777" w:rsidR="004542D9" w:rsidRDefault="004542D9" w:rsidP="007B5C8B">
      <w:pPr>
        <w:widowControl w:val="0"/>
        <w:spacing w:after="0"/>
        <w:jc w:val="center"/>
        <w:rPr>
          <w:smallCaps/>
          <w:sz w:val="40"/>
          <w:szCs w:val="40"/>
        </w:rPr>
      </w:pPr>
      <w:bookmarkStart w:id="0" w:name="_GoBack"/>
      <w:bookmarkEnd w:id="0"/>
    </w:p>
    <w:p w14:paraId="47A48887" w14:textId="77777777" w:rsidR="00DB34BC" w:rsidRDefault="00DB34BC" w:rsidP="007B5C8B">
      <w:pPr>
        <w:widowControl w:val="0"/>
        <w:spacing w:after="0"/>
        <w:jc w:val="center"/>
        <w:rPr>
          <w:smallCaps/>
          <w:sz w:val="40"/>
          <w:szCs w:val="40"/>
        </w:rPr>
      </w:pPr>
    </w:p>
    <w:p w14:paraId="380A27D7" w14:textId="77777777" w:rsidR="007B5C8B" w:rsidRDefault="007B5C8B" w:rsidP="007B5C8B">
      <w:pPr>
        <w:widowControl w:val="0"/>
        <w:spacing w:after="0"/>
        <w:jc w:val="center"/>
        <w:rPr>
          <w:smallCaps/>
          <w:sz w:val="40"/>
          <w:szCs w:val="40"/>
        </w:rPr>
      </w:pPr>
      <w:r w:rsidRPr="00165FC7">
        <w:rPr>
          <w:smallCaps/>
          <w:sz w:val="40"/>
          <w:szCs w:val="40"/>
        </w:rPr>
        <w:t>National Center for Education Statistics</w:t>
      </w:r>
    </w:p>
    <w:p w14:paraId="78A74230" w14:textId="77777777" w:rsidR="00772979" w:rsidRDefault="00772979" w:rsidP="007B5C8B">
      <w:pPr>
        <w:widowControl w:val="0"/>
        <w:spacing w:after="0"/>
        <w:jc w:val="center"/>
        <w:rPr>
          <w:smallCaps/>
          <w:sz w:val="40"/>
          <w:szCs w:val="40"/>
        </w:rPr>
      </w:pPr>
      <w:r>
        <w:rPr>
          <w:smallCaps/>
          <w:sz w:val="40"/>
          <w:szCs w:val="40"/>
        </w:rPr>
        <w:t>National Assessment of Educational Progress</w:t>
      </w:r>
    </w:p>
    <w:p w14:paraId="43A31888" w14:textId="77777777" w:rsidR="00772979" w:rsidRDefault="00772979" w:rsidP="007B5C8B">
      <w:pPr>
        <w:widowControl w:val="0"/>
        <w:spacing w:after="0"/>
        <w:jc w:val="center"/>
        <w:rPr>
          <w:smallCaps/>
          <w:sz w:val="40"/>
          <w:szCs w:val="40"/>
        </w:rPr>
      </w:pPr>
    </w:p>
    <w:p w14:paraId="62F1053A" w14:textId="77777777" w:rsidR="00772979" w:rsidRPr="00165FC7" w:rsidRDefault="00772979" w:rsidP="007B5C8B">
      <w:pPr>
        <w:widowControl w:val="0"/>
        <w:spacing w:after="0"/>
        <w:jc w:val="center"/>
        <w:rPr>
          <w:smallCaps/>
          <w:sz w:val="40"/>
          <w:szCs w:val="40"/>
        </w:rPr>
      </w:pPr>
    </w:p>
    <w:p w14:paraId="53626A85" w14:textId="77777777" w:rsidR="007B5C8B" w:rsidRPr="00586EDD" w:rsidRDefault="007B5C8B" w:rsidP="00586EDD">
      <w:pPr>
        <w:widowControl w:val="0"/>
        <w:spacing w:after="0"/>
        <w:jc w:val="center"/>
        <w:rPr>
          <w:i/>
          <w:sz w:val="40"/>
          <w:szCs w:val="40"/>
        </w:rPr>
      </w:pPr>
      <w:r w:rsidRPr="00586EDD">
        <w:rPr>
          <w:i/>
          <w:sz w:val="40"/>
          <w:szCs w:val="40"/>
        </w:rPr>
        <w:t>Volume I</w:t>
      </w:r>
    </w:p>
    <w:p w14:paraId="019D521A" w14:textId="77777777" w:rsidR="00D26532" w:rsidRDefault="007B5C8B" w:rsidP="007B5C8B">
      <w:pPr>
        <w:jc w:val="center"/>
        <w:rPr>
          <w:i/>
          <w:sz w:val="40"/>
          <w:szCs w:val="40"/>
        </w:rPr>
      </w:pPr>
      <w:r w:rsidRPr="00BB0262">
        <w:rPr>
          <w:i/>
          <w:sz w:val="40"/>
          <w:szCs w:val="40"/>
        </w:rPr>
        <w:t>Supporting Statement</w:t>
      </w:r>
    </w:p>
    <w:p w14:paraId="0B636480" w14:textId="77777777" w:rsidR="00D26532" w:rsidRPr="00831746" w:rsidRDefault="00D26532" w:rsidP="008A0439">
      <w:pPr>
        <w:rPr>
          <w:b/>
          <w:i/>
          <w:sz w:val="36"/>
          <w:szCs w:val="36"/>
        </w:rPr>
      </w:pPr>
    </w:p>
    <w:p w14:paraId="47C97119" w14:textId="77777777" w:rsidR="00C640B5" w:rsidRDefault="00D26532" w:rsidP="00FE6253">
      <w:pPr>
        <w:spacing w:after="0"/>
        <w:jc w:val="center"/>
        <w:rPr>
          <w:i/>
          <w:sz w:val="36"/>
          <w:szCs w:val="36"/>
        </w:rPr>
      </w:pPr>
      <w:r w:rsidRPr="00494774">
        <w:rPr>
          <w:b/>
          <w:i/>
          <w:sz w:val="36"/>
          <w:szCs w:val="36"/>
        </w:rPr>
        <w:t xml:space="preserve"> </w:t>
      </w:r>
      <w:r w:rsidR="0035581E" w:rsidRPr="005077CC">
        <w:rPr>
          <w:i/>
          <w:sz w:val="36"/>
          <w:szCs w:val="36"/>
        </w:rPr>
        <w:t>National As</w:t>
      </w:r>
      <w:r w:rsidR="00A26D8B">
        <w:rPr>
          <w:i/>
          <w:sz w:val="36"/>
          <w:szCs w:val="36"/>
        </w:rPr>
        <w:t>sessment of Educational Progress (NAEP)</w:t>
      </w:r>
    </w:p>
    <w:p w14:paraId="4CA5D1AA" w14:textId="2E70A5D7" w:rsidR="00C640B5" w:rsidRDefault="00DD296F" w:rsidP="00FE6253">
      <w:pPr>
        <w:spacing w:after="0"/>
        <w:jc w:val="center"/>
        <w:rPr>
          <w:i/>
          <w:sz w:val="36"/>
          <w:szCs w:val="36"/>
        </w:rPr>
      </w:pPr>
      <w:r>
        <w:rPr>
          <w:i/>
          <w:sz w:val="36"/>
          <w:szCs w:val="36"/>
        </w:rPr>
        <w:t xml:space="preserve">2015 </w:t>
      </w:r>
      <w:r w:rsidR="00A550BE">
        <w:rPr>
          <w:i/>
          <w:sz w:val="36"/>
          <w:szCs w:val="36"/>
        </w:rPr>
        <w:t>N</w:t>
      </w:r>
      <w:r w:rsidR="00FE1A60">
        <w:rPr>
          <w:i/>
          <w:sz w:val="36"/>
          <w:szCs w:val="36"/>
        </w:rPr>
        <w:t xml:space="preserve">ational </w:t>
      </w:r>
      <w:r w:rsidR="00A550BE">
        <w:rPr>
          <w:i/>
          <w:sz w:val="36"/>
          <w:szCs w:val="36"/>
        </w:rPr>
        <w:t>I</w:t>
      </w:r>
      <w:r w:rsidR="00FE1A60">
        <w:rPr>
          <w:i/>
          <w:sz w:val="36"/>
          <w:szCs w:val="36"/>
        </w:rPr>
        <w:t xml:space="preserve">ndian </w:t>
      </w:r>
      <w:r w:rsidR="00A550BE">
        <w:rPr>
          <w:i/>
          <w:sz w:val="36"/>
          <w:szCs w:val="36"/>
        </w:rPr>
        <w:t>E</w:t>
      </w:r>
      <w:r w:rsidR="00FE1A60">
        <w:rPr>
          <w:i/>
          <w:sz w:val="36"/>
          <w:szCs w:val="36"/>
        </w:rPr>
        <w:t xml:space="preserve">ducation </w:t>
      </w:r>
      <w:r w:rsidR="00A550BE">
        <w:rPr>
          <w:i/>
          <w:sz w:val="36"/>
          <w:szCs w:val="36"/>
        </w:rPr>
        <w:t>S</w:t>
      </w:r>
      <w:r w:rsidR="00FE1A60">
        <w:rPr>
          <w:i/>
          <w:sz w:val="36"/>
          <w:szCs w:val="36"/>
        </w:rPr>
        <w:t>tudy</w:t>
      </w:r>
      <w:r w:rsidR="00A26D8B">
        <w:rPr>
          <w:i/>
          <w:sz w:val="36"/>
          <w:szCs w:val="36"/>
        </w:rPr>
        <w:t xml:space="preserve"> (NIES)</w:t>
      </w:r>
      <w:r w:rsidR="00766044">
        <w:rPr>
          <w:i/>
          <w:sz w:val="36"/>
          <w:szCs w:val="36"/>
        </w:rPr>
        <w:t xml:space="preserve"> Report Focus Group</w:t>
      </w:r>
    </w:p>
    <w:p w14:paraId="1CC02F61" w14:textId="1604AE77" w:rsidR="00D26532" w:rsidRDefault="00D26532" w:rsidP="00D26532">
      <w:pPr>
        <w:jc w:val="center"/>
        <w:rPr>
          <w:b/>
          <w:color w:val="FF0000"/>
          <w:sz w:val="36"/>
          <w:szCs w:val="36"/>
        </w:rPr>
      </w:pPr>
    </w:p>
    <w:p w14:paraId="0E168F51" w14:textId="77777777" w:rsidR="00DB34BC" w:rsidRPr="00B53CF3" w:rsidRDefault="00DB34BC" w:rsidP="00D26532">
      <w:pPr>
        <w:jc w:val="center"/>
        <w:rPr>
          <w:b/>
          <w:color w:val="FF0000"/>
          <w:sz w:val="36"/>
          <w:szCs w:val="36"/>
        </w:rPr>
      </w:pPr>
    </w:p>
    <w:p w14:paraId="13E65AA8" w14:textId="2C8C214B" w:rsidR="00831746" w:rsidRPr="00833A73" w:rsidRDefault="00D26532" w:rsidP="00833A73">
      <w:pPr>
        <w:spacing w:after="0" w:line="240" w:lineRule="auto"/>
        <w:jc w:val="center"/>
        <w:rPr>
          <w:rFonts w:eastAsia="Times New Roman"/>
          <w:sz w:val="32"/>
          <w:szCs w:val="32"/>
        </w:rPr>
      </w:pPr>
      <w:r w:rsidRPr="00B53CF3">
        <w:rPr>
          <w:b/>
          <w:sz w:val="36"/>
          <w:szCs w:val="36"/>
        </w:rPr>
        <w:t xml:space="preserve"> </w:t>
      </w:r>
      <w:r w:rsidR="00833A73" w:rsidRPr="00895498">
        <w:rPr>
          <w:rFonts w:eastAsia="Times New Roman"/>
          <w:sz w:val="32"/>
          <w:szCs w:val="32"/>
        </w:rPr>
        <w:t>OMB# 1880-0542</w:t>
      </w:r>
    </w:p>
    <w:p w14:paraId="07309E46" w14:textId="77777777" w:rsidR="00831746" w:rsidRPr="00F51FFD" w:rsidRDefault="00831746" w:rsidP="00831746">
      <w:pPr>
        <w:widowControl w:val="0"/>
        <w:jc w:val="center"/>
        <w:rPr>
          <w:i/>
          <w:sz w:val="40"/>
          <w:szCs w:val="40"/>
        </w:rPr>
      </w:pPr>
    </w:p>
    <w:p w14:paraId="6F34A297" w14:textId="77777777" w:rsidR="00831746" w:rsidRDefault="00320B27" w:rsidP="00831746">
      <w:pPr>
        <w:widowControl w:val="0"/>
        <w:jc w:val="center"/>
        <w:rPr>
          <w:i/>
          <w:sz w:val="40"/>
          <w:szCs w:val="40"/>
        </w:rPr>
      </w:pPr>
      <w:r>
        <w:rPr>
          <w:noProof/>
          <w:szCs w:val="24"/>
        </w:rPr>
        <w:drawing>
          <wp:inline distT="0" distB="0" distL="0" distR="0" wp14:anchorId="6215F069" wp14:editId="7EB4D9FC">
            <wp:extent cx="1310640" cy="1501140"/>
            <wp:effectExtent l="19050" t="0" r="381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14:paraId="514E7FC7" w14:textId="77777777" w:rsidR="00831746" w:rsidRDefault="00831746" w:rsidP="00831746">
      <w:pPr>
        <w:widowControl w:val="0"/>
        <w:jc w:val="center"/>
        <w:rPr>
          <w:i/>
          <w:sz w:val="40"/>
          <w:szCs w:val="40"/>
        </w:rPr>
      </w:pPr>
    </w:p>
    <w:p w14:paraId="4B88D81F" w14:textId="77777777" w:rsidR="008A0439" w:rsidRDefault="008A0439" w:rsidP="00831746">
      <w:pPr>
        <w:widowControl w:val="0"/>
        <w:jc w:val="center"/>
        <w:rPr>
          <w:i/>
          <w:sz w:val="40"/>
          <w:szCs w:val="40"/>
        </w:rPr>
      </w:pPr>
    </w:p>
    <w:p w14:paraId="5BD80D81" w14:textId="75DECF23" w:rsidR="004542D9" w:rsidRDefault="007A6D93" w:rsidP="00DB34BC">
      <w:pPr>
        <w:widowControl w:val="0"/>
        <w:spacing w:after="0"/>
        <w:jc w:val="center"/>
        <w:rPr>
          <w:sz w:val="28"/>
          <w:szCs w:val="28"/>
        </w:rPr>
      </w:pPr>
      <w:r>
        <w:rPr>
          <w:sz w:val="28"/>
          <w:szCs w:val="28"/>
        </w:rPr>
        <w:t>April</w:t>
      </w:r>
      <w:r w:rsidR="0080425A">
        <w:rPr>
          <w:sz w:val="28"/>
          <w:szCs w:val="28"/>
        </w:rPr>
        <w:t xml:space="preserve"> 2019</w:t>
      </w:r>
    </w:p>
    <w:p w14:paraId="1E48D1DE" w14:textId="77777777" w:rsidR="00F9107C" w:rsidRDefault="007B5C8B" w:rsidP="007B5C8B">
      <w:pPr>
        <w:pStyle w:val="Inhaltsverzeichnisberschrift"/>
        <w:rPr>
          <w:rFonts w:ascii="Calibri" w:hAnsi="Calibri" w:cs="Calibri"/>
          <w:color w:val="auto"/>
          <w:sz w:val="24"/>
          <w:szCs w:val="24"/>
        </w:rPr>
      </w:pPr>
      <w:r>
        <w:rPr>
          <w:rFonts w:ascii="Calibri" w:hAnsi="Calibri" w:cs="Calibri"/>
          <w:color w:val="auto"/>
          <w:sz w:val="24"/>
          <w:szCs w:val="24"/>
        </w:rPr>
        <w:br w:type="page"/>
      </w:r>
    </w:p>
    <w:sdt>
      <w:sdtPr>
        <w:rPr>
          <w:rFonts w:ascii="Calibri" w:eastAsia="Calibri" w:hAnsi="Calibri" w:cs="Times New Roman"/>
          <w:color w:val="auto"/>
          <w:sz w:val="22"/>
          <w:szCs w:val="22"/>
        </w:rPr>
        <w:id w:val="1441031960"/>
        <w:docPartObj>
          <w:docPartGallery w:val="Table of Contents"/>
          <w:docPartUnique/>
        </w:docPartObj>
      </w:sdtPr>
      <w:sdtEndPr>
        <w:rPr>
          <w:rFonts w:ascii="Times New Roman" w:hAnsi="Times New Roman"/>
          <w:b/>
          <w:bCs/>
          <w:noProof/>
          <w:sz w:val="24"/>
        </w:rPr>
      </w:sdtEndPr>
      <w:sdtContent>
        <w:p w14:paraId="620CA611" w14:textId="7AD28220" w:rsidR="00A07B21" w:rsidRPr="00A8484E" w:rsidRDefault="00A07B21">
          <w:pPr>
            <w:pStyle w:val="TOCHeading"/>
            <w:rPr>
              <w:rFonts w:asciiTheme="minorHAnsi" w:hAnsiTheme="minorHAnsi"/>
            </w:rPr>
          </w:pPr>
          <w:r w:rsidRPr="00A8484E">
            <w:rPr>
              <w:rFonts w:asciiTheme="minorHAnsi" w:hAnsiTheme="minorHAnsi"/>
            </w:rPr>
            <w:t>Table of Contents</w:t>
          </w:r>
        </w:p>
        <w:p w14:paraId="084E86C1" w14:textId="77777777" w:rsidR="001F5289" w:rsidRPr="001F5289" w:rsidRDefault="001F5289" w:rsidP="001F5289">
          <w:pPr>
            <w:pStyle w:val="Heading2"/>
            <w:rPr>
              <w:lang w:eastAsia="en-US"/>
            </w:rPr>
          </w:pPr>
        </w:p>
        <w:p w14:paraId="79AB052B" w14:textId="1850CD5A" w:rsidR="00E16BF7" w:rsidRDefault="00A07B21">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5002099" w:history="1">
            <w:r w:rsidR="00E16BF7" w:rsidRPr="008C235D">
              <w:rPr>
                <w:rStyle w:val="Hyperlink"/>
                <w:noProof/>
              </w:rPr>
              <w:t>1)</w:t>
            </w:r>
            <w:r w:rsidR="00E16BF7">
              <w:rPr>
                <w:rFonts w:asciiTheme="minorHAnsi" w:eastAsiaTheme="minorEastAsia" w:hAnsiTheme="minorHAnsi" w:cstheme="minorBidi"/>
                <w:noProof/>
                <w:sz w:val="22"/>
              </w:rPr>
              <w:tab/>
            </w:r>
            <w:r w:rsidR="00E16BF7" w:rsidRPr="008C235D">
              <w:rPr>
                <w:rStyle w:val="Hyperlink"/>
                <w:noProof/>
              </w:rPr>
              <w:t>Submittal-Related Information</w:t>
            </w:r>
            <w:r w:rsidR="00E16BF7">
              <w:rPr>
                <w:noProof/>
                <w:webHidden/>
              </w:rPr>
              <w:tab/>
            </w:r>
            <w:r w:rsidR="00E16BF7">
              <w:rPr>
                <w:noProof/>
                <w:webHidden/>
              </w:rPr>
              <w:fldChar w:fldCharType="begin"/>
            </w:r>
            <w:r w:rsidR="00E16BF7">
              <w:rPr>
                <w:noProof/>
                <w:webHidden/>
              </w:rPr>
              <w:instrText xml:space="preserve"> PAGEREF _Toc5002099 \h </w:instrText>
            </w:r>
            <w:r w:rsidR="00E16BF7">
              <w:rPr>
                <w:noProof/>
                <w:webHidden/>
              </w:rPr>
            </w:r>
            <w:r w:rsidR="00E16BF7">
              <w:rPr>
                <w:noProof/>
                <w:webHidden/>
              </w:rPr>
              <w:fldChar w:fldCharType="separate"/>
            </w:r>
            <w:r w:rsidR="00497496">
              <w:rPr>
                <w:noProof/>
                <w:webHidden/>
              </w:rPr>
              <w:t>3</w:t>
            </w:r>
            <w:r w:rsidR="00E16BF7">
              <w:rPr>
                <w:noProof/>
                <w:webHidden/>
              </w:rPr>
              <w:fldChar w:fldCharType="end"/>
            </w:r>
          </w:hyperlink>
        </w:p>
        <w:p w14:paraId="30F24E71" w14:textId="62003864" w:rsidR="00E16BF7" w:rsidRDefault="00C728D9">
          <w:pPr>
            <w:pStyle w:val="TOC1"/>
            <w:rPr>
              <w:rFonts w:asciiTheme="minorHAnsi" w:eastAsiaTheme="minorEastAsia" w:hAnsiTheme="minorHAnsi" w:cstheme="minorBidi"/>
              <w:noProof/>
              <w:sz w:val="22"/>
            </w:rPr>
          </w:pPr>
          <w:hyperlink w:anchor="_Toc5002100" w:history="1">
            <w:r w:rsidR="00E16BF7" w:rsidRPr="008C235D">
              <w:rPr>
                <w:rStyle w:val="Hyperlink"/>
                <w:noProof/>
              </w:rPr>
              <w:t>2)</w:t>
            </w:r>
            <w:r w:rsidR="00E16BF7">
              <w:rPr>
                <w:rFonts w:asciiTheme="minorHAnsi" w:eastAsiaTheme="minorEastAsia" w:hAnsiTheme="minorHAnsi" w:cstheme="minorBidi"/>
                <w:noProof/>
                <w:sz w:val="22"/>
              </w:rPr>
              <w:tab/>
            </w:r>
            <w:r w:rsidR="00E16BF7" w:rsidRPr="008C235D">
              <w:rPr>
                <w:rStyle w:val="Hyperlink"/>
                <w:noProof/>
              </w:rPr>
              <w:t>Background and Study Rationale</w:t>
            </w:r>
            <w:r w:rsidR="00E16BF7">
              <w:rPr>
                <w:noProof/>
                <w:webHidden/>
              </w:rPr>
              <w:tab/>
            </w:r>
            <w:r w:rsidR="00E16BF7">
              <w:rPr>
                <w:noProof/>
                <w:webHidden/>
              </w:rPr>
              <w:fldChar w:fldCharType="begin"/>
            </w:r>
            <w:r w:rsidR="00E16BF7">
              <w:rPr>
                <w:noProof/>
                <w:webHidden/>
              </w:rPr>
              <w:instrText xml:space="preserve"> PAGEREF _Toc5002100 \h </w:instrText>
            </w:r>
            <w:r w:rsidR="00E16BF7">
              <w:rPr>
                <w:noProof/>
                <w:webHidden/>
              </w:rPr>
            </w:r>
            <w:r w:rsidR="00E16BF7">
              <w:rPr>
                <w:noProof/>
                <w:webHidden/>
              </w:rPr>
              <w:fldChar w:fldCharType="separate"/>
            </w:r>
            <w:r w:rsidR="00497496">
              <w:rPr>
                <w:noProof/>
                <w:webHidden/>
              </w:rPr>
              <w:t>3</w:t>
            </w:r>
            <w:r w:rsidR="00E16BF7">
              <w:rPr>
                <w:noProof/>
                <w:webHidden/>
              </w:rPr>
              <w:fldChar w:fldCharType="end"/>
            </w:r>
          </w:hyperlink>
        </w:p>
        <w:p w14:paraId="5AB801D1" w14:textId="202AE9E0" w:rsidR="00E16BF7" w:rsidRDefault="00C728D9">
          <w:pPr>
            <w:pStyle w:val="TOC1"/>
            <w:rPr>
              <w:rFonts w:asciiTheme="minorHAnsi" w:eastAsiaTheme="minorEastAsia" w:hAnsiTheme="minorHAnsi" w:cstheme="minorBidi"/>
              <w:noProof/>
              <w:sz w:val="22"/>
            </w:rPr>
          </w:pPr>
          <w:hyperlink w:anchor="_Toc5002101" w:history="1">
            <w:r w:rsidR="00E16BF7" w:rsidRPr="008C235D">
              <w:rPr>
                <w:rStyle w:val="Hyperlink"/>
                <w:noProof/>
              </w:rPr>
              <w:t>3)</w:t>
            </w:r>
            <w:r w:rsidR="00E16BF7">
              <w:rPr>
                <w:rFonts w:asciiTheme="minorHAnsi" w:eastAsiaTheme="minorEastAsia" w:hAnsiTheme="minorHAnsi" w:cstheme="minorBidi"/>
                <w:noProof/>
                <w:sz w:val="22"/>
              </w:rPr>
              <w:tab/>
            </w:r>
            <w:r w:rsidR="00E16BF7" w:rsidRPr="008C235D">
              <w:rPr>
                <w:rStyle w:val="Hyperlink"/>
                <w:noProof/>
              </w:rPr>
              <w:t>Recruitment and Data Collection</w:t>
            </w:r>
            <w:r w:rsidR="00E16BF7">
              <w:rPr>
                <w:noProof/>
                <w:webHidden/>
              </w:rPr>
              <w:tab/>
            </w:r>
            <w:r w:rsidR="00E16BF7">
              <w:rPr>
                <w:noProof/>
                <w:webHidden/>
              </w:rPr>
              <w:fldChar w:fldCharType="begin"/>
            </w:r>
            <w:r w:rsidR="00E16BF7">
              <w:rPr>
                <w:noProof/>
                <w:webHidden/>
              </w:rPr>
              <w:instrText xml:space="preserve"> PAGEREF _Toc5002101 \h </w:instrText>
            </w:r>
            <w:r w:rsidR="00E16BF7">
              <w:rPr>
                <w:noProof/>
                <w:webHidden/>
              </w:rPr>
            </w:r>
            <w:r w:rsidR="00E16BF7">
              <w:rPr>
                <w:noProof/>
                <w:webHidden/>
              </w:rPr>
              <w:fldChar w:fldCharType="separate"/>
            </w:r>
            <w:r w:rsidR="00497496">
              <w:rPr>
                <w:noProof/>
                <w:webHidden/>
              </w:rPr>
              <w:t>4</w:t>
            </w:r>
            <w:r w:rsidR="00E16BF7">
              <w:rPr>
                <w:noProof/>
                <w:webHidden/>
              </w:rPr>
              <w:fldChar w:fldCharType="end"/>
            </w:r>
          </w:hyperlink>
        </w:p>
        <w:p w14:paraId="602A94AD" w14:textId="4F84D52B" w:rsidR="00E16BF7" w:rsidRDefault="00C728D9">
          <w:pPr>
            <w:pStyle w:val="TOC1"/>
            <w:rPr>
              <w:rFonts w:asciiTheme="minorHAnsi" w:eastAsiaTheme="minorEastAsia" w:hAnsiTheme="minorHAnsi" w:cstheme="minorBidi"/>
              <w:noProof/>
              <w:sz w:val="22"/>
            </w:rPr>
          </w:pPr>
          <w:hyperlink w:anchor="_Toc5002102" w:history="1">
            <w:r w:rsidR="00E16BF7" w:rsidRPr="008C235D">
              <w:rPr>
                <w:rStyle w:val="Hyperlink"/>
                <w:noProof/>
              </w:rPr>
              <w:t>4)</w:t>
            </w:r>
            <w:r w:rsidR="00E16BF7">
              <w:rPr>
                <w:rFonts w:asciiTheme="minorHAnsi" w:eastAsiaTheme="minorEastAsia" w:hAnsiTheme="minorHAnsi" w:cstheme="minorBidi"/>
                <w:noProof/>
                <w:sz w:val="22"/>
              </w:rPr>
              <w:tab/>
            </w:r>
            <w:r w:rsidR="00E16BF7" w:rsidRPr="008C235D">
              <w:rPr>
                <w:rStyle w:val="Hyperlink"/>
                <w:noProof/>
              </w:rPr>
              <w:t>Consultations Outside the Agency</w:t>
            </w:r>
            <w:r w:rsidR="00E16BF7">
              <w:rPr>
                <w:noProof/>
                <w:webHidden/>
              </w:rPr>
              <w:tab/>
            </w:r>
            <w:r w:rsidR="00E16BF7">
              <w:rPr>
                <w:noProof/>
                <w:webHidden/>
              </w:rPr>
              <w:fldChar w:fldCharType="begin"/>
            </w:r>
            <w:r w:rsidR="00E16BF7">
              <w:rPr>
                <w:noProof/>
                <w:webHidden/>
              </w:rPr>
              <w:instrText xml:space="preserve"> PAGEREF _Toc5002102 \h </w:instrText>
            </w:r>
            <w:r w:rsidR="00E16BF7">
              <w:rPr>
                <w:noProof/>
                <w:webHidden/>
              </w:rPr>
            </w:r>
            <w:r w:rsidR="00E16BF7">
              <w:rPr>
                <w:noProof/>
                <w:webHidden/>
              </w:rPr>
              <w:fldChar w:fldCharType="separate"/>
            </w:r>
            <w:r w:rsidR="00497496">
              <w:rPr>
                <w:noProof/>
                <w:webHidden/>
              </w:rPr>
              <w:t>5</w:t>
            </w:r>
            <w:r w:rsidR="00E16BF7">
              <w:rPr>
                <w:noProof/>
                <w:webHidden/>
              </w:rPr>
              <w:fldChar w:fldCharType="end"/>
            </w:r>
          </w:hyperlink>
        </w:p>
        <w:p w14:paraId="5C96A450" w14:textId="4652D11D" w:rsidR="00E16BF7" w:rsidRDefault="00C728D9">
          <w:pPr>
            <w:pStyle w:val="TOC1"/>
            <w:rPr>
              <w:rFonts w:asciiTheme="minorHAnsi" w:eastAsiaTheme="minorEastAsia" w:hAnsiTheme="minorHAnsi" w:cstheme="minorBidi"/>
              <w:noProof/>
              <w:sz w:val="22"/>
            </w:rPr>
          </w:pPr>
          <w:hyperlink w:anchor="_Toc5002103" w:history="1">
            <w:r w:rsidR="00E16BF7" w:rsidRPr="008C235D">
              <w:rPr>
                <w:rStyle w:val="Hyperlink"/>
                <w:noProof/>
              </w:rPr>
              <w:t>5)</w:t>
            </w:r>
            <w:r w:rsidR="00E16BF7">
              <w:rPr>
                <w:rFonts w:asciiTheme="minorHAnsi" w:eastAsiaTheme="minorEastAsia" w:hAnsiTheme="minorHAnsi" w:cstheme="minorBidi"/>
                <w:noProof/>
                <w:sz w:val="22"/>
              </w:rPr>
              <w:tab/>
            </w:r>
            <w:r w:rsidR="00E16BF7" w:rsidRPr="008C235D">
              <w:rPr>
                <w:rStyle w:val="Hyperlink"/>
                <w:noProof/>
              </w:rPr>
              <w:t>Justification for Sensitive Questions</w:t>
            </w:r>
            <w:r w:rsidR="00E16BF7">
              <w:rPr>
                <w:noProof/>
                <w:webHidden/>
              </w:rPr>
              <w:tab/>
            </w:r>
            <w:r w:rsidR="00E16BF7">
              <w:rPr>
                <w:noProof/>
                <w:webHidden/>
              </w:rPr>
              <w:fldChar w:fldCharType="begin"/>
            </w:r>
            <w:r w:rsidR="00E16BF7">
              <w:rPr>
                <w:noProof/>
                <w:webHidden/>
              </w:rPr>
              <w:instrText xml:space="preserve"> PAGEREF _Toc5002103 \h </w:instrText>
            </w:r>
            <w:r w:rsidR="00E16BF7">
              <w:rPr>
                <w:noProof/>
                <w:webHidden/>
              </w:rPr>
            </w:r>
            <w:r w:rsidR="00E16BF7">
              <w:rPr>
                <w:noProof/>
                <w:webHidden/>
              </w:rPr>
              <w:fldChar w:fldCharType="separate"/>
            </w:r>
            <w:r w:rsidR="00497496">
              <w:rPr>
                <w:noProof/>
                <w:webHidden/>
              </w:rPr>
              <w:t>5</w:t>
            </w:r>
            <w:r w:rsidR="00E16BF7">
              <w:rPr>
                <w:noProof/>
                <w:webHidden/>
              </w:rPr>
              <w:fldChar w:fldCharType="end"/>
            </w:r>
          </w:hyperlink>
        </w:p>
        <w:p w14:paraId="1A2A6762" w14:textId="0B3818E6" w:rsidR="00E16BF7" w:rsidRDefault="00C728D9">
          <w:pPr>
            <w:pStyle w:val="TOC1"/>
            <w:rPr>
              <w:rFonts w:asciiTheme="minorHAnsi" w:eastAsiaTheme="minorEastAsia" w:hAnsiTheme="minorHAnsi" w:cstheme="minorBidi"/>
              <w:noProof/>
              <w:sz w:val="22"/>
            </w:rPr>
          </w:pPr>
          <w:hyperlink w:anchor="_Toc5002104" w:history="1">
            <w:r w:rsidR="00E16BF7" w:rsidRPr="008C235D">
              <w:rPr>
                <w:rStyle w:val="Hyperlink"/>
                <w:noProof/>
              </w:rPr>
              <w:t>6)</w:t>
            </w:r>
            <w:r w:rsidR="00E16BF7">
              <w:rPr>
                <w:rFonts w:asciiTheme="minorHAnsi" w:eastAsiaTheme="minorEastAsia" w:hAnsiTheme="minorHAnsi" w:cstheme="minorBidi"/>
                <w:noProof/>
                <w:sz w:val="22"/>
              </w:rPr>
              <w:tab/>
            </w:r>
            <w:r w:rsidR="00E16BF7" w:rsidRPr="008C235D">
              <w:rPr>
                <w:rStyle w:val="Hyperlink"/>
                <w:noProof/>
              </w:rPr>
              <w:t>Paying Respondents</w:t>
            </w:r>
            <w:r w:rsidR="00E16BF7">
              <w:rPr>
                <w:noProof/>
                <w:webHidden/>
              </w:rPr>
              <w:tab/>
            </w:r>
            <w:r w:rsidR="00E16BF7">
              <w:rPr>
                <w:noProof/>
                <w:webHidden/>
              </w:rPr>
              <w:fldChar w:fldCharType="begin"/>
            </w:r>
            <w:r w:rsidR="00E16BF7">
              <w:rPr>
                <w:noProof/>
                <w:webHidden/>
              </w:rPr>
              <w:instrText xml:space="preserve"> PAGEREF _Toc5002104 \h </w:instrText>
            </w:r>
            <w:r w:rsidR="00E16BF7">
              <w:rPr>
                <w:noProof/>
                <w:webHidden/>
              </w:rPr>
            </w:r>
            <w:r w:rsidR="00E16BF7">
              <w:rPr>
                <w:noProof/>
                <w:webHidden/>
              </w:rPr>
              <w:fldChar w:fldCharType="separate"/>
            </w:r>
            <w:r w:rsidR="00497496">
              <w:rPr>
                <w:noProof/>
                <w:webHidden/>
              </w:rPr>
              <w:t>5</w:t>
            </w:r>
            <w:r w:rsidR="00E16BF7">
              <w:rPr>
                <w:noProof/>
                <w:webHidden/>
              </w:rPr>
              <w:fldChar w:fldCharType="end"/>
            </w:r>
          </w:hyperlink>
        </w:p>
        <w:p w14:paraId="67CCD7AB" w14:textId="021FE80E" w:rsidR="00E16BF7" w:rsidRDefault="00C728D9">
          <w:pPr>
            <w:pStyle w:val="TOC1"/>
            <w:rPr>
              <w:rFonts w:asciiTheme="minorHAnsi" w:eastAsiaTheme="minorEastAsia" w:hAnsiTheme="minorHAnsi" w:cstheme="minorBidi"/>
              <w:noProof/>
              <w:sz w:val="22"/>
            </w:rPr>
          </w:pPr>
          <w:hyperlink w:anchor="_Toc5002105" w:history="1">
            <w:r w:rsidR="00E16BF7" w:rsidRPr="008C235D">
              <w:rPr>
                <w:rStyle w:val="Hyperlink"/>
                <w:noProof/>
              </w:rPr>
              <w:t>7)</w:t>
            </w:r>
            <w:r w:rsidR="00E16BF7">
              <w:rPr>
                <w:rFonts w:asciiTheme="minorHAnsi" w:eastAsiaTheme="minorEastAsia" w:hAnsiTheme="minorHAnsi" w:cstheme="minorBidi"/>
                <w:noProof/>
                <w:sz w:val="22"/>
              </w:rPr>
              <w:tab/>
            </w:r>
            <w:r w:rsidR="00E16BF7" w:rsidRPr="008C235D">
              <w:rPr>
                <w:rStyle w:val="Hyperlink"/>
                <w:noProof/>
              </w:rPr>
              <w:t>Assurance of Confidentiality</w:t>
            </w:r>
            <w:r w:rsidR="00E16BF7">
              <w:rPr>
                <w:noProof/>
                <w:webHidden/>
              </w:rPr>
              <w:tab/>
            </w:r>
            <w:r w:rsidR="00E16BF7">
              <w:rPr>
                <w:noProof/>
                <w:webHidden/>
              </w:rPr>
              <w:fldChar w:fldCharType="begin"/>
            </w:r>
            <w:r w:rsidR="00E16BF7">
              <w:rPr>
                <w:noProof/>
                <w:webHidden/>
              </w:rPr>
              <w:instrText xml:space="preserve"> PAGEREF _Toc5002105 \h </w:instrText>
            </w:r>
            <w:r w:rsidR="00E16BF7">
              <w:rPr>
                <w:noProof/>
                <w:webHidden/>
              </w:rPr>
            </w:r>
            <w:r w:rsidR="00E16BF7">
              <w:rPr>
                <w:noProof/>
                <w:webHidden/>
              </w:rPr>
              <w:fldChar w:fldCharType="separate"/>
            </w:r>
            <w:r w:rsidR="00497496">
              <w:rPr>
                <w:noProof/>
                <w:webHidden/>
              </w:rPr>
              <w:t>5</w:t>
            </w:r>
            <w:r w:rsidR="00E16BF7">
              <w:rPr>
                <w:noProof/>
                <w:webHidden/>
              </w:rPr>
              <w:fldChar w:fldCharType="end"/>
            </w:r>
          </w:hyperlink>
        </w:p>
        <w:p w14:paraId="387A9662" w14:textId="487D949B" w:rsidR="00E16BF7" w:rsidRDefault="00C728D9">
          <w:pPr>
            <w:pStyle w:val="TOC1"/>
            <w:rPr>
              <w:rFonts w:asciiTheme="minorHAnsi" w:eastAsiaTheme="minorEastAsia" w:hAnsiTheme="minorHAnsi" w:cstheme="minorBidi"/>
              <w:noProof/>
              <w:sz w:val="22"/>
            </w:rPr>
          </w:pPr>
          <w:hyperlink w:anchor="_Toc5002106" w:history="1">
            <w:r w:rsidR="00E16BF7" w:rsidRPr="008C235D">
              <w:rPr>
                <w:rStyle w:val="Hyperlink"/>
                <w:noProof/>
              </w:rPr>
              <w:t>8)</w:t>
            </w:r>
            <w:r w:rsidR="00E16BF7">
              <w:rPr>
                <w:rFonts w:asciiTheme="minorHAnsi" w:eastAsiaTheme="minorEastAsia" w:hAnsiTheme="minorHAnsi" w:cstheme="minorBidi"/>
                <w:noProof/>
                <w:sz w:val="22"/>
              </w:rPr>
              <w:tab/>
            </w:r>
            <w:r w:rsidR="00E16BF7" w:rsidRPr="008C235D">
              <w:rPr>
                <w:rStyle w:val="Hyperlink"/>
                <w:noProof/>
              </w:rPr>
              <w:t>Estimate of Hourly Burden</w:t>
            </w:r>
            <w:r w:rsidR="00E16BF7">
              <w:rPr>
                <w:noProof/>
                <w:webHidden/>
              </w:rPr>
              <w:tab/>
            </w:r>
            <w:r w:rsidR="00E16BF7">
              <w:rPr>
                <w:noProof/>
                <w:webHidden/>
              </w:rPr>
              <w:fldChar w:fldCharType="begin"/>
            </w:r>
            <w:r w:rsidR="00E16BF7">
              <w:rPr>
                <w:noProof/>
                <w:webHidden/>
              </w:rPr>
              <w:instrText xml:space="preserve"> PAGEREF _Toc5002106 \h </w:instrText>
            </w:r>
            <w:r w:rsidR="00E16BF7">
              <w:rPr>
                <w:noProof/>
                <w:webHidden/>
              </w:rPr>
            </w:r>
            <w:r w:rsidR="00E16BF7">
              <w:rPr>
                <w:noProof/>
                <w:webHidden/>
              </w:rPr>
              <w:fldChar w:fldCharType="separate"/>
            </w:r>
            <w:r w:rsidR="00497496">
              <w:rPr>
                <w:noProof/>
                <w:webHidden/>
              </w:rPr>
              <w:t>6</w:t>
            </w:r>
            <w:r w:rsidR="00E16BF7">
              <w:rPr>
                <w:noProof/>
                <w:webHidden/>
              </w:rPr>
              <w:fldChar w:fldCharType="end"/>
            </w:r>
          </w:hyperlink>
        </w:p>
        <w:p w14:paraId="51E81095" w14:textId="5594E230" w:rsidR="00E16BF7" w:rsidRDefault="00C728D9">
          <w:pPr>
            <w:pStyle w:val="TOC1"/>
            <w:rPr>
              <w:rFonts w:asciiTheme="minorHAnsi" w:eastAsiaTheme="minorEastAsia" w:hAnsiTheme="minorHAnsi" w:cstheme="minorBidi"/>
              <w:noProof/>
              <w:sz w:val="22"/>
            </w:rPr>
          </w:pPr>
          <w:hyperlink w:anchor="_Toc5002107" w:history="1">
            <w:r w:rsidR="00E16BF7" w:rsidRPr="008C235D">
              <w:rPr>
                <w:rStyle w:val="Hyperlink"/>
                <w:noProof/>
              </w:rPr>
              <w:t>9)</w:t>
            </w:r>
            <w:r w:rsidR="00E16BF7">
              <w:rPr>
                <w:rFonts w:asciiTheme="minorHAnsi" w:eastAsiaTheme="minorEastAsia" w:hAnsiTheme="minorHAnsi" w:cstheme="minorBidi"/>
                <w:noProof/>
                <w:sz w:val="22"/>
              </w:rPr>
              <w:tab/>
            </w:r>
            <w:r w:rsidR="00E16BF7" w:rsidRPr="008C235D">
              <w:rPr>
                <w:rStyle w:val="Hyperlink"/>
                <w:noProof/>
              </w:rPr>
              <w:t>Costs to Federal Government</w:t>
            </w:r>
            <w:r w:rsidR="00E16BF7">
              <w:rPr>
                <w:noProof/>
                <w:webHidden/>
              </w:rPr>
              <w:tab/>
            </w:r>
            <w:r w:rsidR="00E16BF7">
              <w:rPr>
                <w:noProof/>
                <w:webHidden/>
              </w:rPr>
              <w:fldChar w:fldCharType="begin"/>
            </w:r>
            <w:r w:rsidR="00E16BF7">
              <w:rPr>
                <w:noProof/>
                <w:webHidden/>
              </w:rPr>
              <w:instrText xml:space="preserve"> PAGEREF _Toc5002107 \h </w:instrText>
            </w:r>
            <w:r w:rsidR="00E16BF7">
              <w:rPr>
                <w:noProof/>
                <w:webHidden/>
              </w:rPr>
            </w:r>
            <w:r w:rsidR="00E16BF7">
              <w:rPr>
                <w:noProof/>
                <w:webHidden/>
              </w:rPr>
              <w:fldChar w:fldCharType="separate"/>
            </w:r>
            <w:r w:rsidR="00497496">
              <w:rPr>
                <w:noProof/>
                <w:webHidden/>
              </w:rPr>
              <w:t>6</w:t>
            </w:r>
            <w:r w:rsidR="00E16BF7">
              <w:rPr>
                <w:noProof/>
                <w:webHidden/>
              </w:rPr>
              <w:fldChar w:fldCharType="end"/>
            </w:r>
          </w:hyperlink>
        </w:p>
        <w:p w14:paraId="4ED0FBF2" w14:textId="22F48703" w:rsidR="00E16BF7" w:rsidRDefault="00C728D9">
          <w:pPr>
            <w:pStyle w:val="TOC1"/>
            <w:rPr>
              <w:rFonts w:asciiTheme="minorHAnsi" w:eastAsiaTheme="minorEastAsia" w:hAnsiTheme="minorHAnsi" w:cstheme="minorBidi"/>
              <w:noProof/>
              <w:sz w:val="22"/>
            </w:rPr>
          </w:pPr>
          <w:hyperlink w:anchor="_Toc5002108" w:history="1">
            <w:r w:rsidR="00E16BF7" w:rsidRPr="008C235D">
              <w:rPr>
                <w:rStyle w:val="Hyperlink"/>
                <w:noProof/>
              </w:rPr>
              <w:t>10)</w:t>
            </w:r>
            <w:r w:rsidR="00E16BF7">
              <w:rPr>
                <w:rFonts w:asciiTheme="minorHAnsi" w:eastAsiaTheme="minorEastAsia" w:hAnsiTheme="minorHAnsi" w:cstheme="minorBidi"/>
                <w:noProof/>
                <w:sz w:val="22"/>
              </w:rPr>
              <w:tab/>
            </w:r>
            <w:r w:rsidR="00E16BF7" w:rsidRPr="008C235D">
              <w:rPr>
                <w:rStyle w:val="Hyperlink"/>
                <w:noProof/>
              </w:rPr>
              <w:t>Schedule</w:t>
            </w:r>
            <w:r w:rsidR="00E16BF7">
              <w:rPr>
                <w:noProof/>
                <w:webHidden/>
              </w:rPr>
              <w:tab/>
            </w:r>
            <w:r w:rsidR="00E16BF7">
              <w:rPr>
                <w:noProof/>
                <w:webHidden/>
              </w:rPr>
              <w:fldChar w:fldCharType="begin"/>
            </w:r>
            <w:r w:rsidR="00E16BF7">
              <w:rPr>
                <w:noProof/>
                <w:webHidden/>
              </w:rPr>
              <w:instrText xml:space="preserve"> PAGEREF _Toc5002108 \h </w:instrText>
            </w:r>
            <w:r w:rsidR="00E16BF7">
              <w:rPr>
                <w:noProof/>
                <w:webHidden/>
              </w:rPr>
            </w:r>
            <w:r w:rsidR="00E16BF7">
              <w:rPr>
                <w:noProof/>
                <w:webHidden/>
              </w:rPr>
              <w:fldChar w:fldCharType="separate"/>
            </w:r>
            <w:r w:rsidR="00497496">
              <w:rPr>
                <w:noProof/>
                <w:webHidden/>
              </w:rPr>
              <w:t>6</w:t>
            </w:r>
            <w:r w:rsidR="00E16BF7">
              <w:rPr>
                <w:noProof/>
                <w:webHidden/>
              </w:rPr>
              <w:fldChar w:fldCharType="end"/>
            </w:r>
          </w:hyperlink>
        </w:p>
        <w:p w14:paraId="1A4BB837" w14:textId="73D68F21" w:rsidR="00A07B21" w:rsidRDefault="00A07B21">
          <w:r>
            <w:rPr>
              <w:b/>
              <w:bCs/>
              <w:noProof/>
            </w:rPr>
            <w:fldChar w:fldCharType="end"/>
          </w:r>
        </w:p>
      </w:sdtContent>
    </w:sdt>
    <w:p w14:paraId="29A04EE6" w14:textId="24F7B22A" w:rsidR="00F9107C" w:rsidRDefault="00D26532" w:rsidP="008F0851">
      <w:pPr>
        <w:pStyle w:val="Heading1"/>
        <w:numPr>
          <w:ilvl w:val="0"/>
          <w:numId w:val="17"/>
        </w:numPr>
        <w:spacing w:before="0" w:after="120" w:line="240" w:lineRule="auto"/>
        <w:ind w:left="360"/>
        <w:rPr>
          <w:rFonts w:asciiTheme="minorHAnsi" w:hAnsiTheme="minorHAnsi"/>
          <w:color w:val="1F497D" w:themeColor="text2"/>
          <w:sz w:val="28"/>
          <w:szCs w:val="28"/>
        </w:rPr>
      </w:pPr>
      <w:r w:rsidRPr="00AD327F">
        <w:br w:type="page"/>
      </w:r>
      <w:bookmarkStart w:id="1" w:name="_Toc377066641"/>
      <w:bookmarkStart w:id="2" w:name="_Toc377066668"/>
      <w:bookmarkStart w:id="3" w:name="_Toc377066732"/>
      <w:bookmarkStart w:id="4" w:name="_Toc377588738"/>
      <w:bookmarkStart w:id="5" w:name="_Toc377618612"/>
      <w:bookmarkStart w:id="6" w:name="_Toc377711505"/>
      <w:bookmarkStart w:id="7" w:name="_Toc377711695"/>
      <w:bookmarkStart w:id="8" w:name="_Toc485718776"/>
      <w:bookmarkStart w:id="9" w:name="_Toc5002099"/>
      <w:bookmarkEnd w:id="1"/>
      <w:bookmarkEnd w:id="2"/>
      <w:bookmarkEnd w:id="3"/>
      <w:bookmarkEnd w:id="4"/>
      <w:bookmarkEnd w:id="5"/>
      <w:bookmarkEnd w:id="6"/>
      <w:bookmarkEnd w:id="7"/>
      <w:r w:rsidR="007962BB" w:rsidRPr="00494774">
        <w:rPr>
          <w:rFonts w:asciiTheme="minorHAnsi" w:hAnsiTheme="minorHAnsi"/>
          <w:color w:val="1F497D" w:themeColor="text2"/>
          <w:sz w:val="28"/>
          <w:szCs w:val="28"/>
        </w:rPr>
        <w:lastRenderedPageBreak/>
        <w:t>Submittal-Related Information</w:t>
      </w:r>
      <w:bookmarkEnd w:id="8"/>
      <w:bookmarkEnd w:id="9"/>
    </w:p>
    <w:p w14:paraId="73CE7C03" w14:textId="2305FA72" w:rsidR="00D26532" w:rsidRPr="00D0603A" w:rsidRDefault="00213040" w:rsidP="008F0851">
      <w:pPr>
        <w:pStyle w:val="ColorfulList-Accent11"/>
        <w:spacing w:after="120" w:line="240" w:lineRule="auto"/>
        <w:ind w:left="0"/>
        <w:contextualSpacing w:val="0"/>
        <w:rPr>
          <w:rFonts w:cs="Calibri"/>
        </w:rPr>
      </w:pPr>
      <w:r w:rsidRPr="00213040">
        <w:rPr>
          <w:rFonts w:cs="Calibri"/>
        </w:rPr>
        <w:t xml:space="preserve">This material is being submitted under the generic U.S. Department of Education clearance agreement (OMB# 1880-0542), which provides for the Department to conduct surveys and other studies </w:t>
      </w:r>
      <w:r>
        <w:rPr>
          <w:rFonts w:cs="Calibri"/>
        </w:rPr>
        <w:t xml:space="preserve">regarding customer satisfaction. </w:t>
      </w:r>
      <w:r w:rsidR="00D356CD" w:rsidRPr="00586EDD">
        <w:rPr>
          <w:rFonts w:cs="Calibri"/>
        </w:rPr>
        <w:t xml:space="preserve">This request is to </w:t>
      </w:r>
      <w:r w:rsidR="00712B5B">
        <w:rPr>
          <w:rFonts w:cs="Calibri"/>
        </w:rPr>
        <w:t xml:space="preserve">conduct </w:t>
      </w:r>
      <w:r w:rsidR="006079FB">
        <w:rPr>
          <w:rFonts w:cs="Calibri"/>
        </w:rPr>
        <w:t xml:space="preserve">a </w:t>
      </w:r>
      <w:r w:rsidR="00712B5B">
        <w:rPr>
          <w:rFonts w:cs="Calibri"/>
        </w:rPr>
        <w:t xml:space="preserve">focus group to obtain </w:t>
      </w:r>
      <w:r w:rsidR="00DB4E00">
        <w:rPr>
          <w:rFonts w:cs="Calibri"/>
        </w:rPr>
        <w:t>Indian education stakeholders’</w:t>
      </w:r>
      <w:r w:rsidR="00712B5B">
        <w:rPr>
          <w:rFonts w:cs="Calibri"/>
        </w:rPr>
        <w:t xml:space="preserve"> feedback on</w:t>
      </w:r>
      <w:r w:rsidR="00D356CD" w:rsidRPr="00586EDD">
        <w:rPr>
          <w:rFonts w:cs="Calibri"/>
        </w:rPr>
        <w:t xml:space="preserve"> </w:t>
      </w:r>
      <w:r w:rsidR="00712B5B">
        <w:rPr>
          <w:rFonts w:cs="Calibri"/>
        </w:rPr>
        <w:t xml:space="preserve">the </w:t>
      </w:r>
      <w:r w:rsidR="006079FB">
        <w:rPr>
          <w:rFonts w:cs="Calibri"/>
        </w:rPr>
        <w:t>National Indian Education Study (NIES) 2015 Report (</w:t>
      </w:r>
      <w:r w:rsidR="00D0603A">
        <w:rPr>
          <w:rFonts w:cs="Calibri"/>
        </w:rPr>
        <w:t xml:space="preserve">National Center For Education Statistics </w:t>
      </w:r>
      <w:r w:rsidR="00D0603A" w:rsidRPr="00D0603A">
        <w:rPr>
          <w:rFonts w:cs="Calibri"/>
          <w:szCs w:val="24"/>
        </w:rPr>
        <w:t>2017</w:t>
      </w:r>
      <w:r w:rsidR="00D0603A" w:rsidRPr="00D0603A">
        <w:rPr>
          <w:rFonts w:cs="Calibri"/>
        </w:rPr>
        <w:t>-161).</w:t>
      </w:r>
    </w:p>
    <w:p w14:paraId="53787999" w14:textId="29B22433" w:rsidR="00E8591A" w:rsidRPr="00494774" w:rsidRDefault="00E8591A"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10" w:name="_Toc5002100"/>
      <w:r w:rsidRPr="00494774">
        <w:rPr>
          <w:rFonts w:asciiTheme="minorHAnsi" w:hAnsiTheme="minorHAnsi"/>
          <w:color w:val="1F497D" w:themeColor="text2"/>
          <w:sz w:val="28"/>
          <w:szCs w:val="28"/>
        </w:rPr>
        <w:t>Background and Study Rationale</w:t>
      </w:r>
      <w:bookmarkEnd w:id="10"/>
    </w:p>
    <w:p w14:paraId="2F649054" w14:textId="77777777" w:rsidR="00C640B5" w:rsidRDefault="00A4522B" w:rsidP="00DB2043">
      <w:pPr>
        <w:spacing w:after="120" w:line="240" w:lineRule="auto"/>
      </w:pPr>
      <w:r w:rsidRPr="00553848">
        <w:t xml:space="preserve">NIES </w:t>
      </w:r>
      <w:r w:rsidR="0028226E">
        <w:t xml:space="preserve">is </w:t>
      </w:r>
      <w:r w:rsidRPr="00553848">
        <w:t xml:space="preserve">sponsored by the Office of Indian Education (OIE) and conducted </w:t>
      </w:r>
      <w:r w:rsidR="0028226E">
        <w:t xml:space="preserve">in conjunction with </w:t>
      </w:r>
      <w:r>
        <w:t>the National Assessment of Educational Progress (NAEP)</w:t>
      </w:r>
      <w:r w:rsidR="0028226E">
        <w:t>. The study</w:t>
      </w:r>
      <w:r w:rsidRPr="00553848">
        <w:t xml:space="preserve"> </w:t>
      </w:r>
      <w:r w:rsidR="0028226E">
        <w:t>i</w:t>
      </w:r>
      <w:r w:rsidR="0028226E" w:rsidRPr="00553848">
        <w:t xml:space="preserve">s </w:t>
      </w:r>
      <w:r w:rsidRPr="00553848">
        <w:t xml:space="preserve">authorized under Executive Order 13592, Improving American Indian and Alaska Native </w:t>
      </w:r>
      <w:r w:rsidR="00B44F49">
        <w:t xml:space="preserve">(AI/AN) </w:t>
      </w:r>
      <w:r w:rsidRPr="00553848">
        <w:t xml:space="preserve">Educational Opportunities and Strengthening Tribal Colleges and Universities, which was issued in 2011. Executive Order 13592 is the most recent authorization of Executive Order 13336, </w:t>
      </w:r>
      <w:r w:rsidR="00FE1A60">
        <w:t>AI/AN</w:t>
      </w:r>
      <w:r w:rsidRPr="00553848">
        <w:t xml:space="preserve"> Education, issued in 2004. To date, </w:t>
      </w:r>
      <w:r w:rsidRPr="00206D55">
        <w:t>NIES has been cond</w:t>
      </w:r>
      <w:r>
        <w:t>u</w:t>
      </w:r>
      <w:r w:rsidRPr="00206D55">
        <w:t xml:space="preserve">cted </w:t>
      </w:r>
      <w:r w:rsidR="0028226E">
        <w:t>six</w:t>
      </w:r>
      <w:r w:rsidR="0028226E" w:rsidRPr="00206D55">
        <w:t xml:space="preserve"> </w:t>
      </w:r>
      <w:r w:rsidRPr="00206D55">
        <w:t>times, in 2005, 2007</w:t>
      </w:r>
      <w:r>
        <w:t>,</w:t>
      </w:r>
      <w:r w:rsidRPr="00206D55">
        <w:t xml:space="preserve"> 2009</w:t>
      </w:r>
      <w:r>
        <w:t xml:space="preserve">, </w:t>
      </w:r>
      <w:r w:rsidRPr="00553848">
        <w:t xml:space="preserve">2011, </w:t>
      </w:r>
      <w:r w:rsidR="0028226E">
        <w:t>2015</w:t>
      </w:r>
      <w:r w:rsidR="0048777E">
        <w:t>,</w:t>
      </w:r>
      <w:r w:rsidR="0028226E">
        <w:t xml:space="preserve"> </w:t>
      </w:r>
      <w:r w:rsidRPr="00553848">
        <w:t xml:space="preserve">and </w:t>
      </w:r>
      <w:r w:rsidR="0028226E" w:rsidRPr="00553848">
        <w:t>201</w:t>
      </w:r>
      <w:r w:rsidR="0028226E">
        <w:t>9</w:t>
      </w:r>
      <w:r w:rsidRPr="00553848">
        <w:t>.</w:t>
      </w:r>
    </w:p>
    <w:p w14:paraId="2288D558" w14:textId="0CF994C2" w:rsidR="0030300D" w:rsidRDefault="00494774" w:rsidP="00660E65">
      <w:pPr>
        <w:spacing w:before="240" w:after="120" w:line="240" w:lineRule="auto"/>
      </w:pPr>
      <w:r w:rsidRPr="00833A73">
        <w:rPr>
          <w:rFonts w:eastAsia="Times New Roman"/>
          <w:color w:val="000000"/>
        </w:rPr>
        <w:t>NAEP is a federally authorized</w:t>
      </w:r>
      <w:r w:rsidRPr="00833A73">
        <w:rPr>
          <w:rFonts w:eastAsia="Times New Roman"/>
        </w:rPr>
        <w:t xml:space="preserve"> </w:t>
      </w:r>
      <w:r w:rsidRPr="00833A73">
        <w:rPr>
          <w:rFonts w:eastAsia="Times New Roman"/>
          <w:color w:val="000000"/>
        </w:rPr>
        <w:t xml:space="preserve">survey </w:t>
      </w:r>
      <w:r w:rsidR="00666B4B" w:rsidRPr="00833A73">
        <w:rPr>
          <w:rFonts w:eastAsia="Times New Roman"/>
          <w:color w:val="000000"/>
        </w:rPr>
        <w:t xml:space="preserve">by </w:t>
      </w:r>
      <w:r w:rsidRPr="00833A73">
        <w:rPr>
          <w:rFonts w:eastAsia="Times New Roman"/>
        </w:rPr>
        <w:t>the National Assessment of Educational Progress Authorization Act</w:t>
      </w:r>
      <w:r w:rsidR="00666B4B" w:rsidRPr="00833A73">
        <w:rPr>
          <w:rFonts w:eastAsia="Times New Roman"/>
        </w:rPr>
        <w:t xml:space="preserve"> (</w:t>
      </w:r>
      <w:r w:rsidRPr="00833A73">
        <w:rPr>
          <w:rFonts w:eastAsia="Times New Roman"/>
        </w:rPr>
        <w:t xml:space="preserve">20 U.S.C. §9622) of student achievement at grades 4, 8, and 12 in various subject areas, such as mathematics, reading, writing, science, U.S. history, civics, geography, economics, and the arts. NAEP is conducted by </w:t>
      </w:r>
      <w:r w:rsidR="00213040" w:rsidRPr="00833A73">
        <w:rPr>
          <w:rFonts w:eastAsia="Times New Roman"/>
        </w:rPr>
        <w:t xml:space="preserve">the </w:t>
      </w:r>
      <w:r w:rsidR="00213040" w:rsidRPr="00833A73">
        <w:rPr>
          <w:rFonts w:cs="Calibri"/>
        </w:rPr>
        <w:t>National Center for Education Statistics (NCES)</w:t>
      </w:r>
      <w:r w:rsidRPr="00833A73">
        <w:rPr>
          <w:rFonts w:eastAsia="Times New Roman"/>
        </w:rPr>
        <w:t>, which is part of the Institute of Education Sciences, within the U.S. Department of Education.</w:t>
      </w:r>
      <w:r w:rsidRPr="008B38BB">
        <w:rPr>
          <w:rFonts w:eastAsia="Times New Roman"/>
        </w:rPr>
        <w:t xml:space="preserve"> NAEP’s primary purpose is to assess student achievement in the different subject areas and collect survey questionnaire (i.e., non-cognitive) data from students, teachers, and </w:t>
      </w:r>
      <w:r w:rsidR="00EA464A">
        <w:rPr>
          <w:rFonts w:eastAsia="Times New Roman"/>
        </w:rPr>
        <w:t>principals</w:t>
      </w:r>
      <w:r w:rsidRPr="008B38BB">
        <w:rPr>
          <w:rFonts w:eastAsia="Times New Roman"/>
        </w:rPr>
        <w:t xml:space="preserve"> to provide context for the reporting and interpretation of assessment results.</w:t>
      </w:r>
      <w:r w:rsidR="0030300D">
        <w:rPr>
          <w:rFonts w:eastAsia="Times New Roman"/>
        </w:rPr>
        <w:t xml:space="preserve"> </w:t>
      </w:r>
      <w:r w:rsidR="003F31D1">
        <w:t xml:space="preserve">Since 1969, </w:t>
      </w:r>
      <w:r w:rsidR="00F7574A" w:rsidRPr="00635600">
        <w:t xml:space="preserve">NAEP has been a </w:t>
      </w:r>
      <w:r w:rsidR="000B1819" w:rsidRPr="00635600">
        <w:t xml:space="preserve">major </w:t>
      </w:r>
      <w:r w:rsidR="00F7574A" w:rsidRPr="00635600">
        <w:t xml:space="preserve">part of the </w:t>
      </w:r>
      <w:r w:rsidR="003F31D1" w:rsidRPr="00635600">
        <w:t xml:space="preserve">country’s </w:t>
      </w:r>
      <w:r w:rsidR="00F7574A" w:rsidRPr="00635600">
        <w:t>fabric of reporting on what students know and can do</w:t>
      </w:r>
      <w:r w:rsidR="00BD5A4E" w:rsidRPr="00635600">
        <w:t xml:space="preserve"> and, </w:t>
      </w:r>
      <w:r w:rsidR="00F7574A" w:rsidRPr="00635600">
        <w:t>since 1969, there has been a growing need for innovative reporting gear</w:t>
      </w:r>
      <w:r w:rsidR="0030300D">
        <w:t>ed toward teachers and schools.</w:t>
      </w:r>
    </w:p>
    <w:p w14:paraId="77C666A7" w14:textId="538F74C6" w:rsidR="00C640B5" w:rsidRDefault="00635600" w:rsidP="0030300D">
      <w:pPr>
        <w:spacing w:before="240" w:after="120" w:line="240" w:lineRule="auto"/>
        <w:rPr>
          <w:color w:val="000000" w:themeColor="text1"/>
        </w:rPr>
      </w:pPr>
      <w:r w:rsidRPr="00635600">
        <w:t xml:space="preserve">NIES is administered as part of </w:t>
      </w:r>
      <w:r w:rsidR="00EC75ED">
        <w:t>NAEP</w:t>
      </w:r>
      <w:r w:rsidRPr="00635600">
        <w:t xml:space="preserve"> to allow more in-depth reporting on the achievement and experiences of AI/AN students in grades 4 and 8. </w:t>
      </w:r>
      <w:r w:rsidR="00660E65" w:rsidRPr="00660E65">
        <w:rPr>
          <w:color w:val="000000" w:themeColor="text1"/>
        </w:rPr>
        <w:t>NCES has produced NIES report(s) for each administration of the study.</w:t>
      </w:r>
      <w:r w:rsidR="0030300D">
        <w:rPr>
          <w:color w:val="000000" w:themeColor="text1"/>
        </w:rPr>
        <w:t xml:space="preserve"> </w:t>
      </w:r>
      <w:r w:rsidR="00660E65" w:rsidRPr="00660E65">
        <w:rPr>
          <w:color w:val="000000" w:themeColor="text1"/>
        </w:rPr>
        <w:t xml:space="preserve">As part of the continuing effort to enhance the NIES reports, NCES conducted a focus group study on the NIES 2009 reports. The purpose of that focus group study was to evaluate NCES’s recommended enhancements for future NIES reports. To ensure that appropriate and relevant feedback was obtained from meaningful sources, participation was sought from attendees to the 2010 National Indian Education Association annual convention. The purpose of the </w:t>
      </w:r>
      <w:r w:rsidR="00714CED">
        <w:rPr>
          <w:color w:val="000000" w:themeColor="text1"/>
        </w:rPr>
        <w:t xml:space="preserve">upcoming </w:t>
      </w:r>
      <w:r w:rsidR="00660E65" w:rsidRPr="00660E65">
        <w:rPr>
          <w:color w:val="000000" w:themeColor="text1"/>
        </w:rPr>
        <w:t>focus group study is to review the NIES 2015: AI/AN Students at Grades 4 and 8 (NCES 2017-161) report and ensure that appropriate and relevant feedback is obtained from meaningful sources on the report regarding data gathered in 2015 and published in 2017.</w:t>
      </w:r>
    </w:p>
    <w:p w14:paraId="22138775" w14:textId="107BC878" w:rsidR="0080425A" w:rsidRDefault="00B91DA5" w:rsidP="00660E65">
      <w:pPr>
        <w:spacing w:before="240" w:after="120" w:line="240" w:lineRule="auto"/>
      </w:pPr>
      <w:r>
        <w:t>This focus group will obtain relevant feedback fr</w:t>
      </w:r>
      <w:r w:rsidR="00402BC6">
        <w:t>o</w:t>
      </w:r>
      <w:r>
        <w:t xml:space="preserve">m Indian education stakeholders, </w:t>
      </w:r>
      <w:r w:rsidR="008915C0">
        <w:t xml:space="preserve">which may </w:t>
      </w:r>
      <w:r>
        <w:t>includ</w:t>
      </w:r>
      <w:r w:rsidR="008915C0">
        <w:t>e</w:t>
      </w:r>
      <w:r>
        <w:t xml:space="preserve"> school administrators, teachers, school board members</w:t>
      </w:r>
      <w:r w:rsidR="00C845E3">
        <w:t>,</w:t>
      </w:r>
      <w:r>
        <w:t xml:space="preserve"> </w:t>
      </w:r>
      <w:r w:rsidR="00402BC6">
        <w:t xml:space="preserve">and other education stakeholders </w:t>
      </w:r>
      <w:r>
        <w:t xml:space="preserve">from high-density public schools </w:t>
      </w:r>
      <w:r w:rsidR="00402BC6">
        <w:t>(</w:t>
      </w:r>
      <w:r w:rsidR="00BA08EA">
        <w:t xml:space="preserve">25 percent or more of all the students in the school are AI/AN) </w:t>
      </w:r>
      <w:r>
        <w:t>and B</w:t>
      </w:r>
      <w:r w:rsidR="00D2567F">
        <w:t xml:space="preserve">ureau of </w:t>
      </w:r>
      <w:r>
        <w:t>I</w:t>
      </w:r>
      <w:r w:rsidR="00D2567F">
        <w:t xml:space="preserve">ndian </w:t>
      </w:r>
      <w:r>
        <w:t>E</w:t>
      </w:r>
      <w:r w:rsidR="00D2567F">
        <w:t>ducation (BIE)</w:t>
      </w:r>
      <w:r>
        <w:t xml:space="preserve"> schools.</w:t>
      </w:r>
      <w:r w:rsidR="001270A3">
        <w:t xml:space="preserve"> </w:t>
      </w:r>
      <w:r w:rsidR="00744BE6">
        <w:t>Previous</w:t>
      </w:r>
      <w:r w:rsidR="0080425A" w:rsidRPr="008F08F5">
        <w:t xml:space="preserve"> focus groups </w:t>
      </w:r>
      <w:r w:rsidR="0080425A">
        <w:t>were designed to gather</w:t>
      </w:r>
      <w:r w:rsidR="0080425A" w:rsidRPr="008F08F5">
        <w:t xml:space="preserve"> the knowledge, attitudes, and beliefs of the participants concerning </w:t>
      </w:r>
      <w:r w:rsidR="00402BC6">
        <w:t xml:space="preserve">how the data might be used, </w:t>
      </w:r>
      <w:r w:rsidR="0080425A" w:rsidRPr="008F08F5">
        <w:t>the utility of the presentation of the data (e.g., accessibility and</w:t>
      </w:r>
      <w:r w:rsidR="00402BC6">
        <w:t xml:space="preserve"> purpose</w:t>
      </w:r>
      <w:r w:rsidR="0080425A" w:rsidRPr="008F08F5">
        <w:t xml:space="preserve">), </w:t>
      </w:r>
      <w:r w:rsidR="00402BC6">
        <w:t xml:space="preserve">how the report portrays AI/AN academic achievement, </w:t>
      </w:r>
      <w:r w:rsidR="0080425A" w:rsidRPr="008F08F5">
        <w:t xml:space="preserve">layout and data presentation, clarity of the information being reported, </w:t>
      </w:r>
      <w:r w:rsidR="00B44F49">
        <w:t xml:space="preserve">and </w:t>
      </w:r>
      <w:r w:rsidR="00C845E3">
        <w:t>the effect of the content organization</w:t>
      </w:r>
      <w:r w:rsidR="00B44F49">
        <w:t xml:space="preserve"> (tables</w:t>
      </w:r>
      <w:r w:rsidR="0080425A" w:rsidRPr="008F08F5">
        <w:t>,</w:t>
      </w:r>
      <w:r w:rsidR="00B44F49">
        <w:t xml:space="preserve"> graphs, and color</w:t>
      </w:r>
      <w:r w:rsidR="00EC7EF9">
        <w:t>.</w:t>
      </w:r>
      <w:r w:rsidR="00B44F49">
        <w:t>)</w:t>
      </w:r>
      <w:r w:rsidR="001270A3">
        <w:t>.</w:t>
      </w:r>
      <w:r w:rsidR="0080425A" w:rsidRPr="008F08F5">
        <w:t xml:space="preserve"> In this manner, the focus groups </w:t>
      </w:r>
      <w:r w:rsidR="0080425A">
        <w:t>were expected to provide important</w:t>
      </w:r>
      <w:r w:rsidR="0080425A" w:rsidRPr="008F08F5">
        <w:t xml:space="preserve"> feedback on the content, presentation, and usability of the reports for end-users</w:t>
      </w:r>
      <w:r w:rsidR="0080425A">
        <w:t xml:space="preserve">, including perceptions of </w:t>
      </w:r>
      <w:r w:rsidR="0080425A" w:rsidRPr="008F08F5">
        <w:t>specific items (graphs, examples, statistics, etc.), mode of presentation, and knowledge conveyed.</w:t>
      </w:r>
      <w:r w:rsidR="00744BE6">
        <w:t xml:space="preserve"> The current focus group will have the same design.</w:t>
      </w:r>
    </w:p>
    <w:p w14:paraId="516B6224" w14:textId="5804A9A0" w:rsidR="00660E65" w:rsidRPr="003E5159" w:rsidRDefault="00660E65" w:rsidP="003E5159">
      <w:pPr>
        <w:spacing w:before="240" w:after="120" w:line="240" w:lineRule="auto"/>
        <w:rPr>
          <w:color w:val="000000" w:themeColor="text1"/>
        </w:rPr>
      </w:pPr>
      <w:r w:rsidRPr="00660E65">
        <w:rPr>
          <w:color w:val="000000" w:themeColor="text1"/>
        </w:rPr>
        <w:t xml:space="preserve">The </w:t>
      </w:r>
      <w:r w:rsidR="00AD2210">
        <w:rPr>
          <w:color w:val="000000" w:themeColor="text1"/>
        </w:rPr>
        <w:t xml:space="preserve">focus group </w:t>
      </w:r>
      <w:r w:rsidRPr="00660E65">
        <w:rPr>
          <w:color w:val="000000" w:themeColor="text1"/>
        </w:rPr>
        <w:t xml:space="preserve">session will have a minimum of </w:t>
      </w:r>
      <w:r w:rsidR="003E5159">
        <w:rPr>
          <w:color w:val="000000" w:themeColor="text1"/>
        </w:rPr>
        <w:t>8</w:t>
      </w:r>
      <w:r w:rsidRPr="00660E65">
        <w:rPr>
          <w:color w:val="000000" w:themeColor="text1"/>
        </w:rPr>
        <w:t xml:space="preserve"> and a maximum of 12 participants to provide a dialogue. There will be a moderator and a stenographer in order to allow the discussion to flow. The stenographer will take notes as well as make an audio recording of the session.</w:t>
      </w:r>
      <w:r w:rsidR="0030300D">
        <w:rPr>
          <w:color w:val="000000" w:themeColor="text1"/>
        </w:rPr>
        <w:t xml:space="preserve"> </w:t>
      </w:r>
      <w:r w:rsidRPr="00660E65">
        <w:rPr>
          <w:color w:val="000000" w:themeColor="text1"/>
        </w:rPr>
        <w:t>Outreach efforts will be made to recruit participants as well as alternates to account for possible no-shows and cancellations. To assure a diverse sample of participants, we will utilize a screener [Appendix E</w:t>
      </w:r>
      <w:r w:rsidR="008B65A4">
        <w:rPr>
          <w:color w:val="000000" w:themeColor="text1"/>
        </w:rPr>
        <w:t xml:space="preserve"> – </w:t>
      </w:r>
      <w:r w:rsidR="00E72150">
        <w:rPr>
          <w:color w:val="000000" w:themeColor="text1"/>
        </w:rPr>
        <w:t xml:space="preserve">mailed when contacting via </w:t>
      </w:r>
      <w:r w:rsidR="008B65A4" w:rsidRPr="008B65A4">
        <w:rPr>
          <w:color w:val="000000" w:themeColor="text1"/>
        </w:rPr>
        <w:t>mail and/or letter</w:t>
      </w:r>
      <w:r w:rsidR="002E4ACD">
        <w:rPr>
          <w:color w:val="000000" w:themeColor="text1"/>
        </w:rPr>
        <w:t xml:space="preserve">, G </w:t>
      </w:r>
      <w:r w:rsidR="007E3D2E">
        <w:rPr>
          <w:color w:val="000000" w:themeColor="text1"/>
        </w:rPr>
        <w:t>–</w:t>
      </w:r>
      <w:r w:rsidR="00E72150">
        <w:rPr>
          <w:color w:val="000000" w:themeColor="text1"/>
        </w:rPr>
        <w:t xml:space="preserve"> </w:t>
      </w:r>
      <w:r w:rsidR="002E4ACD" w:rsidRPr="002E4ACD">
        <w:rPr>
          <w:color w:val="000000" w:themeColor="text1"/>
        </w:rPr>
        <w:t xml:space="preserve">read by interviewer during </w:t>
      </w:r>
      <w:r w:rsidR="00E72150">
        <w:rPr>
          <w:color w:val="000000" w:themeColor="text1"/>
        </w:rPr>
        <w:t xml:space="preserve">a </w:t>
      </w:r>
      <w:r w:rsidR="002E4ACD" w:rsidRPr="002E4ACD">
        <w:rPr>
          <w:color w:val="000000" w:themeColor="text1"/>
        </w:rPr>
        <w:t>follow-up call</w:t>
      </w:r>
      <w:r w:rsidR="0054688B">
        <w:rPr>
          <w:color w:val="000000" w:themeColor="text1"/>
        </w:rPr>
        <w:t xml:space="preserve"> </w:t>
      </w:r>
      <w:r w:rsidR="002E4ACD">
        <w:rPr>
          <w:color w:val="000000" w:themeColor="text1"/>
        </w:rPr>
        <w:t xml:space="preserve">or </w:t>
      </w:r>
      <w:r w:rsidR="00C95E17">
        <w:rPr>
          <w:color w:val="000000" w:themeColor="text1"/>
        </w:rPr>
        <w:t xml:space="preserve">when </w:t>
      </w:r>
      <w:r w:rsidR="007E3D2E" w:rsidRPr="007E3D2E">
        <w:rPr>
          <w:color w:val="000000" w:themeColor="text1"/>
        </w:rPr>
        <w:t>calling potential participants from a compiled list</w:t>
      </w:r>
      <w:r w:rsidRPr="00660E65">
        <w:rPr>
          <w:color w:val="000000" w:themeColor="text1"/>
        </w:rPr>
        <w:t>] to identify position or role in education (teacher, school administrator, tribal leader, parent), years in that role, race/ethnicity, sex, and school type (BIE or high-density public schools).</w:t>
      </w:r>
    </w:p>
    <w:p w14:paraId="42C1157D" w14:textId="6E3509DD" w:rsidR="00AD327F" w:rsidRPr="00CD104F" w:rsidRDefault="00AD327F" w:rsidP="00CD104F">
      <w:pPr>
        <w:pStyle w:val="Heading1"/>
        <w:numPr>
          <w:ilvl w:val="0"/>
          <w:numId w:val="17"/>
        </w:numPr>
        <w:ind w:left="360"/>
        <w:rPr>
          <w:rFonts w:asciiTheme="minorHAnsi" w:hAnsiTheme="minorHAnsi"/>
          <w:color w:val="1F497D" w:themeColor="text2"/>
          <w:sz w:val="28"/>
          <w:szCs w:val="28"/>
        </w:rPr>
      </w:pPr>
      <w:bookmarkStart w:id="11" w:name="_Toc5002101"/>
      <w:r w:rsidRPr="00CD104F">
        <w:rPr>
          <w:rFonts w:asciiTheme="minorHAnsi" w:hAnsiTheme="minorHAnsi"/>
          <w:color w:val="1F497D" w:themeColor="text2"/>
          <w:sz w:val="28"/>
          <w:szCs w:val="28"/>
        </w:rPr>
        <w:t>Recruitment and Data Collection</w:t>
      </w:r>
      <w:bookmarkEnd w:id="11"/>
    </w:p>
    <w:p w14:paraId="19A4B339" w14:textId="77777777" w:rsidR="00CF08CF" w:rsidRDefault="00C44C0B" w:rsidP="008F0851">
      <w:pPr>
        <w:spacing w:after="120" w:line="240" w:lineRule="auto"/>
        <w:rPr>
          <w:rStyle w:val="Emphasis"/>
          <w:b/>
          <w:i w:val="0"/>
        </w:rPr>
      </w:pPr>
      <w:bookmarkStart w:id="12" w:name="_Toc522289836"/>
      <w:r w:rsidRPr="001F5289">
        <w:rPr>
          <w:rStyle w:val="Emphasis"/>
          <w:b/>
          <w:i w:val="0"/>
        </w:rPr>
        <w:t>Recruitment</w:t>
      </w:r>
      <w:bookmarkEnd w:id="12"/>
    </w:p>
    <w:p w14:paraId="34389F25" w14:textId="76334AF2" w:rsidR="00C640B5" w:rsidRDefault="00A50DCF" w:rsidP="00DB2043">
      <w:pPr>
        <w:spacing w:after="0" w:line="240" w:lineRule="auto"/>
        <w:rPr>
          <w:szCs w:val="24"/>
          <w:lang w:eastAsia="ko-KR"/>
        </w:rPr>
      </w:pPr>
      <w:r w:rsidRPr="00B91DA5">
        <w:t xml:space="preserve">Under a contract </w:t>
      </w:r>
      <w:r w:rsidR="00B91DA5" w:rsidRPr="00B91DA5">
        <w:t>to</w:t>
      </w:r>
      <w:r w:rsidR="00405744">
        <w:t xml:space="preserve"> the</w:t>
      </w:r>
      <w:r w:rsidR="00B91DA5" w:rsidRPr="00B91DA5">
        <w:t xml:space="preserve"> U</w:t>
      </w:r>
      <w:r w:rsidR="00405744">
        <w:t>.</w:t>
      </w:r>
      <w:r w:rsidR="00B91DA5" w:rsidRPr="00B91DA5">
        <w:t>S. Dep</w:t>
      </w:r>
      <w:r w:rsidR="00BE34C1">
        <w:t>artmen</w:t>
      </w:r>
      <w:r w:rsidR="00B91DA5" w:rsidRPr="00B91DA5">
        <w:t>t of Education</w:t>
      </w:r>
      <w:r w:rsidR="00B91DA5">
        <w:t xml:space="preserve">, Institute of Education </w:t>
      </w:r>
      <w:r w:rsidR="00B91DA5" w:rsidRPr="00B91DA5">
        <w:t>Services</w:t>
      </w:r>
      <w:r w:rsidRPr="00B91DA5">
        <w:t xml:space="preserve">, </w:t>
      </w:r>
      <w:r w:rsidR="00B91DA5" w:rsidRPr="00B91DA5">
        <w:t>Tribal Tech, LLC</w:t>
      </w:r>
      <w:r w:rsidR="00C44C0B" w:rsidRPr="00B91DA5">
        <w:t xml:space="preserve"> </w:t>
      </w:r>
      <w:r w:rsidR="00754DDD">
        <w:t>developed</w:t>
      </w:r>
      <w:r w:rsidR="008915C0">
        <w:t xml:space="preserve"> screening questions </w:t>
      </w:r>
      <w:r w:rsidR="00C44C0B" w:rsidRPr="00B91DA5">
        <w:t xml:space="preserve">for NAEP and will be responsible for the overall management of the focus group. </w:t>
      </w:r>
      <w:r w:rsidR="00744BE6" w:rsidRPr="00B91DA5">
        <w:t>Tribal Tech, LLC</w:t>
      </w:r>
      <w:r w:rsidR="0051549E">
        <w:t xml:space="preserve"> </w:t>
      </w:r>
      <w:r w:rsidR="00C44C0B" w:rsidRPr="00B91DA5">
        <w:t xml:space="preserve">will be responsible for </w:t>
      </w:r>
      <w:r w:rsidR="009832BC" w:rsidRPr="00B91DA5">
        <w:t xml:space="preserve">focus group </w:t>
      </w:r>
      <w:r w:rsidR="00C44C0B" w:rsidRPr="00B91DA5">
        <w:t>recruitment and administ</w:t>
      </w:r>
      <w:r w:rsidR="009832BC" w:rsidRPr="00B91DA5">
        <w:t>ration</w:t>
      </w:r>
      <w:r w:rsidR="00B91DA5" w:rsidRPr="00B91DA5">
        <w:t>.</w:t>
      </w:r>
      <w:r w:rsidR="0092592D" w:rsidRPr="00B91DA5">
        <w:t xml:space="preserve"> </w:t>
      </w:r>
      <w:r w:rsidR="00F255B8">
        <w:rPr>
          <w:lang w:eastAsia="ko-KR"/>
        </w:rPr>
        <w:t>P</w:t>
      </w:r>
      <w:r w:rsidR="00C44C0B" w:rsidRPr="00C44C0B">
        <w:rPr>
          <w:lang w:eastAsia="ko-KR"/>
        </w:rPr>
        <w:t xml:space="preserve">articipants </w:t>
      </w:r>
      <w:r w:rsidR="00F255B8">
        <w:rPr>
          <w:lang w:eastAsia="ko-KR"/>
        </w:rPr>
        <w:t xml:space="preserve">will be recruited </w:t>
      </w:r>
      <w:r w:rsidR="00B91DA5">
        <w:t xml:space="preserve">from pre-registered individuals planning to attend the </w:t>
      </w:r>
      <w:r w:rsidR="00334328">
        <w:t xml:space="preserve">Tenth Annual </w:t>
      </w:r>
      <w:r w:rsidR="00B91DA5">
        <w:t>American</w:t>
      </w:r>
      <w:r w:rsidR="00405744">
        <w:t xml:space="preserve"> </w:t>
      </w:r>
      <w:r w:rsidR="00B91DA5">
        <w:t>Indian/Indigenous Teacher Education Conference</w:t>
      </w:r>
      <w:r w:rsidR="00723AF8">
        <w:t xml:space="preserve"> on</w:t>
      </w:r>
      <w:r w:rsidR="00334328">
        <w:t xml:space="preserve"> June 21-22, 2019</w:t>
      </w:r>
      <w:r w:rsidR="00723AF8">
        <w:t>,</w:t>
      </w:r>
      <w:r w:rsidR="00334328">
        <w:t xml:space="preserve"> in Flagstaff, Arizona, sponsored by Northern Arizona University</w:t>
      </w:r>
      <w:r w:rsidR="00B91DA5">
        <w:t>.</w:t>
      </w:r>
      <w:r w:rsidR="00B91DA5">
        <w:rPr>
          <w:lang w:eastAsia="ko-KR"/>
        </w:rPr>
        <w:t xml:space="preserve"> </w:t>
      </w:r>
      <w:r w:rsidR="00F034C0">
        <w:rPr>
          <w:lang w:eastAsia="ko-KR"/>
        </w:rPr>
        <w:t>We will pursue a</w:t>
      </w:r>
      <w:r w:rsidR="00AD3736" w:rsidRPr="00AD327F">
        <w:rPr>
          <w:lang w:eastAsia="ko-KR"/>
        </w:rPr>
        <w:t xml:space="preserve"> participant recruitment strategy that integrates multiple </w:t>
      </w:r>
      <w:r w:rsidR="00AD3736" w:rsidRPr="00334328">
        <w:rPr>
          <w:szCs w:val="24"/>
          <w:lang w:eastAsia="ko-KR"/>
        </w:rPr>
        <w:t>contact methods</w:t>
      </w:r>
      <w:r w:rsidR="00F034C0" w:rsidRPr="00334328">
        <w:rPr>
          <w:szCs w:val="24"/>
          <w:lang w:eastAsia="ko-KR"/>
        </w:rPr>
        <w:t>.</w:t>
      </w:r>
      <w:r w:rsidR="00CF08CF" w:rsidRPr="00334328">
        <w:rPr>
          <w:szCs w:val="24"/>
          <w:lang w:eastAsia="ko-KR"/>
        </w:rPr>
        <w:t xml:space="preserve"> </w:t>
      </w:r>
      <w:r w:rsidR="00AD3736" w:rsidRPr="00334328">
        <w:rPr>
          <w:szCs w:val="24"/>
          <w:lang w:eastAsia="ko-KR"/>
        </w:rPr>
        <w:t>Th</w:t>
      </w:r>
      <w:r w:rsidR="00F034C0" w:rsidRPr="00334328">
        <w:rPr>
          <w:szCs w:val="24"/>
          <w:lang w:eastAsia="ko-KR"/>
        </w:rPr>
        <w:t>ese method</w:t>
      </w:r>
      <w:r w:rsidR="0025011D" w:rsidRPr="00334328">
        <w:rPr>
          <w:szCs w:val="24"/>
          <w:lang w:eastAsia="ko-KR"/>
        </w:rPr>
        <w:t>s</w:t>
      </w:r>
      <w:r w:rsidR="00F034C0" w:rsidRPr="00334328">
        <w:rPr>
          <w:szCs w:val="24"/>
          <w:lang w:eastAsia="ko-KR"/>
        </w:rPr>
        <w:t xml:space="preserve"> </w:t>
      </w:r>
      <w:r w:rsidR="00AD3736" w:rsidRPr="00334328">
        <w:rPr>
          <w:szCs w:val="24"/>
          <w:lang w:eastAsia="ko-KR"/>
        </w:rPr>
        <w:t xml:space="preserve">include </w:t>
      </w:r>
      <w:r w:rsidR="00F034C0" w:rsidRPr="00334328">
        <w:rPr>
          <w:szCs w:val="24"/>
          <w:lang w:eastAsia="ko-KR"/>
        </w:rPr>
        <w:t xml:space="preserve">digital and </w:t>
      </w:r>
      <w:r w:rsidR="006B6AC7">
        <w:rPr>
          <w:szCs w:val="24"/>
          <w:lang w:eastAsia="ko-KR"/>
        </w:rPr>
        <w:t>written</w:t>
      </w:r>
      <w:r w:rsidR="00F034C0" w:rsidRPr="00334328">
        <w:rPr>
          <w:szCs w:val="24"/>
          <w:lang w:eastAsia="ko-KR"/>
        </w:rPr>
        <w:t xml:space="preserve"> </w:t>
      </w:r>
      <w:r w:rsidR="006B6AC7">
        <w:rPr>
          <w:szCs w:val="24"/>
          <w:lang w:eastAsia="ko-KR"/>
        </w:rPr>
        <w:t>outreach</w:t>
      </w:r>
      <w:r w:rsidR="00754DDD">
        <w:rPr>
          <w:szCs w:val="24"/>
          <w:lang w:eastAsia="ko-KR"/>
        </w:rPr>
        <w:t>, with possible face-to-face recruitment</w:t>
      </w:r>
      <w:r w:rsidR="009956F5">
        <w:rPr>
          <w:szCs w:val="24"/>
          <w:lang w:eastAsia="ko-KR"/>
        </w:rPr>
        <w:t xml:space="preserve">, </w:t>
      </w:r>
      <w:r w:rsidR="00754DDD">
        <w:rPr>
          <w:szCs w:val="24"/>
          <w:lang w:eastAsia="ko-KR"/>
        </w:rPr>
        <w:t>if necessary</w:t>
      </w:r>
      <w:r w:rsidR="00334328" w:rsidRPr="00334328">
        <w:rPr>
          <w:szCs w:val="24"/>
          <w:lang w:eastAsia="ko-KR"/>
        </w:rPr>
        <w:t>.</w:t>
      </w:r>
    </w:p>
    <w:p w14:paraId="7B3E2548" w14:textId="77777777" w:rsidR="00C640B5" w:rsidRDefault="00C640B5" w:rsidP="00DB2043">
      <w:pPr>
        <w:spacing w:after="0" w:line="240" w:lineRule="auto"/>
        <w:rPr>
          <w:szCs w:val="24"/>
          <w:lang w:eastAsia="ko-KR"/>
        </w:rPr>
      </w:pPr>
    </w:p>
    <w:p w14:paraId="42EC451C" w14:textId="2A46291C" w:rsidR="00C44C0B" w:rsidRDefault="006F34D6" w:rsidP="00DB2043">
      <w:pPr>
        <w:spacing w:after="0" w:line="240" w:lineRule="auto"/>
        <w:rPr>
          <w:szCs w:val="24"/>
        </w:rPr>
      </w:pPr>
      <w:r w:rsidRPr="005E1B3D">
        <w:rPr>
          <w:rFonts w:eastAsia="Malgun Gothic"/>
          <w:szCs w:val="24"/>
          <w:lang w:eastAsia="ko-KR"/>
        </w:rPr>
        <w:t>All initial contact to teachers</w:t>
      </w:r>
      <w:r w:rsidR="00334328" w:rsidRPr="005E1B3D">
        <w:rPr>
          <w:rFonts w:eastAsia="Malgun Gothic"/>
          <w:szCs w:val="24"/>
          <w:lang w:eastAsia="ko-KR"/>
        </w:rPr>
        <w:t xml:space="preserve">, school administrators, and other educational stakeholders </w:t>
      </w:r>
      <w:r w:rsidR="00C63B72" w:rsidRPr="005E1B3D">
        <w:rPr>
          <w:rFonts w:eastAsia="Malgun Gothic"/>
          <w:szCs w:val="24"/>
          <w:lang w:eastAsia="ko-KR"/>
        </w:rPr>
        <w:t xml:space="preserve">will be generated from </w:t>
      </w:r>
      <w:r w:rsidR="00744BE6" w:rsidRPr="005E1B3D">
        <w:rPr>
          <w:rFonts w:eastAsia="Malgun Gothic"/>
          <w:szCs w:val="24"/>
          <w:lang w:eastAsia="ko-KR"/>
        </w:rPr>
        <w:t xml:space="preserve">the conference </w:t>
      </w:r>
      <w:r w:rsidR="006B78B3" w:rsidRPr="005E1B3D">
        <w:rPr>
          <w:rFonts w:eastAsia="Malgun Gothic"/>
          <w:szCs w:val="24"/>
          <w:lang w:eastAsia="ko-KR"/>
        </w:rPr>
        <w:t>registration</w:t>
      </w:r>
      <w:r w:rsidRPr="005E1B3D">
        <w:rPr>
          <w:rFonts w:eastAsia="Malgun Gothic"/>
          <w:szCs w:val="24"/>
          <w:lang w:eastAsia="ko-KR"/>
        </w:rPr>
        <w:t xml:space="preserve">. </w:t>
      </w:r>
      <w:r w:rsidR="006B6AC7" w:rsidRPr="005E1B3D">
        <w:rPr>
          <w:rFonts w:eastAsia="Malgun Gothic"/>
          <w:szCs w:val="24"/>
          <w:lang w:eastAsia="ko-KR"/>
        </w:rPr>
        <w:t xml:space="preserve">An email will be </w:t>
      </w:r>
      <w:r w:rsidR="006B78B3" w:rsidRPr="005E1B3D">
        <w:rPr>
          <w:rFonts w:eastAsia="Malgun Gothic"/>
          <w:szCs w:val="24"/>
          <w:lang w:eastAsia="ko-KR"/>
        </w:rPr>
        <w:t>sent</w:t>
      </w:r>
      <w:r w:rsidR="006B6AC7" w:rsidRPr="005E1B3D">
        <w:rPr>
          <w:rFonts w:eastAsia="Malgun Gothic"/>
          <w:szCs w:val="24"/>
          <w:lang w:eastAsia="ko-KR"/>
        </w:rPr>
        <w:t xml:space="preserve"> to all registrants [Appendix A]</w:t>
      </w:r>
      <w:r w:rsidR="00A91B6E">
        <w:rPr>
          <w:rFonts w:eastAsia="Malgun Gothic"/>
          <w:szCs w:val="24"/>
          <w:lang w:eastAsia="ko-KR"/>
        </w:rPr>
        <w:t>.</w:t>
      </w:r>
      <w:r w:rsidR="006B6AC7" w:rsidRPr="005E1B3D">
        <w:rPr>
          <w:rFonts w:eastAsia="Malgun Gothic"/>
          <w:szCs w:val="24"/>
          <w:lang w:eastAsia="ko-KR"/>
        </w:rPr>
        <w:t xml:space="preserve"> </w:t>
      </w:r>
      <w:r w:rsidR="00DB4E00">
        <w:t>In the week following the initial email</w:t>
      </w:r>
      <w:r w:rsidR="00DB4E00" w:rsidRPr="005E1B3D">
        <w:rPr>
          <w:rFonts w:eastAsia="Malgun Gothic"/>
          <w:szCs w:val="24"/>
          <w:lang w:eastAsia="ko-KR"/>
        </w:rPr>
        <w:t xml:space="preserve"> </w:t>
      </w:r>
      <w:r w:rsidR="00C44C0B" w:rsidRPr="005E1B3D">
        <w:rPr>
          <w:rFonts w:eastAsia="Malgun Gothic"/>
          <w:szCs w:val="24"/>
          <w:lang w:eastAsia="ko-KR"/>
        </w:rPr>
        <w:t xml:space="preserve">contact, </w:t>
      </w:r>
      <w:r w:rsidR="0080425A" w:rsidRPr="005E1B3D">
        <w:rPr>
          <w:rFonts w:eastAsia="Malgun Gothic"/>
          <w:szCs w:val="24"/>
          <w:lang w:eastAsia="ko-KR"/>
        </w:rPr>
        <w:t>Tribal Tech</w:t>
      </w:r>
      <w:r w:rsidR="00976403">
        <w:rPr>
          <w:rFonts w:eastAsia="Malgun Gothic"/>
          <w:szCs w:val="24"/>
          <w:lang w:eastAsia="ko-KR"/>
        </w:rPr>
        <w:t>,</w:t>
      </w:r>
      <w:r w:rsidR="0080425A" w:rsidRPr="005E1B3D">
        <w:rPr>
          <w:rFonts w:eastAsia="Malgun Gothic"/>
          <w:szCs w:val="24"/>
          <w:lang w:eastAsia="ko-KR"/>
        </w:rPr>
        <w:t xml:space="preserve"> </w:t>
      </w:r>
      <w:r w:rsidR="00E858A3" w:rsidRPr="005E1B3D">
        <w:rPr>
          <w:rFonts w:eastAsia="Malgun Gothic"/>
          <w:szCs w:val="24"/>
          <w:lang w:eastAsia="ko-KR"/>
        </w:rPr>
        <w:t xml:space="preserve">LLC </w:t>
      </w:r>
      <w:r w:rsidR="00C44C0B" w:rsidRPr="005E1B3D">
        <w:rPr>
          <w:rFonts w:eastAsia="Malgun Gothic"/>
          <w:szCs w:val="24"/>
          <w:lang w:eastAsia="ko-KR"/>
        </w:rPr>
        <w:t>will make a second contact effort via phone</w:t>
      </w:r>
      <w:r w:rsidR="00497496">
        <w:rPr>
          <w:rFonts w:eastAsia="Malgun Gothic"/>
          <w:szCs w:val="24"/>
          <w:lang w:eastAsia="ko-KR"/>
        </w:rPr>
        <w:t xml:space="preserve"> </w:t>
      </w:r>
      <w:r w:rsidR="00497496" w:rsidRPr="005E1B3D">
        <w:rPr>
          <w:rFonts w:eastAsia="Malgun Gothic"/>
          <w:szCs w:val="24"/>
          <w:lang w:eastAsia="ko-KR"/>
        </w:rPr>
        <w:t xml:space="preserve">[Appendix </w:t>
      </w:r>
      <w:r w:rsidR="00497496">
        <w:rPr>
          <w:rFonts w:eastAsia="Malgun Gothic"/>
          <w:szCs w:val="24"/>
          <w:lang w:eastAsia="ko-KR"/>
        </w:rPr>
        <w:t>G</w:t>
      </w:r>
      <w:r w:rsidR="00497496" w:rsidRPr="005E1B3D">
        <w:rPr>
          <w:rFonts w:eastAsia="Malgun Gothic"/>
          <w:szCs w:val="24"/>
          <w:lang w:eastAsia="ko-KR"/>
        </w:rPr>
        <w:t>]</w:t>
      </w:r>
      <w:r w:rsidR="00B6032E" w:rsidRPr="005E1B3D">
        <w:rPr>
          <w:rFonts w:eastAsia="Malgun Gothic"/>
          <w:szCs w:val="24"/>
          <w:lang w:eastAsia="ko-KR"/>
        </w:rPr>
        <w:t xml:space="preserve"> </w:t>
      </w:r>
      <w:r w:rsidR="00754DDD">
        <w:rPr>
          <w:rFonts w:eastAsia="Malgun Gothic"/>
          <w:szCs w:val="24"/>
          <w:lang w:eastAsia="ko-KR"/>
        </w:rPr>
        <w:t xml:space="preserve">to those participants who </w:t>
      </w:r>
      <w:r w:rsidR="006934FC">
        <w:rPr>
          <w:rFonts w:eastAsia="Malgun Gothic"/>
          <w:szCs w:val="24"/>
          <w:lang w:eastAsia="ko-KR"/>
        </w:rPr>
        <w:t xml:space="preserve">have </w:t>
      </w:r>
      <w:r w:rsidR="00754DDD">
        <w:rPr>
          <w:rFonts w:eastAsia="Malgun Gothic"/>
          <w:szCs w:val="24"/>
          <w:lang w:eastAsia="ko-KR"/>
        </w:rPr>
        <w:t>responded to the initial email</w:t>
      </w:r>
      <w:r w:rsidR="001A4BF4">
        <w:rPr>
          <w:rFonts w:eastAsia="Malgun Gothic"/>
          <w:szCs w:val="24"/>
          <w:lang w:eastAsia="ko-KR"/>
        </w:rPr>
        <w:t>.</w:t>
      </w:r>
      <w:r w:rsidR="001A4BF4" w:rsidRPr="005E1B3D">
        <w:rPr>
          <w:rFonts w:eastAsia="Malgun Gothic"/>
          <w:szCs w:val="24"/>
          <w:lang w:eastAsia="ko-KR"/>
        </w:rPr>
        <w:t xml:space="preserve"> </w:t>
      </w:r>
      <w:r w:rsidR="00C44C0B" w:rsidRPr="005E1B3D">
        <w:rPr>
          <w:rFonts w:eastAsia="Malgun Gothic"/>
          <w:szCs w:val="24"/>
          <w:lang w:eastAsia="ko-KR"/>
        </w:rPr>
        <w:t>Based on experience, outreach efforts are more effective and response rates improve with initial written contact followed by secondary phone contact as the person contact</w:t>
      </w:r>
      <w:r w:rsidR="003B155A" w:rsidRPr="005E1B3D">
        <w:rPr>
          <w:rFonts w:eastAsia="Malgun Gothic"/>
          <w:szCs w:val="24"/>
          <w:lang w:eastAsia="ko-KR"/>
        </w:rPr>
        <w:t>ed</w:t>
      </w:r>
      <w:r w:rsidR="00C44C0B" w:rsidRPr="005E1B3D">
        <w:rPr>
          <w:rFonts w:eastAsia="Malgun Gothic"/>
          <w:szCs w:val="24"/>
          <w:lang w:eastAsia="ko-KR"/>
        </w:rPr>
        <w:t xml:space="preserve"> already has some preliminary information about the research effort and the reason for the call.</w:t>
      </w:r>
      <w:r w:rsidR="0030300D">
        <w:rPr>
          <w:rFonts w:eastAsia="Malgun Gothic"/>
          <w:szCs w:val="24"/>
          <w:lang w:eastAsia="ko-KR"/>
        </w:rPr>
        <w:t xml:space="preserve"> </w:t>
      </w:r>
      <w:r w:rsidR="0080425A" w:rsidRPr="005E1B3D">
        <w:rPr>
          <w:rFonts w:eastAsia="Malgun Gothic"/>
          <w:szCs w:val="24"/>
          <w:lang w:eastAsia="ko-KR"/>
        </w:rPr>
        <w:t>Tribal Tech</w:t>
      </w:r>
      <w:r w:rsidR="00976403">
        <w:rPr>
          <w:rFonts w:eastAsia="Malgun Gothic"/>
          <w:szCs w:val="24"/>
          <w:lang w:eastAsia="ko-KR"/>
        </w:rPr>
        <w:t>,</w:t>
      </w:r>
      <w:r w:rsidR="00A91B6E">
        <w:rPr>
          <w:rFonts w:eastAsia="Malgun Gothic"/>
          <w:szCs w:val="24"/>
          <w:lang w:eastAsia="ko-KR"/>
        </w:rPr>
        <w:t xml:space="preserve"> LLC</w:t>
      </w:r>
      <w:r w:rsidR="008E2005" w:rsidRPr="005E1B3D">
        <w:rPr>
          <w:rFonts w:eastAsia="Malgun Gothic"/>
          <w:szCs w:val="24"/>
          <w:lang w:eastAsia="ko-KR"/>
        </w:rPr>
        <w:t xml:space="preserve"> </w:t>
      </w:r>
      <w:r w:rsidR="00F034C0" w:rsidRPr="005E1B3D">
        <w:rPr>
          <w:rFonts w:eastAsia="Malgun Gothic"/>
          <w:szCs w:val="24"/>
          <w:lang w:eastAsia="ko-KR"/>
        </w:rPr>
        <w:t xml:space="preserve">will contact </w:t>
      </w:r>
      <w:r w:rsidR="00C44C0B" w:rsidRPr="005E1B3D">
        <w:rPr>
          <w:rFonts w:eastAsia="Malgun Gothic"/>
          <w:szCs w:val="24"/>
          <w:lang w:eastAsia="ko-KR"/>
        </w:rPr>
        <w:t xml:space="preserve">individuals once by email and up to </w:t>
      </w:r>
      <w:r w:rsidR="00782F73" w:rsidRPr="005E1B3D">
        <w:rPr>
          <w:rFonts w:eastAsia="Malgun Gothic"/>
          <w:szCs w:val="24"/>
          <w:lang w:eastAsia="ko-KR"/>
        </w:rPr>
        <w:t>three</w:t>
      </w:r>
      <w:r w:rsidR="00C44C0B" w:rsidRPr="005E1B3D">
        <w:rPr>
          <w:rFonts w:eastAsia="Malgun Gothic"/>
          <w:szCs w:val="24"/>
          <w:lang w:eastAsia="ko-KR"/>
        </w:rPr>
        <w:t xml:space="preserve"> times by phone before terminating contact</w:t>
      </w:r>
      <w:r w:rsidR="001A4BF4">
        <w:rPr>
          <w:rFonts w:eastAsia="Malgun Gothic"/>
          <w:szCs w:val="24"/>
          <w:lang w:eastAsia="ko-KR"/>
        </w:rPr>
        <w:t>.</w:t>
      </w:r>
      <w:r w:rsidR="001A4BF4" w:rsidRPr="005E1B3D">
        <w:rPr>
          <w:rFonts w:eastAsia="Malgun Gothic"/>
          <w:szCs w:val="24"/>
          <w:lang w:eastAsia="ko-KR"/>
        </w:rPr>
        <w:t xml:space="preserve"> </w:t>
      </w:r>
      <w:r w:rsidR="00B105E4" w:rsidRPr="005E1B3D">
        <w:rPr>
          <w:szCs w:val="24"/>
        </w:rPr>
        <w:t>F</w:t>
      </w:r>
      <w:r w:rsidR="00AA02EF" w:rsidRPr="005E1B3D">
        <w:rPr>
          <w:szCs w:val="24"/>
        </w:rPr>
        <w:t>ollow-up contact via email</w:t>
      </w:r>
      <w:r w:rsidR="008E2005" w:rsidRPr="005E1B3D">
        <w:rPr>
          <w:szCs w:val="24"/>
        </w:rPr>
        <w:t xml:space="preserve"> and/or </w:t>
      </w:r>
      <w:r w:rsidR="00AA02EF" w:rsidRPr="005E1B3D">
        <w:rPr>
          <w:szCs w:val="24"/>
        </w:rPr>
        <w:t xml:space="preserve">letter </w:t>
      </w:r>
      <w:r w:rsidR="00B105E4" w:rsidRPr="005E1B3D">
        <w:rPr>
          <w:szCs w:val="24"/>
        </w:rPr>
        <w:t xml:space="preserve">will be made to administer the screener </w:t>
      </w:r>
      <w:r w:rsidR="00AD0F2C" w:rsidRPr="005E1B3D">
        <w:rPr>
          <w:rFonts w:eastAsia="Malgun Gothic"/>
          <w:szCs w:val="24"/>
          <w:lang w:eastAsia="ko-KR"/>
        </w:rPr>
        <w:t xml:space="preserve">[Appendix </w:t>
      </w:r>
      <w:r w:rsidR="00754DDD">
        <w:rPr>
          <w:rFonts w:eastAsia="Malgun Gothic"/>
          <w:szCs w:val="24"/>
          <w:lang w:eastAsia="ko-KR"/>
        </w:rPr>
        <w:t>E</w:t>
      </w:r>
      <w:r w:rsidR="00AD0F2C" w:rsidRPr="005E1B3D">
        <w:rPr>
          <w:rFonts w:eastAsia="Malgun Gothic"/>
          <w:szCs w:val="24"/>
          <w:lang w:eastAsia="ko-KR"/>
        </w:rPr>
        <w:t xml:space="preserve">] </w:t>
      </w:r>
      <w:r w:rsidR="00B105E4" w:rsidRPr="005E1B3D">
        <w:rPr>
          <w:szCs w:val="24"/>
        </w:rPr>
        <w:t xml:space="preserve">and with </w:t>
      </w:r>
      <w:r w:rsidR="00AA02EF" w:rsidRPr="005E1B3D">
        <w:rPr>
          <w:szCs w:val="24"/>
        </w:rPr>
        <w:t xml:space="preserve">potential respondents who may be interested in assisting with outreach or in </w:t>
      </w:r>
      <w:r w:rsidR="00676775" w:rsidRPr="005E1B3D">
        <w:rPr>
          <w:szCs w:val="24"/>
        </w:rPr>
        <w:t>participating</w:t>
      </w:r>
      <w:r w:rsidR="00F84E92">
        <w:rPr>
          <w:szCs w:val="24"/>
        </w:rPr>
        <w:t>,</w:t>
      </w:r>
      <w:r w:rsidR="00676775" w:rsidRPr="005E1B3D">
        <w:rPr>
          <w:szCs w:val="24"/>
        </w:rPr>
        <w:t xml:space="preserve"> but</w:t>
      </w:r>
      <w:r w:rsidR="00AA02EF" w:rsidRPr="005E1B3D">
        <w:rPr>
          <w:szCs w:val="24"/>
        </w:rPr>
        <w:t xml:space="preserve"> </w:t>
      </w:r>
      <w:r w:rsidR="006934FC">
        <w:rPr>
          <w:szCs w:val="24"/>
        </w:rPr>
        <w:t xml:space="preserve">who </w:t>
      </w:r>
      <w:r w:rsidR="00AA02EF" w:rsidRPr="005E1B3D">
        <w:rPr>
          <w:szCs w:val="24"/>
        </w:rPr>
        <w:t xml:space="preserve">have requested more information about </w:t>
      </w:r>
      <w:r w:rsidR="00744BE6" w:rsidRPr="005E1B3D">
        <w:rPr>
          <w:szCs w:val="24"/>
        </w:rPr>
        <w:t>Tribal Tech</w:t>
      </w:r>
      <w:r w:rsidR="00976403">
        <w:rPr>
          <w:szCs w:val="24"/>
        </w:rPr>
        <w:t>,</w:t>
      </w:r>
      <w:r w:rsidR="00A91B6E">
        <w:rPr>
          <w:szCs w:val="24"/>
        </w:rPr>
        <w:t xml:space="preserve"> LLC</w:t>
      </w:r>
      <w:r w:rsidR="00AA02EF" w:rsidRPr="005E1B3D">
        <w:rPr>
          <w:szCs w:val="24"/>
        </w:rPr>
        <w:t xml:space="preserve"> or about the study</w:t>
      </w:r>
      <w:r w:rsidR="00625CC3">
        <w:rPr>
          <w:szCs w:val="24"/>
        </w:rPr>
        <w:t xml:space="preserve">. </w:t>
      </w:r>
      <w:r w:rsidR="00AA02EF" w:rsidRPr="005E1B3D">
        <w:rPr>
          <w:szCs w:val="24"/>
        </w:rPr>
        <w:t>The follow-up to information requests</w:t>
      </w:r>
      <w:r w:rsidR="007B4DF8">
        <w:rPr>
          <w:szCs w:val="24"/>
        </w:rPr>
        <w:t xml:space="preserve"> about the study or Tribal Tech, LLC</w:t>
      </w:r>
      <w:r w:rsidR="00AA02EF" w:rsidRPr="005E1B3D">
        <w:rPr>
          <w:szCs w:val="24"/>
        </w:rPr>
        <w:t xml:space="preserve"> </w:t>
      </w:r>
      <w:r w:rsidR="008F7EEB" w:rsidRPr="005E1B3D">
        <w:rPr>
          <w:szCs w:val="24"/>
        </w:rPr>
        <w:t>will be</w:t>
      </w:r>
      <w:r w:rsidR="00AA02EF" w:rsidRPr="005E1B3D">
        <w:rPr>
          <w:szCs w:val="24"/>
        </w:rPr>
        <w:t xml:space="preserve"> accompanied by the F</w:t>
      </w:r>
      <w:r w:rsidR="008F7EEB" w:rsidRPr="005E1B3D">
        <w:rPr>
          <w:szCs w:val="24"/>
        </w:rPr>
        <w:t xml:space="preserve">requently </w:t>
      </w:r>
      <w:r w:rsidR="00AA02EF" w:rsidRPr="005E1B3D">
        <w:rPr>
          <w:szCs w:val="24"/>
        </w:rPr>
        <w:t>A</w:t>
      </w:r>
      <w:r w:rsidR="008F7EEB" w:rsidRPr="005E1B3D">
        <w:rPr>
          <w:szCs w:val="24"/>
        </w:rPr>
        <w:t xml:space="preserve">sked </w:t>
      </w:r>
      <w:r w:rsidR="00AA02EF" w:rsidRPr="005E1B3D">
        <w:rPr>
          <w:szCs w:val="24"/>
        </w:rPr>
        <w:t>Q</w:t>
      </w:r>
      <w:r w:rsidR="008F7EEB" w:rsidRPr="005E1B3D">
        <w:rPr>
          <w:szCs w:val="24"/>
        </w:rPr>
        <w:t>uestion</w:t>
      </w:r>
      <w:r w:rsidR="00AA02EF" w:rsidRPr="005E1B3D">
        <w:rPr>
          <w:szCs w:val="24"/>
        </w:rPr>
        <w:t xml:space="preserve">s </w:t>
      </w:r>
      <w:r w:rsidR="00D60031" w:rsidRPr="005E1B3D">
        <w:rPr>
          <w:szCs w:val="24"/>
        </w:rPr>
        <w:t xml:space="preserve">document </w:t>
      </w:r>
      <w:r w:rsidR="007B56A8" w:rsidRPr="005E1B3D">
        <w:rPr>
          <w:szCs w:val="24"/>
        </w:rPr>
        <w:t>[</w:t>
      </w:r>
      <w:r w:rsidR="00AA02EF" w:rsidRPr="005E1B3D">
        <w:rPr>
          <w:szCs w:val="24"/>
        </w:rPr>
        <w:t xml:space="preserve">Appendix </w:t>
      </w:r>
      <w:r w:rsidR="00754DDD">
        <w:rPr>
          <w:szCs w:val="24"/>
        </w:rPr>
        <w:t>F</w:t>
      </w:r>
      <w:r w:rsidR="00E06306" w:rsidRPr="005E1B3D">
        <w:rPr>
          <w:szCs w:val="24"/>
        </w:rPr>
        <w:t>]</w:t>
      </w:r>
      <w:r w:rsidR="00A91B6E">
        <w:rPr>
          <w:szCs w:val="24"/>
        </w:rPr>
        <w:t>.</w:t>
      </w:r>
    </w:p>
    <w:p w14:paraId="67FF2FC8" w14:textId="43D8F60E" w:rsidR="00660E65" w:rsidRDefault="00660E65" w:rsidP="00DB2043">
      <w:pPr>
        <w:spacing w:after="0" w:line="240" w:lineRule="auto"/>
        <w:rPr>
          <w:szCs w:val="24"/>
        </w:rPr>
      </w:pPr>
    </w:p>
    <w:p w14:paraId="75644E39" w14:textId="769AF530" w:rsidR="00660E65" w:rsidRPr="00660E65" w:rsidRDefault="00660E65" w:rsidP="00660E65">
      <w:pPr>
        <w:spacing w:after="0" w:line="240" w:lineRule="auto"/>
        <w:rPr>
          <w:color w:val="000000" w:themeColor="text1"/>
          <w:szCs w:val="24"/>
        </w:rPr>
      </w:pPr>
      <w:r w:rsidRPr="00660E65">
        <w:rPr>
          <w:color w:val="000000" w:themeColor="text1"/>
          <w:szCs w:val="24"/>
        </w:rPr>
        <w:t xml:space="preserve">After </w:t>
      </w:r>
      <w:r w:rsidR="00DE0390">
        <w:rPr>
          <w:color w:val="000000" w:themeColor="text1"/>
          <w:szCs w:val="24"/>
        </w:rPr>
        <w:t>a</w:t>
      </w:r>
      <w:r w:rsidRPr="00660E65">
        <w:rPr>
          <w:color w:val="000000" w:themeColor="text1"/>
          <w:szCs w:val="24"/>
        </w:rPr>
        <w:t xml:space="preserve"> respondent agrees to participate, he/she will be sent a letter confirming their agreement that provides </w:t>
      </w:r>
      <w:r w:rsidR="00E6246E">
        <w:rPr>
          <w:color w:val="000000" w:themeColor="text1"/>
          <w:szCs w:val="24"/>
        </w:rPr>
        <w:t>him/her</w:t>
      </w:r>
      <w:r w:rsidRPr="00660E65">
        <w:rPr>
          <w:color w:val="000000" w:themeColor="text1"/>
          <w:szCs w:val="24"/>
        </w:rPr>
        <w:t xml:space="preserve"> with details about the report</w:t>
      </w:r>
      <w:r w:rsidR="00AB2416">
        <w:rPr>
          <w:color w:val="000000" w:themeColor="text1"/>
          <w:szCs w:val="24"/>
        </w:rPr>
        <w:t xml:space="preserve"> to view</w:t>
      </w:r>
      <w:r w:rsidRPr="00660E65">
        <w:rPr>
          <w:color w:val="000000" w:themeColor="text1"/>
          <w:szCs w:val="24"/>
        </w:rPr>
        <w:t>, time</w:t>
      </w:r>
      <w:r w:rsidR="00AB2416">
        <w:rPr>
          <w:color w:val="000000" w:themeColor="text1"/>
          <w:szCs w:val="24"/>
        </w:rPr>
        <w:t xml:space="preserve"> and</w:t>
      </w:r>
      <w:r w:rsidRPr="00660E65">
        <w:rPr>
          <w:color w:val="000000" w:themeColor="text1"/>
          <w:szCs w:val="24"/>
        </w:rPr>
        <w:t xml:space="preserve"> venue</w:t>
      </w:r>
      <w:r w:rsidR="00AB2416">
        <w:rPr>
          <w:color w:val="000000" w:themeColor="text1"/>
          <w:szCs w:val="24"/>
        </w:rPr>
        <w:t xml:space="preserve"> of the focus group</w:t>
      </w:r>
      <w:r w:rsidRPr="00660E65">
        <w:rPr>
          <w:color w:val="000000" w:themeColor="text1"/>
          <w:szCs w:val="24"/>
        </w:rPr>
        <w:t xml:space="preserve">, and contact information [Appendix B]. </w:t>
      </w:r>
      <w:r w:rsidR="00E6246E">
        <w:rPr>
          <w:color w:val="000000" w:themeColor="text1"/>
          <w:szCs w:val="24"/>
        </w:rPr>
        <w:t xml:space="preserve">Each </w:t>
      </w:r>
      <w:r w:rsidR="006F2165">
        <w:rPr>
          <w:color w:val="000000" w:themeColor="text1"/>
          <w:szCs w:val="24"/>
        </w:rPr>
        <w:t>intended participant</w:t>
      </w:r>
      <w:r w:rsidRPr="00660E65">
        <w:rPr>
          <w:color w:val="000000" w:themeColor="text1"/>
          <w:szCs w:val="24"/>
        </w:rPr>
        <w:t xml:space="preserve"> will also receive a welcome letter with a copy of the report when they register for the conference [Appendix C].</w:t>
      </w:r>
      <w:r w:rsidR="006F2165">
        <w:rPr>
          <w:color w:val="000000" w:themeColor="text1"/>
          <w:szCs w:val="24"/>
        </w:rPr>
        <w:t xml:space="preserve"> </w:t>
      </w:r>
      <w:r w:rsidRPr="00660E65">
        <w:rPr>
          <w:color w:val="000000" w:themeColor="text1"/>
          <w:lang w:eastAsia="ko-KR"/>
        </w:rPr>
        <w:t xml:space="preserve">They will be asked to spend </w:t>
      </w:r>
      <w:r w:rsidR="006F7ECD">
        <w:rPr>
          <w:color w:val="000000" w:themeColor="text1"/>
          <w:lang w:eastAsia="ko-KR"/>
        </w:rPr>
        <w:t>up to</w:t>
      </w:r>
      <w:r w:rsidRPr="00660E65">
        <w:rPr>
          <w:color w:val="000000" w:themeColor="text1"/>
          <w:lang w:eastAsia="ko-KR"/>
        </w:rPr>
        <w:t xml:space="preserve"> 60 minutes reviewing the report prior to the focus group. The bulk of recruiting will be through email and telephone. However, if a sufficient number of participants have not been recruited by the </w:t>
      </w:r>
      <w:r w:rsidR="006F7ECD">
        <w:rPr>
          <w:color w:val="000000" w:themeColor="text1"/>
          <w:lang w:eastAsia="ko-KR"/>
        </w:rPr>
        <w:t xml:space="preserve">time of the </w:t>
      </w:r>
      <w:r w:rsidRPr="00660E65">
        <w:rPr>
          <w:color w:val="000000" w:themeColor="text1"/>
          <w:lang w:eastAsia="ko-KR"/>
        </w:rPr>
        <w:t>convention, postal mail and on-site recruitment will take place. The former contactor found that on-site recruitment was necessary and successful</w:t>
      </w:r>
      <w:r w:rsidR="006F7ECD">
        <w:rPr>
          <w:color w:val="000000" w:themeColor="text1"/>
          <w:lang w:eastAsia="ko-KR"/>
        </w:rPr>
        <w:t>.</w:t>
      </w:r>
      <w:r w:rsidR="007250C4">
        <w:rPr>
          <w:color w:val="000000" w:themeColor="text1"/>
          <w:lang w:eastAsia="ko-KR"/>
        </w:rPr>
        <w:t xml:space="preserve"> Should too many people indicate interest in participating, some will receive an email </w:t>
      </w:r>
      <w:r w:rsidR="007250C4" w:rsidRPr="007250C4">
        <w:rPr>
          <w:color w:val="000000" w:themeColor="text1"/>
          <w:lang w:eastAsia="ko-KR"/>
        </w:rPr>
        <w:t xml:space="preserve">notification that </w:t>
      </w:r>
      <w:r w:rsidR="007250C4">
        <w:rPr>
          <w:color w:val="000000" w:themeColor="text1"/>
          <w:lang w:eastAsia="ko-KR"/>
        </w:rPr>
        <w:t>they were</w:t>
      </w:r>
      <w:r w:rsidR="007250C4" w:rsidRPr="007250C4">
        <w:rPr>
          <w:color w:val="000000" w:themeColor="text1"/>
          <w:lang w:eastAsia="ko-KR"/>
        </w:rPr>
        <w:t xml:space="preserve"> not selected to participate in study</w:t>
      </w:r>
      <w:r w:rsidR="00624CE8">
        <w:rPr>
          <w:color w:val="000000" w:themeColor="text1"/>
          <w:lang w:eastAsia="ko-KR"/>
        </w:rPr>
        <w:t xml:space="preserve"> </w:t>
      </w:r>
      <w:r w:rsidR="00624CE8" w:rsidRPr="00660E65">
        <w:rPr>
          <w:color w:val="000000" w:themeColor="text1"/>
          <w:szCs w:val="24"/>
        </w:rPr>
        <w:t xml:space="preserve">[Appendix </w:t>
      </w:r>
      <w:r w:rsidR="0054688B">
        <w:rPr>
          <w:color w:val="000000" w:themeColor="text1"/>
          <w:szCs w:val="24"/>
        </w:rPr>
        <w:t>K</w:t>
      </w:r>
      <w:r w:rsidR="00624CE8" w:rsidRPr="00660E65">
        <w:rPr>
          <w:color w:val="000000" w:themeColor="text1"/>
          <w:szCs w:val="24"/>
        </w:rPr>
        <w:t>]</w:t>
      </w:r>
      <w:r w:rsidR="00624CE8">
        <w:rPr>
          <w:color w:val="000000" w:themeColor="text1"/>
          <w:szCs w:val="24"/>
        </w:rPr>
        <w:t>.</w:t>
      </w:r>
    </w:p>
    <w:p w14:paraId="4A6AE678" w14:textId="77777777" w:rsidR="00625CC3" w:rsidRDefault="00625CC3" w:rsidP="00625CC3">
      <w:pPr>
        <w:spacing w:after="0"/>
        <w:rPr>
          <w:szCs w:val="24"/>
        </w:rPr>
      </w:pPr>
    </w:p>
    <w:p w14:paraId="063AD4C6" w14:textId="1FDB4299" w:rsidR="00C44C0B" w:rsidRPr="00334328" w:rsidRDefault="00E82329" w:rsidP="00625CC3">
      <w:pPr>
        <w:spacing w:after="0" w:line="240" w:lineRule="auto"/>
        <w:rPr>
          <w:rFonts w:eastAsiaTheme="minorEastAsia"/>
          <w:szCs w:val="24"/>
        </w:rPr>
      </w:pPr>
      <w:r w:rsidRPr="00334328">
        <w:rPr>
          <w:rFonts w:eastAsiaTheme="minorEastAsia"/>
          <w:szCs w:val="24"/>
        </w:rPr>
        <w:t xml:space="preserve">The </w:t>
      </w:r>
      <w:r w:rsidR="00C44C0B" w:rsidRPr="00334328">
        <w:rPr>
          <w:rFonts w:eastAsiaTheme="minorEastAsia"/>
          <w:szCs w:val="24"/>
        </w:rPr>
        <w:t xml:space="preserve">recruitment procedure </w:t>
      </w:r>
      <w:r w:rsidRPr="00334328">
        <w:rPr>
          <w:rFonts w:eastAsiaTheme="minorEastAsia"/>
          <w:szCs w:val="24"/>
        </w:rPr>
        <w:t>will ensure</w:t>
      </w:r>
      <w:r w:rsidR="00C44C0B" w:rsidRPr="00334328">
        <w:rPr>
          <w:rFonts w:eastAsiaTheme="minorEastAsia"/>
          <w:szCs w:val="24"/>
        </w:rPr>
        <w:t xml:space="preserve"> that:</w:t>
      </w:r>
    </w:p>
    <w:p w14:paraId="02D7EDB0" w14:textId="77777777" w:rsidR="00CF08CF" w:rsidRPr="00334328" w:rsidRDefault="00C44C0B" w:rsidP="00625CC3">
      <w:pPr>
        <w:numPr>
          <w:ilvl w:val="0"/>
          <w:numId w:val="28"/>
        </w:numPr>
        <w:spacing w:after="0" w:line="240" w:lineRule="auto"/>
        <w:ind w:left="360" w:hanging="274"/>
        <w:rPr>
          <w:rFonts w:eastAsiaTheme="minorEastAsia"/>
          <w:szCs w:val="24"/>
        </w:rPr>
      </w:pPr>
      <w:r w:rsidRPr="00334328">
        <w:rPr>
          <w:rFonts w:eastAsiaTheme="minorEastAsia"/>
          <w:szCs w:val="24"/>
        </w:rPr>
        <w:t>All recruiting staff receive project-specific training before the start of any recruitment effort</w:t>
      </w:r>
      <w:r w:rsidR="00F23029" w:rsidRPr="00334328">
        <w:rPr>
          <w:rFonts w:eastAsiaTheme="minorEastAsia"/>
          <w:szCs w:val="24"/>
        </w:rPr>
        <w:t>, including</w:t>
      </w:r>
      <w:r w:rsidRPr="00334328">
        <w:rPr>
          <w:rFonts w:eastAsiaTheme="minorEastAsia"/>
          <w:szCs w:val="24"/>
        </w:rPr>
        <w:t xml:space="preserve"> a discussion regarding the overall recruitment objectives, specific instructions on the critical importance of complete adherence to all OMB guidelines, protocols and restrictions, a section-by-section review of the screening instrument, and mock-interviews that cover a variety of screening scenarios.</w:t>
      </w:r>
    </w:p>
    <w:p w14:paraId="3AF68EF6" w14:textId="41C0088D" w:rsidR="00CF08CF" w:rsidRPr="00334328" w:rsidRDefault="00C44C0B" w:rsidP="00625CC3">
      <w:pPr>
        <w:numPr>
          <w:ilvl w:val="0"/>
          <w:numId w:val="28"/>
        </w:numPr>
        <w:spacing w:after="0" w:line="240" w:lineRule="auto"/>
        <w:ind w:left="360" w:hanging="274"/>
        <w:rPr>
          <w:rFonts w:eastAsiaTheme="minorEastAsia"/>
          <w:szCs w:val="24"/>
        </w:rPr>
      </w:pPr>
      <w:r w:rsidRPr="00334328">
        <w:rPr>
          <w:rFonts w:eastAsiaTheme="minorEastAsia"/>
          <w:szCs w:val="24"/>
        </w:rPr>
        <w:t xml:space="preserve">During </w:t>
      </w:r>
      <w:r w:rsidR="001D4B94">
        <w:rPr>
          <w:rFonts w:eastAsiaTheme="minorEastAsia"/>
          <w:szCs w:val="24"/>
        </w:rPr>
        <w:t>intake</w:t>
      </w:r>
      <w:r w:rsidRPr="00334328">
        <w:rPr>
          <w:rFonts w:eastAsiaTheme="minorEastAsia"/>
          <w:szCs w:val="24"/>
        </w:rPr>
        <w:t>, participant</w:t>
      </w:r>
      <w:r w:rsidR="00575DD4" w:rsidRPr="00334328">
        <w:rPr>
          <w:rFonts w:eastAsiaTheme="minorEastAsia"/>
          <w:szCs w:val="24"/>
        </w:rPr>
        <w:t>s</w:t>
      </w:r>
      <w:r w:rsidRPr="00334328">
        <w:rPr>
          <w:rFonts w:eastAsiaTheme="minorEastAsia"/>
          <w:szCs w:val="24"/>
        </w:rPr>
        <w:t xml:space="preserve"> will be informed </w:t>
      </w:r>
      <w:r w:rsidR="00575DD4" w:rsidRPr="00334328">
        <w:rPr>
          <w:rFonts w:eastAsiaTheme="minorEastAsia"/>
          <w:szCs w:val="24"/>
        </w:rPr>
        <w:t>of</w:t>
      </w:r>
      <w:r w:rsidRPr="00334328">
        <w:rPr>
          <w:rFonts w:eastAsiaTheme="minorEastAsia"/>
          <w:szCs w:val="24"/>
        </w:rPr>
        <w:t xml:space="preserve"> the objectives, purpose</w:t>
      </w:r>
      <w:r w:rsidR="00575DD4" w:rsidRPr="00334328">
        <w:rPr>
          <w:rFonts w:eastAsiaTheme="minorEastAsia"/>
          <w:szCs w:val="24"/>
        </w:rPr>
        <w:t>,</w:t>
      </w:r>
      <w:r w:rsidRPr="00334328">
        <w:rPr>
          <w:rFonts w:eastAsiaTheme="minorEastAsia"/>
          <w:szCs w:val="24"/>
        </w:rPr>
        <w:t xml:space="preserve"> and participation requirements of the data collection effort</w:t>
      </w:r>
      <w:r w:rsidR="00575DD4" w:rsidRPr="00334328">
        <w:rPr>
          <w:rFonts w:eastAsiaTheme="minorEastAsia"/>
          <w:szCs w:val="24"/>
        </w:rPr>
        <w:t>,</w:t>
      </w:r>
      <w:r w:rsidRPr="00334328">
        <w:rPr>
          <w:rFonts w:eastAsiaTheme="minorEastAsia"/>
          <w:szCs w:val="24"/>
        </w:rPr>
        <w:t xml:space="preserve"> as well as the activities that it entails</w:t>
      </w:r>
      <w:r w:rsidR="00575DD4" w:rsidRPr="00334328">
        <w:rPr>
          <w:rFonts w:eastAsiaTheme="minorEastAsia"/>
          <w:szCs w:val="24"/>
        </w:rPr>
        <w:t>,</w:t>
      </w:r>
      <w:r w:rsidR="008B4C9C" w:rsidRPr="00334328">
        <w:rPr>
          <w:rFonts w:eastAsiaTheme="minorEastAsia"/>
          <w:szCs w:val="24"/>
        </w:rPr>
        <w:t xml:space="preserve"> </w:t>
      </w:r>
      <w:r w:rsidR="00575DD4" w:rsidRPr="00334328">
        <w:rPr>
          <w:rFonts w:eastAsiaTheme="minorEastAsia"/>
          <w:szCs w:val="24"/>
        </w:rPr>
        <w:t>as stated within th</w:t>
      </w:r>
      <w:r w:rsidR="00575DD4" w:rsidRPr="006B78B3">
        <w:rPr>
          <w:rFonts w:eastAsiaTheme="minorEastAsia"/>
          <w:szCs w:val="24"/>
        </w:rPr>
        <w:t xml:space="preserve">e Interview Protocol </w:t>
      </w:r>
      <w:r w:rsidR="008B4C9C" w:rsidRPr="006B78B3">
        <w:rPr>
          <w:rFonts w:eastAsiaTheme="minorEastAsia"/>
          <w:szCs w:val="24"/>
        </w:rPr>
        <w:t>[Volume II]</w:t>
      </w:r>
      <w:r w:rsidR="00652CFB" w:rsidRPr="006B78B3">
        <w:rPr>
          <w:rFonts w:eastAsiaTheme="minorEastAsia"/>
          <w:szCs w:val="24"/>
        </w:rPr>
        <w:t>.</w:t>
      </w:r>
      <w:r w:rsidRPr="00334328">
        <w:rPr>
          <w:rFonts w:eastAsiaTheme="minorEastAsia"/>
          <w:szCs w:val="24"/>
        </w:rPr>
        <w:t xml:space="preserve"> </w:t>
      </w:r>
      <w:r w:rsidR="00575DD4" w:rsidRPr="00334328">
        <w:rPr>
          <w:rFonts w:eastAsiaTheme="minorEastAsia"/>
          <w:szCs w:val="24"/>
        </w:rPr>
        <w:t xml:space="preserve">The consent </w:t>
      </w:r>
      <w:r w:rsidR="00575DD4" w:rsidRPr="001D4B94">
        <w:rPr>
          <w:rFonts w:eastAsiaTheme="minorEastAsia"/>
          <w:szCs w:val="24"/>
        </w:rPr>
        <w:t xml:space="preserve">form [Appendix </w:t>
      </w:r>
      <w:r w:rsidR="00A634D0">
        <w:rPr>
          <w:rFonts w:eastAsiaTheme="minorEastAsia"/>
          <w:szCs w:val="24"/>
        </w:rPr>
        <w:t>D</w:t>
      </w:r>
      <w:r w:rsidR="00575DD4" w:rsidRPr="001D4B94">
        <w:rPr>
          <w:rFonts w:eastAsiaTheme="minorEastAsia"/>
          <w:szCs w:val="24"/>
        </w:rPr>
        <w:t>] clearly</w:t>
      </w:r>
      <w:r w:rsidR="00575DD4" w:rsidRPr="00334328">
        <w:rPr>
          <w:rFonts w:eastAsiaTheme="minorEastAsia"/>
          <w:szCs w:val="24"/>
        </w:rPr>
        <w:t xml:space="preserve"> identif</w:t>
      </w:r>
      <w:r w:rsidR="00F23029" w:rsidRPr="00334328">
        <w:rPr>
          <w:rFonts w:eastAsiaTheme="minorEastAsia"/>
          <w:szCs w:val="24"/>
        </w:rPr>
        <w:t>ies</w:t>
      </w:r>
      <w:r w:rsidR="00575DD4" w:rsidRPr="00334328">
        <w:rPr>
          <w:rFonts w:eastAsiaTheme="minorEastAsia"/>
          <w:szCs w:val="24"/>
        </w:rPr>
        <w:t xml:space="preserve"> the objectives of the research, including several examples </w:t>
      </w:r>
      <w:r w:rsidR="008F7EEB" w:rsidRPr="00334328">
        <w:rPr>
          <w:rFonts w:eastAsiaTheme="minorEastAsia"/>
          <w:szCs w:val="24"/>
        </w:rPr>
        <w:t>and</w:t>
      </w:r>
      <w:r w:rsidR="00575DD4" w:rsidRPr="00334328">
        <w:rPr>
          <w:rFonts w:eastAsiaTheme="minorEastAsia"/>
          <w:szCs w:val="24"/>
        </w:rPr>
        <w:t xml:space="preserve"> descriptions of the items </w:t>
      </w:r>
      <w:r w:rsidR="008F7EEB" w:rsidRPr="00334328">
        <w:rPr>
          <w:rFonts w:eastAsiaTheme="minorEastAsia"/>
          <w:szCs w:val="24"/>
        </w:rPr>
        <w:t>being</w:t>
      </w:r>
      <w:r w:rsidR="00575DD4" w:rsidRPr="00334328">
        <w:rPr>
          <w:rFonts w:eastAsiaTheme="minorEastAsia"/>
          <w:szCs w:val="24"/>
        </w:rPr>
        <w:t xml:space="preserve"> asked, </w:t>
      </w:r>
      <w:r w:rsidR="00131344" w:rsidRPr="00334328">
        <w:rPr>
          <w:rFonts w:eastAsiaTheme="minorEastAsia"/>
          <w:szCs w:val="24"/>
        </w:rPr>
        <w:t>indicate</w:t>
      </w:r>
      <w:r w:rsidR="00EE25E8" w:rsidRPr="00334328">
        <w:rPr>
          <w:rFonts w:eastAsiaTheme="minorEastAsia"/>
          <w:szCs w:val="24"/>
        </w:rPr>
        <w:t>s</w:t>
      </w:r>
      <w:r w:rsidR="00131344" w:rsidRPr="00334328">
        <w:rPr>
          <w:rFonts w:eastAsiaTheme="minorEastAsia"/>
          <w:szCs w:val="24"/>
        </w:rPr>
        <w:t xml:space="preserve"> </w:t>
      </w:r>
      <w:r w:rsidR="00C348F3" w:rsidRPr="00334328">
        <w:rPr>
          <w:rFonts w:eastAsiaTheme="minorEastAsia"/>
          <w:szCs w:val="24"/>
        </w:rPr>
        <w:t>that</w:t>
      </w:r>
      <w:r w:rsidR="00575DD4" w:rsidRPr="00334328">
        <w:rPr>
          <w:rFonts w:eastAsiaTheme="minorEastAsia"/>
          <w:szCs w:val="24"/>
        </w:rPr>
        <w:t xml:space="preserve"> </w:t>
      </w:r>
      <w:r w:rsidR="00131344" w:rsidRPr="00334328">
        <w:rPr>
          <w:rFonts w:eastAsiaTheme="minorEastAsia"/>
          <w:szCs w:val="24"/>
        </w:rPr>
        <w:t xml:space="preserve">audio of the session will be recorded </w:t>
      </w:r>
      <w:r w:rsidR="00334328">
        <w:rPr>
          <w:rFonts w:eastAsiaTheme="minorEastAsia"/>
          <w:szCs w:val="24"/>
        </w:rPr>
        <w:t xml:space="preserve">by the stenographer </w:t>
      </w:r>
      <w:r w:rsidR="00131344" w:rsidRPr="00334328">
        <w:rPr>
          <w:rFonts w:eastAsiaTheme="minorEastAsia"/>
          <w:szCs w:val="24"/>
        </w:rPr>
        <w:t xml:space="preserve">for analysis purposes only, </w:t>
      </w:r>
      <w:r w:rsidR="00C348F3" w:rsidRPr="00334328">
        <w:rPr>
          <w:rFonts w:eastAsiaTheme="minorEastAsia"/>
          <w:szCs w:val="24"/>
        </w:rPr>
        <w:t>whether</w:t>
      </w:r>
      <w:r w:rsidR="00131344" w:rsidRPr="00334328">
        <w:rPr>
          <w:rFonts w:eastAsiaTheme="minorEastAsia"/>
          <w:szCs w:val="24"/>
        </w:rPr>
        <w:t xml:space="preserve"> </w:t>
      </w:r>
      <w:r w:rsidR="00575DD4" w:rsidRPr="00334328">
        <w:rPr>
          <w:rFonts w:eastAsiaTheme="minorEastAsia"/>
          <w:szCs w:val="24"/>
        </w:rPr>
        <w:t xml:space="preserve">any other individuals will be </w:t>
      </w:r>
      <w:r w:rsidR="00334328">
        <w:rPr>
          <w:rFonts w:eastAsiaTheme="minorEastAsia"/>
          <w:szCs w:val="24"/>
        </w:rPr>
        <w:t>listening to the recording</w:t>
      </w:r>
      <w:r w:rsidR="00575DD4" w:rsidRPr="00334328">
        <w:rPr>
          <w:rFonts w:eastAsiaTheme="minorEastAsia"/>
          <w:szCs w:val="24"/>
        </w:rPr>
        <w:t xml:space="preserve">, and describe the reasons for </w:t>
      </w:r>
      <w:r w:rsidR="00334328">
        <w:rPr>
          <w:rFonts w:eastAsiaTheme="minorEastAsia"/>
          <w:szCs w:val="24"/>
        </w:rPr>
        <w:t>this</w:t>
      </w:r>
      <w:r w:rsidR="00575DD4" w:rsidRPr="00334328">
        <w:rPr>
          <w:rFonts w:eastAsiaTheme="minorEastAsia"/>
          <w:szCs w:val="24"/>
        </w:rPr>
        <w:t>.</w:t>
      </w:r>
    </w:p>
    <w:p w14:paraId="3816C9C8" w14:textId="65BCDCA6" w:rsidR="00C640B5" w:rsidRDefault="00660E65" w:rsidP="00660E65">
      <w:pPr>
        <w:numPr>
          <w:ilvl w:val="0"/>
          <w:numId w:val="28"/>
        </w:numPr>
        <w:spacing w:after="0" w:line="240" w:lineRule="auto"/>
        <w:ind w:left="360" w:hanging="274"/>
        <w:rPr>
          <w:rFonts w:eastAsiaTheme="minorEastAsia" w:cstheme="minorBidi"/>
        </w:rPr>
      </w:pPr>
      <w:r w:rsidRPr="00AD327F">
        <w:rPr>
          <w:rFonts w:eastAsiaTheme="minorEastAsia" w:cstheme="minorBidi"/>
        </w:rPr>
        <w:t>Along with identifying, contacting, and screening qualified research participants, ensuring their participation is equally as important.</w:t>
      </w:r>
      <w:r>
        <w:rPr>
          <w:rFonts w:eastAsiaTheme="minorEastAsia" w:cstheme="minorBidi"/>
        </w:rPr>
        <w:t xml:space="preserve"> </w:t>
      </w:r>
      <w:r w:rsidRPr="00AD327F">
        <w:rPr>
          <w:rFonts w:eastAsiaTheme="minorEastAsia" w:cstheme="minorBidi"/>
        </w:rPr>
        <w:t xml:space="preserve">After screening participants, </w:t>
      </w:r>
      <w:r w:rsidRPr="00852ED5">
        <w:rPr>
          <w:rFonts w:eastAsiaTheme="minorEastAsia" w:cstheme="minorBidi"/>
        </w:rPr>
        <w:t>their contact information including telephone numbers</w:t>
      </w:r>
      <w:r>
        <w:rPr>
          <w:rFonts w:eastAsiaTheme="minorEastAsia" w:cstheme="minorBidi"/>
        </w:rPr>
        <w:t xml:space="preserve">, </w:t>
      </w:r>
      <w:r w:rsidRPr="00852ED5">
        <w:rPr>
          <w:rFonts w:eastAsiaTheme="minorEastAsia" w:cstheme="minorBidi"/>
        </w:rPr>
        <w:t>email</w:t>
      </w:r>
      <w:r>
        <w:rPr>
          <w:rFonts w:eastAsiaTheme="minorEastAsia" w:cstheme="minorBidi"/>
        </w:rPr>
        <w:t>,</w:t>
      </w:r>
      <w:r w:rsidRPr="00852ED5">
        <w:rPr>
          <w:rFonts w:eastAsiaTheme="minorEastAsia" w:cstheme="minorBidi"/>
        </w:rPr>
        <w:t xml:space="preserve"> and postal contact information will be collected</w:t>
      </w:r>
      <w:r>
        <w:rPr>
          <w:rFonts w:eastAsiaTheme="minorEastAsia" w:cstheme="minorBidi"/>
        </w:rPr>
        <w:t xml:space="preserve">. </w:t>
      </w:r>
      <w:r w:rsidRPr="00852ED5">
        <w:rPr>
          <w:rFonts w:eastAsiaTheme="minorEastAsia" w:cstheme="minorBidi"/>
        </w:rPr>
        <w:t>After confirming that a participant is qualified, willing</w:t>
      </w:r>
      <w:r>
        <w:rPr>
          <w:rFonts w:eastAsiaTheme="minorEastAsia" w:cstheme="minorBidi"/>
        </w:rPr>
        <w:t>,</w:t>
      </w:r>
      <w:r w:rsidRPr="00852ED5">
        <w:rPr>
          <w:rFonts w:eastAsiaTheme="minorEastAsia" w:cstheme="minorBidi"/>
        </w:rPr>
        <w:t xml:space="preserve"> and available to participate in the research project, they will </w:t>
      </w:r>
      <w:r>
        <w:rPr>
          <w:rFonts w:eastAsiaTheme="minorEastAsia" w:cstheme="minorBidi"/>
        </w:rPr>
        <w:t xml:space="preserve">receive </w:t>
      </w:r>
      <w:r w:rsidRPr="00852ED5">
        <w:rPr>
          <w:rFonts w:eastAsiaTheme="minorEastAsia" w:cstheme="minorBidi"/>
        </w:rPr>
        <w:t>a confirmation via email that includes the date, time</w:t>
      </w:r>
      <w:r>
        <w:rPr>
          <w:rFonts w:eastAsiaTheme="minorEastAsia" w:cstheme="minorBidi"/>
        </w:rPr>
        <w:t>,</w:t>
      </w:r>
      <w:r w:rsidRPr="00852ED5">
        <w:rPr>
          <w:rFonts w:eastAsiaTheme="minorEastAsia" w:cstheme="minorBidi"/>
        </w:rPr>
        <w:t xml:space="preserve"> and </w:t>
      </w:r>
      <w:r w:rsidRPr="00E06306">
        <w:rPr>
          <w:rFonts w:eastAsiaTheme="minorEastAsia" w:cstheme="minorBidi"/>
        </w:rPr>
        <w:t xml:space="preserve">location of </w:t>
      </w:r>
      <w:r w:rsidRPr="00660E65">
        <w:rPr>
          <w:rFonts w:eastAsiaTheme="minorEastAsia" w:cstheme="minorBidi"/>
        </w:rPr>
        <w:t xml:space="preserve">the focus group, along with a link to an interactive map, and any other information that may be required [Appendix </w:t>
      </w:r>
      <w:r w:rsidR="007B4DF8">
        <w:rPr>
          <w:rFonts w:eastAsiaTheme="minorEastAsia" w:cstheme="minorBidi"/>
        </w:rPr>
        <w:t>H</w:t>
      </w:r>
      <w:r w:rsidRPr="00660E65">
        <w:rPr>
          <w:rFonts w:eastAsiaTheme="minorEastAsia" w:cstheme="minorBidi"/>
        </w:rPr>
        <w:t>]. To supplement the email confirmation, participants will also receive confirmation via postal mail.</w:t>
      </w:r>
    </w:p>
    <w:p w14:paraId="2FB406D3" w14:textId="073132EF" w:rsidR="00C44C0B" w:rsidRPr="00E06306" w:rsidRDefault="00C44C0B" w:rsidP="00625CC3">
      <w:pPr>
        <w:numPr>
          <w:ilvl w:val="0"/>
          <w:numId w:val="28"/>
        </w:numPr>
        <w:spacing w:after="0" w:line="240" w:lineRule="auto"/>
        <w:ind w:left="360" w:hanging="274"/>
        <w:rPr>
          <w:rFonts w:ascii="Arial" w:eastAsia="Malgun Gothic" w:hAnsi="Arial"/>
          <w:sz w:val="20"/>
          <w:lang w:eastAsia="ko-KR"/>
        </w:rPr>
      </w:pPr>
      <w:r w:rsidRPr="00AD327F">
        <w:rPr>
          <w:rFonts w:eastAsiaTheme="minorEastAsia" w:cstheme="minorBidi"/>
        </w:rPr>
        <w:t xml:space="preserve">Participants will receive a telephone reminder at least 24 hours prior to </w:t>
      </w:r>
      <w:r w:rsidR="006B78B3">
        <w:rPr>
          <w:rFonts w:eastAsiaTheme="minorEastAsia" w:cstheme="minorBidi"/>
        </w:rPr>
        <w:t>the focus group</w:t>
      </w:r>
      <w:r w:rsidRPr="00AD327F">
        <w:rPr>
          <w:rFonts w:eastAsiaTheme="minorEastAsia" w:cstheme="minorBidi"/>
        </w:rPr>
        <w:t xml:space="preserve"> to confirm participation</w:t>
      </w:r>
      <w:r w:rsidR="00B7080B">
        <w:rPr>
          <w:rFonts w:eastAsiaTheme="minorEastAsia" w:cstheme="minorBidi"/>
        </w:rPr>
        <w:t xml:space="preserve"> and </w:t>
      </w:r>
      <w:r w:rsidRPr="00AD327F">
        <w:rPr>
          <w:rFonts w:eastAsiaTheme="minorEastAsia" w:cstheme="minorBidi"/>
        </w:rPr>
        <w:t xml:space="preserve">to field any questions </w:t>
      </w:r>
      <w:r w:rsidR="00CF1506">
        <w:rPr>
          <w:rFonts w:eastAsiaTheme="minorEastAsia" w:cstheme="minorBidi"/>
        </w:rPr>
        <w:t>they</w:t>
      </w:r>
      <w:r w:rsidRPr="00AD327F">
        <w:rPr>
          <w:rFonts w:eastAsiaTheme="minorEastAsia" w:cstheme="minorBidi"/>
        </w:rPr>
        <w:t xml:space="preserve"> may have regarding their </w:t>
      </w:r>
      <w:r w:rsidRPr="00E06306">
        <w:rPr>
          <w:rFonts w:eastAsiaTheme="minorEastAsia" w:cstheme="minorBidi"/>
        </w:rPr>
        <w:t xml:space="preserve">participation </w:t>
      </w:r>
      <w:r w:rsidR="00B37ED0" w:rsidRPr="00E06306">
        <w:rPr>
          <w:rFonts w:eastAsiaTheme="minorEastAsia" w:cstheme="minorBidi"/>
        </w:rPr>
        <w:t xml:space="preserve">[Appendix </w:t>
      </w:r>
      <w:r w:rsidR="007B4DF8">
        <w:rPr>
          <w:rFonts w:eastAsiaTheme="minorEastAsia" w:cstheme="minorBidi"/>
        </w:rPr>
        <w:t>I</w:t>
      </w:r>
      <w:r w:rsidR="00B37ED0" w:rsidRPr="00E06306">
        <w:rPr>
          <w:rFonts w:eastAsiaTheme="minorEastAsia" w:cstheme="minorBidi"/>
        </w:rPr>
        <w:t>]</w:t>
      </w:r>
      <w:r w:rsidRPr="00E06306">
        <w:rPr>
          <w:rFonts w:eastAsiaTheme="minorEastAsia" w:cstheme="minorBidi"/>
        </w:rPr>
        <w:t>.</w:t>
      </w:r>
    </w:p>
    <w:p w14:paraId="71E6153D" w14:textId="7447F83D" w:rsidR="00527C00" w:rsidRDefault="00B7080B" w:rsidP="00527C00">
      <w:pPr>
        <w:widowControl w:val="0"/>
        <w:numPr>
          <w:ilvl w:val="0"/>
          <w:numId w:val="28"/>
        </w:numPr>
        <w:spacing w:after="0" w:line="240" w:lineRule="auto"/>
        <w:ind w:left="360" w:hanging="274"/>
        <w:rPr>
          <w:rFonts w:ascii="Arial" w:eastAsia="Malgun Gothic" w:hAnsi="Arial"/>
          <w:sz w:val="20"/>
          <w:lang w:eastAsia="ko-KR"/>
        </w:rPr>
      </w:pPr>
      <w:r w:rsidRPr="00E06306">
        <w:rPr>
          <w:rFonts w:eastAsiaTheme="minorEastAsia" w:cstheme="minorBidi"/>
        </w:rPr>
        <w:t>P</w:t>
      </w:r>
      <w:r w:rsidR="004073C5" w:rsidRPr="00E06306">
        <w:rPr>
          <w:rFonts w:eastAsiaTheme="minorEastAsia" w:cstheme="minorBidi"/>
        </w:rPr>
        <w:t>articipants</w:t>
      </w:r>
      <w:r w:rsidR="00E066DD" w:rsidRPr="00E06306">
        <w:rPr>
          <w:rFonts w:eastAsiaTheme="minorEastAsia" w:cstheme="minorBidi"/>
        </w:rPr>
        <w:t xml:space="preserve"> </w:t>
      </w:r>
      <w:r w:rsidRPr="00E06306">
        <w:rPr>
          <w:rFonts w:eastAsiaTheme="minorEastAsia" w:cstheme="minorBidi"/>
        </w:rPr>
        <w:t>will receive a thank you email following their focus group session</w:t>
      </w:r>
      <w:r w:rsidR="004073C5" w:rsidRPr="00E06306">
        <w:rPr>
          <w:rFonts w:eastAsiaTheme="minorEastAsia" w:cstheme="minorBidi"/>
        </w:rPr>
        <w:t xml:space="preserve"> </w:t>
      </w:r>
      <w:r w:rsidR="00E066DD" w:rsidRPr="00E06306">
        <w:rPr>
          <w:rFonts w:eastAsiaTheme="minorEastAsia" w:cstheme="minorBidi"/>
        </w:rPr>
        <w:t>[</w:t>
      </w:r>
      <w:r w:rsidR="004073C5" w:rsidRPr="00E06306">
        <w:rPr>
          <w:rFonts w:eastAsiaTheme="minorEastAsia" w:cstheme="minorBidi"/>
        </w:rPr>
        <w:t xml:space="preserve">Appendix </w:t>
      </w:r>
      <w:r w:rsidR="007B4DF8">
        <w:rPr>
          <w:rFonts w:eastAsiaTheme="minorEastAsia" w:cstheme="minorBidi"/>
        </w:rPr>
        <w:t>J</w:t>
      </w:r>
      <w:r w:rsidR="004073C5" w:rsidRPr="00E06306">
        <w:rPr>
          <w:rFonts w:eastAsiaTheme="minorEastAsia" w:cstheme="minorBidi"/>
        </w:rPr>
        <w:t>]</w:t>
      </w:r>
      <w:r w:rsidR="00E066DD" w:rsidRPr="00E06306">
        <w:rPr>
          <w:rFonts w:eastAsiaTheme="minorEastAsia" w:cstheme="minorBidi"/>
        </w:rPr>
        <w:t>.</w:t>
      </w:r>
    </w:p>
    <w:p w14:paraId="50B0EDF4" w14:textId="77777777" w:rsidR="00527C00" w:rsidRPr="00527C00" w:rsidRDefault="00527C00" w:rsidP="00527C00">
      <w:pPr>
        <w:widowControl w:val="0"/>
        <w:spacing w:after="0" w:line="240" w:lineRule="auto"/>
        <w:ind w:left="86"/>
        <w:rPr>
          <w:rFonts w:ascii="Arial" w:eastAsia="Malgun Gothic" w:hAnsi="Arial"/>
          <w:sz w:val="20"/>
          <w:lang w:eastAsia="ko-KR"/>
        </w:rPr>
      </w:pPr>
    </w:p>
    <w:p w14:paraId="3A2F843A" w14:textId="6760A27A" w:rsidR="00CC5230" w:rsidRPr="00660E65" w:rsidRDefault="00660E65" w:rsidP="00625CC3">
      <w:pPr>
        <w:widowControl w:val="0"/>
        <w:spacing w:after="0" w:line="240" w:lineRule="auto"/>
        <w:rPr>
          <w:lang w:eastAsia="ko-KR"/>
        </w:rPr>
      </w:pPr>
      <w:r w:rsidRPr="00660E65">
        <w:rPr>
          <w:lang w:eastAsia="ko-KR"/>
        </w:rPr>
        <w:t xml:space="preserve">The focus group </w:t>
      </w:r>
      <w:r w:rsidR="00E94883">
        <w:rPr>
          <w:lang w:eastAsia="ko-KR"/>
        </w:rPr>
        <w:t>will be</w:t>
      </w:r>
      <w:r w:rsidRPr="00660E65">
        <w:rPr>
          <w:lang w:eastAsia="ko-KR"/>
        </w:rPr>
        <w:t xml:space="preserve"> </w:t>
      </w:r>
      <w:r w:rsidR="00E94883" w:rsidRPr="00660E65">
        <w:rPr>
          <w:lang w:eastAsia="ko-KR"/>
        </w:rPr>
        <w:t>conducted directly before the conference welcome reception at Northern Arizona University, Flagstaff, AZ</w:t>
      </w:r>
      <w:r w:rsidR="00E94883">
        <w:rPr>
          <w:lang w:eastAsia="ko-KR"/>
        </w:rPr>
        <w:t>,</w:t>
      </w:r>
      <w:r w:rsidRPr="00660E65">
        <w:rPr>
          <w:lang w:eastAsia="ko-KR"/>
        </w:rPr>
        <w:t xml:space="preserve"> in cooperation with the </w:t>
      </w:r>
      <w:r w:rsidRPr="00660E65">
        <w:t>Tenth Annual American Indian/Indigenou</w:t>
      </w:r>
      <w:r w:rsidR="00E94883">
        <w:t>s Teacher Education Conference.</w:t>
      </w:r>
    </w:p>
    <w:p w14:paraId="1F29E847" w14:textId="77777777" w:rsidR="00660E65" w:rsidRPr="0080425A" w:rsidRDefault="00660E65" w:rsidP="00625CC3">
      <w:pPr>
        <w:widowControl w:val="0"/>
        <w:spacing w:after="0" w:line="240" w:lineRule="auto"/>
        <w:rPr>
          <w:strike/>
          <w:lang w:eastAsia="ko-KR"/>
        </w:rPr>
      </w:pPr>
    </w:p>
    <w:p w14:paraId="77BDB0BB" w14:textId="03ED2032" w:rsidR="00A00C8A" w:rsidRPr="0061408D" w:rsidRDefault="00A00C8A" w:rsidP="008F0851">
      <w:pPr>
        <w:spacing w:after="120" w:line="240" w:lineRule="auto"/>
        <w:rPr>
          <w:rStyle w:val="Emphasis"/>
          <w:b/>
          <w:i w:val="0"/>
        </w:rPr>
      </w:pPr>
      <w:r w:rsidRPr="0061408D">
        <w:rPr>
          <w:rStyle w:val="Emphasis"/>
          <w:b/>
          <w:i w:val="0"/>
        </w:rPr>
        <w:t>Data Collection</w:t>
      </w:r>
    </w:p>
    <w:p w14:paraId="52934C18" w14:textId="6DE4CB9F" w:rsidR="00660E65" w:rsidRPr="00660E65" w:rsidRDefault="00660E65" w:rsidP="00660E65">
      <w:pPr>
        <w:autoSpaceDE w:val="0"/>
        <w:autoSpaceDN w:val="0"/>
        <w:spacing w:line="240" w:lineRule="auto"/>
        <w:rPr>
          <w:rFonts w:eastAsiaTheme="minorEastAsia"/>
        </w:rPr>
      </w:pPr>
      <w:bookmarkStart w:id="13" w:name="_Toc377588742"/>
      <w:bookmarkStart w:id="14" w:name="_Toc377618616"/>
      <w:bookmarkStart w:id="15" w:name="_Toc377711509"/>
      <w:bookmarkStart w:id="16" w:name="_Toc377711699"/>
      <w:bookmarkEnd w:id="13"/>
      <w:bookmarkEnd w:id="14"/>
      <w:bookmarkEnd w:id="15"/>
      <w:bookmarkEnd w:id="16"/>
      <w:r w:rsidRPr="00660E65">
        <w:t xml:space="preserve">One 90-minute focus group session with </w:t>
      </w:r>
      <w:r w:rsidR="007D607E">
        <w:t>8-12 participants</w:t>
      </w:r>
      <w:r w:rsidRPr="00660E65">
        <w:t xml:space="preserve"> will be convened to evaluate the NIES 2015 report and to recommend enhancements for future NIES reports</w:t>
      </w:r>
      <w:r w:rsidR="007D607E">
        <w:t>.</w:t>
      </w:r>
      <w:r w:rsidR="0030300D">
        <w:rPr>
          <w:color w:val="FF0000"/>
        </w:rPr>
        <w:t xml:space="preserve"> </w:t>
      </w:r>
      <w:r w:rsidRPr="00660E65">
        <w:t>Participants will be asked to review the NIES report prior to the focus group, which should take no longer than 60 minutes.</w:t>
      </w:r>
      <w:r w:rsidR="0030300D">
        <w:t xml:space="preserve"> </w:t>
      </w:r>
      <w:r w:rsidRPr="00660E65">
        <w:t>Specifically, the purpose is to gather the knowledge, attitudes, and beliefs of the participants concerning how the data might be used, the utility of the presentation of the data (e.g., accessibility and purpose), how the report portrays AI/AN academic achievement, layout and data presentation, clarity of the information being reported, and the effect of the content organization (tables, graphs, and color).</w:t>
      </w:r>
    </w:p>
    <w:p w14:paraId="2C0F8AE2" w14:textId="07517F1A" w:rsidR="00CF08CF" w:rsidRPr="00AA2C6A" w:rsidRDefault="008D43FE" w:rsidP="00625CC3">
      <w:pPr>
        <w:spacing w:after="120" w:line="240" w:lineRule="auto"/>
        <w:rPr>
          <w:rFonts w:eastAsia="Malgun Gothic"/>
          <w:szCs w:val="20"/>
        </w:rPr>
      </w:pPr>
      <w:r w:rsidRPr="00AA2C6A">
        <w:rPr>
          <w:rFonts w:eastAsia="Malgun Gothic"/>
          <w:szCs w:val="20"/>
        </w:rPr>
        <w:t>After the focus group</w:t>
      </w:r>
      <w:r w:rsidR="00F74B14" w:rsidRPr="00AA2C6A">
        <w:rPr>
          <w:rFonts w:eastAsia="Malgun Gothic"/>
          <w:szCs w:val="20"/>
        </w:rPr>
        <w:t xml:space="preserve"> </w:t>
      </w:r>
      <w:r w:rsidRPr="00AA2C6A">
        <w:rPr>
          <w:rFonts w:eastAsia="Malgun Gothic"/>
          <w:szCs w:val="20"/>
        </w:rPr>
        <w:t>s</w:t>
      </w:r>
      <w:r w:rsidR="00F74B14" w:rsidRPr="00AA2C6A">
        <w:rPr>
          <w:rFonts w:eastAsia="Malgun Gothic"/>
          <w:szCs w:val="20"/>
        </w:rPr>
        <w:t>ession,</w:t>
      </w:r>
      <w:r w:rsidRPr="00AA2C6A">
        <w:rPr>
          <w:rFonts w:eastAsia="Malgun Gothic"/>
          <w:szCs w:val="20"/>
        </w:rPr>
        <w:t xml:space="preserve"> </w:t>
      </w:r>
      <w:r w:rsidR="00F74B14" w:rsidRPr="00AA2C6A">
        <w:rPr>
          <w:rFonts w:eastAsia="Malgun Gothic"/>
          <w:szCs w:val="20"/>
        </w:rPr>
        <w:t xml:space="preserve">findings </w:t>
      </w:r>
      <w:r w:rsidR="006366F7" w:rsidRPr="00AA2C6A">
        <w:rPr>
          <w:rFonts w:eastAsia="Malgun Gothic"/>
          <w:szCs w:val="20"/>
        </w:rPr>
        <w:t xml:space="preserve">from the notes taken and </w:t>
      </w:r>
      <w:r w:rsidR="00066499" w:rsidRPr="00AA2C6A">
        <w:rPr>
          <w:rFonts w:eastAsia="Malgun Gothic"/>
          <w:szCs w:val="20"/>
        </w:rPr>
        <w:t>from</w:t>
      </w:r>
      <w:r w:rsidR="00A7363D">
        <w:rPr>
          <w:rFonts w:eastAsia="Malgun Gothic"/>
          <w:szCs w:val="20"/>
        </w:rPr>
        <w:t xml:space="preserve"> the audio</w:t>
      </w:r>
      <w:r w:rsidR="006366F7" w:rsidRPr="00AA2C6A">
        <w:rPr>
          <w:rFonts w:eastAsia="Malgun Gothic"/>
          <w:szCs w:val="20"/>
        </w:rPr>
        <w:t xml:space="preserve"> recordings will be </w:t>
      </w:r>
      <w:r w:rsidR="00066499" w:rsidRPr="00AA2C6A">
        <w:rPr>
          <w:rFonts w:eastAsia="Malgun Gothic"/>
          <w:szCs w:val="20"/>
        </w:rPr>
        <w:t xml:space="preserve">compiled and </w:t>
      </w:r>
      <w:r w:rsidR="006366F7" w:rsidRPr="00AA2C6A">
        <w:rPr>
          <w:rFonts w:eastAsia="Malgun Gothic"/>
          <w:szCs w:val="20"/>
        </w:rPr>
        <w:t xml:space="preserve">included in </w:t>
      </w:r>
      <w:r w:rsidR="00D02130" w:rsidRPr="00AA2C6A">
        <w:rPr>
          <w:rFonts w:eastAsia="Malgun Gothic"/>
          <w:szCs w:val="20"/>
        </w:rPr>
        <w:t xml:space="preserve">a </w:t>
      </w:r>
      <w:r w:rsidRPr="00AA2C6A">
        <w:rPr>
          <w:rFonts w:eastAsia="Malgun Gothic"/>
          <w:szCs w:val="20"/>
        </w:rPr>
        <w:t xml:space="preserve">comprehensive </w:t>
      </w:r>
      <w:r w:rsidR="004A7951" w:rsidRPr="00AA2C6A">
        <w:rPr>
          <w:rFonts w:eastAsia="Malgun Gothic"/>
          <w:szCs w:val="20"/>
        </w:rPr>
        <w:t>report</w:t>
      </w:r>
      <w:r w:rsidRPr="00AA2C6A">
        <w:rPr>
          <w:rFonts w:eastAsia="Malgun Gothic"/>
          <w:szCs w:val="20"/>
        </w:rPr>
        <w:t xml:space="preserve"> </w:t>
      </w:r>
      <w:r w:rsidR="00066499" w:rsidRPr="00AA2C6A">
        <w:rPr>
          <w:rFonts w:eastAsia="Malgun Gothic"/>
          <w:szCs w:val="20"/>
        </w:rPr>
        <w:t xml:space="preserve">that will </w:t>
      </w:r>
      <w:r w:rsidR="00EE7E2C" w:rsidRPr="00AA2C6A">
        <w:rPr>
          <w:rFonts w:eastAsia="Malgun Gothic"/>
          <w:szCs w:val="20"/>
        </w:rPr>
        <w:t xml:space="preserve">describe the methodology used and the </w:t>
      </w:r>
      <w:r w:rsidR="00E0181C" w:rsidRPr="00AA2C6A">
        <w:rPr>
          <w:rFonts w:eastAsia="Malgun Gothic"/>
          <w:szCs w:val="20"/>
        </w:rPr>
        <w:t xml:space="preserve">limitations and </w:t>
      </w:r>
      <w:r w:rsidR="00EE7E2C" w:rsidRPr="00AA2C6A">
        <w:rPr>
          <w:rFonts w:eastAsia="Malgun Gothic"/>
          <w:szCs w:val="20"/>
        </w:rPr>
        <w:t>implications of the study’s results</w:t>
      </w:r>
      <w:r w:rsidR="004A7951" w:rsidRPr="00AA2C6A">
        <w:rPr>
          <w:rFonts w:eastAsia="Malgun Gothic"/>
          <w:szCs w:val="20"/>
        </w:rPr>
        <w:t>.</w:t>
      </w:r>
    </w:p>
    <w:p w14:paraId="3CB0981D" w14:textId="78CB5883" w:rsidR="00D26532" w:rsidRPr="00CD104F" w:rsidRDefault="00D26532"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17" w:name="_Toc523836478"/>
      <w:bookmarkStart w:id="18" w:name="_Toc523836537"/>
      <w:bookmarkStart w:id="19" w:name="_Toc523836724"/>
      <w:bookmarkStart w:id="20" w:name="_Toc523836917"/>
      <w:bookmarkStart w:id="21" w:name="_Toc374681255"/>
      <w:bookmarkStart w:id="22" w:name="_Toc485718780"/>
      <w:bookmarkStart w:id="23" w:name="_Toc5002102"/>
      <w:bookmarkEnd w:id="17"/>
      <w:bookmarkEnd w:id="18"/>
      <w:bookmarkEnd w:id="19"/>
      <w:bookmarkEnd w:id="20"/>
      <w:r w:rsidRPr="00CD104F">
        <w:rPr>
          <w:rFonts w:asciiTheme="minorHAnsi" w:hAnsiTheme="minorHAnsi"/>
          <w:color w:val="1F497D" w:themeColor="text2"/>
          <w:sz w:val="28"/>
          <w:szCs w:val="28"/>
        </w:rPr>
        <w:t>Consultations Outside the Agency</w:t>
      </w:r>
      <w:bookmarkEnd w:id="21"/>
      <w:bookmarkEnd w:id="22"/>
      <w:bookmarkEnd w:id="23"/>
    </w:p>
    <w:p w14:paraId="6B32E73A" w14:textId="0149D49A" w:rsidR="00AC381F" w:rsidRPr="00E95961" w:rsidRDefault="000006FB" w:rsidP="00E95961">
      <w:pPr>
        <w:pStyle w:val="ColorfulList-Accent11"/>
        <w:spacing w:after="120" w:line="240" w:lineRule="auto"/>
        <w:ind w:left="0"/>
        <w:contextualSpacing w:val="0"/>
        <w:rPr>
          <w:szCs w:val="24"/>
        </w:rPr>
      </w:pPr>
      <w:r w:rsidRPr="00E95961">
        <w:rPr>
          <w:szCs w:val="24"/>
        </w:rPr>
        <w:t>Tribal Tech, LLC</w:t>
      </w:r>
      <w:r w:rsidR="00247532" w:rsidRPr="00E95961">
        <w:rPr>
          <w:szCs w:val="24"/>
        </w:rPr>
        <w:t xml:space="preserve"> </w:t>
      </w:r>
      <w:r w:rsidR="00D26532" w:rsidRPr="00E95961">
        <w:rPr>
          <w:szCs w:val="24"/>
        </w:rPr>
        <w:t>will be responsible for management of all activities described in this package.</w:t>
      </w:r>
      <w:r w:rsidR="00E95961">
        <w:rPr>
          <w:szCs w:val="24"/>
        </w:rPr>
        <w:t xml:space="preserve"> </w:t>
      </w:r>
      <w:r w:rsidR="0080425A" w:rsidRPr="00E95961">
        <w:rPr>
          <w:rFonts w:eastAsia="Malgun Gothic"/>
          <w:szCs w:val="24"/>
          <w:lang w:eastAsia="ko-KR"/>
        </w:rPr>
        <w:t>Tribal Tech</w:t>
      </w:r>
      <w:r w:rsidR="003C1F2A">
        <w:rPr>
          <w:szCs w:val="24"/>
        </w:rPr>
        <w:t xml:space="preserve">, LLC </w:t>
      </w:r>
      <w:r w:rsidR="00AC381F" w:rsidRPr="00E95961">
        <w:rPr>
          <w:szCs w:val="24"/>
        </w:rPr>
        <w:t>will offer facilities, tools, and staff (senior qualitative methodologists) to collect and analyze qualitative data</w:t>
      </w:r>
      <w:r w:rsidR="009E4B99" w:rsidRPr="00E95961">
        <w:rPr>
          <w:szCs w:val="24"/>
        </w:rPr>
        <w:t xml:space="preserve">, </w:t>
      </w:r>
      <w:r w:rsidR="00AC381F" w:rsidRPr="00E95961">
        <w:rPr>
          <w:szCs w:val="24"/>
        </w:rPr>
        <w:t>will recruit participants, moderate the focus group</w:t>
      </w:r>
      <w:r w:rsidR="002F38C9" w:rsidRPr="00E95961">
        <w:rPr>
          <w:szCs w:val="24"/>
        </w:rPr>
        <w:t xml:space="preserve">, and </w:t>
      </w:r>
      <w:r w:rsidR="009E4B99" w:rsidRPr="00E95961">
        <w:rPr>
          <w:szCs w:val="24"/>
        </w:rPr>
        <w:t>prepare</w:t>
      </w:r>
      <w:r w:rsidR="003E5706" w:rsidRPr="00E95961">
        <w:rPr>
          <w:szCs w:val="24"/>
        </w:rPr>
        <w:t xml:space="preserve"> a comprehensive report</w:t>
      </w:r>
      <w:r w:rsidR="002F38C9" w:rsidRPr="00E95961">
        <w:rPr>
          <w:szCs w:val="24"/>
        </w:rPr>
        <w:t>.</w:t>
      </w:r>
    </w:p>
    <w:p w14:paraId="5D6553FB" w14:textId="4543F63B" w:rsidR="0045699C" w:rsidRPr="00494774" w:rsidRDefault="0045699C"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24" w:name="_Toc5002103"/>
      <w:bookmarkStart w:id="25" w:name="_Toc374681256"/>
      <w:bookmarkStart w:id="26" w:name="_Toc485718781"/>
      <w:r>
        <w:rPr>
          <w:rFonts w:asciiTheme="minorHAnsi" w:hAnsiTheme="minorHAnsi"/>
          <w:color w:val="1F497D" w:themeColor="text2"/>
          <w:sz w:val="28"/>
          <w:szCs w:val="28"/>
        </w:rPr>
        <w:t>Justification for Sensitive Questions</w:t>
      </w:r>
      <w:bookmarkEnd w:id="24"/>
    </w:p>
    <w:p w14:paraId="6F57DC04" w14:textId="77777777" w:rsidR="00CF08CF" w:rsidRDefault="00247532" w:rsidP="008F0851">
      <w:pPr>
        <w:spacing w:after="120" w:line="240" w:lineRule="auto"/>
      </w:pPr>
      <w:r w:rsidRPr="008E319C">
        <w:t xml:space="preserve">Throughout the item and debriefing question development processes, effort </w:t>
      </w:r>
      <w:r>
        <w:t>will</w:t>
      </w:r>
      <w:r w:rsidRPr="008E319C">
        <w:t xml:space="preserve"> be made to avoid asking for information that might be considered sensitive or offensive.</w:t>
      </w:r>
    </w:p>
    <w:p w14:paraId="082509F3" w14:textId="6B4FCC27" w:rsidR="00247532" w:rsidRDefault="00247532"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27" w:name="_Toc5002104"/>
      <w:r>
        <w:rPr>
          <w:rFonts w:asciiTheme="minorHAnsi" w:hAnsiTheme="minorHAnsi"/>
          <w:color w:val="1F497D" w:themeColor="text2"/>
          <w:sz w:val="28"/>
          <w:szCs w:val="28"/>
        </w:rPr>
        <w:t>Paying Respondents</w:t>
      </w:r>
      <w:bookmarkEnd w:id="27"/>
    </w:p>
    <w:p w14:paraId="5FCA2012" w14:textId="19131E4D" w:rsidR="00CF08CF" w:rsidRDefault="00764399" w:rsidP="008F0851">
      <w:pPr>
        <w:pStyle w:val="ColorfulList-Accent11"/>
        <w:spacing w:after="120" w:line="240" w:lineRule="auto"/>
        <w:ind w:left="0"/>
        <w:contextualSpacing w:val="0"/>
        <w:rPr>
          <w:rFonts w:cs="Calibri"/>
        </w:rPr>
      </w:pPr>
      <w:r>
        <w:t>As in prior similar NAEP studies, t</w:t>
      </w:r>
      <w:r w:rsidR="00247532">
        <w:t>o encourage participation in the 90</w:t>
      </w:r>
      <w:r w:rsidR="00DF1C4C">
        <w:t>-</w:t>
      </w:r>
      <w:r w:rsidR="00247532">
        <w:t>minute session</w:t>
      </w:r>
      <w:r w:rsidR="00CE169F">
        <w:t xml:space="preserve"> by busy</w:t>
      </w:r>
      <w:r w:rsidR="008915C0">
        <w:t xml:space="preserve"> school administrators, teachers, school board members, and other education stakeholders</w:t>
      </w:r>
      <w:r w:rsidR="00247532">
        <w:t xml:space="preserve">, </w:t>
      </w:r>
      <w:r w:rsidR="00F74B14">
        <w:t xml:space="preserve">we will offer </w:t>
      </w:r>
      <w:r w:rsidR="00730AC7" w:rsidRPr="0061408D">
        <w:rPr>
          <w:rFonts w:cs="Calibri"/>
        </w:rPr>
        <w:t xml:space="preserve">each </w:t>
      </w:r>
      <w:r w:rsidR="00730AC7" w:rsidRPr="001D4037">
        <w:rPr>
          <w:rFonts w:cs="Calibri"/>
        </w:rPr>
        <w:t xml:space="preserve">participant </w:t>
      </w:r>
      <w:r w:rsidR="00247532" w:rsidRPr="001D4037">
        <w:rPr>
          <w:rFonts w:cs="Calibri"/>
        </w:rPr>
        <w:t>a $</w:t>
      </w:r>
      <w:r w:rsidR="00CE169F" w:rsidRPr="001D4037">
        <w:rPr>
          <w:rFonts w:cs="Calibri"/>
        </w:rPr>
        <w:t>100</w:t>
      </w:r>
      <w:r w:rsidR="00247532" w:rsidRPr="001D4037">
        <w:rPr>
          <w:rFonts w:cs="Calibri"/>
        </w:rPr>
        <w:t xml:space="preserve"> </w:t>
      </w:r>
      <w:r w:rsidR="00A00C8A" w:rsidRPr="001D4037">
        <w:rPr>
          <w:rFonts w:cs="Calibri"/>
        </w:rPr>
        <w:t xml:space="preserve">gift card from a </w:t>
      </w:r>
      <w:r w:rsidR="00247532" w:rsidRPr="001D4037">
        <w:rPr>
          <w:rFonts w:cs="Calibri"/>
        </w:rPr>
        <w:t xml:space="preserve">major credit card </w:t>
      </w:r>
      <w:r w:rsidR="00F74B14" w:rsidRPr="001D4037">
        <w:rPr>
          <w:rFonts w:cs="Calibri"/>
        </w:rPr>
        <w:t xml:space="preserve">company </w:t>
      </w:r>
      <w:r w:rsidR="00247532" w:rsidRPr="001D4037">
        <w:rPr>
          <w:rFonts w:cs="Calibri"/>
        </w:rPr>
        <w:t xml:space="preserve">(e.g., Visa) </w:t>
      </w:r>
      <w:r w:rsidR="00F74B14" w:rsidRPr="001D4037">
        <w:rPr>
          <w:rFonts w:cs="Calibri"/>
        </w:rPr>
        <w:t xml:space="preserve">to </w:t>
      </w:r>
      <w:r w:rsidR="00247532" w:rsidRPr="001D4037">
        <w:rPr>
          <w:rFonts w:cs="Calibri"/>
        </w:rPr>
        <w:t xml:space="preserve">thank them for </w:t>
      </w:r>
      <w:r w:rsidR="00F74B14" w:rsidRPr="001D4037">
        <w:rPr>
          <w:rFonts w:cs="Calibri"/>
        </w:rPr>
        <w:t>their</w:t>
      </w:r>
      <w:r w:rsidR="00247532" w:rsidRPr="001D4037">
        <w:rPr>
          <w:rFonts w:cs="Calibri"/>
        </w:rPr>
        <w:t xml:space="preserve"> time and effort.</w:t>
      </w:r>
    </w:p>
    <w:p w14:paraId="41DDE552" w14:textId="18A07C38" w:rsidR="00D26532" w:rsidRPr="00494774" w:rsidRDefault="00D26532" w:rsidP="008F0851">
      <w:pPr>
        <w:pStyle w:val="Heading1"/>
        <w:numPr>
          <w:ilvl w:val="0"/>
          <w:numId w:val="17"/>
        </w:numPr>
        <w:spacing w:before="0" w:after="120" w:line="240" w:lineRule="auto"/>
        <w:ind w:left="360"/>
        <w:rPr>
          <w:rFonts w:asciiTheme="minorHAnsi" w:hAnsiTheme="minorHAnsi"/>
          <w:color w:val="1F497D" w:themeColor="text2"/>
          <w:sz w:val="28"/>
          <w:szCs w:val="28"/>
        </w:rPr>
      </w:pPr>
      <w:bookmarkStart w:id="28" w:name="_Toc5002105"/>
      <w:r w:rsidRPr="00494774">
        <w:rPr>
          <w:rFonts w:asciiTheme="minorHAnsi" w:hAnsiTheme="minorHAnsi"/>
          <w:color w:val="1F497D" w:themeColor="text2"/>
          <w:sz w:val="28"/>
          <w:szCs w:val="28"/>
        </w:rPr>
        <w:t>Assurance of Confidentiality</w:t>
      </w:r>
      <w:bookmarkEnd w:id="25"/>
      <w:bookmarkEnd w:id="26"/>
      <w:bookmarkEnd w:id="28"/>
    </w:p>
    <w:p w14:paraId="31262EE6" w14:textId="024F762C" w:rsidR="008E319C" w:rsidRDefault="00073781" w:rsidP="008F0851">
      <w:pPr>
        <w:pStyle w:val="ColorfulList-Accent11"/>
        <w:spacing w:after="120" w:line="240" w:lineRule="auto"/>
        <w:ind w:left="0"/>
        <w:contextualSpacing w:val="0"/>
        <w:rPr>
          <w:rFonts w:cs="Calibri"/>
          <w:strike/>
        </w:rPr>
      </w:pPr>
      <w:r w:rsidRPr="00E16BF7">
        <w:rPr>
          <w:rFonts w:cs="Calibri"/>
        </w:rPr>
        <w:t xml:space="preserve">The study will not retain any personally identifiable information. Prior to the start of the study, </w:t>
      </w:r>
      <w:r w:rsidR="00E95961" w:rsidRPr="00E16BF7">
        <w:rPr>
          <w:rFonts w:cs="Calibri"/>
        </w:rPr>
        <w:t>participants</w:t>
      </w:r>
      <w:r w:rsidRPr="00E16BF7">
        <w:rPr>
          <w:rFonts w:cs="Calibri"/>
        </w:rPr>
        <w:t xml:space="preserve"> will be notified that their participation is voluntary</w:t>
      </w:r>
      <w:r w:rsidR="00730AC7" w:rsidRPr="00E16BF7">
        <w:rPr>
          <w:rFonts w:cs="Calibri"/>
        </w:rPr>
        <w:t xml:space="preserve"> and </w:t>
      </w:r>
      <w:r w:rsidR="007F61BB">
        <w:rPr>
          <w:rFonts w:cs="Calibri"/>
        </w:rPr>
        <w:t xml:space="preserve">that </w:t>
      </w:r>
      <w:r w:rsidRPr="00E16BF7">
        <w:rPr>
          <w:rFonts w:cs="Calibri"/>
        </w:rPr>
        <w:t>the information they provide may be used only for statistical purposes and may not be disclosed, or used, in identifiable form for any other purpose except as required by law (20 U.S.C. §9573 and 6 U.S.C. §151)</w:t>
      </w:r>
      <w:r w:rsidR="00E16BF7">
        <w:rPr>
          <w:rFonts w:cs="Calibri"/>
        </w:rPr>
        <w:t xml:space="preserve">. </w:t>
      </w:r>
      <w:r w:rsidR="00D26532" w:rsidRPr="00E16BF7">
        <w:rPr>
          <w:rFonts w:cs="Calibri"/>
        </w:rPr>
        <w:t>Written consent will be obtained from</w:t>
      </w:r>
      <w:r w:rsidR="00A2283D" w:rsidRPr="00E16BF7">
        <w:rPr>
          <w:rFonts w:cs="Calibri"/>
        </w:rPr>
        <w:t xml:space="preserve"> </w:t>
      </w:r>
      <w:bookmarkStart w:id="29" w:name="_Toc485718782"/>
      <w:r w:rsidR="00E95961" w:rsidRPr="00E16BF7">
        <w:rPr>
          <w:rFonts w:cs="Calibri"/>
        </w:rPr>
        <w:t>focus group participants</w:t>
      </w:r>
      <w:r w:rsidR="00A95F3F" w:rsidRPr="00E16BF7">
        <w:rPr>
          <w:rFonts w:cs="Calibri"/>
        </w:rPr>
        <w:t xml:space="preserve"> before their participation</w:t>
      </w:r>
      <w:r w:rsidR="00E16BF7">
        <w:rPr>
          <w:rFonts w:cs="Calibri"/>
        </w:rPr>
        <w:t>.</w:t>
      </w:r>
    </w:p>
    <w:p w14:paraId="1A315C35" w14:textId="1304B844" w:rsidR="00D26532" w:rsidRDefault="00D26532" w:rsidP="008F0851">
      <w:pPr>
        <w:pStyle w:val="Heading1"/>
        <w:numPr>
          <w:ilvl w:val="0"/>
          <w:numId w:val="17"/>
        </w:numPr>
        <w:spacing w:before="0" w:after="120" w:line="240" w:lineRule="auto"/>
        <w:ind w:left="360"/>
        <w:rPr>
          <w:rFonts w:asciiTheme="minorHAnsi" w:hAnsiTheme="minorHAnsi"/>
          <w:color w:val="1F497D" w:themeColor="text2"/>
          <w:sz w:val="28"/>
          <w:szCs w:val="22"/>
        </w:rPr>
      </w:pPr>
      <w:bookmarkStart w:id="30" w:name="_Toc374681258"/>
      <w:bookmarkStart w:id="31" w:name="_Toc485718783"/>
      <w:bookmarkStart w:id="32" w:name="_Toc5002106"/>
      <w:bookmarkEnd w:id="29"/>
      <w:r w:rsidRPr="00494774">
        <w:rPr>
          <w:rFonts w:asciiTheme="minorHAnsi" w:hAnsiTheme="minorHAnsi"/>
          <w:color w:val="1F497D" w:themeColor="text2"/>
          <w:sz w:val="28"/>
          <w:szCs w:val="22"/>
        </w:rPr>
        <w:t>Estimate of Hourly Burden</w:t>
      </w:r>
      <w:bookmarkEnd w:id="30"/>
      <w:bookmarkEnd w:id="31"/>
      <w:bookmarkEnd w:id="32"/>
    </w:p>
    <w:p w14:paraId="38F6AEBE" w14:textId="5264061D" w:rsidR="00CF63EE" w:rsidRDefault="00C44C0B" w:rsidP="008F0851">
      <w:pPr>
        <w:widowControl w:val="0"/>
        <w:spacing w:after="120" w:line="240" w:lineRule="auto"/>
        <w:ind w:left="86"/>
        <w:rPr>
          <w:rFonts w:cs="Calibri"/>
        </w:rPr>
      </w:pPr>
      <w:r w:rsidRPr="00C44C0B">
        <w:rPr>
          <w:rFonts w:cs="Calibri"/>
        </w:rPr>
        <w:t>The estimated burden for recruitment assumes attrition throughout the process</w:t>
      </w:r>
      <w:r w:rsidR="00B03EF9">
        <w:rPr>
          <w:rFonts w:cs="Calibri"/>
        </w:rPr>
        <w:t xml:space="preserve">, including an estimated </w:t>
      </w:r>
      <w:r w:rsidR="00B03EF9" w:rsidRPr="00C44C0B">
        <w:rPr>
          <w:rFonts w:cs="Calibri"/>
        </w:rPr>
        <w:t>75 percent</w:t>
      </w:r>
      <w:r w:rsidR="00B03EF9" w:rsidRPr="00B03EF9">
        <w:rPr>
          <w:rFonts w:cs="Calibri"/>
        </w:rPr>
        <w:t xml:space="preserve"> </w:t>
      </w:r>
      <w:r w:rsidR="00B03EF9">
        <w:rPr>
          <w:rFonts w:cs="Calibri"/>
        </w:rPr>
        <w:t xml:space="preserve">attrition rate during </w:t>
      </w:r>
      <w:r w:rsidRPr="00C44C0B">
        <w:rPr>
          <w:rFonts w:cs="Calibri"/>
        </w:rPr>
        <w:t xml:space="preserve">direct participant recruitment from initial contact to follow-up, and </w:t>
      </w:r>
      <w:r w:rsidR="00006EED">
        <w:rPr>
          <w:rFonts w:cs="Calibri"/>
        </w:rPr>
        <w:t>a 5</w:t>
      </w:r>
      <w:r w:rsidR="00006EED" w:rsidRPr="00C44C0B">
        <w:rPr>
          <w:rFonts w:cs="Calibri"/>
        </w:rPr>
        <w:t>0 percent</w:t>
      </w:r>
      <w:r w:rsidR="00006EED">
        <w:rPr>
          <w:rFonts w:cs="Calibri"/>
        </w:rPr>
        <w:t xml:space="preserve"> </w:t>
      </w:r>
      <w:r w:rsidR="00F74B14">
        <w:rPr>
          <w:rFonts w:cs="Calibri"/>
        </w:rPr>
        <w:t xml:space="preserve">rate </w:t>
      </w:r>
      <w:r w:rsidRPr="00C44C0B">
        <w:rPr>
          <w:rFonts w:cs="Calibri"/>
        </w:rPr>
        <w:t xml:space="preserve">from follow-up to confirmation. </w:t>
      </w:r>
      <w:r w:rsidR="00AC4CB6">
        <w:rPr>
          <w:rFonts w:cs="Calibri"/>
        </w:rPr>
        <w:t xml:space="preserve">The </w:t>
      </w:r>
      <w:r w:rsidRPr="00C44C0B">
        <w:rPr>
          <w:rFonts w:cs="Calibri"/>
        </w:rPr>
        <w:t xml:space="preserve">focus group will be scheduled for no </w:t>
      </w:r>
      <w:r w:rsidRPr="001D4037">
        <w:rPr>
          <w:rFonts w:cs="Calibri"/>
        </w:rPr>
        <w:t>more than 90 minutes</w:t>
      </w:r>
      <w:r w:rsidR="001A4BF4" w:rsidRPr="001D4037">
        <w:rPr>
          <w:rFonts w:cs="Calibri"/>
        </w:rPr>
        <w:t>.</w:t>
      </w:r>
      <w:r w:rsidR="0030300D">
        <w:rPr>
          <w:rFonts w:cs="Calibri"/>
        </w:rPr>
        <w:t xml:space="preserve"> </w:t>
      </w:r>
      <w:r w:rsidRPr="001D4037">
        <w:rPr>
          <w:rFonts w:cs="Calibri"/>
        </w:rPr>
        <w:t>Table 1 details the estimated burden for the focus group.</w:t>
      </w:r>
    </w:p>
    <w:p w14:paraId="1E58411F" w14:textId="086DC009" w:rsidR="00C44C0B" w:rsidRPr="00C44C0B" w:rsidRDefault="00C44C0B" w:rsidP="00CD33CF">
      <w:pPr>
        <w:spacing w:after="0" w:line="240" w:lineRule="auto"/>
        <w:rPr>
          <w:rFonts w:cs="Calibri"/>
          <w:b/>
        </w:rPr>
      </w:pPr>
      <w:r w:rsidRPr="00C44C0B">
        <w:rPr>
          <w:rFonts w:cs="Calibri"/>
          <w:b/>
        </w:rPr>
        <w:t xml:space="preserve">Table 1. </w:t>
      </w:r>
      <w:r w:rsidR="00006EED">
        <w:rPr>
          <w:rFonts w:cs="Calibri"/>
          <w:b/>
        </w:rPr>
        <w:t xml:space="preserve">Response </w:t>
      </w:r>
      <w:r w:rsidRPr="00C44C0B">
        <w:rPr>
          <w:rFonts w:cs="Calibri"/>
          <w:b/>
        </w:rPr>
        <w:t xml:space="preserve">Burden for Teacher and </w:t>
      </w:r>
      <w:r w:rsidR="00A2283D">
        <w:rPr>
          <w:rFonts w:cs="Calibri"/>
          <w:b/>
        </w:rPr>
        <w:t>Principal</w:t>
      </w:r>
      <w:r w:rsidR="00A2283D" w:rsidRPr="00C44C0B">
        <w:rPr>
          <w:rFonts w:cs="Calibri"/>
          <w:b/>
        </w:rPr>
        <w:t xml:space="preserve"> </w:t>
      </w:r>
      <w:r w:rsidRPr="00C44C0B">
        <w:rPr>
          <w:rFonts w:cs="Calibri"/>
          <w:b/>
        </w:rPr>
        <w:t xml:space="preserve">Focus Group </w:t>
      </w:r>
    </w:p>
    <w:tbl>
      <w:tblPr>
        <w:tblW w:w="5033" w:type="pct"/>
        <w:tblLayout w:type="fixed"/>
        <w:tblCellMar>
          <w:left w:w="115" w:type="dxa"/>
          <w:right w:w="115" w:type="dxa"/>
        </w:tblCellMar>
        <w:tblLook w:val="00A0" w:firstRow="1" w:lastRow="0" w:firstColumn="1" w:lastColumn="0" w:noHBand="0" w:noVBand="0"/>
      </w:tblPr>
      <w:tblGrid>
        <w:gridCol w:w="4884"/>
        <w:gridCol w:w="1481"/>
        <w:gridCol w:w="1481"/>
        <w:gridCol w:w="1481"/>
        <w:gridCol w:w="1486"/>
      </w:tblGrid>
      <w:tr w:rsidR="00BC4DB3" w:rsidRPr="00F27FC1" w14:paraId="41ABDED6"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vAlign w:val="center"/>
          </w:tcPr>
          <w:p w14:paraId="3AC700FA" w14:textId="77777777" w:rsidR="00C82DD6" w:rsidRPr="00006EED" w:rsidRDefault="00C82DD6" w:rsidP="00006EED">
            <w:pPr>
              <w:keepNext/>
              <w:spacing w:after="0" w:line="240" w:lineRule="auto"/>
              <w:rPr>
                <w:b/>
                <w:color w:val="000000"/>
                <w:sz w:val="20"/>
                <w:szCs w:val="20"/>
              </w:rPr>
            </w:pPr>
            <w:r w:rsidRPr="00006EED">
              <w:rPr>
                <w:b/>
                <w:color w:val="000000"/>
                <w:sz w:val="20"/>
                <w:szCs w:val="20"/>
              </w:rPr>
              <w:t>Respondent</w:t>
            </w:r>
          </w:p>
        </w:tc>
        <w:tc>
          <w:tcPr>
            <w:tcW w:w="685" w:type="pct"/>
            <w:tcBorders>
              <w:top w:val="single" w:sz="4" w:space="0" w:color="auto"/>
              <w:left w:val="nil"/>
              <w:bottom w:val="single" w:sz="4" w:space="0" w:color="auto"/>
              <w:right w:val="single" w:sz="4" w:space="0" w:color="auto"/>
            </w:tcBorders>
            <w:vAlign w:val="center"/>
          </w:tcPr>
          <w:p w14:paraId="05BD12DF" w14:textId="77777777" w:rsidR="00C82DD6" w:rsidRPr="00006EED" w:rsidRDefault="00C82DD6" w:rsidP="00BC4DB3">
            <w:pPr>
              <w:keepNext/>
              <w:spacing w:after="0" w:line="240" w:lineRule="auto"/>
              <w:jc w:val="center"/>
              <w:rPr>
                <w:b/>
                <w:color w:val="000000"/>
                <w:sz w:val="20"/>
                <w:szCs w:val="20"/>
              </w:rPr>
            </w:pPr>
            <w:r w:rsidRPr="00006EED">
              <w:rPr>
                <w:b/>
                <w:color w:val="000000"/>
                <w:sz w:val="20"/>
                <w:szCs w:val="20"/>
              </w:rPr>
              <w:t>Number of respondents</w:t>
            </w:r>
          </w:p>
        </w:tc>
        <w:tc>
          <w:tcPr>
            <w:tcW w:w="685" w:type="pct"/>
            <w:tcBorders>
              <w:top w:val="single" w:sz="4" w:space="0" w:color="auto"/>
              <w:left w:val="single" w:sz="4" w:space="0" w:color="auto"/>
              <w:bottom w:val="single" w:sz="4" w:space="0" w:color="auto"/>
              <w:right w:val="single" w:sz="4" w:space="0" w:color="auto"/>
            </w:tcBorders>
            <w:vAlign w:val="center"/>
          </w:tcPr>
          <w:p w14:paraId="4189AEC8" w14:textId="77777777" w:rsidR="00C82DD6" w:rsidRPr="00006EED" w:rsidRDefault="00C82DD6" w:rsidP="00BC4DB3">
            <w:pPr>
              <w:keepNext/>
              <w:spacing w:after="0" w:line="240" w:lineRule="auto"/>
              <w:jc w:val="center"/>
              <w:rPr>
                <w:b/>
                <w:color w:val="000000"/>
                <w:sz w:val="20"/>
                <w:szCs w:val="20"/>
              </w:rPr>
            </w:pPr>
            <w:r w:rsidRPr="00006EED">
              <w:rPr>
                <w:b/>
                <w:color w:val="000000"/>
                <w:sz w:val="20"/>
                <w:szCs w:val="20"/>
              </w:rPr>
              <w:t>Number of responses</w:t>
            </w:r>
          </w:p>
        </w:tc>
        <w:tc>
          <w:tcPr>
            <w:tcW w:w="685" w:type="pct"/>
            <w:tcBorders>
              <w:top w:val="single" w:sz="4" w:space="0" w:color="auto"/>
              <w:left w:val="single" w:sz="4" w:space="0" w:color="auto"/>
              <w:bottom w:val="single" w:sz="4" w:space="0" w:color="auto"/>
              <w:right w:val="single" w:sz="4" w:space="0" w:color="auto"/>
            </w:tcBorders>
            <w:vAlign w:val="center"/>
          </w:tcPr>
          <w:p w14:paraId="1ECCF4CE" w14:textId="1DBFB6EC" w:rsidR="00C82DD6" w:rsidRPr="00006EED" w:rsidRDefault="00C82DD6" w:rsidP="00BC4DB3">
            <w:pPr>
              <w:keepNext/>
              <w:spacing w:after="0" w:line="240" w:lineRule="auto"/>
              <w:jc w:val="center"/>
              <w:rPr>
                <w:b/>
                <w:color w:val="000000"/>
                <w:sz w:val="20"/>
                <w:szCs w:val="20"/>
              </w:rPr>
            </w:pPr>
            <w:r w:rsidRPr="00006EED">
              <w:rPr>
                <w:b/>
                <w:color w:val="000000"/>
                <w:sz w:val="20"/>
                <w:szCs w:val="20"/>
              </w:rPr>
              <w:t>Hours per respondent</w:t>
            </w:r>
          </w:p>
        </w:tc>
        <w:tc>
          <w:tcPr>
            <w:tcW w:w="686" w:type="pct"/>
            <w:tcBorders>
              <w:top w:val="single" w:sz="4" w:space="0" w:color="auto"/>
              <w:left w:val="single" w:sz="4" w:space="0" w:color="auto"/>
              <w:bottom w:val="single" w:sz="4" w:space="0" w:color="auto"/>
              <w:right w:val="single" w:sz="4" w:space="0" w:color="auto"/>
            </w:tcBorders>
            <w:vAlign w:val="center"/>
          </w:tcPr>
          <w:p w14:paraId="5A030A38" w14:textId="01867897" w:rsidR="00C82DD6" w:rsidRPr="00006EED" w:rsidRDefault="00C82DD6" w:rsidP="00BC4DB3">
            <w:pPr>
              <w:keepNext/>
              <w:spacing w:after="0" w:line="240" w:lineRule="auto"/>
              <w:jc w:val="center"/>
              <w:rPr>
                <w:b/>
                <w:color w:val="000000"/>
                <w:sz w:val="20"/>
                <w:szCs w:val="20"/>
              </w:rPr>
            </w:pPr>
            <w:r w:rsidRPr="00006EED">
              <w:rPr>
                <w:b/>
                <w:color w:val="000000"/>
                <w:sz w:val="20"/>
                <w:szCs w:val="20"/>
              </w:rPr>
              <w:t>Total hours</w:t>
            </w:r>
            <w:r w:rsidRPr="00006EED">
              <w:rPr>
                <w:rFonts w:cs="Calibri"/>
                <w:b/>
                <w:bCs/>
                <w:color w:val="000000"/>
                <w:sz w:val="20"/>
                <w:szCs w:val="20"/>
              </w:rPr>
              <w:t xml:space="preserve"> (rounded up</w:t>
            </w:r>
            <w:r w:rsidRPr="00006EED">
              <w:rPr>
                <w:rFonts w:cs="Calibri"/>
                <w:bCs/>
                <w:color w:val="000000"/>
                <w:sz w:val="20"/>
                <w:szCs w:val="20"/>
              </w:rPr>
              <w:t>)</w:t>
            </w:r>
          </w:p>
        </w:tc>
      </w:tr>
      <w:tr w:rsidR="00C82DD6" w:rsidRPr="00F27FC1" w14:paraId="3767D2BF" w14:textId="77777777" w:rsidTr="00BC4DB3">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C26D90B" w14:textId="5DCCBD7F" w:rsidR="00C82DD6" w:rsidRPr="00006EED" w:rsidRDefault="00C82DD6" w:rsidP="00006EED">
            <w:pPr>
              <w:keepNext/>
              <w:spacing w:after="0" w:line="240" w:lineRule="auto"/>
              <w:rPr>
                <w:color w:val="000000"/>
                <w:sz w:val="20"/>
                <w:szCs w:val="20"/>
              </w:rPr>
            </w:pPr>
            <w:r w:rsidRPr="00006EED">
              <w:rPr>
                <w:color w:val="000000"/>
                <w:sz w:val="20"/>
                <w:szCs w:val="20"/>
              </w:rPr>
              <w:t>Teacher</w:t>
            </w:r>
            <w:r w:rsidR="0069746D">
              <w:rPr>
                <w:color w:val="000000"/>
                <w:sz w:val="20"/>
                <w:szCs w:val="20"/>
              </w:rPr>
              <w:t xml:space="preserve">, School Administrator and Stakeholder </w:t>
            </w:r>
            <w:r w:rsidRPr="00006EED">
              <w:rPr>
                <w:rFonts w:cs="Calibri"/>
                <w:color w:val="000000"/>
                <w:sz w:val="20"/>
                <w:szCs w:val="20"/>
              </w:rPr>
              <w:t>Recruitment</w:t>
            </w:r>
          </w:p>
        </w:tc>
      </w:tr>
      <w:tr w:rsidR="00BC4DB3" w:rsidRPr="00F27FC1" w14:paraId="61C5EE6B"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250CB0F2" w14:textId="77777777" w:rsidR="00C82DD6" w:rsidRPr="00006EED" w:rsidRDefault="00C82DD6" w:rsidP="00006EED">
            <w:pPr>
              <w:keepNext/>
              <w:spacing w:after="0" w:line="240" w:lineRule="auto"/>
              <w:rPr>
                <w:color w:val="000000"/>
                <w:sz w:val="20"/>
                <w:szCs w:val="20"/>
              </w:rPr>
            </w:pPr>
            <w:r w:rsidRPr="00006EED">
              <w:rPr>
                <w:color w:val="000000"/>
                <w:sz w:val="20"/>
                <w:szCs w:val="20"/>
              </w:rPr>
              <w:t>Initial contact</w:t>
            </w:r>
          </w:p>
        </w:tc>
        <w:tc>
          <w:tcPr>
            <w:tcW w:w="685" w:type="pct"/>
            <w:tcBorders>
              <w:top w:val="single" w:sz="4" w:space="0" w:color="auto"/>
              <w:left w:val="nil"/>
              <w:bottom w:val="single" w:sz="4" w:space="0" w:color="auto"/>
              <w:right w:val="single" w:sz="4" w:space="0" w:color="auto"/>
            </w:tcBorders>
            <w:vAlign w:val="center"/>
          </w:tcPr>
          <w:p w14:paraId="0824BA18" w14:textId="4AE4A09F" w:rsidR="00C82DD6" w:rsidRPr="00006EED" w:rsidRDefault="00C82DD6" w:rsidP="00006EED">
            <w:pPr>
              <w:keepNext/>
              <w:spacing w:after="0" w:line="240" w:lineRule="auto"/>
              <w:jc w:val="center"/>
              <w:rPr>
                <w:sz w:val="20"/>
                <w:szCs w:val="20"/>
              </w:rPr>
            </w:pPr>
            <w:r w:rsidRPr="00833D3C">
              <w:rPr>
                <w:rFonts w:cs="Calibri"/>
                <w:sz w:val="20"/>
                <w:szCs w:val="20"/>
              </w:rPr>
              <w:t>1</w:t>
            </w:r>
            <w:r w:rsidR="00751C9E" w:rsidRPr="00833D3C">
              <w:rPr>
                <w:rFonts w:cs="Calibri"/>
                <w:sz w:val="20"/>
                <w:szCs w:val="20"/>
              </w:rPr>
              <w:t>50</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0403EA56" w14:textId="3ABE3BE0" w:rsidR="00C82DD6" w:rsidRPr="008150D2" w:rsidRDefault="00C82DD6" w:rsidP="00006EED">
            <w:pPr>
              <w:keepNext/>
              <w:spacing w:after="0" w:line="240" w:lineRule="auto"/>
              <w:jc w:val="center"/>
              <w:rPr>
                <w:rFonts w:cs="Calibri"/>
                <w:sz w:val="20"/>
                <w:szCs w:val="20"/>
              </w:rPr>
            </w:pPr>
            <w:r w:rsidRPr="008150D2">
              <w:rPr>
                <w:rFonts w:cs="Calibri"/>
                <w:sz w:val="20"/>
                <w:szCs w:val="20"/>
              </w:rPr>
              <w:t>1</w:t>
            </w:r>
            <w:r w:rsidR="00751C9E" w:rsidRPr="008150D2">
              <w:rPr>
                <w:rFonts w:cs="Calibri"/>
                <w:sz w:val="20"/>
                <w:szCs w:val="20"/>
              </w:rPr>
              <w:t>50</w:t>
            </w:r>
          </w:p>
        </w:tc>
        <w:tc>
          <w:tcPr>
            <w:tcW w:w="685" w:type="pct"/>
            <w:tcBorders>
              <w:top w:val="single" w:sz="4" w:space="0" w:color="auto"/>
              <w:left w:val="single" w:sz="4" w:space="0" w:color="auto"/>
              <w:bottom w:val="single" w:sz="4" w:space="0" w:color="auto"/>
              <w:right w:val="single" w:sz="4" w:space="0" w:color="auto"/>
            </w:tcBorders>
            <w:vAlign w:val="center"/>
          </w:tcPr>
          <w:p w14:paraId="2B3ECB2C" w14:textId="0F759D96" w:rsidR="00C82DD6" w:rsidRPr="00006EED" w:rsidRDefault="00C82DD6" w:rsidP="00006EED">
            <w:pPr>
              <w:keepNext/>
              <w:spacing w:after="0" w:line="240" w:lineRule="auto"/>
              <w:jc w:val="center"/>
              <w:rPr>
                <w:rFonts w:cs="Calibri"/>
                <w:sz w:val="20"/>
                <w:szCs w:val="20"/>
              </w:rPr>
            </w:pPr>
            <w:r w:rsidRPr="00006EED">
              <w:rPr>
                <w:color w:val="000000"/>
                <w:sz w:val="20"/>
                <w:szCs w:val="20"/>
              </w:rPr>
              <w:t>0.05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2541A0E3" w14:textId="0B240843" w:rsidR="00C82DD6" w:rsidRPr="00006EED" w:rsidRDefault="00CD104F" w:rsidP="00006EED">
            <w:pPr>
              <w:keepNext/>
              <w:spacing w:after="0" w:line="240" w:lineRule="auto"/>
              <w:jc w:val="center"/>
              <w:rPr>
                <w:rFonts w:cs="Calibri"/>
                <w:sz w:val="20"/>
                <w:szCs w:val="20"/>
              </w:rPr>
            </w:pPr>
            <w:r>
              <w:rPr>
                <w:rFonts w:cs="Calibri"/>
                <w:sz w:val="20"/>
                <w:szCs w:val="20"/>
              </w:rPr>
              <w:t>8</w:t>
            </w:r>
          </w:p>
        </w:tc>
      </w:tr>
      <w:tr w:rsidR="00BC4DB3" w:rsidRPr="00F27FC1" w14:paraId="58346663"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0158636E" w14:textId="692FEEBC" w:rsidR="00C82DD6" w:rsidRPr="00006EED" w:rsidRDefault="00C82DD6" w:rsidP="00006EED">
            <w:pPr>
              <w:keepNext/>
              <w:spacing w:after="0" w:line="240" w:lineRule="auto"/>
              <w:rPr>
                <w:color w:val="000000"/>
                <w:sz w:val="20"/>
                <w:szCs w:val="20"/>
              </w:rPr>
            </w:pPr>
            <w:r w:rsidRPr="00006EED">
              <w:rPr>
                <w:color w:val="000000"/>
                <w:sz w:val="20"/>
                <w:szCs w:val="20"/>
              </w:rPr>
              <w:t xml:space="preserve">Follow-up contact </w:t>
            </w:r>
            <w:r w:rsidR="00751C9E">
              <w:rPr>
                <w:color w:val="000000"/>
                <w:sz w:val="20"/>
                <w:szCs w:val="20"/>
              </w:rPr>
              <w:t>(screener script)</w:t>
            </w:r>
          </w:p>
        </w:tc>
        <w:tc>
          <w:tcPr>
            <w:tcW w:w="685" w:type="pct"/>
            <w:tcBorders>
              <w:top w:val="single" w:sz="4" w:space="0" w:color="auto"/>
              <w:left w:val="nil"/>
              <w:bottom w:val="single" w:sz="4" w:space="0" w:color="auto"/>
              <w:right w:val="single" w:sz="4" w:space="0" w:color="auto"/>
            </w:tcBorders>
            <w:vAlign w:val="center"/>
          </w:tcPr>
          <w:p w14:paraId="74CFB823" w14:textId="23FF90FB" w:rsidR="00C82DD6" w:rsidRPr="00006EED" w:rsidRDefault="00891416" w:rsidP="00006EED">
            <w:pPr>
              <w:keepNext/>
              <w:spacing w:after="0" w:line="240" w:lineRule="auto"/>
              <w:jc w:val="center"/>
              <w:rPr>
                <w:sz w:val="20"/>
                <w:szCs w:val="20"/>
              </w:rPr>
            </w:pPr>
            <w:r>
              <w:rPr>
                <w:rFonts w:cs="Calibri"/>
                <w:sz w:val="20"/>
                <w:szCs w:val="20"/>
              </w:rPr>
              <w:t>40</w:t>
            </w:r>
            <w:r w:rsidR="00C82DD6" w:rsidRPr="00006EED">
              <w:rPr>
                <w:rFonts w:cs="Calibri"/>
                <w:sz w:val="20"/>
                <w:szCs w:val="20"/>
              </w:rPr>
              <w:t>*</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5FD7FF9D" w14:textId="63D34DCA" w:rsidR="00C82DD6" w:rsidRPr="008150D2" w:rsidRDefault="00C82DD6" w:rsidP="00006EED">
            <w:pPr>
              <w:keepNext/>
              <w:spacing w:after="0" w:line="240" w:lineRule="auto"/>
              <w:jc w:val="center"/>
              <w:rPr>
                <w:rFonts w:cs="Calibri"/>
                <w:sz w:val="20"/>
                <w:szCs w:val="20"/>
              </w:rPr>
            </w:pPr>
            <w:r w:rsidRPr="008150D2">
              <w:rPr>
                <w:rFonts w:cs="Calibri"/>
                <w:sz w:val="20"/>
                <w:szCs w:val="20"/>
              </w:rPr>
              <w:t>36</w:t>
            </w:r>
          </w:p>
        </w:tc>
        <w:tc>
          <w:tcPr>
            <w:tcW w:w="685" w:type="pct"/>
            <w:tcBorders>
              <w:top w:val="single" w:sz="4" w:space="0" w:color="auto"/>
              <w:left w:val="single" w:sz="4" w:space="0" w:color="auto"/>
              <w:bottom w:val="single" w:sz="4" w:space="0" w:color="auto"/>
              <w:right w:val="single" w:sz="4" w:space="0" w:color="auto"/>
            </w:tcBorders>
            <w:vAlign w:val="center"/>
          </w:tcPr>
          <w:p w14:paraId="14831620" w14:textId="2E2B4C06" w:rsidR="00C82DD6" w:rsidRPr="00006EED" w:rsidRDefault="00C82DD6" w:rsidP="00006EED">
            <w:pPr>
              <w:keepNext/>
              <w:spacing w:after="0" w:line="240" w:lineRule="auto"/>
              <w:jc w:val="center"/>
              <w:rPr>
                <w:rFonts w:cs="Calibri"/>
                <w:sz w:val="20"/>
                <w:szCs w:val="20"/>
              </w:rPr>
            </w:pPr>
            <w:r w:rsidRPr="00006EED">
              <w:rPr>
                <w:color w:val="000000"/>
                <w:sz w:val="20"/>
                <w:szCs w:val="20"/>
              </w:rPr>
              <w:t>0.15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7C760F43" w14:textId="1E699FEA" w:rsidR="00C82DD6" w:rsidRPr="00006EED" w:rsidRDefault="00C82DD6" w:rsidP="00006EED">
            <w:pPr>
              <w:keepNext/>
              <w:spacing w:after="0" w:line="240" w:lineRule="auto"/>
              <w:jc w:val="center"/>
              <w:rPr>
                <w:rFonts w:cs="Calibri"/>
                <w:sz w:val="20"/>
                <w:szCs w:val="20"/>
              </w:rPr>
            </w:pPr>
            <w:r w:rsidRPr="00006EED">
              <w:rPr>
                <w:rFonts w:cs="Calibri"/>
                <w:sz w:val="20"/>
                <w:szCs w:val="20"/>
              </w:rPr>
              <w:t>6</w:t>
            </w:r>
          </w:p>
        </w:tc>
      </w:tr>
      <w:tr w:rsidR="00BC4DB3" w:rsidRPr="00F27FC1" w14:paraId="738A310D"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6D48D747" w14:textId="77777777" w:rsidR="00C82DD6" w:rsidRPr="00006EED" w:rsidRDefault="00C82DD6" w:rsidP="00006EED">
            <w:pPr>
              <w:keepNext/>
              <w:spacing w:after="0" w:line="240" w:lineRule="auto"/>
              <w:rPr>
                <w:color w:val="000000"/>
                <w:sz w:val="20"/>
                <w:szCs w:val="20"/>
              </w:rPr>
            </w:pPr>
            <w:r w:rsidRPr="00006EED">
              <w:rPr>
                <w:color w:val="000000"/>
                <w:sz w:val="20"/>
                <w:szCs w:val="20"/>
              </w:rPr>
              <w:t>Confirmation and Consent form completion and return</w:t>
            </w:r>
          </w:p>
        </w:tc>
        <w:tc>
          <w:tcPr>
            <w:tcW w:w="685" w:type="pct"/>
            <w:tcBorders>
              <w:top w:val="single" w:sz="4" w:space="0" w:color="auto"/>
              <w:left w:val="nil"/>
              <w:bottom w:val="single" w:sz="4" w:space="0" w:color="auto"/>
              <w:right w:val="single" w:sz="4" w:space="0" w:color="auto"/>
            </w:tcBorders>
            <w:vAlign w:val="center"/>
          </w:tcPr>
          <w:p w14:paraId="70494C97" w14:textId="10DF3AD5" w:rsidR="00C82DD6" w:rsidRPr="00006EED" w:rsidRDefault="00891416" w:rsidP="00006EED">
            <w:pPr>
              <w:keepNext/>
              <w:spacing w:after="0" w:line="240" w:lineRule="auto"/>
              <w:jc w:val="center"/>
              <w:rPr>
                <w:color w:val="000000"/>
                <w:sz w:val="20"/>
                <w:szCs w:val="20"/>
              </w:rPr>
            </w:pPr>
            <w:r>
              <w:rPr>
                <w:rFonts w:cs="Calibri"/>
                <w:color w:val="000000"/>
                <w:sz w:val="20"/>
                <w:szCs w:val="20"/>
              </w:rPr>
              <w:t>1</w:t>
            </w:r>
            <w:r w:rsidR="00107657">
              <w:rPr>
                <w:rFonts w:cs="Calibri"/>
                <w:color w:val="000000"/>
                <w:sz w:val="20"/>
                <w:szCs w:val="20"/>
              </w:rPr>
              <w:t>2</w:t>
            </w:r>
            <w:r w:rsidR="00C82DD6" w:rsidRPr="00006EED">
              <w:rPr>
                <w:rFonts w:cs="Calibri"/>
                <w:color w:val="000000"/>
                <w:sz w:val="20"/>
                <w:szCs w:val="20"/>
              </w:rPr>
              <w:t>*</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470C254E" w14:textId="295E8986" w:rsidR="00C82DD6" w:rsidRPr="008150D2" w:rsidRDefault="00C82DD6" w:rsidP="00006EED">
            <w:pPr>
              <w:keepNext/>
              <w:spacing w:after="0" w:line="240" w:lineRule="auto"/>
              <w:jc w:val="center"/>
              <w:rPr>
                <w:rFonts w:cs="Calibri"/>
                <w:sz w:val="20"/>
                <w:szCs w:val="20"/>
              </w:rPr>
            </w:pPr>
            <w:r w:rsidRPr="008150D2">
              <w:rPr>
                <w:rFonts w:cs="Calibri"/>
                <w:sz w:val="20"/>
                <w:szCs w:val="20"/>
              </w:rPr>
              <w:t>1</w:t>
            </w:r>
            <w:r w:rsidR="008150D2">
              <w:rPr>
                <w:rFonts w:cs="Calibri"/>
                <w:sz w:val="20"/>
                <w:szCs w:val="20"/>
              </w:rPr>
              <w:t>2</w:t>
            </w:r>
          </w:p>
        </w:tc>
        <w:tc>
          <w:tcPr>
            <w:tcW w:w="685" w:type="pct"/>
            <w:tcBorders>
              <w:top w:val="single" w:sz="4" w:space="0" w:color="auto"/>
              <w:left w:val="single" w:sz="4" w:space="0" w:color="auto"/>
              <w:bottom w:val="single" w:sz="4" w:space="0" w:color="auto"/>
              <w:right w:val="single" w:sz="4" w:space="0" w:color="auto"/>
            </w:tcBorders>
            <w:vAlign w:val="center"/>
          </w:tcPr>
          <w:p w14:paraId="5952B35F" w14:textId="3BDC19AB" w:rsidR="00C82DD6" w:rsidRPr="00006EED" w:rsidRDefault="00C82DD6" w:rsidP="00006EED">
            <w:pPr>
              <w:keepNext/>
              <w:spacing w:after="0" w:line="240" w:lineRule="auto"/>
              <w:jc w:val="center"/>
              <w:rPr>
                <w:rFonts w:cs="Calibri"/>
                <w:sz w:val="20"/>
                <w:szCs w:val="20"/>
              </w:rPr>
            </w:pPr>
            <w:r w:rsidRPr="00006EED">
              <w:rPr>
                <w:color w:val="000000"/>
                <w:sz w:val="20"/>
                <w:szCs w:val="20"/>
              </w:rPr>
              <w:t>0.1</w:t>
            </w:r>
            <w:r w:rsidR="00CD34B6">
              <w:rPr>
                <w:color w:val="000000"/>
                <w:sz w:val="20"/>
                <w:szCs w:val="20"/>
              </w:rPr>
              <w:t>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38000345" w14:textId="5EE0AFE1" w:rsidR="00C82DD6" w:rsidRPr="00006EED" w:rsidRDefault="003D64FB" w:rsidP="00006EED">
            <w:pPr>
              <w:keepNext/>
              <w:spacing w:after="0" w:line="240" w:lineRule="auto"/>
              <w:jc w:val="center"/>
              <w:rPr>
                <w:rFonts w:cs="Calibri"/>
                <w:sz w:val="20"/>
                <w:szCs w:val="20"/>
              </w:rPr>
            </w:pPr>
            <w:r>
              <w:rPr>
                <w:rFonts w:cs="Calibri"/>
                <w:sz w:val="20"/>
                <w:szCs w:val="20"/>
              </w:rPr>
              <w:t>2</w:t>
            </w:r>
          </w:p>
        </w:tc>
      </w:tr>
      <w:tr w:rsidR="00200F7B" w:rsidRPr="00F27FC1" w14:paraId="52B40574"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7C253307" w14:textId="09730DD7" w:rsidR="00200F7B" w:rsidRPr="00006EED" w:rsidRDefault="00A468B2" w:rsidP="00006EED">
            <w:pPr>
              <w:keepNext/>
              <w:spacing w:after="0" w:line="240" w:lineRule="auto"/>
              <w:rPr>
                <w:color w:val="000000"/>
                <w:sz w:val="20"/>
                <w:szCs w:val="20"/>
              </w:rPr>
            </w:pPr>
            <w:r>
              <w:rPr>
                <w:color w:val="000000"/>
                <w:sz w:val="20"/>
                <w:szCs w:val="20"/>
              </w:rPr>
              <w:t>Preliminary review of report prior to focus group</w:t>
            </w:r>
          </w:p>
        </w:tc>
        <w:tc>
          <w:tcPr>
            <w:tcW w:w="685" w:type="pct"/>
            <w:tcBorders>
              <w:top w:val="single" w:sz="4" w:space="0" w:color="auto"/>
              <w:left w:val="nil"/>
              <w:bottom w:val="single" w:sz="4" w:space="0" w:color="auto"/>
              <w:right w:val="single" w:sz="4" w:space="0" w:color="auto"/>
            </w:tcBorders>
            <w:vAlign w:val="center"/>
          </w:tcPr>
          <w:p w14:paraId="3A23988B" w14:textId="6CC834E9" w:rsidR="00200F7B" w:rsidRDefault="00547CB2" w:rsidP="00006EED">
            <w:pPr>
              <w:keepNext/>
              <w:spacing w:after="0" w:line="240" w:lineRule="auto"/>
              <w:jc w:val="center"/>
              <w:rPr>
                <w:rFonts w:cs="Calibri"/>
                <w:color w:val="000000"/>
                <w:sz w:val="20"/>
                <w:szCs w:val="20"/>
              </w:rPr>
            </w:pPr>
            <w:r>
              <w:rPr>
                <w:rFonts w:cs="Calibri"/>
                <w:color w:val="000000"/>
                <w:sz w:val="20"/>
                <w:szCs w:val="20"/>
              </w:rPr>
              <w:t>1</w:t>
            </w:r>
            <w:r w:rsidR="003D64FB">
              <w:rPr>
                <w:rFonts w:cs="Calibri"/>
                <w:color w:val="000000"/>
                <w:sz w:val="20"/>
                <w:szCs w:val="20"/>
              </w:rPr>
              <w:t>2</w:t>
            </w:r>
            <w:r>
              <w:rPr>
                <w:rFonts w:cs="Calibri"/>
                <w:color w:val="000000"/>
                <w:sz w:val="20"/>
                <w:szCs w:val="20"/>
              </w:rPr>
              <w:t>*</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029FCFDC" w14:textId="38DF8C6F" w:rsidR="00200F7B" w:rsidRPr="008150D2" w:rsidRDefault="00547CB2" w:rsidP="00006EED">
            <w:pPr>
              <w:keepNext/>
              <w:spacing w:after="0" w:line="240" w:lineRule="auto"/>
              <w:jc w:val="center"/>
              <w:rPr>
                <w:rFonts w:cs="Calibri"/>
                <w:sz w:val="20"/>
                <w:szCs w:val="20"/>
              </w:rPr>
            </w:pPr>
            <w:r w:rsidRPr="008150D2">
              <w:rPr>
                <w:rFonts w:cs="Calibri"/>
                <w:sz w:val="20"/>
                <w:szCs w:val="20"/>
              </w:rPr>
              <w:t>1</w:t>
            </w:r>
            <w:r w:rsidR="008150D2">
              <w:rPr>
                <w:rFonts w:cs="Calibri"/>
                <w:sz w:val="20"/>
                <w:szCs w:val="20"/>
              </w:rPr>
              <w:t>2</w:t>
            </w:r>
          </w:p>
        </w:tc>
        <w:tc>
          <w:tcPr>
            <w:tcW w:w="685" w:type="pct"/>
            <w:tcBorders>
              <w:top w:val="single" w:sz="4" w:space="0" w:color="auto"/>
              <w:left w:val="single" w:sz="4" w:space="0" w:color="auto"/>
              <w:bottom w:val="single" w:sz="4" w:space="0" w:color="auto"/>
              <w:right w:val="single" w:sz="4" w:space="0" w:color="auto"/>
            </w:tcBorders>
            <w:vAlign w:val="center"/>
          </w:tcPr>
          <w:p w14:paraId="47F5E9B6" w14:textId="185CB53F" w:rsidR="00200F7B" w:rsidRPr="00006EED" w:rsidRDefault="00C7244D" w:rsidP="00006EED">
            <w:pPr>
              <w:keepNext/>
              <w:spacing w:after="0" w:line="240" w:lineRule="auto"/>
              <w:jc w:val="center"/>
              <w:rPr>
                <w:color w:val="000000"/>
                <w:sz w:val="20"/>
                <w:szCs w:val="20"/>
              </w:rPr>
            </w:pPr>
            <w:r>
              <w:rPr>
                <w:color w:val="000000"/>
                <w:sz w:val="20"/>
                <w:szCs w:val="20"/>
              </w:rPr>
              <w:t>1.0**</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4013CD33" w14:textId="63735CAE" w:rsidR="00200F7B" w:rsidRPr="00006EED" w:rsidRDefault="000C3717" w:rsidP="00006EED">
            <w:pPr>
              <w:keepNext/>
              <w:spacing w:after="0" w:line="240" w:lineRule="auto"/>
              <w:jc w:val="center"/>
              <w:rPr>
                <w:rFonts w:cs="Calibri"/>
                <w:sz w:val="20"/>
                <w:szCs w:val="20"/>
              </w:rPr>
            </w:pPr>
            <w:r>
              <w:rPr>
                <w:rFonts w:cs="Calibri"/>
                <w:sz w:val="20"/>
                <w:szCs w:val="20"/>
              </w:rPr>
              <w:t>1</w:t>
            </w:r>
            <w:r w:rsidR="00234A52">
              <w:rPr>
                <w:rFonts w:cs="Calibri"/>
                <w:sz w:val="20"/>
                <w:szCs w:val="20"/>
              </w:rPr>
              <w:t>2</w:t>
            </w:r>
          </w:p>
        </w:tc>
      </w:tr>
      <w:tr w:rsidR="00BC4DB3" w:rsidRPr="000B2F3C" w14:paraId="6D307629"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F2F2F2"/>
            <w:vAlign w:val="center"/>
          </w:tcPr>
          <w:p w14:paraId="1788A866" w14:textId="77777777" w:rsidR="00C82DD6" w:rsidRPr="00006EED" w:rsidRDefault="00C82DD6" w:rsidP="00006EED">
            <w:pPr>
              <w:keepNext/>
              <w:spacing w:after="0" w:line="240" w:lineRule="auto"/>
              <w:rPr>
                <w:sz w:val="20"/>
                <w:szCs w:val="20"/>
              </w:rPr>
            </w:pPr>
            <w:r w:rsidRPr="00006EED">
              <w:rPr>
                <w:sz w:val="20"/>
                <w:szCs w:val="20"/>
              </w:rPr>
              <w:t>Sub-Total</w:t>
            </w:r>
          </w:p>
        </w:tc>
        <w:tc>
          <w:tcPr>
            <w:tcW w:w="685" w:type="pct"/>
            <w:tcBorders>
              <w:top w:val="single" w:sz="4" w:space="0" w:color="auto"/>
              <w:left w:val="nil"/>
              <w:bottom w:val="single" w:sz="4" w:space="0" w:color="auto"/>
              <w:right w:val="single" w:sz="4" w:space="0" w:color="auto"/>
            </w:tcBorders>
            <w:shd w:val="clear" w:color="auto" w:fill="F2F2F2"/>
            <w:vAlign w:val="center"/>
          </w:tcPr>
          <w:p w14:paraId="565D3528" w14:textId="0AF91C95" w:rsidR="00C82DD6" w:rsidRPr="00006EED" w:rsidRDefault="00C82DD6" w:rsidP="00006EED">
            <w:pPr>
              <w:keepNext/>
              <w:spacing w:after="0" w:line="240" w:lineRule="auto"/>
              <w:jc w:val="center"/>
              <w:rPr>
                <w:sz w:val="20"/>
                <w:szCs w:val="20"/>
              </w:rPr>
            </w:pPr>
            <w:r w:rsidRPr="00006EED">
              <w:rPr>
                <w:sz w:val="20"/>
                <w:szCs w:val="20"/>
              </w:rPr>
              <w:t>1</w:t>
            </w:r>
            <w:r w:rsidR="00136961">
              <w:rPr>
                <w:sz w:val="20"/>
                <w:szCs w:val="20"/>
              </w:rPr>
              <w:t>50</w:t>
            </w:r>
          </w:p>
        </w:tc>
        <w:tc>
          <w:tcPr>
            <w:tcW w:w="685" w:type="pct"/>
            <w:tcBorders>
              <w:top w:val="single" w:sz="4" w:space="0" w:color="auto"/>
              <w:left w:val="single" w:sz="4" w:space="0" w:color="auto"/>
              <w:bottom w:val="single" w:sz="4" w:space="0" w:color="auto"/>
              <w:right w:val="single" w:sz="4" w:space="0" w:color="auto"/>
            </w:tcBorders>
            <w:shd w:val="clear" w:color="auto" w:fill="F2F2F2"/>
            <w:vAlign w:val="center"/>
          </w:tcPr>
          <w:p w14:paraId="50CD2D73" w14:textId="02EE0603" w:rsidR="00C82DD6" w:rsidRPr="008150D2" w:rsidRDefault="00240292" w:rsidP="00006EED">
            <w:pPr>
              <w:keepNext/>
              <w:spacing w:after="0" w:line="240" w:lineRule="auto"/>
              <w:jc w:val="center"/>
              <w:rPr>
                <w:rFonts w:cs="Calibri"/>
                <w:sz w:val="20"/>
                <w:szCs w:val="20"/>
              </w:rPr>
            </w:pPr>
            <w:r>
              <w:rPr>
                <w:rFonts w:cs="Calibri"/>
                <w:sz w:val="20"/>
                <w:szCs w:val="20"/>
              </w:rPr>
              <w:t>210</w:t>
            </w:r>
          </w:p>
        </w:tc>
        <w:tc>
          <w:tcPr>
            <w:tcW w:w="685" w:type="pct"/>
            <w:tcBorders>
              <w:top w:val="single" w:sz="4" w:space="0" w:color="auto"/>
              <w:left w:val="single" w:sz="4" w:space="0" w:color="auto"/>
              <w:bottom w:val="single" w:sz="4" w:space="0" w:color="auto"/>
              <w:right w:val="single" w:sz="4" w:space="0" w:color="auto"/>
            </w:tcBorders>
            <w:shd w:val="clear" w:color="auto" w:fill="F2F2F2"/>
            <w:vAlign w:val="center"/>
          </w:tcPr>
          <w:p w14:paraId="35426344" w14:textId="63AA08DE" w:rsidR="00C82DD6" w:rsidRPr="00006EED" w:rsidRDefault="00C82DD6" w:rsidP="00006EED">
            <w:pPr>
              <w:keepNext/>
              <w:spacing w:after="0" w:line="240" w:lineRule="auto"/>
              <w:jc w:val="center"/>
              <w:rPr>
                <w:rFonts w:cs="Calibri"/>
                <w:sz w:val="20"/>
                <w:szCs w:val="20"/>
              </w:rPr>
            </w:pPr>
            <w:r w:rsidRPr="00006EED">
              <w:rPr>
                <w:sz w:val="20"/>
                <w:szCs w:val="20"/>
              </w:rPr>
              <w:t>-</w:t>
            </w:r>
          </w:p>
        </w:tc>
        <w:tc>
          <w:tcPr>
            <w:tcW w:w="686" w:type="pct"/>
            <w:tcBorders>
              <w:top w:val="single" w:sz="4" w:space="0" w:color="auto"/>
              <w:left w:val="single" w:sz="4" w:space="0" w:color="auto"/>
              <w:bottom w:val="single" w:sz="4" w:space="0" w:color="auto"/>
              <w:right w:val="single" w:sz="4" w:space="0" w:color="auto"/>
            </w:tcBorders>
            <w:shd w:val="clear" w:color="auto" w:fill="F2F2F2"/>
            <w:vAlign w:val="center"/>
          </w:tcPr>
          <w:p w14:paraId="6A558086" w14:textId="71C79192" w:rsidR="00C82DD6" w:rsidRPr="00006EED" w:rsidRDefault="00E52C2D" w:rsidP="00006EED">
            <w:pPr>
              <w:keepNext/>
              <w:spacing w:after="0" w:line="240" w:lineRule="auto"/>
              <w:jc w:val="center"/>
              <w:rPr>
                <w:rFonts w:cs="Calibri"/>
                <w:sz w:val="20"/>
                <w:szCs w:val="20"/>
              </w:rPr>
            </w:pPr>
            <w:r>
              <w:rPr>
                <w:rFonts w:cs="Calibri"/>
                <w:sz w:val="20"/>
                <w:szCs w:val="20"/>
              </w:rPr>
              <w:t>28</w:t>
            </w:r>
          </w:p>
        </w:tc>
      </w:tr>
      <w:tr w:rsidR="00C82DD6" w:rsidRPr="009C2187" w14:paraId="50BCB526" w14:textId="77777777" w:rsidTr="00BC4DB3">
        <w:trPr>
          <w:trHeight w:val="1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E754BB5" w14:textId="756CD390" w:rsidR="00C82DD6" w:rsidRPr="00006EED" w:rsidRDefault="00C82DD6" w:rsidP="00006EED">
            <w:pPr>
              <w:keepNext/>
              <w:spacing w:after="0" w:line="240" w:lineRule="auto"/>
              <w:rPr>
                <w:color w:val="000000"/>
                <w:sz w:val="20"/>
                <w:szCs w:val="20"/>
              </w:rPr>
            </w:pPr>
            <w:r w:rsidRPr="00006EED">
              <w:rPr>
                <w:color w:val="000000"/>
                <w:sz w:val="20"/>
                <w:szCs w:val="20"/>
              </w:rPr>
              <w:t>Participation (Focus Group)</w:t>
            </w:r>
          </w:p>
        </w:tc>
      </w:tr>
      <w:tr w:rsidR="00BC4DB3" w:rsidRPr="00F27FC1" w14:paraId="70465AA6" w14:textId="77777777" w:rsidTr="00BC4DB3">
        <w:trPr>
          <w:trHeight w:val="144"/>
        </w:trPr>
        <w:tc>
          <w:tcPr>
            <w:tcW w:w="2258" w:type="pct"/>
            <w:tcBorders>
              <w:top w:val="nil"/>
              <w:left w:val="single" w:sz="4" w:space="0" w:color="auto"/>
              <w:bottom w:val="single" w:sz="4" w:space="0" w:color="auto"/>
              <w:right w:val="single" w:sz="4" w:space="0" w:color="auto"/>
            </w:tcBorders>
            <w:vAlign w:val="center"/>
          </w:tcPr>
          <w:p w14:paraId="727E40F4" w14:textId="77777777" w:rsidR="00C82DD6" w:rsidRPr="00006EED" w:rsidRDefault="00C82DD6" w:rsidP="00006EED">
            <w:pPr>
              <w:keepNext/>
              <w:spacing w:after="0" w:line="240" w:lineRule="auto"/>
              <w:rPr>
                <w:color w:val="000000"/>
                <w:sz w:val="20"/>
                <w:szCs w:val="20"/>
              </w:rPr>
            </w:pPr>
            <w:r w:rsidRPr="00006EED">
              <w:rPr>
                <w:color w:val="000000"/>
                <w:sz w:val="20"/>
                <w:szCs w:val="20"/>
              </w:rPr>
              <w:t>Teachers</w:t>
            </w:r>
          </w:p>
        </w:tc>
        <w:tc>
          <w:tcPr>
            <w:tcW w:w="685" w:type="pct"/>
            <w:tcBorders>
              <w:top w:val="single" w:sz="4" w:space="0" w:color="auto"/>
              <w:left w:val="nil"/>
              <w:bottom w:val="single" w:sz="4" w:space="0" w:color="auto"/>
              <w:right w:val="single" w:sz="4" w:space="0" w:color="auto"/>
            </w:tcBorders>
            <w:vAlign w:val="center"/>
          </w:tcPr>
          <w:p w14:paraId="2EC704A2" w14:textId="37A1DEB2" w:rsidR="00C82DD6" w:rsidRPr="00006EED" w:rsidRDefault="00234A52" w:rsidP="00006EED">
            <w:pPr>
              <w:keepNext/>
              <w:spacing w:after="0" w:line="240" w:lineRule="auto"/>
              <w:jc w:val="center"/>
              <w:rPr>
                <w:color w:val="000000"/>
                <w:sz w:val="20"/>
                <w:szCs w:val="20"/>
              </w:rPr>
            </w:pPr>
            <w:r>
              <w:rPr>
                <w:color w:val="000000"/>
                <w:sz w:val="20"/>
                <w:szCs w:val="20"/>
              </w:rPr>
              <w:t>5</w:t>
            </w:r>
            <w:r w:rsidR="00B170A8" w:rsidRPr="00006EED">
              <w:rPr>
                <w:color w:val="000000"/>
                <w:sz w:val="20"/>
                <w:szCs w:val="20"/>
              </w:rPr>
              <w:t>*</w:t>
            </w:r>
          </w:p>
        </w:tc>
        <w:tc>
          <w:tcPr>
            <w:tcW w:w="685" w:type="pct"/>
            <w:tcBorders>
              <w:top w:val="single" w:sz="4" w:space="0" w:color="auto"/>
              <w:left w:val="single" w:sz="4" w:space="0" w:color="auto"/>
              <w:bottom w:val="single" w:sz="4" w:space="0" w:color="auto"/>
              <w:right w:val="single" w:sz="4" w:space="0" w:color="auto"/>
            </w:tcBorders>
            <w:vAlign w:val="center"/>
          </w:tcPr>
          <w:p w14:paraId="24098302" w14:textId="57E91DF7" w:rsidR="00C82DD6" w:rsidRPr="00006EED" w:rsidRDefault="00234A52" w:rsidP="00006EED">
            <w:pPr>
              <w:keepNext/>
              <w:spacing w:after="0" w:line="240" w:lineRule="auto"/>
              <w:jc w:val="center"/>
              <w:rPr>
                <w:rFonts w:cs="Calibri"/>
                <w:sz w:val="20"/>
                <w:szCs w:val="20"/>
              </w:rPr>
            </w:pPr>
            <w:r>
              <w:rPr>
                <w:rFonts w:cs="Calibri"/>
                <w:sz w:val="20"/>
                <w:szCs w:val="20"/>
              </w:rPr>
              <w:t>5</w:t>
            </w:r>
          </w:p>
        </w:tc>
        <w:tc>
          <w:tcPr>
            <w:tcW w:w="685" w:type="pct"/>
            <w:tcBorders>
              <w:top w:val="single" w:sz="4" w:space="0" w:color="auto"/>
              <w:left w:val="single" w:sz="4" w:space="0" w:color="auto"/>
              <w:bottom w:val="single" w:sz="4" w:space="0" w:color="auto"/>
              <w:right w:val="single" w:sz="4" w:space="0" w:color="auto"/>
            </w:tcBorders>
            <w:vAlign w:val="center"/>
          </w:tcPr>
          <w:p w14:paraId="49C92DEF" w14:textId="321BD679" w:rsidR="00C82DD6" w:rsidRPr="00006EED" w:rsidRDefault="00C82DD6" w:rsidP="00006EED">
            <w:pPr>
              <w:keepNext/>
              <w:spacing w:after="0" w:line="240" w:lineRule="auto"/>
              <w:jc w:val="center"/>
              <w:rPr>
                <w:rFonts w:cs="Calibri"/>
                <w:sz w:val="20"/>
                <w:szCs w:val="20"/>
              </w:rPr>
            </w:pPr>
            <w:r w:rsidRPr="00006EED">
              <w:rPr>
                <w:color w:val="000000"/>
                <w:sz w:val="20"/>
                <w:szCs w:val="20"/>
              </w:rPr>
              <w:t>1.5</w:t>
            </w:r>
          </w:p>
        </w:tc>
        <w:tc>
          <w:tcPr>
            <w:tcW w:w="686" w:type="pct"/>
            <w:tcBorders>
              <w:top w:val="single" w:sz="4" w:space="0" w:color="auto"/>
              <w:left w:val="single" w:sz="4" w:space="0" w:color="auto"/>
              <w:bottom w:val="single" w:sz="4" w:space="0" w:color="auto"/>
              <w:right w:val="single" w:sz="4" w:space="0" w:color="auto"/>
            </w:tcBorders>
            <w:vAlign w:val="center"/>
          </w:tcPr>
          <w:p w14:paraId="1BF3BA7F" w14:textId="5337C4F6" w:rsidR="00C82DD6" w:rsidRPr="00006EED" w:rsidRDefault="002A7B2A" w:rsidP="00006EED">
            <w:pPr>
              <w:keepNext/>
              <w:spacing w:after="0" w:line="240" w:lineRule="auto"/>
              <w:jc w:val="center"/>
              <w:rPr>
                <w:rFonts w:cs="Calibri"/>
                <w:sz w:val="20"/>
                <w:szCs w:val="20"/>
              </w:rPr>
            </w:pPr>
            <w:r>
              <w:rPr>
                <w:rFonts w:cs="Calibri"/>
                <w:sz w:val="20"/>
                <w:szCs w:val="20"/>
              </w:rPr>
              <w:t>8</w:t>
            </w:r>
          </w:p>
        </w:tc>
      </w:tr>
      <w:tr w:rsidR="00BC4DB3" w:rsidRPr="000B2F3C" w14:paraId="586BC774"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56107B34" w14:textId="1DC7F489" w:rsidR="00C82DD6" w:rsidRPr="00006EED" w:rsidRDefault="00B66AA4" w:rsidP="00006EED">
            <w:pPr>
              <w:keepNext/>
              <w:spacing w:after="0" w:line="240" w:lineRule="auto"/>
              <w:rPr>
                <w:b/>
                <w:color w:val="595959"/>
                <w:sz w:val="20"/>
                <w:szCs w:val="20"/>
              </w:rPr>
            </w:pPr>
            <w:r>
              <w:rPr>
                <w:color w:val="000000"/>
                <w:sz w:val="20"/>
                <w:szCs w:val="20"/>
              </w:rPr>
              <w:t>School Administrators</w:t>
            </w:r>
          </w:p>
        </w:tc>
        <w:tc>
          <w:tcPr>
            <w:tcW w:w="685" w:type="pct"/>
            <w:tcBorders>
              <w:top w:val="single" w:sz="4" w:space="0" w:color="auto"/>
              <w:left w:val="nil"/>
              <w:bottom w:val="single" w:sz="4" w:space="0" w:color="auto"/>
              <w:right w:val="single" w:sz="4" w:space="0" w:color="auto"/>
            </w:tcBorders>
            <w:shd w:val="clear" w:color="auto" w:fill="auto"/>
            <w:vAlign w:val="center"/>
          </w:tcPr>
          <w:p w14:paraId="0674EAF4" w14:textId="252F7BA0" w:rsidR="00C82DD6" w:rsidRPr="00006EED" w:rsidRDefault="00234A52" w:rsidP="00006EED">
            <w:pPr>
              <w:keepNext/>
              <w:spacing w:after="0" w:line="240" w:lineRule="auto"/>
              <w:jc w:val="center"/>
              <w:rPr>
                <w:rFonts w:cs="Calibri"/>
                <w:b/>
                <w:color w:val="595959"/>
                <w:sz w:val="20"/>
                <w:szCs w:val="20"/>
              </w:rPr>
            </w:pPr>
            <w:r>
              <w:rPr>
                <w:color w:val="000000"/>
                <w:sz w:val="20"/>
                <w:szCs w:val="20"/>
              </w:rPr>
              <w:t>5</w:t>
            </w:r>
            <w:r w:rsidR="00B170A8" w:rsidRPr="00006EED">
              <w:rPr>
                <w:rFonts w:cs="Calibri"/>
                <w:color w:val="000000"/>
                <w:sz w:val="20"/>
                <w:szCs w:val="20"/>
              </w:rPr>
              <w:t>*</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4E663914" w14:textId="29A67C5F" w:rsidR="00C82DD6" w:rsidRPr="00006EED" w:rsidRDefault="00234A52" w:rsidP="00006EED">
            <w:pPr>
              <w:keepNext/>
              <w:spacing w:after="0" w:line="240" w:lineRule="auto"/>
              <w:jc w:val="center"/>
              <w:rPr>
                <w:rFonts w:cs="Calibri"/>
                <w:sz w:val="20"/>
                <w:szCs w:val="20"/>
              </w:rPr>
            </w:pPr>
            <w:r>
              <w:rPr>
                <w:rFonts w:cs="Calibri"/>
                <w:sz w:val="20"/>
                <w:szCs w:val="20"/>
              </w:rPr>
              <w:t>5</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3B7736DD" w14:textId="70FF9E12" w:rsidR="00C82DD6" w:rsidRPr="00006EED" w:rsidRDefault="00C82DD6" w:rsidP="00006EED">
            <w:pPr>
              <w:keepNext/>
              <w:spacing w:after="0" w:line="240" w:lineRule="auto"/>
              <w:jc w:val="center"/>
              <w:rPr>
                <w:rFonts w:cs="Calibri"/>
                <w:sz w:val="20"/>
                <w:szCs w:val="20"/>
              </w:rPr>
            </w:pPr>
            <w:r w:rsidRPr="00006EED">
              <w:rPr>
                <w:color w:val="000000"/>
                <w:sz w:val="20"/>
                <w:szCs w:val="20"/>
              </w:rPr>
              <w:t>1.5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42A89513" w14:textId="1E072831" w:rsidR="00C82DD6" w:rsidRPr="00006EED" w:rsidRDefault="002A7B2A" w:rsidP="00006EED">
            <w:pPr>
              <w:keepNext/>
              <w:spacing w:after="0" w:line="240" w:lineRule="auto"/>
              <w:jc w:val="center"/>
              <w:rPr>
                <w:rFonts w:cs="Calibri"/>
                <w:sz w:val="20"/>
                <w:szCs w:val="20"/>
              </w:rPr>
            </w:pPr>
            <w:r>
              <w:rPr>
                <w:rFonts w:cs="Calibri"/>
                <w:sz w:val="20"/>
                <w:szCs w:val="20"/>
              </w:rPr>
              <w:t>8</w:t>
            </w:r>
          </w:p>
        </w:tc>
      </w:tr>
      <w:tr w:rsidR="00B66AA4" w:rsidRPr="000B2F3C" w14:paraId="350766FD"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6DBEAC86" w14:textId="39D9388B" w:rsidR="00B66AA4" w:rsidRDefault="00B66AA4" w:rsidP="00006EED">
            <w:pPr>
              <w:keepNext/>
              <w:spacing w:after="0" w:line="240" w:lineRule="auto"/>
              <w:rPr>
                <w:color w:val="000000"/>
                <w:sz w:val="20"/>
                <w:szCs w:val="20"/>
              </w:rPr>
            </w:pPr>
            <w:r>
              <w:rPr>
                <w:color w:val="000000"/>
                <w:sz w:val="20"/>
                <w:szCs w:val="20"/>
              </w:rPr>
              <w:t xml:space="preserve">Other stakeholders </w:t>
            </w:r>
          </w:p>
        </w:tc>
        <w:tc>
          <w:tcPr>
            <w:tcW w:w="685" w:type="pct"/>
            <w:tcBorders>
              <w:top w:val="single" w:sz="4" w:space="0" w:color="auto"/>
              <w:left w:val="nil"/>
              <w:bottom w:val="single" w:sz="4" w:space="0" w:color="auto"/>
              <w:right w:val="single" w:sz="4" w:space="0" w:color="auto"/>
            </w:tcBorders>
            <w:shd w:val="clear" w:color="auto" w:fill="auto"/>
            <w:vAlign w:val="center"/>
          </w:tcPr>
          <w:p w14:paraId="46ED8365" w14:textId="72FE1AC8" w:rsidR="00B66AA4" w:rsidRPr="000D33F8" w:rsidRDefault="00234A52" w:rsidP="00006EED">
            <w:pPr>
              <w:keepNext/>
              <w:spacing w:after="0" w:line="240" w:lineRule="auto"/>
              <w:jc w:val="center"/>
              <w:rPr>
                <w:color w:val="000000"/>
                <w:sz w:val="20"/>
                <w:szCs w:val="20"/>
              </w:rPr>
            </w:pPr>
            <w:r>
              <w:rPr>
                <w:color w:val="000000"/>
                <w:sz w:val="20"/>
                <w:szCs w:val="20"/>
              </w:rPr>
              <w:t>2</w:t>
            </w:r>
            <w:r w:rsidR="007D205E" w:rsidRPr="000D33F8">
              <w:rPr>
                <w:color w:val="000000"/>
                <w:sz w:val="20"/>
                <w:szCs w:val="20"/>
              </w:rPr>
              <w:t>*</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20D69721" w14:textId="1956556F" w:rsidR="00B66AA4" w:rsidRPr="00006EED" w:rsidRDefault="00234A52" w:rsidP="00006EED">
            <w:pPr>
              <w:keepNext/>
              <w:spacing w:after="0" w:line="240" w:lineRule="auto"/>
              <w:jc w:val="center"/>
              <w:rPr>
                <w:rFonts w:cs="Calibri"/>
                <w:sz w:val="20"/>
                <w:szCs w:val="20"/>
              </w:rPr>
            </w:pPr>
            <w:r>
              <w:rPr>
                <w:rFonts w:cs="Calibri"/>
                <w:sz w:val="20"/>
                <w:szCs w:val="20"/>
              </w:rPr>
              <w:t>2</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637093DE" w14:textId="201830A8" w:rsidR="00B66AA4" w:rsidRPr="00006EED" w:rsidRDefault="007D205E" w:rsidP="00006EED">
            <w:pPr>
              <w:keepNext/>
              <w:spacing w:after="0" w:line="240" w:lineRule="auto"/>
              <w:jc w:val="center"/>
              <w:rPr>
                <w:color w:val="000000"/>
                <w:sz w:val="20"/>
                <w:szCs w:val="20"/>
              </w:rPr>
            </w:pPr>
            <w:r>
              <w:rPr>
                <w:color w:val="000000"/>
                <w:sz w:val="20"/>
                <w:szCs w:val="20"/>
              </w:rPr>
              <w:t>1.5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70E5A567" w14:textId="5B0F72BF" w:rsidR="00B66AA4" w:rsidRPr="00CD104F" w:rsidRDefault="00DD34CD" w:rsidP="00006EED">
            <w:pPr>
              <w:keepNext/>
              <w:spacing w:after="0" w:line="240" w:lineRule="auto"/>
              <w:jc w:val="center"/>
              <w:rPr>
                <w:rFonts w:cs="Calibri"/>
                <w:sz w:val="20"/>
                <w:szCs w:val="20"/>
              </w:rPr>
            </w:pPr>
            <w:r>
              <w:rPr>
                <w:rFonts w:cs="Calibri"/>
                <w:sz w:val="20"/>
                <w:szCs w:val="20"/>
              </w:rPr>
              <w:t>3</w:t>
            </w:r>
          </w:p>
        </w:tc>
      </w:tr>
      <w:tr w:rsidR="00BC4DB3" w:rsidRPr="000B2F3C" w14:paraId="7ACFFC77" w14:textId="77777777" w:rsidTr="00BC4DB3">
        <w:trPr>
          <w:trHeight w:val="144"/>
        </w:trPr>
        <w:tc>
          <w:tcPr>
            <w:tcW w:w="2258" w:type="pct"/>
            <w:tcBorders>
              <w:top w:val="single" w:sz="4" w:space="0" w:color="auto"/>
              <w:left w:val="single" w:sz="4" w:space="0" w:color="auto"/>
              <w:bottom w:val="single" w:sz="4" w:space="0" w:color="auto"/>
              <w:right w:val="single" w:sz="4" w:space="0" w:color="auto"/>
            </w:tcBorders>
            <w:shd w:val="clear" w:color="auto" w:fill="F2F2F2"/>
            <w:vAlign w:val="center"/>
          </w:tcPr>
          <w:p w14:paraId="39CF86E8" w14:textId="77777777" w:rsidR="00C82DD6" w:rsidRPr="00006EED" w:rsidRDefault="00C82DD6" w:rsidP="00006EED">
            <w:pPr>
              <w:keepNext/>
              <w:spacing w:after="0" w:line="240" w:lineRule="auto"/>
              <w:rPr>
                <w:sz w:val="20"/>
                <w:szCs w:val="20"/>
              </w:rPr>
            </w:pPr>
            <w:r w:rsidRPr="00006EED">
              <w:rPr>
                <w:sz w:val="20"/>
                <w:szCs w:val="20"/>
              </w:rPr>
              <w:t>Sub-Total</w:t>
            </w:r>
          </w:p>
        </w:tc>
        <w:tc>
          <w:tcPr>
            <w:tcW w:w="685" w:type="pct"/>
            <w:tcBorders>
              <w:top w:val="single" w:sz="4" w:space="0" w:color="auto"/>
              <w:left w:val="nil"/>
              <w:bottom w:val="single" w:sz="4" w:space="0" w:color="auto"/>
              <w:right w:val="single" w:sz="4" w:space="0" w:color="auto"/>
            </w:tcBorders>
            <w:shd w:val="clear" w:color="auto" w:fill="F2F2F2"/>
            <w:vAlign w:val="center"/>
          </w:tcPr>
          <w:p w14:paraId="1E6B6D0F" w14:textId="5067AEB7" w:rsidR="00C82DD6" w:rsidRPr="000D33F8" w:rsidRDefault="00503712" w:rsidP="00006EED">
            <w:pPr>
              <w:keepNext/>
              <w:spacing w:after="0" w:line="240" w:lineRule="auto"/>
              <w:jc w:val="center"/>
              <w:rPr>
                <w:sz w:val="20"/>
                <w:szCs w:val="20"/>
              </w:rPr>
            </w:pPr>
            <w:r>
              <w:rPr>
                <w:rFonts w:cs="Calibri"/>
                <w:sz w:val="20"/>
                <w:szCs w:val="20"/>
              </w:rPr>
              <w:t>0</w:t>
            </w:r>
            <w:r w:rsidR="00EA21FF" w:rsidRPr="000D33F8">
              <w:rPr>
                <w:rFonts w:cs="Calibri"/>
                <w:sz w:val="20"/>
                <w:szCs w:val="20"/>
              </w:rPr>
              <w:t>*</w:t>
            </w:r>
          </w:p>
        </w:tc>
        <w:tc>
          <w:tcPr>
            <w:tcW w:w="685" w:type="pct"/>
            <w:tcBorders>
              <w:top w:val="single" w:sz="4" w:space="0" w:color="auto"/>
              <w:left w:val="single" w:sz="4" w:space="0" w:color="auto"/>
              <w:bottom w:val="single" w:sz="4" w:space="0" w:color="auto"/>
              <w:right w:val="single" w:sz="4" w:space="0" w:color="auto"/>
            </w:tcBorders>
            <w:shd w:val="clear" w:color="auto" w:fill="F2F2F2"/>
            <w:vAlign w:val="center"/>
          </w:tcPr>
          <w:p w14:paraId="1A43A64D" w14:textId="19FBC4FB" w:rsidR="00C82DD6" w:rsidRPr="00006EED" w:rsidRDefault="00DD34CD" w:rsidP="00006EED">
            <w:pPr>
              <w:keepNext/>
              <w:spacing w:after="0" w:line="240" w:lineRule="auto"/>
              <w:jc w:val="center"/>
              <w:rPr>
                <w:rFonts w:cs="Calibri"/>
                <w:sz w:val="20"/>
                <w:szCs w:val="20"/>
              </w:rPr>
            </w:pPr>
            <w:r>
              <w:rPr>
                <w:rFonts w:cs="Calibri"/>
                <w:sz w:val="20"/>
                <w:szCs w:val="20"/>
              </w:rPr>
              <w:t>12</w:t>
            </w:r>
          </w:p>
        </w:tc>
        <w:tc>
          <w:tcPr>
            <w:tcW w:w="685" w:type="pct"/>
            <w:tcBorders>
              <w:top w:val="single" w:sz="4" w:space="0" w:color="auto"/>
              <w:left w:val="single" w:sz="4" w:space="0" w:color="auto"/>
              <w:bottom w:val="single" w:sz="4" w:space="0" w:color="auto"/>
              <w:right w:val="single" w:sz="4" w:space="0" w:color="auto"/>
            </w:tcBorders>
            <w:shd w:val="clear" w:color="auto" w:fill="F2F2F2"/>
            <w:vAlign w:val="center"/>
          </w:tcPr>
          <w:p w14:paraId="4AD29DE2" w14:textId="196008A2" w:rsidR="00C82DD6" w:rsidRPr="00006EED" w:rsidRDefault="00C82DD6" w:rsidP="00006EED">
            <w:pPr>
              <w:keepNext/>
              <w:spacing w:after="0" w:line="240" w:lineRule="auto"/>
              <w:jc w:val="center"/>
              <w:rPr>
                <w:rFonts w:cs="Calibri"/>
                <w:sz w:val="20"/>
                <w:szCs w:val="20"/>
              </w:rPr>
            </w:pPr>
            <w:r w:rsidRPr="00006EED">
              <w:rPr>
                <w:sz w:val="20"/>
                <w:szCs w:val="20"/>
              </w:rPr>
              <w:t>-</w:t>
            </w:r>
          </w:p>
        </w:tc>
        <w:tc>
          <w:tcPr>
            <w:tcW w:w="686" w:type="pct"/>
            <w:tcBorders>
              <w:top w:val="single" w:sz="4" w:space="0" w:color="auto"/>
              <w:left w:val="single" w:sz="4" w:space="0" w:color="auto"/>
              <w:bottom w:val="single" w:sz="4" w:space="0" w:color="auto"/>
              <w:right w:val="single" w:sz="4" w:space="0" w:color="auto"/>
            </w:tcBorders>
            <w:shd w:val="clear" w:color="auto" w:fill="F2F2F2"/>
            <w:vAlign w:val="center"/>
          </w:tcPr>
          <w:p w14:paraId="304FA740" w14:textId="22AB93FD" w:rsidR="00C82DD6" w:rsidRPr="00CD104F" w:rsidRDefault="00DD34CD" w:rsidP="002A7B2A">
            <w:pPr>
              <w:keepNext/>
              <w:spacing w:after="0" w:line="240" w:lineRule="auto"/>
              <w:jc w:val="center"/>
              <w:rPr>
                <w:rFonts w:cs="Calibri"/>
                <w:sz w:val="20"/>
                <w:szCs w:val="20"/>
              </w:rPr>
            </w:pPr>
            <w:r>
              <w:rPr>
                <w:rFonts w:cs="Calibri"/>
                <w:sz w:val="20"/>
                <w:szCs w:val="20"/>
              </w:rPr>
              <w:t>1</w:t>
            </w:r>
            <w:r w:rsidR="002A7B2A">
              <w:rPr>
                <w:rFonts w:cs="Calibri"/>
                <w:sz w:val="20"/>
                <w:szCs w:val="20"/>
              </w:rPr>
              <w:t>9</w:t>
            </w:r>
          </w:p>
        </w:tc>
      </w:tr>
      <w:tr w:rsidR="00BC4DB3" w:rsidRPr="00F27FC1" w14:paraId="48B6B550" w14:textId="77777777" w:rsidTr="00BC4DB3">
        <w:trPr>
          <w:trHeight w:val="144"/>
        </w:trPr>
        <w:tc>
          <w:tcPr>
            <w:tcW w:w="2258" w:type="pct"/>
            <w:tcBorders>
              <w:top w:val="nil"/>
              <w:left w:val="single" w:sz="4" w:space="0" w:color="auto"/>
              <w:bottom w:val="single" w:sz="4" w:space="0" w:color="auto"/>
              <w:right w:val="single" w:sz="4" w:space="0" w:color="auto"/>
            </w:tcBorders>
            <w:shd w:val="clear" w:color="auto" w:fill="BFBFBF"/>
            <w:vAlign w:val="center"/>
          </w:tcPr>
          <w:p w14:paraId="1815669B" w14:textId="5075A764" w:rsidR="00C82DD6" w:rsidRPr="00006EED" w:rsidRDefault="00C82DD6" w:rsidP="00006EED">
            <w:pPr>
              <w:keepNext/>
              <w:spacing w:after="0" w:line="240" w:lineRule="auto"/>
              <w:jc w:val="both"/>
              <w:rPr>
                <w:b/>
                <w:color w:val="000000"/>
                <w:sz w:val="20"/>
                <w:szCs w:val="20"/>
              </w:rPr>
            </w:pPr>
            <w:r w:rsidRPr="00006EED">
              <w:rPr>
                <w:b/>
                <w:color w:val="000000"/>
                <w:sz w:val="20"/>
                <w:szCs w:val="20"/>
              </w:rPr>
              <w:t>Total Burden</w:t>
            </w:r>
          </w:p>
        </w:tc>
        <w:tc>
          <w:tcPr>
            <w:tcW w:w="685" w:type="pct"/>
            <w:tcBorders>
              <w:top w:val="single" w:sz="4" w:space="0" w:color="auto"/>
              <w:left w:val="nil"/>
              <w:bottom w:val="single" w:sz="4" w:space="0" w:color="auto"/>
              <w:right w:val="single" w:sz="4" w:space="0" w:color="auto"/>
            </w:tcBorders>
            <w:shd w:val="clear" w:color="auto" w:fill="BFBFBF"/>
            <w:vAlign w:val="center"/>
          </w:tcPr>
          <w:p w14:paraId="1D588A7C" w14:textId="4FB5BA7C" w:rsidR="00C82DD6" w:rsidRPr="00006EED" w:rsidRDefault="00B170A8" w:rsidP="00006EED">
            <w:pPr>
              <w:spacing w:after="0" w:line="240" w:lineRule="auto"/>
              <w:jc w:val="center"/>
              <w:rPr>
                <w:b/>
                <w:color w:val="000000"/>
                <w:sz w:val="20"/>
                <w:szCs w:val="20"/>
              </w:rPr>
            </w:pPr>
            <w:r w:rsidRPr="00006EED">
              <w:rPr>
                <w:b/>
                <w:bCs/>
                <w:sz w:val="20"/>
                <w:szCs w:val="20"/>
              </w:rPr>
              <w:t>1</w:t>
            </w:r>
            <w:r w:rsidR="00C32B43">
              <w:rPr>
                <w:b/>
                <w:bCs/>
                <w:sz w:val="20"/>
                <w:szCs w:val="20"/>
              </w:rPr>
              <w:t>5</w:t>
            </w:r>
            <w:r w:rsidRPr="00006EED">
              <w:rPr>
                <w:b/>
                <w:bCs/>
                <w:sz w:val="20"/>
                <w:szCs w:val="20"/>
              </w:rPr>
              <w:t>0</w:t>
            </w:r>
          </w:p>
        </w:tc>
        <w:tc>
          <w:tcPr>
            <w:tcW w:w="685" w:type="pct"/>
            <w:tcBorders>
              <w:top w:val="single" w:sz="4" w:space="0" w:color="auto"/>
              <w:left w:val="single" w:sz="4" w:space="0" w:color="auto"/>
              <w:bottom w:val="single" w:sz="4" w:space="0" w:color="auto"/>
              <w:right w:val="single" w:sz="4" w:space="0" w:color="auto"/>
            </w:tcBorders>
            <w:shd w:val="clear" w:color="auto" w:fill="BFBFBF"/>
            <w:vAlign w:val="center"/>
          </w:tcPr>
          <w:p w14:paraId="68C578C2" w14:textId="14F5DF7A" w:rsidR="00C82DD6" w:rsidRPr="00006EED" w:rsidRDefault="00885957" w:rsidP="00503712">
            <w:pPr>
              <w:spacing w:after="0" w:line="240" w:lineRule="auto"/>
              <w:jc w:val="center"/>
              <w:rPr>
                <w:b/>
                <w:bCs/>
                <w:sz w:val="20"/>
                <w:szCs w:val="20"/>
              </w:rPr>
            </w:pPr>
            <w:r>
              <w:rPr>
                <w:b/>
                <w:bCs/>
                <w:sz w:val="20"/>
                <w:szCs w:val="20"/>
              </w:rPr>
              <w:t>2</w:t>
            </w:r>
            <w:r w:rsidR="00503712">
              <w:rPr>
                <w:b/>
                <w:bCs/>
                <w:sz w:val="20"/>
                <w:szCs w:val="20"/>
              </w:rPr>
              <w:t>22</w:t>
            </w:r>
          </w:p>
        </w:tc>
        <w:tc>
          <w:tcPr>
            <w:tcW w:w="685" w:type="pct"/>
            <w:tcBorders>
              <w:top w:val="single" w:sz="4" w:space="0" w:color="auto"/>
              <w:left w:val="single" w:sz="4" w:space="0" w:color="auto"/>
              <w:bottom w:val="single" w:sz="4" w:space="0" w:color="auto"/>
              <w:right w:val="single" w:sz="4" w:space="0" w:color="auto"/>
            </w:tcBorders>
            <w:shd w:val="clear" w:color="auto" w:fill="BFBFBF"/>
            <w:vAlign w:val="center"/>
          </w:tcPr>
          <w:p w14:paraId="4B62E62B" w14:textId="77777777" w:rsidR="00C82DD6" w:rsidRPr="00006EED" w:rsidRDefault="00C82DD6" w:rsidP="00006EED">
            <w:pPr>
              <w:spacing w:after="0" w:line="240" w:lineRule="auto"/>
              <w:jc w:val="center"/>
              <w:rPr>
                <w:b/>
                <w:bCs/>
                <w:sz w:val="20"/>
                <w:szCs w:val="20"/>
              </w:rPr>
            </w:pPr>
          </w:p>
        </w:tc>
        <w:tc>
          <w:tcPr>
            <w:tcW w:w="686" w:type="pct"/>
            <w:tcBorders>
              <w:top w:val="single" w:sz="4" w:space="0" w:color="auto"/>
              <w:left w:val="single" w:sz="4" w:space="0" w:color="auto"/>
              <w:bottom w:val="single" w:sz="4" w:space="0" w:color="auto"/>
              <w:right w:val="single" w:sz="4" w:space="0" w:color="auto"/>
            </w:tcBorders>
            <w:shd w:val="clear" w:color="auto" w:fill="BFBFBF"/>
            <w:vAlign w:val="center"/>
          </w:tcPr>
          <w:p w14:paraId="7AB68FC7" w14:textId="5450562F" w:rsidR="00C82DD6" w:rsidRPr="00006EED" w:rsidRDefault="002A7B2A" w:rsidP="00CD104F">
            <w:pPr>
              <w:spacing w:after="0" w:line="240" w:lineRule="auto"/>
              <w:jc w:val="center"/>
              <w:rPr>
                <w:b/>
                <w:bCs/>
                <w:sz w:val="20"/>
                <w:szCs w:val="20"/>
              </w:rPr>
            </w:pPr>
            <w:r>
              <w:rPr>
                <w:b/>
                <w:bCs/>
                <w:sz w:val="20"/>
                <w:szCs w:val="20"/>
              </w:rPr>
              <w:t>47</w:t>
            </w:r>
          </w:p>
        </w:tc>
      </w:tr>
    </w:tbl>
    <w:p w14:paraId="11EA083A" w14:textId="639CF25B" w:rsidR="00CF08CF" w:rsidRDefault="00C44C0B" w:rsidP="00A8484E">
      <w:pPr>
        <w:spacing w:after="0" w:line="240" w:lineRule="auto"/>
        <w:ind w:left="86"/>
        <w:rPr>
          <w:sz w:val="20"/>
          <w:szCs w:val="20"/>
        </w:rPr>
      </w:pPr>
      <w:r w:rsidRPr="00BC4DB3">
        <w:rPr>
          <w:sz w:val="20"/>
          <w:szCs w:val="20"/>
        </w:rPr>
        <w:t>* Subset of initial contact group</w:t>
      </w:r>
      <w:r w:rsidR="001A4BF4">
        <w:rPr>
          <w:sz w:val="20"/>
          <w:szCs w:val="20"/>
        </w:rPr>
        <w:t xml:space="preserve"> </w:t>
      </w:r>
      <w:r w:rsidRPr="00BC4DB3">
        <w:rPr>
          <w:sz w:val="20"/>
          <w:szCs w:val="20"/>
        </w:rPr>
        <w:t>not double counted in the total number of respondents.</w:t>
      </w:r>
    </w:p>
    <w:p w14:paraId="242682B9" w14:textId="601FD798" w:rsidR="00C640B5" w:rsidRDefault="00A468B2" w:rsidP="00A8484E">
      <w:pPr>
        <w:spacing w:after="0" w:line="240" w:lineRule="auto"/>
        <w:ind w:left="86"/>
        <w:rPr>
          <w:sz w:val="20"/>
          <w:szCs w:val="20"/>
        </w:rPr>
      </w:pPr>
      <w:r>
        <w:rPr>
          <w:sz w:val="20"/>
          <w:szCs w:val="20"/>
        </w:rPr>
        <w:t xml:space="preserve">** Respondents will be </w:t>
      </w:r>
      <w:r w:rsidR="007F61BB">
        <w:rPr>
          <w:sz w:val="20"/>
          <w:szCs w:val="20"/>
        </w:rPr>
        <w:t>asked</w:t>
      </w:r>
      <w:r>
        <w:rPr>
          <w:sz w:val="20"/>
          <w:szCs w:val="20"/>
        </w:rPr>
        <w:t xml:space="preserve"> to review report prior to </w:t>
      </w:r>
      <w:r w:rsidR="006E1EE4">
        <w:rPr>
          <w:sz w:val="20"/>
          <w:szCs w:val="20"/>
        </w:rPr>
        <w:t xml:space="preserve">the </w:t>
      </w:r>
      <w:r>
        <w:rPr>
          <w:sz w:val="20"/>
          <w:szCs w:val="20"/>
        </w:rPr>
        <w:t>focus group</w:t>
      </w:r>
      <w:r w:rsidR="006E1EE4">
        <w:rPr>
          <w:sz w:val="20"/>
          <w:szCs w:val="20"/>
        </w:rPr>
        <w:t xml:space="preserve"> – </w:t>
      </w:r>
      <w:r w:rsidR="00547CB2">
        <w:rPr>
          <w:sz w:val="20"/>
          <w:szCs w:val="20"/>
        </w:rPr>
        <w:t xml:space="preserve">anticipated time for </w:t>
      </w:r>
      <w:r w:rsidR="006E1EE4">
        <w:rPr>
          <w:sz w:val="20"/>
          <w:szCs w:val="20"/>
        </w:rPr>
        <w:t xml:space="preserve">the </w:t>
      </w:r>
      <w:r w:rsidR="00547CB2">
        <w:rPr>
          <w:sz w:val="20"/>
          <w:szCs w:val="20"/>
        </w:rPr>
        <w:t>task is up to 60 minutes.</w:t>
      </w:r>
    </w:p>
    <w:p w14:paraId="39A240DD" w14:textId="5D47BCE5" w:rsidR="00EB4109" w:rsidRPr="00BC4DB3" w:rsidRDefault="00A73442" w:rsidP="00A8484E">
      <w:pPr>
        <w:spacing w:after="0" w:line="240" w:lineRule="auto"/>
        <w:ind w:left="86"/>
        <w:rPr>
          <w:sz w:val="20"/>
          <w:szCs w:val="20"/>
        </w:rPr>
      </w:pPr>
      <w:r w:rsidRPr="00BC4DB3">
        <w:rPr>
          <w:sz w:val="20"/>
          <w:szCs w:val="20"/>
        </w:rPr>
        <w:t>Note: Numbers have been rounded and therefore may affect totals</w:t>
      </w:r>
      <w:r w:rsidR="00467DD8">
        <w:rPr>
          <w:sz w:val="20"/>
          <w:szCs w:val="20"/>
        </w:rPr>
        <w:t>.</w:t>
      </w:r>
    </w:p>
    <w:p w14:paraId="49233B46" w14:textId="47F24A5C" w:rsidR="00D26532" w:rsidRPr="00494774" w:rsidRDefault="00D26532" w:rsidP="00D0603A">
      <w:pPr>
        <w:pStyle w:val="Heading1"/>
        <w:numPr>
          <w:ilvl w:val="0"/>
          <w:numId w:val="17"/>
        </w:numPr>
        <w:spacing w:before="160" w:after="120" w:line="240" w:lineRule="auto"/>
        <w:ind w:left="360"/>
        <w:rPr>
          <w:rFonts w:asciiTheme="minorHAnsi" w:hAnsiTheme="minorHAnsi"/>
          <w:color w:val="1F497D" w:themeColor="text2"/>
          <w:sz w:val="28"/>
          <w:szCs w:val="28"/>
        </w:rPr>
      </w:pPr>
      <w:bookmarkStart w:id="33" w:name="_Toc374681260"/>
      <w:bookmarkStart w:id="34" w:name="_Toc485718785"/>
      <w:bookmarkStart w:id="35" w:name="_Toc5002107"/>
      <w:r w:rsidRPr="00494774">
        <w:rPr>
          <w:rFonts w:asciiTheme="minorHAnsi" w:hAnsiTheme="minorHAnsi"/>
          <w:color w:val="1F497D" w:themeColor="text2"/>
          <w:sz w:val="28"/>
          <w:szCs w:val="28"/>
        </w:rPr>
        <w:t>Costs to Federal Government</w:t>
      </w:r>
      <w:bookmarkEnd w:id="33"/>
      <w:bookmarkEnd w:id="34"/>
      <w:bookmarkEnd w:id="35"/>
    </w:p>
    <w:p w14:paraId="67A5D4BA" w14:textId="65991B61" w:rsidR="00D977EA" w:rsidRDefault="00D26532" w:rsidP="00BC4DB3">
      <w:pPr>
        <w:pStyle w:val="ColorfulList-Accent11"/>
        <w:tabs>
          <w:tab w:val="left" w:pos="360"/>
        </w:tabs>
        <w:spacing w:after="120" w:line="240" w:lineRule="auto"/>
        <w:ind w:left="0"/>
        <w:contextualSpacing w:val="0"/>
        <w:rPr>
          <w:rFonts w:cs="Calibri"/>
          <w:shd w:val="clear" w:color="auto" w:fill="FFFFFF"/>
        </w:rPr>
      </w:pPr>
      <w:r w:rsidRPr="00787B27">
        <w:rPr>
          <w:rFonts w:cs="Calibri"/>
        </w:rPr>
        <w:t>The estimated cost for the focus group</w:t>
      </w:r>
      <w:r w:rsidR="00BF0C81">
        <w:rPr>
          <w:rFonts w:cs="Calibri"/>
        </w:rPr>
        <w:t xml:space="preserve"> </w:t>
      </w:r>
      <w:r w:rsidR="00FB3527">
        <w:rPr>
          <w:rFonts w:cs="Calibri"/>
        </w:rPr>
        <w:t xml:space="preserve">described </w:t>
      </w:r>
      <w:r w:rsidRPr="00787B27">
        <w:rPr>
          <w:rFonts w:cs="Calibri"/>
        </w:rPr>
        <w:t xml:space="preserve">in this submittal </w:t>
      </w:r>
      <w:r w:rsidR="00A611AC" w:rsidRPr="00787B27">
        <w:rPr>
          <w:rFonts w:cs="Calibri"/>
        </w:rPr>
        <w:t xml:space="preserve">is </w:t>
      </w:r>
      <w:r w:rsidR="003A6657">
        <w:rPr>
          <w:rFonts w:cs="Calibri"/>
        </w:rPr>
        <w:t>$</w:t>
      </w:r>
      <w:r w:rsidR="00681D96">
        <w:rPr>
          <w:rFonts w:cs="Calibri"/>
        </w:rPr>
        <w:t>13,</w:t>
      </w:r>
      <w:r w:rsidR="00A15303">
        <w:rPr>
          <w:rFonts w:cs="Calibri"/>
        </w:rPr>
        <w:t>6</w:t>
      </w:r>
      <w:r w:rsidR="00681D96">
        <w:rPr>
          <w:rFonts w:cs="Calibri"/>
        </w:rPr>
        <w:t>59</w:t>
      </w:r>
      <w:r w:rsidR="0075403D">
        <w:rPr>
          <w:rFonts w:cs="Calibri"/>
        </w:rPr>
        <w:t xml:space="preserve"> </w:t>
      </w:r>
      <w:r w:rsidR="00A611AC" w:rsidRPr="00787B27">
        <w:rPr>
          <w:rFonts w:cs="Calibri"/>
        </w:rPr>
        <w:t>as</w:t>
      </w:r>
      <w:r w:rsidRPr="00787B27">
        <w:rPr>
          <w:rFonts w:cs="Calibri"/>
        </w:rPr>
        <w:t xml:space="preserve"> </w:t>
      </w:r>
      <w:r w:rsidR="00307488" w:rsidRPr="00911193">
        <w:rPr>
          <w:rFonts w:cs="Calibri"/>
        </w:rPr>
        <w:t>delineated</w:t>
      </w:r>
      <w:r w:rsidRPr="00911193">
        <w:rPr>
          <w:rFonts w:cs="Calibri"/>
        </w:rPr>
        <w:t xml:space="preserve"> in Table </w:t>
      </w:r>
      <w:r w:rsidR="00E82329" w:rsidRPr="00911193">
        <w:rPr>
          <w:rFonts w:cs="Calibri"/>
        </w:rPr>
        <w:t>2</w:t>
      </w:r>
      <w:r w:rsidRPr="00911193">
        <w:rPr>
          <w:rFonts w:cs="Calibri"/>
          <w:shd w:val="clear" w:color="auto" w:fill="FFFFFF"/>
        </w:rPr>
        <w:t>.</w:t>
      </w:r>
    </w:p>
    <w:p w14:paraId="03EEFEF4" w14:textId="73C568C5" w:rsidR="00D26532" w:rsidRPr="00BC4DB3" w:rsidRDefault="00D26532" w:rsidP="00BC4DB3">
      <w:pPr>
        <w:pStyle w:val="ColorfulList-Accent11"/>
        <w:keepNext/>
        <w:keepLines/>
        <w:tabs>
          <w:tab w:val="left" w:pos="360"/>
        </w:tabs>
        <w:spacing w:after="0" w:line="240" w:lineRule="auto"/>
        <w:ind w:left="0"/>
        <w:contextualSpacing w:val="0"/>
        <w:rPr>
          <w:rFonts w:cs="Calibri"/>
          <w:b/>
          <w:i/>
        </w:rPr>
      </w:pPr>
      <w:r w:rsidRPr="00BC4DB3">
        <w:rPr>
          <w:rFonts w:cs="Calibri"/>
          <w:b/>
          <w:shd w:val="clear" w:color="auto" w:fill="FFFFFF"/>
        </w:rPr>
        <w:t>Table</w:t>
      </w:r>
      <w:r w:rsidR="00E82329" w:rsidRPr="00BC4DB3">
        <w:rPr>
          <w:rFonts w:cs="Calibri"/>
          <w:b/>
          <w:shd w:val="clear" w:color="auto" w:fill="FFFFFF"/>
        </w:rPr>
        <w:t xml:space="preserve"> 2</w:t>
      </w:r>
      <w:r w:rsidRPr="00BC4DB3">
        <w:rPr>
          <w:rFonts w:cs="Calibri"/>
          <w:b/>
          <w:shd w:val="clear" w:color="auto" w:fill="FFFFFF"/>
        </w:rPr>
        <w:t>.</w:t>
      </w:r>
      <w:r w:rsidRPr="00BC4DB3">
        <w:rPr>
          <w:rFonts w:cs="Calibri"/>
          <w:b/>
        </w:rPr>
        <w:t xml:space="preserve"> Estimate of Costs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gridCol w:w="1530"/>
        <w:gridCol w:w="1620"/>
      </w:tblGrid>
      <w:tr w:rsidR="003C1EA1" w:rsidRPr="004B1CC7" w14:paraId="449969CC" w14:textId="77777777" w:rsidTr="00B8198B">
        <w:trPr>
          <w:trHeight w:val="144"/>
        </w:trPr>
        <w:tc>
          <w:tcPr>
            <w:tcW w:w="3532" w:type="pct"/>
            <w:shd w:val="clear" w:color="auto" w:fill="F2F2F2" w:themeFill="background1" w:themeFillShade="F2"/>
            <w:vAlign w:val="center"/>
          </w:tcPr>
          <w:p w14:paraId="02B77A16" w14:textId="77777777" w:rsidR="00D26532" w:rsidRPr="00843766" w:rsidRDefault="00D26532" w:rsidP="00F138DD">
            <w:pPr>
              <w:pStyle w:val="tabletext"/>
              <w:keepNext/>
              <w:keepLines/>
              <w:rPr>
                <w:rFonts w:cs="Calibri"/>
                <w:b/>
                <w:sz w:val="20"/>
                <w:szCs w:val="20"/>
              </w:rPr>
            </w:pPr>
            <w:r w:rsidRPr="00843766">
              <w:rPr>
                <w:rFonts w:cs="Calibri"/>
                <w:b/>
                <w:sz w:val="20"/>
                <w:szCs w:val="20"/>
              </w:rPr>
              <w:t>Activity</w:t>
            </w:r>
          </w:p>
        </w:tc>
        <w:tc>
          <w:tcPr>
            <w:tcW w:w="713" w:type="pct"/>
            <w:shd w:val="clear" w:color="auto" w:fill="F2F2F2" w:themeFill="background1" w:themeFillShade="F2"/>
            <w:vAlign w:val="center"/>
          </w:tcPr>
          <w:p w14:paraId="53D34E3F" w14:textId="77777777" w:rsidR="00D26532" w:rsidRPr="00843766" w:rsidRDefault="00D26532" w:rsidP="003C1EA1">
            <w:pPr>
              <w:pStyle w:val="tabletext"/>
              <w:keepNext/>
              <w:keepLines/>
              <w:jc w:val="center"/>
              <w:rPr>
                <w:rFonts w:cs="Calibri"/>
                <w:b/>
                <w:sz w:val="20"/>
                <w:szCs w:val="20"/>
              </w:rPr>
            </w:pPr>
            <w:r w:rsidRPr="00843766">
              <w:rPr>
                <w:rFonts w:cs="Calibri"/>
                <w:b/>
                <w:sz w:val="20"/>
                <w:szCs w:val="20"/>
              </w:rPr>
              <w:t>Provider</w:t>
            </w:r>
          </w:p>
        </w:tc>
        <w:tc>
          <w:tcPr>
            <w:tcW w:w="755" w:type="pct"/>
            <w:shd w:val="clear" w:color="auto" w:fill="F2F2F2" w:themeFill="background1" w:themeFillShade="F2"/>
            <w:vAlign w:val="center"/>
          </w:tcPr>
          <w:p w14:paraId="6C6D9FD4" w14:textId="77777777" w:rsidR="00D26532" w:rsidRPr="00843766" w:rsidRDefault="00D26532" w:rsidP="003C1EA1">
            <w:pPr>
              <w:pStyle w:val="tabletext"/>
              <w:keepNext/>
              <w:keepLines/>
              <w:jc w:val="center"/>
              <w:rPr>
                <w:rFonts w:cs="Calibri"/>
                <w:b/>
                <w:sz w:val="20"/>
                <w:szCs w:val="20"/>
              </w:rPr>
            </w:pPr>
            <w:r w:rsidRPr="00843766">
              <w:rPr>
                <w:rFonts w:cs="Calibri"/>
                <w:b/>
                <w:sz w:val="20"/>
                <w:szCs w:val="20"/>
              </w:rPr>
              <w:t>Estimated Cost</w:t>
            </w:r>
          </w:p>
        </w:tc>
      </w:tr>
      <w:tr w:rsidR="003C1EA1" w:rsidRPr="004B1CC7" w14:paraId="0C25B4CE" w14:textId="77777777" w:rsidTr="00B8198B">
        <w:trPr>
          <w:trHeight w:val="144"/>
        </w:trPr>
        <w:tc>
          <w:tcPr>
            <w:tcW w:w="3532" w:type="pct"/>
            <w:vAlign w:val="center"/>
          </w:tcPr>
          <w:p w14:paraId="181459EA" w14:textId="2BA907F9" w:rsidR="00D26532" w:rsidRPr="00A15303" w:rsidRDefault="003C1EA1" w:rsidP="00FB3527">
            <w:pPr>
              <w:pStyle w:val="tabletext"/>
              <w:keepNext/>
              <w:keepLines/>
              <w:rPr>
                <w:rFonts w:cs="Calibri"/>
                <w:sz w:val="20"/>
                <w:szCs w:val="20"/>
              </w:rPr>
            </w:pPr>
            <w:r w:rsidRPr="00A15303">
              <w:rPr>
                <w:rFonts w:cs="Calibri"/>
                <w:sz w:val="20"/>
                <w:szCs w:val="20"/>
              </w:rPr>
              <w:t>Focus group design</w:t>
            </w:r>
            <w:r w:rsidR="0094102D" w:rsidRPr="00A15303">
              <w:rPr>
                <w:rFonts w:cs="Calibri"/>
                <w:sz w:val="20"/>
                <w:szCs w:val="20"/>
              </w:rPr>
              <w:t>, p</w:t>
            </w:r>
            <w:r w:rsidR="00187A5F" w:rsidRPr="00A15303">
              <w:rPr>
                <w:rFonts w:cs="Calibri"/>
                <w:sz w:val="20"/>
                <w:szCs w:val="20"/>
              </w:rPr>
              <w:t>repar</w:t>
            </w:r>
            <w:r w:rsidRPr="00A15303">
              <w:rPr>
                <w:rFonts w:cs="Calibri"/>
                <w:sz w:val="20"/>
                <w:szCs w:val="20"/>
              </w:rPr>
              <w:t>ation</w:t>
            </w:r>
            <w:r w:rsidR="0094102D" w:rsidRPr="00A15303">
              <w:rPr>
                <w:rFonts w:cs="Calibri"/>
                <w:sz w:val="20"/>
                <w:szCs w:val="20"/>
              </w:rPr>
              <w:t>,</w:t>
            </w:r>
            <w:r w:rsidR="00187A5F" w:rsidRPr="00A15303">
              <w:rPr>
                <w:rFonts w:cs="Calibri"/>
                <w:sz w:val="20"/>
                <w:szCs w:val="20"/>
              </w:rPr>
              <w:t xml:space="preserve"> </w:t>
            </w:r>
            <w:r w:rsidRPr="00A15303">
              <w:rPr>
                <w:rFonts w:cs="Calibri"/>
                <w:sz w:val="20"/>
                <w:szCs w:val="20"/>
              </w:rPr>
              <w:t>administration</w:t>
            </w:r>
            <w:r w:rsidR="00187A5F" w:rsidRPr="00A15303">
              <w:rPr>
                <w:rFonts w:cs="Calibri"/>
                <w:sz w:val="20"/>
                <w:szCs w:val="20"/>
              </w:rPr>
              <w:t xml:space="preserve"> (including recruitment, incentive costs, data collection, and documentation)</w:t>
            </w:r>
            <w:r w:rsidRPr="00A15303">
              <w:rPr>
                <w:rFonts w:cs="Calibri"/>
                <w:sz w:val="20"/>
                <w:szCs w:val="20"/>
              </w:rPr>
              <w:t>,</w:t>
            </w:r>
            <w:r w:rsidR="00FB3527" w:rsidRPr="00A15303">
              <w:rPr>
                <w:rFonts w:cs="Calibri"/>
                <w:sz w:val="20"/>
                <w:szCs w:val="20"/>
              </w:rPr>
              <w:t xml:space="preserve"> </w:t>
            </w:r>
            <w:r w:rsidRPr="00A15303">
              <w:rPr>
                <w:rFonts w:cs="Calibri"/>
                <w:sz w:val="20"/>
                <w:szCs w:val="20"/>
              </w:rPr>
              <w:t>data analysis</w:t>
            </w:r>
            <w:r w:rsidR="00FB3527" w:rsidRPr="00A15303">
              <w:rPr>
                <w:rFonts w:cs="Calibri"/>
                <w:sz w:val="20"/>
                <w:szCs w:val="20"/>
              </w:rPr>
              <w:t>,</w:t>
            </w:r>
            <w:r w:rsidRPr="00A15303">
              <w:rPr>
                <w:rFonts w:cs="Calibri"/>
                <w:sz w:val="20"/>
                <w:szCs w:val="20"/>
              </w:rPr>
              <w:t xml:space="preserve"> and </w:t>
            </w:r>
            <w:r w:rsidR="006C1A60" w:rsidRPr="00A15303">
              <w:rPr>
                <w:rFonts w:cs="Calibri"/>
                <w:sz w:val="20"/>
                <w:szCs w:val="20"/>
              </w:rPr>
              <w:t xml:space="preserve">comprehensive </w:t>
            </w:r>
            <w:r w:rsidRPr="00A15303">
              <w:rPr>
                <w:rFonts w:cs="Calibri"/>
                <w:sz w:val="20"/>
                <w:szCs w:val="20"/>
              </w:rPr>
              <w:t>report</w:t>
            </w:r>
          </w:p>
        </w:tc>
        <w:tc>
          <w:tcPr>
            <w:tcW w:w="713" w:type="pct"/>
            <w:vAlign w:val="center"/>
          </w:tcPr>
          <w:p w14:paraId="5FCA235F" w14:textId="7557A380" w:rsidR="00D26532" w:rsidRPr="00A15303" w:rsidRDefault="00767EF6" w:rsidP="003C1EA1">
            <w:pPr>
              <w:pStyle w:val="tabletext"/>
              <w:keepNext/>
              <w:keepLines/>
              <w:jc w:val="center"/>
              <w:rPr>
                <w:rFonts w:cs="Calibri"/>
                <w:sz w:val="20"/>
                <w:szCs w:val="20"/>
              </w:rPr>
            </w:pPr>
            <w:r w:rsidRPr="00A15303">
              <w:rPr>
                <w:rFonts w:cs="Calibri"/>
                <w:sz w:val="20"/>
                <w:szCs w:val="20"/>
              </w:rPr>
              <w:t>Tribal Tech</w:t>
            </w:r>
            <w:r w:rsidR="0058214C">
              <w:rPr>
                <w:rFonts w:cs="Calibri"/>
                <w:sz w:val="20"/>
                <w:szCs w:val="20"/>
              </w:rPr>
              <w:t>, LLC</w:t>
            </w:r>
          </w:p>
        </w:tc>
        <w:tc>
          <w:tcPr>
            <w:tcW w:w="755" w:type="pct"/>
            <w:vAlign w:val="center"/>
          </w:tcPr>
          <w:p w14:paraId="68BBEAA5" w14:textId="3DBC4423" w:rsidR="00D26532" w:rsidRPr="00A15303" w:rsidRDefault="00187A5F" w:rsidP="0075403D">
            <w:pPr>
              <w:pStyle w:val="tabletext"/>
              <w:keepNext/>
              <w:keepLines/>
              <w:ind w:right="252"/>
              <w:jc w:val="right"/>
              <w:rPr>
                <w:rFonts w:cs="Calibri"/>
                <w:sz w:val="20"/>
                <w:szCs w:val="20"/>
              </w:rPr>
            </w:pPr>
            <w:r w:rsidRPr="00A15303">
              <w:rPr>
                <w:rFonts w:cs="Calibri"/>
                <w:sz w:val="20"/>
                <w:szCs w:val="20"/>
              </w:rPr>
              <w:t>$</w:t>
            </w:r>
            <w:r w:rsidR="00DB4E00" w:rsidRPr="00A15303">
              <w:rPr>
                <w:rFonts w:cs="Calibri"/>
                <w:sz w:val="20"/>
                <w:szCs w:val="20"/>
              </w:rPr>
              <w:t>13,659</w:t>
            </w:r>
          </w:p>
        </w:tc>
      </w:tr>
      <w:tr w:rsidR="003C1EA1" w:rsidRPr="004B1CC7" w14:paraId="3F6359BE" w14:textId="77777777" w:rsidTr="00B8198B">
        <w:trPr>
          <w:trHeight w:val="144"/>
        </w:trPr>
        <w:tc>
          <w:tcPr>
            <w:tcW w:w="3532" w:type="pct"/>
            <w:shd w:val="clear" w:color="auto" w:fill="D9D9D9" w:themeFill="background1" w:themeFillShade="D9"/>
            <w:vAlign w:val="center"/>
          </w:tcPr>
          <w:p w14:paraId="1D95F5CA" w14:textId="77777777" w:rsidR="00787B27" w:rsidRPr="00A15303" w:rsidRDefault="00787B27" w:rsidP="003F6675">
            <w:pPr>
              <w:pStyle w:val="tabletext"/>
              <w:keepNext/>
              <w:keepLines/>
              <w:rPr>
                <w:rFonts w:cs="Calibri"/>
                <w:b/>
                <w:sz w:val="20"/>
                <w:szCs w:val="20"/>
              </w:rPr>
            </w:pPr>
            <w:r w:rsidRPr="00A15303">
              <w:rPr>
                <w:rFonts w:cs="Calibri"/>
                <w:b/>
                <w:sz w:val="20"/>
                <w:szCs w:val="20"/>
              </w:rPr>
              <w:t>Total</w:t>
            </w:r>
          </w:p>
        </w:tc>
        <w:tc>
          <w:tcPr>
            <w:tcW w:w="713" w:type="pct"/>
            <w:shd w:val="clear" w:color="auto" w:fill="D9D9D9" w:themeFill="background1" w:themeFillShade="D9"/>
            <w:vAlign w:val="center"/>
          </w:tcPr>
          <w:p w14:paraId="1D030DA4" w14:textId="77777777" w:rsidR="00787B27" w:rsidRPr="00A15303" w:rsidRDefault="00787B27" w:rsidP="003F6675">
            <w:pPr>
              <w:pStyle w:val="tabletext"/>
              <w:keepNext/>
              <w:keepLines/>
              <w:rPr>
                <w:rFonts w:cs="Calibri"/>
                <w:b/>
                <w:sz w:val="20"/>
                <w:szCs w:val="20"/>
              </w:rPr>
            </w:pPr>
          </w:p>
        </w:tc>
        <w:tc>
          <w:tcPr>
            <w:tcW w:w="755" w:type="pct"/>
            <w:shd w:val="clear" w:color="auto" w:fill="D9D9D9" w:themeFill="background1" w:themeFillShade="D9"/>
            <w:vAlign w:val="center"/>
          </w:tcPr>
          <w:p w14:paraId="192F1C74" w14:textId="7A8EBBC4" w:rsidR="00787B27" w:rsidRPr="00A15303" w:rsidRDefault="00787B27" w:rsidP="0075403D">
            <w:pPr>
              <w:pStyle w:val="tabletext"/>
              <w:keepNext/>
              <w:keepLines/>
              <w:ind w:right="252"/>
              <w:jc w:val="right"/>
              <w:rPr>
                <w:rFonts w:cs="Calibri"/>
                <w:b/>
                <w:sz w:val="20"/>
                <w:szCs w:val="20"/>
              </w:rPr>
            </w:pPr>
            <w:r w:rsidRPr="00A15303">
              <w:rPr>
                <w:rFonts w:cs="Calibri"/>
                <w:b/>
                <w:sz w:val="20"/>
                <w:szCs w:val="20"/>
              </w:rPr>
              <w:t>$</w:t>
            </w:r>
            <w:r w:rsidR="00341DEE" w:rsidRPr="00A15303">
              <w:rPr>
                <w:rFonts w:cs="Calibri"/>
                <w:b/>
                <w:sz w:val="20"/>
                <w:szCs w:val="20"/>
              </w:rPr>
              <w:t>13,659</w:t>
            </w:r>
          </w:p>
        </w:tc>
      </w:tr>
    </w:tbl>
    <w:p w14:paraId="4197D4FA" w14:textId="77777777" w:rsidR="00D26532" w:rsidRPr="00494774" w:rsidRDefault="00D26532" w:rsidP="00D0603A">
      <w:pPr>
        <w:pStyle w:val="Heading1"/>
        <w:numPr>
          <w:ilvl w:val="0"/>
          <w:numId w:val="17"/>
        </w:numPr>
        <w:spacing w:before="120" w:after="120" w:line="240" w:lineRule="auto"/>
        <w:ind w:left="446"/>
        <w:rPr>
          <w:rFonts w:asciiTheme="minorHAnsi" w:hAnsiTheme="minorHAnsi"/>
          <w:color w:val="1F497D" w:themeColor="text2"/>
          <w:sz w:val="28"/>
          <w:szCs w:val="28"/>
        </w:rPr>
      </w:pPr>
      <w:bookmarkStart w:id="36" w:name="_Toc374681261"/>
      <w:bookmarkStart w:id="37" w:name="_Toc485718786"/>
      <w:bookmarkStart w:id="38" w:name="_Toc5002108"/>
      <w:r w:rsidRPr="00494774">
        <w:rPr>
          <w:rFonts w:asciiTheme="minorHAnsi" w:hAnsiTheme="minorHAnsi"/>
          <w:color w:val="1F497D" w:themeColor="text2"/>
          <w:sz w:val="28"/>
          <w:szCs w:val="28"/>
        </w:rPr>
        <w:t>Schedule</w:t>
      </w:r>
      <w:bookmarkEnd w:id="36"/>
      <w:bookmarkEnd w:id="37"/>
      <w:bookmarkEnd w:id="38"/>
    </w:p>
    <w:p w14:paraId="05515124" w14:textId="77777777" w:rsidR="00F74B14" w:rsidRDefault="00D26532" w:rsidP="00BC4DB3">
      <w:pPr>
        <w:pStyle w:val="ColorfulList-Accent11"/>
        <w:shd w:val="clear" w:color="auto" w:fill="FFFFFF" w:themeFill="background1"/>
        <w:spacing w:after="120" w:line="240" w:lineRule="auto"/>
        <w:ind w:left="0"/>
        <w:contextualSpacing w:val="0"/>
        <w:rPr>
          <w:rFonts w:cs="Calibri"/>
        </w:rPr>
      </w:pPr>
      <w:r w:rsidRPr="00911193">
        <w:rPr>
          <w:rFonts w:cs="Calibri"/>
        </w:rPr>
        <w:t xml:space="preserve">Table </w:t>
      </w:r>
      <w:r w:rsidR="00E82329" w:rsidRPr="00911193">
        <w:rPr>
          <w:rFonts w:cs="Calibri"/>
        </w:rPr>
        <w:t>3</w:t>
      </w:r>
      <w:r w:rsidRPr="00911193">
        <w:rPr>
          <w:rFonts w:cs="Calibri"/>
          <w:shd w:val="clear" w:color="auto" w:fill="FFFFFF"/>
        </w:rPr>
        <w:t xml:space="preserve"> </w:t>
      </w:r>
      <w:r w:rsidRPr="00911193">
        <w:rPr>
          <w:rFonts w:cs="Calibri"/>
        </w:rPr>
        <w:t xml:space="preserve">depicts the </w:t>
      </w:r>
      <w:r w:rsidR="003C1EA1" w:rsidRPr="00911193">
        <w:rPr>
          <w:rFonts w:cs="Calibri"/>
        </w:rPr>
        <w:t>start and end dates of</w:t>
      </w:r>
      <w:r w:rsidRPr="00911193">
        <w:rPr>
          <w:rFonts w:cs="Calibri"/>
        </w:rPr>
        <w:t xml:space="preserve"> the focus group </w:t>
      </w:r>
      <w:r w:rsidR="001604EB" w:rsidRPr="00911193">
        <w:rPr>
          <w:rFonts w:cs="Calibri"/>
        </w:rPr>
        <w:t>phases</w:t>
      </w:r>
      <w:r w:rsidRPr="00911193">
        <w:rPr>
          <w:rFonts w:cs="Calibri"/>
        </w:rPr>
        <w:t>.</w:t>
      </w:r>
    </w:p>
    <w:p w14:paraId="51048269" w14:textId="0947E313" w:rsidR="00D26532" w:rsidRPr="00BC4DB3" w:rsidRDefault="00D26532" w:rsidP="00BC4DB3">
      <w:pPr>
        <w:pStyle w:val="ColorfulList-Accent11"/>
        <w:keepNext/>
        <w:keepLines/>
        <w:shd w:val="clear" w:color="auto" w:fill="FFFFFF" w:themeFill="background1"/>
        <w:spacing w:after="0" w:line="240" w:lineRule="auto"/>
        <w:ind w:left="0"/>
        <w:contextualSpacing w:val="0"/>
        <w:rPr>
          <w:rFonts w:cs="Calibri"/>
          <w:b/>
        </w:rPr>
      </w:pPr>
      <w:r w:rsidRPr="00BC4DB3">
        <w:rPr>
          <w:rFonts w:cs="Calibri"/>
          <w:b/>
        </w:rPr>
        <w:t xml:space="preserve">Table </w:t>
      </w:r>
      <w:r w:rsidR="00E82329" w:rsidRPr="00BC4DB3">
        <w:rPr>
          <w:rFonts w:cs="Calibri"/>
          <w:b/>
        </w:rPr>
        <w:t>3</w:t>
      </w:r>
      <w:r w:rsidRPr="00BC4DB3">
        <w:rPr>
          <w:rFonts w:cs="Calibri"/>
          <w:b/>
          <w:shd w:val="clear" w:color="auto" w:fill="FFFFFF"/>
        </w:rPr>
        <w:t xml:space="preserve">. </w:t>
      </w:r>
      <w:r w:rsidRPr="00BC4DB3">
        <w:rPr>
          <w:rFonts w:cs="Calibri"/>
          <w:b/>
        </w:rPr>
        <w:t>High</w:t>
      </w:r>
      <w:r w:rsidR="00AB69AA" w:rsidRPr="00BC4DB3">
        <w:rPr>
          <w:rFonts w:cs="Calibri"/>
          <w:b/>
        </w:rPr>
        <w:t>-</w:t>
      </w:r>
      <w:r w:rsidRPr="00BC4DB3">
        <w:rPr>
          <w:rFonts w:cs="Calibri"/>
          <w:b/>
        </w:rPr>
        <w:t>Level Schedule of Milestones</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9"/>
        <w:gridCol w:w="3890"/>
      </w:tblGrid>
      <w:tr w:rsidR="00825A15" w:rsidRPr="004B1CC7" w14:paraId="614C5FE8" w14:textId="77777777" w:rsidTr="00CD33CF">
        <w:trPr>
          <w:trHeight w:val="144"/>
        </w:trPr>
        <w:tc>
          <w:tcPr>
            <w:tcW w:w="3199" w:type="pct"/>
            <w:shd w:val="clear" w:color="auto" w:fill="F2F2F2" w:themeFill="background1" w:themeFillShade="F2"/>
            <w:vAlign w:val="center"/>
          </w:tcPr>
          <w:p w14:paraId="350BD29B" w14:textId="77777777" w:rsidR="00825A15" w:rsidRPr="00586EDD" w:rsidRDefault="00825A15" w:rsidP="00825A15">
            <w:pPr>
              <w:pStyle w:val="tabletext"/>
              <w:keepNext/>
              <w:keepLines/>
              <w:rPr>
                <w:rFonts w:cs="Calibri"/>
                <w:b/>
              </w:rPr>
            </w:pPr>
            <w:r w:rsidRPr="00586EDD">
              <w:rPr>
                <w:rFonts w:cs="Calibri"/>
                <w:b/>
              </w:rPr>
              <w:t>Activity</w:t>
            </w:r>
          </w:p>
        </w:tc>
        <w:tc>
          <w:tcPr>
            <w:tcW w:w="1801" w:type="pct"/>
            <w:shd w:val="clear" w:color="auto" w:fill="F2F2F2" w:themeFill="background1" w:themeFillShade="F2"/>
            <w:vAlign w:val="center"/>
          </w:tcPr>
          <w:p w14:paraId="219B63B2" w14:textId="77777777" w:rsidR="00825A15" w:rsidRPr="00825A15" w:rsidRDefault="00825A15" w:rsidP="00825A15">
            <w:pPr>
              <w:pStyle w:val="tabletext"/>
              <w:keepNext/>
              <w:keepLines/>
              <w:rPr>
                <w:rFonts w:cs="Calibri"/>
                <w:b/>
              </w:rPr>
            </w:pPr>
            <w:r w:rsidRPr="00825A15">
              <w:rPr>
                <w:b/>
              </w:rPr>
              <w:t>Dates</w:t>
            </w:r>
          </w:p>
        </w:tc>
      </w:tr>
      <w:tr w:rsidR="00825A15" w:rsidRPr="004B1CC7" w14:paraId="654BB706" w14:textId="77777777" w:rsidTr="00CD33CF">
        <w:trPr>
          <w:trHeight w:val="144"/>
        </w:trPr>
        <w:tc>
          <w:tcPr>
            <w:tcW w:w="3199" w:type="pct"/>
            <w:vAlign w:val="center"/>
          </w:tcPr>
          <w:p w14:paraId="4A08229E" w14:textId="6AFD2CCA" w:rsidR="00825A15" w:rsidRPr="00911193" w:rsidRDefault="001604EB" w:rsidP="00825A15">
            <w:pPr>
              <w:pStyle w:val="tabletext"/>
              <w:keepNext/>
              <w:keepLines/>
              <w:rPr>
                <w:rFonts w:cs="Calibri"/>
              </w:rPr>
            </w:pPr>
            <w:r w:rsidRPr="00911193">
              <w:rPr>
                <w:rFonts w:cs="Calibri"/>
              </w:rPr>
              <w:t xml:space="preserve">Recruitment and </w:t>
            </w:r>
            <w:r w:rsidR="00825A15" w:rsidRPr="00911193">
              <w:rPr>
                <w:rFonts w:cs="Calibri"/>
              </w:rPr>
              <w:t>administration of focus group</w:t>
            </w:r>
          </w:p>
        </w:tc>
        <w:tc>
          <w:tcPr>
            <w:tcW w:w="1801" w:type="pct"/>
            <w:vAlign w:val="center"/>
          </w:tcPr>
          <w:p w14:paraId="3524F159" w14:textId="1010BF76" w:rsidR="00825A15" w:rsidRPr="007D205E" w:rsidRDefault="009409EA" w:rsidP="00DA7AC7">
            <w:pPr>
              <w:pStyle w:val="tabletext"/>
              <w:keepNext/>
              <w:keepLines/>
              <w:rPr>
                <w:rFonts w:cs="Calibri"/>
              </w:rPr>
            </w:pPr>
            <w:r w:rsidRPr="007D205E">
              <w:t>May</w:t>
            </w:r>
            <w:r w:rsidR="0080425A" w:rsidRPr="007D205E">
              <w:t xml:space="preserve"> </w:t>
            </w:r>
            <w:r w:rsidR="00DA7AC7" w:rsidRPr="007D205E">
              <w:t>201</w:t>
            </w:r>
            <w:r w:rsidR="0080425A" w:rsidRPr="007D205E">
              <w:t>9</w:t>
            </w:r>
            <w:r w:rsidR="000A1E8B" w:rsidRPr="007D205E">
              <w:t xml:space="preserve"> </w:t>
            </w:r>
            <w:r w:rsidR="00DA7AC7" w:rsidRPr="007D205E">
              <w:t>-</w:t>
            </w:r>
            <w:r w:rsidRPr="007D205E">
              <w:t xml:space="preserve"> June</w:t>
            </w:r>
            <w:r w:rsidR="000B64C9" w:rsidRPr="007D205E">
              <w:t xml:space="preserve"> 201</w:t>
            </w:r>
            <w:r w:rsidR="0080425A" w:rsidRPr="007D205E">
              <w:t>9</w:t>
            </w:r>
          </w:p>
        </w:tc>
      </w:tr>
      <w:tr w:rsidR="00825A15" w:rsidRPr="004B1CC7" w14:paraId="61AF88A8" w14:textId="77777777" w:rsidTr="00CD33CF">
        <w:trPr>
          <w:trHeight w:val="144"/>
        </w:trPr>
        <w:tc>
          <w:tcPr>
            <w:tcW w:w="3199" w:type="pct"/>
            <w:vAlign w:val="center"/>
          </w:tcPr>
          <w:p w14:paraId="08417784" w14:textId="5DBFF366" w:rsidR="00825A15" w:rsidRPr="00911193" w:rsidRDefault="00CC211C" w:rsidP="00CC211C">
            <w:pPr>
              <w:pStyle w:val="tabletext"/>
              <w:keepNext/>
              <w:keepLines/>
              <w:rPr>
                <w:rFonts w:cs="Calibri"/>
              </w:rPr>
            </w:pPr>
            <w:r>
              <w:rPr>
                <w:rFonts w:cs="Calibri"/>
              </w:rPr>
              <w:t>S</w:t>
            </w:r>
            <w:r w:rsidR="00825A15" w:rsidRPr="00911193">
              <w:rPr>
                <w:rFonts w:cs="Calibri"/>
              </w:rPr>
              <w:t>tudy</w:t>
            </w:r>
            <w:r w:rsidR="00B75464" w:rsidRPr="00911193">
              <w:rPr>
                <w:rFonts w:cs="Calibri"/>
              </w:rPr>
              <w:t xml:space="preserve"> </w:t>
            </w:r>
            <w:r w:rsidR="00B73F62" w:rsidRPr="00911193">
              <w:rPr>
                <w:rFonts w:cs="Calibri"/>
              </w:rPr>
              <w:t>summary</w:t>
            </w:r>
            <w:r w:rsidR="006C1A60" w:rsidRPr="00911193">
              <w:rPr>
                <w:rFonts w:cs="Calibri"/>
              </w:rPr>
              <w:t xml:space="preserve"> </w:t>
            </w:r>
            <w:r>
              <w:rPr>
                <w:rFonts w:cs="Calibri"/>
              </w:rPr>
              <w:t>and recommendations report</w:t>
            </w:r>
          </w:p>
        </w:tc>
        <w:tc>
          <w:tcPr>
            <w:tcW w:w="1801" w:type="pct"/>
            <w:vAlign w:val="center"/>
          </w:tcPr>
          <w:p w14:paraId="5292B827" w14:textId="3CFDFC8B" w:rsidR="00825A15" w:rsidRPr="007D205E" w:rsidRDefault="0080425A" w:rsidP="00DA7AC7">
            <w:pPr>
              <w:pStyle w:val="tabletext"/>
              <w:keepNext/>
              <w:keepLines/>
              <w:rPr>
                <w:rFonts w:cs="Calibri"/>
              </w:rPr>
            </w:pPr>
            <w:r w:rsidRPr="007D205E">
              <w:t>June</w:t>
            </w:r>
            <w:r w:rsidR="007F6088" w:rsidRPr="007D205E">
              <w:t xml:space="preserve"> 201</w:t>
            </w:r>
            <w:r w:rsidRPr="007D205E">
              <w:t>9</w:t>
            </w:r>
            <w:r w:rsidR="007F6088" w:rsidRPr="007D205E">
              <w:t xml:space="preserve"> </w:t>
            </w:r>
            <w:r w:rsidR="00DA7AC7" w:rsidRPr="007D205E">
              <w:t xml:space="preserve">- </w:t>
            </w:r>
            <w:r w:rsidRPr="007D205E">
              <w:t>July</w:t>
            </w:r>
            <w:r w:rsidR="00B75464" w:rsidRPr="007D205E">
              <w:t xml:space="preserve"> </w:t>
            </w:r>
            <w:r w:rsidR="000B64C9" w:rsidRPr="007D205E">
              <w:t>201</w:t>
            </w:r>
            <w:r w:rsidR="007F6088" w:rsidRPr="007D205E">
              <w:t>9</w:t>
            </w:r>
            <w:r w:rsidR="00825A15" w:rsidRPr="007D205E">
              <w:t xml:space="preserve"> </w:t>
            </w:r>
          </w:p>
        </w:tc>
      </w:tr>
      <w:tr w:rsidR="009409EA" w:rsidRPr="004B1CC7" w14:paraId="00993BDC" w14:textId="77777777" w:rsidTr="00CD33CF">
        <w:trPr>
          <w:trHeight w:val="144"/>
        </w:trPr>
        <w:tc>
          <w:tcPr>
            <w:tcW w:w="3199" w:type="pct"/>
            <w:vAlign w:val="center"/>
          </w:tcPr>
          <w:p w14:paraId="7427AB9F" w14:textId="15924EDE" w:rsidR="009409EA" w:rsidRDefault="00032343" w:rsidP="00032343">
            <w:pPr>
              <w:pStyle w:val="tabletext"/>
              <w:keepNext/>
              <w:keepLines/>
              <w:rPr>
                <w:rFonts w:cs="Calibri"/>
              </w:rPr>
            </w:pPr>
            <w:r>
              <w:rPr>
                <w:rFonts w:cs="Calibri"/>
              </w:rPr>
              <w:t>Finalize and p</w:t>
            </w:r>
            <w:r w:rsidR="009409EA">
              <w:rPr>
                <w:rFonts w:cs="Calibri"/>
              </w:rPr>
              <w:t xml:space="preserve">resent findings to the </w:t>
            </w:r>
            <w:r w:rsidR="00F84E92">
              <w:rPr>
                <w:rFonts w:cs="Calibri"/>
              </w:rPr>
              <w:t xml:space="preserve">NIES </w:t>
            </w:r>
            <w:r w:rsidR="009409EA">
              <w:rPr>
                <w:rFonts w:cs="Calibri"/>
              </w:rPr>
              <w:t>technical review panel</w:t>
            </w:r>
          </w:p>
        </w:tc>
        <w:tc>
          <w:tcPr>
            <w:tcW w:w="1801" w:type="pct"/>
            <w:vAlign w:val="center"/>
          </w:tcPr>
          <w:p w14:paraId="30EFF510" w14:textId="2F4DE96D" w:rsidR="009409EA" w:rsidRPr="007D205E" w:rsidRDefault="009409EA" w:rsidP="00DA7AC7">
            <w:pPr>
              <w:pStyle w:val="tabletext"/>
              <w:keepNext/>
              <w:keepLines/>
            </w:pPr>
            <w:r w:rsidRPr="007D205E">
              <w:t>July</w:t>
            </w:r>
            <w:r w:rsidR="003C1F2A">
              <w:t xml:space="preserve"> 2019</w:t>
            </w:r>
            <w:r w:rsidR="00DB4E00">
              <w:t xml:space="preserve"> - August</w:t>
            </w:r>
            <w:r w:rsidRPr="007D205E">
              <w:t xml:space="preserve"> 2019</w:t>
            </w:r>
          </w:p>
        </w:tc>
      </w:tr>
    </w:tbl>
    <w:p w14:paraId="261A82BA" w14:textId="77777777" w:rsidR="00D26532" w:rsidRDefault="00D26532"/>
    <w:sectPr w:rsidR="00D26532" w:rsidSect="00696FE6">
      <w:footerReference w:type="default" r:id="rId13"/>
      <w:pgSz w:w="12240" w:h="15840" w:code="1"/>
      <w:pgMar w:top="864" w:right="864" w:bottom="446"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C93D6" w14:textId="77777777" w:rsidR="006E0290" w:rsidRPr="00C9425B" w:rsidRDefault="006E0290" w:rsidP="00D26532">
      <w:pPr>
        <w:spacing w:after="0" w:line="240" w:lineRule="auto"/>
      </w:pPr>
      <w:r>
        <w:separator/>
      </w:r>
    </w:p>
  </w:endnote>
  <w:endnote w:type="continuationSeparator" w:id="0">
    <w:p w14:paraId="48B86F49" w14:textId="77777777" w:rsidR="006E0290" w:rsidRPr="00C9425B" w:rsidRDefault="006E0290" w:rsidP="00D26532">
      <w:pPr>
        <w:spacing w:after="0" w:line="240" w:lineRule="auto"/>
      </w:pPr>
      <w:r>
        <w:continuationSeparator/>
      </w:r>
    </w:p>
  </w:endnote>
  <w:endnote w:type="continuationNotice" w:id="1">
    <w:p w14:paraId="0BF38153" w14:textId="77777777" w:rsidR="006E0290" w:rsidRDefault="006E0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umpMediaevalLTStd-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651802"/>
      <w:docPartObj>
        <w:docPartGallery w:val="Page Numbers (Bottom of Page)"/>
        <w:docPartUnique/>
      </w:docPartObj>
    </w:sdtPr>
    <w:sdtEndPr>
      <w:rPr>
        <w:noProof/>
      </w:rPr>
    </w:sdtEndPr>
    <w:sdtContent>
      <w:p w14:paraId="7C98F7FE" w14:textId="5271CFD3" w:rsidR="00754DDD" w:rsidRPr="004C74A2" w:rsidRDefault="00B52D0E" w:rsidP="00AD2210">
        <w:pPr>
          <w:pStyle w:val="Footer"/>
          <w:jc w:val="center"/>
        </w:pPr>
        <w:r>
          <w:fldChar w:fldCharType="begin"/>
        </w:r>
        <w:r>
          <w:instrText xml:space="preserve"> PAGE   \* MERGEFORMAT </w:instrText>
        </w:r>
        <w:r>
          <w:fldChar w:fldCharType="separate"/>
        </w:r>
        <w:r w:rsidR="00C728D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788DA" w14:textId="77777777" w:rsidR="006E0290" w:rsidRPr="00C9425B" w:rsidRDefault="006E0290" w:rsidP="00D26532">
      <w:pPr>
        <w:spacing w:after="0" w:line="240" w:lineRule="auto"/>
      </w:pPr>
      <w:r>
        <w:separator/>
      </w:r>
    </w:p>
  </w:footnote>
  <w:footnote w:type="continuationSeparator" w:id="0">
    <w:p w14:paraId="425D8683" w14:textId="77777777" w:rsidR="006E0290" w:rsidRPr="00C9425B" w:rsidRDefault="006E0290" w:rsidP="00D26532">
      <w:pPr>
        <w:spacing w:after="0" w:line="240" w:lineRule="auto"/>
      </w:pPr>
      <w:r>
        <w:continuationSeparator/>
      </w:r>
    </w:p>
  </w:footnote>
  <w:footnote w:type="continuationNotice" w:id="1">
    <w:p w14:paraId="6843613F" w14:textId="77777777" w:rsidR="006E0290" w:rsidRDefault="006E02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C49"/>
    <w:multiLevelType w:val="hybridMultilevel"/>
    <w:tmpl w:val="40461BFA"/>
    <w:lvl w:ilvl="0" w:tplc="892E2002">
      <w:start w:val="1"/>
      <w:numFmt w:val="bullet"/>
      <w:lvlText w:val="•"/>
      <w:lvlJc w:val="left"/>
      <w:pPr>
        <w:tabs>
          <w:tab w:val="num" w:pos="720"/>
        </w:tabs>
        <w:ind w:left="720" w:hanging="360"/>
      </w:pPr>
      <w:rPr>
        <w:rFonts w:ascii="Arial" w:hAnsi="Arial" w:hint="default"/>
      </w:rPr>
    </w:lvl>
    <w:lvl w:ilvl="1" w:tplc="5EA41718" w:tentative="1">
      <w:start w:val="1"/>
      <w:numFmt w:val="bullet"/>
      <w:lvlText w:val="•"/>
      <w:lvlJc w:val="left"/>
      <w:pPr>
        <w:tabs>
          <w:tab w:val="num" w:pos="1440"/>
        </w:tabs>
        <w:ind w:left="1440" w:hanging="360"/>
      </w:pPr>
      <w:rPr>
        <w:rFonts w:ascii="Arial" w:hAnsi="Arial" w:hint="default"/>
      </w:rPr>
    </w:lvl>
    <w:lvl w:ilvl="2" w:tplc="6D68AD74" w:tentative="1">
      <w:start w:val="1"/>
      <w:numFmt w:val="bullet"/>
      <w:lvlText w:val="•"/>
      <w:lvlJc w:val="left"/>
      <w:pPr>
        <w:tabs>
          <w:tab w:val="num" w:pos="2160"/>
        </w:tabs>
        <w:ind w:left="2160" w:hanging="360"/>
      </w:pPr>
      <w:rPr>
        <w:rFonts w:ascii="Arial" w:hAnsi="Arial" w:hint="default"/>
      </w:rPr>
    </w:lvl>
    <w:lvl w:ilvl="3" w:tplc="E5D49CDC" w:tentative="1">
      <w:start w:val="1"/>
      <w:numFmt w:val="bullet"/>
      <w:lvlText w:val="•"/>
      <w:lvlJc w:val="left"/>
      <w:pPr>
        <w:tabs>
          <w:tab w:val="num" w:pos="2880"/>
        </w:tabs>
        <w:ind w:left="2880" w:hanging="360"/>
      </w:pPr>
      <w:rPr>
        <w:rFonts w:ascii="Arial" w:hAnsi="Arial" w:hint="default"/>
      </w:rPr>
    </w:lvl>
    <w:lvl w:ilvl="4" w:tplc="20E0755A" w:tentative="1">
      <w:start w:val="1"/>
      <w:numFmt w:val="bullet"/>
      <w:lvlText w:val="•"/>
      <w:lvlJc w:val="left"/>
      <w:pPr>
        <w:tabs>
          <w:tab w:val="num" w:pos="3600"/>
        </w:tabs>
        <w:ind w:left="3600" w:hanging="360"/>
      </w:pPr>
      <w:rPr>
        <w:rFonts w:ascii="Arial" w:hAnsi="Arial" w:hint="default"/>
      </w:rPr>
    </w:lvl>
    <w:lvl w:ilvl="5" w:tplc="6D445274" w:tentative="1">
      <w:start w:val="1"/>
      <w:numFmt w:val="bullet"/>
      <w:lvlText w:val="•"/>
      <w:lvlJc w:val="left"/>
      <w:pPr>
        <w:tabs>
          <w:tab w:val="num" w:pos="4320"/>
        </w:tabs>
        <w:ind w:left="4320" w:hanging="360"/>
      </w:pPr>
      <w:rPr>
        <w:rFonts w:ascii="Arial" w:hAnsi="Arial" w:hint="default"/>
      </w:rPr>
    </w:lvl>
    <w:lvl w:ilvl="6" w:tplc="8EE45160" w:tentative="1">
      <w:start w:val="1"/>
      <w:numFmt w:val="bullet"/>
      <w:lvlText w:val="•"/>
      <w:lvlJc w:val="left"/>
      <w:pPr>
        <w:tabs>
          <w:tab w:val="num" w:pos="5040"/>
        </w:tabs>
        <w:ind w:left="5040" w:hanging="360"/>
      </w:pPr>
      <w:rPr>
        <w:rFonts w:ascii="Arial" w:hAnsi="Arial" w:hint="default"/>
      </w:rPr>
    </w:lvl>
    <w:lvl w:ilvl="7" w:tplc="2D7C4A9A" w:tentative="1">
      <w:start w:val="1"/>
      <w:numFmt w:val="bullet"/>
      <w:lvlText w:val="•"/>
      <w:lvlJc w:val="left"/>
      <w:pPr>
        <w:tabs>
          <w:tab w:val="num" w:pos="5760"/>
        </w:tabs>
        <w:ind w:left="5760" w:hanging="360"/>
      </w:pPr>
      <w:rPr>
        <w:rFonts w:ascii="Arial" w:hAnsi="Arial" w:hint="default"/>
      </w:rPr>
    </w:lvl>
    <w:lvl w:ilvl="8" w:tplc="8376AF8E" w:tentative="1">
      <w:start w:val="1"/>
      <w:numFmt w:val="bullet"/>
      <w:lvlText w:val="•"/>
      <w:lvlJc w:val="left"/>
      <w:pPr>
        <w:tabs>
          <w:tab w:val="num" w:pos="6480"/>
        </w:tabs>
        <w:ind w:left="6480" w:hanging="360"/>
      </w:pPr>
      <w:rPr>
        <w:rFonts w:ascii="Arial" w:hAnsi="Arial" w:hint="default"/>
      </w:rPr>
    </w:lvl>
  </w:abstractNum>
  <w:abstractNum w:abstractNumId="1">
    <w:nsid w:val="023B3E48"/>
    <w:multiLevelType w:val="hybridMultilevel"/>
    <w:tmpl w:val="118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B0079"/>
    <w:multiLevelType w:val="multilevel"/>
    <w:tmpl w:val="96FA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C83946"/>
    <w:multiLevelType w:val="hybridMultilevel"/>
    <w:tmpl w:val="206053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D6ABA"/>
    <w:multiLevelType w:val="hybridMultilevel"/>
    <w:tmpl w:val="8E34FEBA"/>
    <w:lvl w:ilvl="0" w:tplc="CB9EFC24">
      <w:start w:val="1"/>
      <w:numFmt w:val="decimal"/>
      <w:pStyle w:val="Bullet"/>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90BF7"/>
    <w:multiLevelType w:val="hybridMultilevel"/>
    <w:tmpl w:val="76B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A5E56"/>
    <w:multiLevelType w:val="hybridMultilevel"/>
    <w:tmpl w:val="1B5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A7D13"/>
    <w:multiLevelType w:val="hybridMultilevel"/>
    <w:tmpl w:val="B3AE9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350E84"/>
    <w:multiLevelType w:val="hybridMultilevel"/>
    <w:tmpl w:val="20BC409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1181456"/>
    <w:multiLevelType w:val="hybridMultilevel"/>
    <w:tmpl w:val="486A9DD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1304C89"/>
    <w:multiLevelType w:val="hybridMultilevel"/>
    <w:tmpl w:val="E0F6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F5A75"/>
    <w:multiLevelType w:val="hybridMultilevel"/>
    <w:tmpl w:val="2BCA7364"/>
    <w:lvl w:ilvl="0" w:tplc="9D8EF6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D4DD0"/>
    <w:multiLevelType w:val="hybridMultilevel"/>
    <w:tmpl w:val="B3AE9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8E272B4"/>
    <w:multiLevelType w:val="hybridMultilevel"/>
    <w:tmpl w:val="7E30843E"/>
    <w:lvl w:ilvl="0" w:tplc="254E883A">
      <w:start w:val="1"/>
      <w:numFmt w:val="decimal"/>
      <w:lvlText w:val="%1)"/>
      <w:lvlJc w:val="left"/>
      <w:pPr>
        <w:ind w:left="720" w:hanging="360"/>
      </w:pPr>
      <w:rPr>
        <w:rFonts w:ascii="Calibri" w:hAnsi="Calibri" w:cs="TrumpMediaevalLTStd-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F636B"/>
    <w:multiLevelType w:val="hybridMultilevel"/>
    <w:tmpl w:val="A15CC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3F3C57"/>
    <w:multiLevelType w:val="hybridMultilevel"/>
    <w:tmpl w:val="4EC2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E375B"/>
    <w:multiLevelType w:val="hybridMultilevel"/>
    <w:tmpl w:val="2624A15A"/>
    <w:lvl w:ilvl="0" w:tplc="44CEE2EC">
      <w:start w:val="1"/>
      <w:numFmt w:val="decimal"/>
      <w:lvlText w:val="%1)"/>
      <w:lvlJc w:val="left"/>
      <w:pPr>
        <w:ind w:left="450" w:hanging="360"/>
      </w:pPr>
      <w:rPr>
        <w:rFonts w:asciiTheme="minorHAnsi" w:hAnsiTheme="minorHAnsi" w:hint="default"/>
        <w:color w:val="1F497D" w:themeColor="text2"/>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7DC0210"/>
    <w:multiLevelType w:val="hybridMultilevel"/>
    <w:tmpl w:val="8ED4D09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48FA7225"/>
    <w:multiLevelType w:val="multilevel"/>
    <w:tmpl w:val="AAD2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E957960"/>
    <w:multiLevelType w:val="hybridMultilevel"/>
    <w:tmpl w:val="4F06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EF6404"/>
    <w:multiLevelType w:val="hybridMultilevel"/>
    <w:tmpl w:val="56BE4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0253496"/>
    <w:multiLevelType w:val="hybridMultilevel"/>
    <w:tmpl w:val="546C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EE3A65"/>
    <w:multiLevelType w:val="hybridMultilevel"/>
    <w:tmpl w:val="E9F615BE"/>
    <w:lvl w:ilvl="0" w:tplc="6B12FF24">
      <w:start w:val="1"/>
      <w:numFmt w:val="bullet"/>
      <w:lvlText w:val="•"/>
      <w:lvlJc w:val="left"/>
      <w:pPr>
        <w:tabs>
          <w:tab w:val="num" w:pos="720"/>
        </w:tabs>
        <w:ind w:left="720" w:hanging="360"/>
      </w:pPr>
      <w:rPr>
        <w:rFonts w:ascii="Arial" w:hAnsi="Arial" w:hint="default"/>
      </w:rPr>
    </w:lvl>
    <w:lvl w:ilvl="1" w:tplc="D06E8D04" w:tentative="1">
      <w:start w:val="1"/>
      <w:numFmt w:val="bullet"/>
      <w:lvlText w:val="•"/>
      <w:lvlJc w:val="left"/>
      <w:pPr>
        <w:tabs>
          <w:tab w:val="num" w:pos="1440"/>
        </w:tabs>
        <w:ind w:left="1440" w:hanging="360"/>
      </w:pPr>
      <w:rPr>
        <w:rFonts w:ascii="Arial" w:hAnsi="Arial" w:hint="default"/>
      </w:rPr>
    </w:lvl>
    <w:lvl w:ilvl="2" w:tplc="7F0E9864" w:tentative="1">
      <w:start w:val="1"/>
      <w:numFmt w:val="bullet"/>
      <w:lvlText w:val="•"/>
      <w:lvlJc w:val="left"/>
      <w:pPr>
        <w:tabs>
          <w:tab w:val="num" w:pos="2160"/>
        </w:tabs>
        <w:ind w:left="2160" w:hanging="360"/>
      </w:pPr>
      <w:rPr>
        <w:rFonts w:ascii="Arial" w:hAnsi="Arial" w:hint="default"/>
      </w:rPr>
    </w:lvl>
    <w:lvl w:ilvl="3" w:tplc="C8E69870" w:tentative="1">
      <w:start w:val="1"/>
      <w:numFmt w:val="bullet"/>
      <w:lvlText w:val="•"/>
      <w:lvlJc w:val="left"/>
      <w:pPr>
        <w:tabs>
          <w:tab w:val="num" w:pos="2880"/>
        </w:tabs>
        <w:ind w:left="2880" w:hanging="360"/>
      </w:pPr>
      <w:rPr>
        <w:rFonts w:ascii="Arial" w:hAnsi="Arial" w:hint="default"/>
      </w:rPr>
    </w:lvl>
    <w:lvl w:ilvl="4" w:tplc="A9DE5038" w:tentative="1">
      <w:start w:val="1"/>
      <w:numFmt w:val="bullet"/>
      <w:lvlText w:val="•"/>
      <w:lvlJc w:val="left"/>
      <w:pPr>
        <w:tabs>
          <w:tab w:val="num" w:pos="3600"/>
        </w:tabs>
        <w:ind w:left="3600" w:hanging="360"/>
      </w:pPr>
      <w:rPr>
        <w:rFonts w:ascii="Arial" w:hAnsi="Arial" w:hint="default"/>
      </w:rPr>
    </w:lvl>
    <w:lvl w:ilvl="5" w:tplc="FABEEAD4" w:tentative="1">
      <w:start w:val="1"/>
      <w:numFmt w:val="bullet"/>
      <w:lvlText w:val="•"/>
      <w:lvlJc w:val="left"/>
      <w:pPr>
        <w:tabs>
          <w:tab w:val="num" w:pos="4320"/>
        </w:tabs>
        <w:ind w:left="4320" w:hanging="360"/>
      </w:pPr>
      <w:rPr>
        <w:rFonts w:ascii="Arial" w:hAnsi="Arial" w:hint="default"/>
      </w:rPr>
    </w:lvl>
    <w:lvl w:ilvl="6" w:tplc="4FFA9BF2" w:tentative="1">
      <w:start w:val="1"/>
      <w:numFmt w:val="bullet"/>
      <w:lvlText w:val="•"/>
      <w:lvlJc w:val="left"/>
      <w:pPr>
        <w:tabs>
          <w:tab w:val="num" w:pos="5040"/>
        </w:tabs>
        <w:ind w:left="5040" w:hanging="360"/>
      </w:pPr>
      <w:rPr>
        <w:rFonts w:ascii="Arial" w:hAnsi="Arial" w:hint="default"/>
      </w:rPr>
    </w:lvl>
    <w:lvl w:ilvl="7" w:tplc="44420908" w:tentative="1">
      <w:start w:val="1"/>
      <w:numFmt w:val="bullet"/>
      <w:lvlText w:val="•"/>
      <w:lvlJc w:val="left"/>
      <w:pPr>
        <w:tabs>
          <w:tab w:val="num" w:pos="5760"/>
        </w:tabs>
        <w:ind w:left="5760" w:hanging="360"/>
      </w:pPr>
      <w:rPr>
        <w:rFonts w:ascii="Arial" w:hAnsi="Arial" w:hint="default"/>
      </w:rPr>
    </w:lvl>
    <w:lvl w:ilvl="8" w:tplc="B490A984" w:tentative="1">
      <w:start w:val="1"/>
      <w:numFmt w:val="bullet"/>
      <w:lvlText w:val="•"/>
      <w:lvlJc w:val="left"/>
      <w:pPr>
        <w:tabs>
          <w:tab w:val="num" w:pos="6480"/>
        </w:tabs>
        <w:ind w:left="6480" w:hanging="360"/>
      </w:pPr>
      <w:rPr>
        <w:rFonts w:ascii="Arial" w:hAnsi="Arial" w:hint="default"/>
      </w:rPr>
    </w:lvl>
  </w:abstractNum>
  <w:abstractNum w:abstractNumId="23">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6AC423D1"/>
    <w:multiLevelType w:val="hybridMultilevel"/>
    <w:tmpl w:val="7C42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E212B92"/>
    <w:multiLevelType w:val="hybridMultilevel"/>
    <w:tmpl w:val="8B2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7543C7"/>
    <w:multiLevelType w:val="hybridMultilevel"/>
    <w:tmpl w:val="FD4601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FB64947"/>
    <w:multiLevelType w:val="hybridMultilevel"/>
    <w:tmpl w:val="F54628F0"/>
    <w:lvl w:ilvl="0" w:tplc="C53C288A">
      <w:start w:val="1"/>
      <w:numFmt w:val="bullet"/>
      <w:lvlText w:val="•"/>
      <w:lvlJc w:val="left"/>
      <w:pPr>
        <w:tabs>
          <w:tab w:val="num" w:pos="720"/>
        </w:tabs>
        <w:ind w:left="720" w:hanging="360"/>
      </w:pPr>
      <w:rPr>
        <w:rFonts w:ascii="Arial" w:hAnsi="Arial" w:hint="default"/>
      </w:rPr>
    </w:lvl>
    <w:lvl w:ilvl="1" w:tplc="C1C2D652" w:tentative="1">
      <w:start w:val="1"/>
      <w:numFmt w:val="bullet"/>
      <w:lvlText w:val="•"/>
      <w:lvlJc w:val="left"/>
      <w:pPr>
        <w:tabs>
          <w:tab w:val="num" w:pos="1440"/>
        </w:tabs>
        <w:ind w:left="1440" w:hanging="360"/>
      </w:pPr>
      <w:rPr>
        <w:rFonts w:ascii="Arial" w:hAnsi="Arial" w:hint="default"/>
      </w:rPr>
    </w:lvl>
    <w:lvl w:ilvl="2" w:tplc="7F8CADE6" w:tentative="1">
      <w:start w:val="1"/>
      <w:numFmt w:val="bullet"/>
      <w:lvlText w:val="•"/>
      <w:lvlJc w:val="left"/>
      <w:pPr>
        <w:tabs>
          <w:tab w:val="num" w:pos="2160"/>
        </w:tabs>
        <w:ind w:left="2160" w:hanging="360"/>
      </w:pPr>
      <w:rPr>
        <w:rFonts w:ascii="Arial" w:hAnsi="Arial" w:hint="default"/>
      </w:rPr>
    </w:lvl>
    <w:lvl w:ilvl="3" w:tplc="EC529578" w:tentative="1">
      <w:start w:val="1"/>
      <w:numFmt w:val="bullet"/>
      <w:lvlText w:val="•"/>
      <w:lvlJc w:val="left"/>
      <w:pPr>
        <w:tabs>
          <w:tab w:val="num" w:pos="2880"/>
        </w:tabs>
        <w:ind w:left="2880" w:hanging="360"/>
      </w:pPr>
      <w:rPr>
        <w:rFonts w:ascii="Arial" w:hAnsi="Arial" w:hint="default"/>
      </w:rPr>
    </w:lvl>
    <w:lvl w:ilvl="4" w:tplc="B9EC2AEE" w:tentative="1">
      <w:start w:val="1"/>
      <w:numFmt w:val="bullet"/>
      <w:lvlText w:val="•"/>
      <w:lvlJc w:val="left"/>
      <w:pPr>
        <w:tabs>
          <w:tab w:val="num" w:pos="3600"/>
        </w:tabs>
        <w:ind w:left="3600" w:hanging="360"/>
      </w:pPr>
      <w:rPr>
        <w:rFonts w:ascii="Arial" w:hAnsi="Arial" w:hint="default"/>
      </w:rPr>
    </w:lvl>
    <w:lvl w:ilvl="5" w:tplc="4F106CCC" w:tentative="1">
      <w:start w:val="1"/>
      <w:numFmt w:val="bullet"/>
      <w:lvlText w:val="•"/>
      <w:lvlJc w:val="left"/>
      <w:pPr>
        <w:tabs>
          <w:tab w:val="num" w:pos="4320"/>
        </w:tabs>
        <w:ind w:left="4320" w:hanging="360"/>
      </w:pPr>
      <w:rPr>
        <w:rFonts w:ascii="Arial" w:hAnsi="Arial" w:hint="default"/>
      </w:rPr>
    </w:lvl>
    <w:lvl w:ilvl="6" w:tplc="5E10FE16" w:tentative="1">
      <w:start w:val="1"/>
      <w:numFmt w:val="bullet"/>
      <w:lvlText w:val="•"/>
      <w:lvlJc w:val="left"/>
      <w:pPr>
        <w:tabs>
          <w:tab w:val="num" w:pos="5040"/>
        </w:tabs>
        <w:ind w:left="5040" w:hanging="360"/>
      </w:pPr>
      <w:rPr>
        <w:rFonts w:ascii="Arial" w:hAnsi="Arial" w:hint="default"/>
      </w:rPr>
    </w:lvl>
    <w:lvl w:ilvl="7" w:tplc="5506331A" w:tentative="1">
      <w:start w:val="1"/>
      <w:numFmt w:val="bullet"/>
      <w:lvlText w:val="•"/>
      <w:lvlJc w:val="left"/>
      <w:pPr>
        <w:tabs>
          <w:tab w:val="num" w:pos="5760"/>
        </w:tabs>
        <w:ind w:left="5760" w:hanging="360"/>
      </w:pPr>
      <w:rPr>
        <w:rFonts w:ascii="Arial" w:hAnsi="Arial" w:hint="default"/>
      </w:rPr>
    </w:lvl>
    <w:lvl w:ilvl="8" w:tplc="FC840D0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5"/>
  </w:num>
  <w:num w:numId="3">
    <w:abstractNumId w:val="17"/>
  </w:num>
  <w:num w:numId="4">
    <w:abstractNumId w:val="10"/>
  </w:num>
  <w:num w:numId="5">
    <w:abstractNumId w:val="21"/>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23"/>
  </w:num>
  <w:num w:numId="11">
    <w:abstractNumId w:val="19"/>
  </w:num>
  <w:num w:numId="12">
    <w:abstractNumId w:val="4"/>
  </w:num>
  <w:num w:numId="13">
    <w:abstractNumId w:val="8"/>
  </w:num>
  <w:num w:numId="14">
    <w:abstractNumId w:val="12"/>
  </w:num>
  <w:num w:numId="15">
    <w:abstractNumId w:val="26"/>
  </w:num>
  <w:num w:numId="16">
    <w:abstractNumId w:val="4"/>
    <w:lvlOverride w:ilvl="0">
      <w:startOverride w:val="1"/>
    </w:lvlOverride>
  </w:num>
  <w:num w:numId="17">
    <w:abstractNumId w:val="16"/>
  </w:num>
  <w:num w:numId="18">
    <w:abstractNumId w:val="24"/>
  </w:num>
  <w:num w:numId="19">
    <w:abstractNumId w:val="13"/>
  </w:num>
  <w:num w:numId="20">
    <w:abstractNumId w:val="5"/>
  </w:num>
  <w:num w:numId="21">
    <w:abstractNumId w:val="14"/>
  </w:num>
  <w:num w:numId="22">
    <w:abstractNumId w:val="20"/>
  </w:num>
  <w:num w:numId="23">
    <w:abstractNumId w:val="27"/>
  </w:num>
  <w:num w:numId="24">
    <w:abstractNumId w:val="0"/>
  </w:num>
  <w:num w:numId="25">
    <w:abstractNumId w:val="22"/>
  </w:num>
  <w:num w:numId="26">
    <w:abstractNumId w:val="15"/>
  </w:num>
  <w:num w:numId="27">
    <w:abstractNumId w:val="1"/>
  </w:num>
  <w:num w:numId="28">
    <w:abstractNumId w:val="6"/>
  </w:num>
  <w:num w:numId="29">
    <w:abstractNumId w:val="18"/>
  </w:num>
  <w:num w:numId="30">
    <w:abstractNumId w:val="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01"/>
    <w:rsid w:val="000006FB"/>
    <w:rsid w:val="000018A8"/>
    <w:rsid w:val="00001AA5"/>
    <w:rsid w:val="00001C96"/>
    <w:rsid w:val="00002843"/>
    <w:rsid w:val="000056ED"/>
    <w:rsid w:val="00006EED"/>
    <w:rsid w:val="00010D88"/>
    <w:rsid w:val="000125E7"/>
    <w:rsid w:val="000139AF"/>
    <w:rsid w:val="00015367"/>
    <w:rsid w:val="0001623B"/>
    <w:rsid w:val="000268EC"/>
    <w:rsid w:val="00030D4B"/>
    <w:rsid w:val="00032285"/>
    <w:rsid w:val="00032294"/>
    <w:rsid w:val="00032343"/>
    <w:rsid w:val="00032653"/>
    <w:rsid w:val="00041574"/>
    <w:rsid w:val="00044124"/>
    <w:rsid w:val="00044E08"/>
    <w:rsid w:val="00047F63"/>
    <w:rsid w:val="000510B3"/>
    <w:rsid w:val="000545BA"/>
    <w:rsid w:val="0005695C"/>
    <w:rsid w:val="00057159"/>
    <w:rsid w:val="00060EAB"/>
    <w:rsid w:val="000633C8"/>
    <w:rsid w:val="00065807"/>
    <w:rsid w:val="00066499"/>
    <w:rsid w:val="00066F26"/>
    <w:rsid w:val="00067BB4"/>
    <w:rsid w:val="00073781"/>
    <w:rsid w:val="00075F88"/>
    <w:rsid w:val="0007767E"/>
    <w:rsid w:val="00077DD3"/>
    <w:rsid w:val="00081A12"/>
    <w:rsid w:val="0008570C"/>
    <w:rsid w:val="00086478"/>
    <w:rsid w:val="000867D9"/>
    <w:rsid w:val="00086CE3"/>
    <w:rsid w:val="000959C6"/>
    <w:rsid w:val="00097C0A"/>
    <w:rsid w:val="000A1BB6"/>
    <w:rsid w:val="000A1E8B"/>
    <w:rsid w:val="000A2AD1"/>
    <w:rsid w:val="000A2F66"/>
    <w:rsid w:val="000A2F89"/>
    <w:rsid w:val="000A3024"/>
    <w:rsid w:val="000A44DC"/>
    <w:rsid w:val="000A5C62"/>
    <w:rsid w:val="000A640D"/>
    <w:rsid w:val="000A6C3B"/>
    <w:rsid w:val="000B1819"/>
    <w:rsid w:val="000B2F95"/>
    <w:rsid w:val="000B3A33"/>
    <w:rsid w:val="000B5D45"/>
    <w:rsid w:val="000B64C9"/>
    <w:rsid w:val="000B6D4A"/>
    <w:rsid w:val="000C1C9B"/>
    <w:rsid w:val="000C3717"/>
    <w:rsid w:val="000C6E99"/>
    <w:rsid w:val="000D0AB6"/>
    <w:rsid w:val="000D1B9B"/>
    <w:rsid w:val="000D2F91"/>
    <w:rsid w:val="000D33F8"/>
    <w:rsid w:val="000D3A36"/>
    <w:rsid w:val="000D3FB5"/>
    <w:rsid w:val="000D72AF"/>
    <w:rsid w:val="000E17F6"/>
    <w:rsid w:val="000E605A"/>
    <w:rsid w:val="000E6DC0"/>
    <w:rsid w:val="000E75C4"/>
    <w:rsid w:val="000E773F"/>
    <w:rsid w:val="000F3164"/>
    <w:rsid w:val="000F3CAB"/>
    <w:rsid w:val="000F3DE9"/>
    <w:rsid w:val="0010095C"/>
    <w:rsid w:val="001026D1"/>
    <w:rsid w:val="001036E9"/>
    <w:rsid w:val="0010497C"/>
    <w:rsid w:val="00104EF9"/>
    <w:rsid w:val="00105122"/>
    <w:rsid w:val="00107657"/>
    <w:rsid w:val="00107AF6"/>
    <w:rsid w:val="00107E69"/>
    <w:rsid w:val="00110C13"/>
    <w:rsid w:val="00115255"/>
    <w:rsid w:val="001167CC"/>
    <w:rsid w:val="00122E5D"/>
    <w:rsid w:val="0012338E"/>
    <w:rsid w:val="00123877"/>
    <w:rsid w:val="001270A3"/>
    <w:rsid w:val="00130A6A"/>
    <w:rsid w:val="00131236"/>
    <w:rsid w:val="00131344"/>
    <w:rsid w:val="00131442"/>
    <w:rsid w:val="00132306"/>
    <w:rsid w:val="00132487"/>
    <w:rsid w:val="0013480B"/>
    <w:rsid w:val="00136961"/>
    <w:rsid w:val="0014058F"/>
    <w:rsid w:val="00140643"/>
    <w:rsid w:val="001416AB"/>
    <w:rsid w:val="00142138"/>
    <w:rsid w:val="00145DE6"/>
    <w:rsid w:val="00155825"/>
    <w:rsid w:val="001566F9"/>
    <w:rsid w:val="00156957"/>
    <w:rsid w:val="001576EA"/>
    <w:rsid w:val="0016015C"/>
    <w:rsid w:val="001604EB"/>
    <w:rsid w:val="001616EA"/>
    <w:rsid w:val="00161E18"/>
    <w:rsid w:val="00161FE2"/>
    <w:rsid w:val="00162815"/>
    <w:rsid w:val="00162EFD"/>
    <w:rsid w:val="00166A91"/>
    <w:rsid w:val="00166EB7"/>
    <w:rsid w:val="00172493"/>
    <w:rsid w:val="00180078"/>
    <w:rsid w:val="00181769"/>
    <w:rsid w:val="001845A4"/>
    <w:rsid w:val="00184EAD"/>
    <w:rsid w:val="00185F19"/>
    <w:rsid w:val="00187A5F"/>
    <w:rsid w:val="00192BDB"/>
    <w:rsid w:val="00193900"/>
    <w:rsid w:val="00196786"/>
    <w:rsid w:val="001979A7"/>
    <w:rsid w:val="001A0E5E"/>
    <w:rsid w:val="001A1EE1"/>
    <w:rsid w:val="001A361D"/>
    <w:rsid w:val="001A454A"/>
    <w:rsid w:val="001A4BF4"/>
    <w:rsid w:val="001B65F7"/>
    <w:rsid w:val="001B7412"/>
    <w:rsid w:val="001B7681"/>
    <w:rsid w:val="001B76F5"/>
    <w:rsid w:val="001B7D8C"/>
    <w:rsid w:val="001C213C"/>
    <w:rsid w:val="001C421C"/>
    <w:rsid w:val="001C77A2"/>
    <w:rsid w:val="001D4037"/>
    <w:rsid w:val="001D4B94"/>
    <w:rsid w:val="001D4F26"/>
    <w:rsid w:val="001D5234"/>
    <w:rsid w:val="001D602C"/>
    <w:rsid w:val="001D6C63"/>
    <w:rsid w:val="001D7D3F"/>
    <w:rsid w:val="001E18B0"/>
    <w:rsid w:val="001E50B6"/>
    <w:rsid w:val="001E6867"/>
    <w:rsid w:val="001E72F9"/>
    <w:rsid w:val="001F071E"/>
    <w:rsid w:val="001F098D"/>
    <w:rsid w:val="001F1174"/>
    <w:rsid w:val="001F12BA"/>
    <w:rsid w:val="001F24D4"/>
    <w:rsid w:val="001F29C0"/>
    <w:rsid w:val="001F3B43"/>
    <w:rsid w:val="001F50DB"/>
    <w:rsid w:val="001F5289"/>
    <w:rsid w:val="00200F7B"/>
    <w:rsid w:val="00201503"/>
    <w:rsid w:val="00204EA3"/>
    <w:rsid w:val="00206E85"/>
    <w:rsid w:val="00207AF1"/>
    <w:rsid w:val="002108CC"/>
    <w:rsid w:val="00213040"/>
    <w:rsid w:val="0021363E"/>
    <w:rsid w:val="0021424A"/>
    <w:rsid w:val="00214A5C"/>
    <w:rsid w:val="0021699B"/>
    <w:rsid w:val="00221184"/>
    <w:rsid w:val="002236D2"/>
    <w:rsid w:val="00224873"/>
    <w:rsid w:val="002324CE"/>
    <w:rsid w:val="0023310D"/>
    <w:rsid w:val="00234A52"/>
    <w:rsid w:val="00234CC4"/>
    <w:rsid w:val="00234E55"/>
    <w:rsid w:val="00234ECD"/>
    <w:rsid w:val="00235501"/>
    <w:rsid w:val="00235B96"/>
    <w:rsid w:val="00236E9B"/>
    <w:rsid w:val="00240292"/>
    <w:rsid w:val="00245C36"/>
    <w:rsid w:val="00246901"/>
    <w:rsid w:val="00247532"/>
    <w:rsid w:val="0025011D"/>
    <w:rsid w:val="0025443E"/>
    <w:rsid w:val="0026524C"/>
    <w:rsid w:val="00266488"/>
    <w:rsid w:val="0026687C"/>
    <w:rsid w:val="00267682"/>
    <w:rsid w:val="002717FF"/>
    <w:rsid w:val="00272FF2"/>
    <w:rsid w:val="002739D5"/>
    <w:rsid w:val="002762F8"/>
    <w:rsid w:val="00277D90"/>
    <w:rsid w:val="00281016"/>
    <w:rsid w:val="0028226E"/>
    <w:rsid w:val="00291B69"/>
    <w:rsid w:val="00296406"/>
    <w:rsid w:val="002966EF"/>
    <w:rsid w:val="002A0E55"/>
    <w:rsid w:val="002A34BC"/>
    <w:rsid w:val="002A541B"/>
    <w:rsid w:val="002A7B2A"/>
    <w:rsid w:val="002B2C44"/>
    <w:rsid w:val="002B3830"/>
    <w:rsid w:val="002B3AF8"/>
    <w:rsid w:val="002B4D9F"/>
    <w:rsid w:val="002B70DC"/>
    <w:rsid w:val="002C06F8"/>
    <w:rsid w:val="002C58C4"/>
    <w:rsid w:val="002C60BF"/>
    <w:rsid w:val="002C663E"/>
    <w:rsid w:val="002C7BA5"/>
    <w:rsid w:val="002D2F9D"/>
    <w:rsid w:val="002D3473"/>
    <w:rsid w:val="002D5157"/>
    <w:rsid w:val="002D5ABB"/>
    <w:rsid w:val="002D6AD6"/>
    <w:rsid w:val="002D6D0B"/>
    <w:rsid w:val="002D7152"/>
    <w:rsid w:val="002E10D1"/>
    <w:rsid w:val="002E14CD"/>
    <w:rsid w:val="002E20C9"/>
    <w:rsid w:val="002E4ACD"/>
    <w:rsid w:val="002E7242"/>
    <w:rsid w:val="002E76FC"/>
    <w:rsid w:val="002F03A8"/>
    <w:rsid w:val="002F38C9"/>
    <w:rsid w:val="002F5E59"/>
    <w:rsid w:val="00302F2A"/>
    <w:rsid w:val="0030300D"/>
    <w:rsid w:val="003052E8"/>
    <w:rsid w:val="00306A9C"/>
    <w:rsid w:val="00306E97"/>
    <w:rsid w:val="00307488"/>
    <w:rsid w:val="0031049F"/>
    <w:rsid w:val="00313B7D"/>
    <w:rsid w:val="0031652B"/>
    <w:rsid w:val="00317D3F"/>
    <w:rsid w:val="00320B27"/>
    <w:rsid w:val="00322C9D"/>
    <w:rsid w:val="00323255"/>
    <w:rsid w:val="003241CB"/>
    <w:rsid w:val="003264FF"/>
    <w:rsid w:val="0032775E"/>
    <w:rsid w:val="003278F4"/>
    <w:rsid w:val="00327ADE"/>
    <w:rsid w:val="00332BD9"/>
    <w:rsid w:val="00333B19"/>
    <w:rsid w:val="00334328"/>
    <w:rsid w:val="003346ED"/>
    <w:rsid w:val="00337DBD"/>
    <w:rsid w:val="00340C44"/>
    <w:rsid w:val="00341DEE"/>
    <w:rsid w:val="00342094"/>
    <w:rsid w:val="003423F8"/>
    <w:rsid w:val="003431F1"/>
    <w:rsid w:val="00343EEC"/>
    <w:rsid w:val="003453F2"/>
    <w:rsid w:val="00346392"/>
    <w:rsid w:val="0034678D"/>
    <w:rsid w:val="00346BA2"/>
    <w:rsid w:val="00351CA0"/>
    <w:rsid w:val="0035581E"/>
    <w:rsid w:val="0035617A"/>
    <w:rsid w:val="00362B4A"/>
    <w:rsid w:val="0036420F"/>
    <w:rsid w:val="0036522A"/>
    <w:rsid w:val="00366E4F"/>
    <w:rsid w:val="00375DB6"/>
    <w:rsid w:val="00376879"/>
    <w:rsid w:val="00376B64"/>
    <w:rsid w:val="00376CD8"/>
    <w:rsid w:val="00377900"/>
    <w:rsid w:val="003826E3"/>
    <w:rsid w:val="003827FF"/>
    <w:rsid w:val="00385F0D"/>
    <w:rsid w:val="00386380"/>
    <w:rsid w:val="003865CB"/>
    <w:rsid w:val="00386657"/>
    <w:rsid w:val="00393A04"/>
    <w:rsid w:val="00397AD6"/>
    <w:rsid w:val="003A0097"/>
    <w:rsid w:val="003A29AE"/>
    <w:rsid w:val="003A6657"/>
    <w:rsid w:val="003B0727"/>
    <w:rsid w:val="003B0925"/>
    <w:rsid w:val="003B1187"/>
    <w:rsid w:val="003B155A"/>
    <w:rsid w:val="003B2181"/>
    <w:rsid w:val="003B2263"/>
    <w:rsid w:val="003B4CDA"/>
    <w:rsid w:val="003B539D"/>
    <w:rsid w:val="003B72B3"/>
    <w:rsid w:val="003B7B0C"/>
    <w:rsid w:val="003C0E70"/>
    <w:rsid w:val="003C16CD"/>
    <w:rsid w:val="003C1EA1"/>
    <w:rsid w:val="003C1F2A"/>
    <w:rsid w:val="003C2129"/>
    <w:rsid w:val="003D20B4"/>
    <w:rsid w:val="003D2A82"/>
    <w:rsid w:val="003D3172"/>
    <w:rsid w:val="003D608C"/>
    <w:rsid w:val="003D64FB"/>
    <w:rsid w:val="003D65F7"/>
    <w:rsid w:val="003E11F2"/>
    <w:rsid w:val="003E1E02"/>
    <w:rsid w:val="003E5159"/>
    <w:rsid w:val="003E5706"/>
    <w:rsid w:val="003E6889"/>
    <w:rsid w:val="003E789F"/>
    <w:rsid w:val="003F23F5"/>
    <w:rsid w:val="003F31D1"/>
    <w:rsid w:val="003F555F"/>
    <w:rsid w:val="003F56AB"/>
    <w:rsid w:val="003F5FA1"/>
    <w:rsid w:val="003F6675"/>
    <w:rsid w:val="00401034"/>
    <w:rsid w:val="00401F50"/>
    <w:rsid w:val="00402A8C"/>
    <w:rsid w:val="00402BC6"/>
    <w:rsid w:val="00402D6D"/>
    <w:rsid w:val="00405744"/>
    <w:rsid w:val="00405AD6"/>
    <w:rsid w:val="004073C5"/>
    <w:rsid w:val="004124DA"/>
    <w:rsid w:val="00413B8B"/>
    <w:rsid w:val="00413F73"/>
    <w:rsid w:val="004177E6"/>
    <w:rsid w:val="00420ADA"/>
    <w:rsid w:val="00421A7C"/>
    <w:rsid w:val="00422FA1"/>
    <w:rsid w:val="00423FAC"/>
    <w:rsid w:val="0042633D"/>
    <w:rsid w:val="00431568"/>
    <w:rsid w:val="00434C5F"/>
    <w:rsid w:val="00435319"/>
    <w:rsid w:val="00436BEE"/>
    <w:rsid w:val="00437644"/>
    <w:rsid w:val="004416E7"/>
    <w:rsid w:val="00442347"/>
    <w:rsid w:val="00444B1A"/>
    <w:rsid w:val="004455D9"/>
    <w:rsid w:val="00450883"/>
    <w:rsid w:val="00451FFE"/>
    <w:rsid w:val="0045310D"/>
    <w:rsid w:val="004542D9"/>
    <w:rsid w:val="004559D4"/>
    <w:rsid w:val="0045699C"/>
    <w:rsid w:val="004570CA"/>
    <w:rsid w:val="0046265B"/>
    <w:rsid w:val="00467DD8"/>
    <w:rsid w:val="00470429"/>
    <w:rsid w:val="004719F0"/>
    <w:rsid w:val="004822A3"/>
    <w:rsid w:val="0048699D"/>
    <w:rsid w:val="0048777E"/>
    <w:rsid w:val="00493651"/>
    <w:rsid w:val="00494774"/>
    <w:rsid w:val="00494906"/>
    <w:rsid w:val="00495203"/>
    <w:rsid w:val="00496013"/>
    <w:rsid w:val="00497496"/>
    <w:rsid w:val="004A1019"/>
    <w:rsid w:val="004A11AD"/>
    <w:rsid w:val="004A4F4F"/>
    <w:rsid w:val="004A5655"/>
    <w:rsid w:val="004A6A5C"/>
    <w:rsid w:val="004A7951"/>
    <w:rsid w:val="004A7999"/>
    <w:rsid w:val="004B19C8"/>
    <w:rsid w:val="004B1CC7"/>
    <w:rsid w:val="004B45D6"/>
    <w:rsid w:val="004B5A9A"/>
    <w:rsid w:val="004B5B69"/>
    <w:rsid w:val="004B6F4A"/>
    <w:rsid w:val="004C07AF"/>
    <w:rsid w:val="004C5487"/>
    <w:rsid w:val="004C74A2"/>
    <w:rsid w:val="004D038F"/>
    <w:rsid w:val="004D30F9"/>
    <w:rsid w:val="004D3531"/>
    <w:rsid w:val="004D5DB7"/>
    <w:rsid w:val="004D70CE"/>
    <w:rsid w:val="004D7C2C"/>
    <w:rsid w:val="004E14B9"/>
    <w:rsid w:val="004E5216"/>
    <w:rsid w:val="004E78BE"/>
    <w:rsid w:val="004F605B"/>
    <w:rsid w:val="005006A9"/>
    <w:rsid w:val="00503712"/>
    <w:rsid w:val="00506171"/>
    <w:rsid w:val="005077CC"/>
    <w:rsid w:val="00514175"/>
    <w:rsid w:val="005141E1"/>
    <w:rsid w:val="0051549E"/>
    <w:rsid w:val="00517E27"/>
    <w:rsid w:val="00520F7C"/>
    <w:rsid w:val="00524FFF"/>
    <w:rsid w:val="00525C60"/>
    <w:rsid w:val="00526CC7"/>
    <w:rsid w:val="00527C00"/>
    <w:rsid w:val="00530CE3"/>
    <w:rsid w:val="00532ACB"/>
    <w:rsid w:val="005337BA"/>
    <w:rsid w:val="00533AE9"/>
    <w:rsid w:val="00533B11"/>
    <w:rsid w:val="005360FB"/>
    <w:rsid w:val="00541C33"/>
    <w:rsid w:val="00542A70"/>
    <w:rsid w:val="00545391"/>
    <w:rsid w:val="005461C9"/>
    <w:rsid w:val="0054688B"/>
    <w:rsid w:val="00547CB2"/>
    <w:rsid w:val="0055178B"/>
    <w:rsid w:val="00554F96"/>
    <w:rsid w:val="00554FAA"/>
    <w:rsid w:val="00561A81"/>
    <w:rsid w:val="00562F64"/>
    <w:rsid w:val="00563098"/>
    <w:rsid w:val="00563469"/>
    <w:rsid w:val="00564854"/>
    <w:rsid w:val="00565E97"/>
    <w:rsid w:val="00571221"/>
    <w:rsid w:val="00574FF1"/>
    <w:rsid w:val="00575DD4"/>
    <w:rsid w:val="0057606F"/>
    <w:rsid w:val="00577C88"/>
    <w:rsid w:val="005806C7"/>
    <w:rsid w:val="005809CA"/>
    <w:rsid w:val="00581953"/>
    <w:rsid w:val="0058214C"/>
    <w:rsid w:val="005833E4"/>
    <w:rsid w:val="00584631"/>
    <w:rsid w:val="00584B3A"/>
    <w:rsid w:val="005868B6"/>
    <w:rsid w:val="00586959"/>
    <w:rsid w:val="00586EDD"/>
    <w:rsid w:val="005910EF"/>
    <w:rsid w:val="00593887"/>
    <w:rsid w:val="005943FE"/>
    <w:rsid w:val="00595FAE"/>
    <w:rsid w:val="00597F07"/>
    <w:rsid w:val="005A0A64"/>
    <w:rsid w:val="005A182D"/>
    <w:rsid w:val="005A2F0F"/>
    <w:rsid w:val="005A5842"/>
    <w:rsid w:val="005B497D"/>
    <w:rsid w:val="005B5557"/>
    <w:rsid w:val="005B5763"/>
    <w:rsid w:val="005B5F07"/>
    <w:rsid w:val="005B672F"/>
    <w:rsid w:val="005C2C63"/>
    <w:rsid w:val="005C5240"/>
    <w:rsid w:val="005C6945"/>
    <w:rsid w:val="005C75D8"/>
    <w:rsid w:val="005D00AA"/>
    <w:rsid w:val="005D7EAD"/>
    <w:rsid w:val="005E0413"/>
    <w:rsid w:val="005E0675"/>
    <w:rsid w:val="005E1B3D"/>
    <w:rsid w:val="005E2451"/>
    <w:rsid w:val="005E586F"/>
    <w:rsid w:val="005F3202"/>
    <w:rsid w:val="005F59A3"/>
    <w:rsid w:val="0060199C"/>
    <w:rsid w:val="006079FB"/>
    <w:rsid w:val="00607C85"/>
    <w:rsid w:val="00613D81"/>
    <w:rsid w:val="0061408D"/>
    <w:rsid w:val="00615273"/>
    <w:rsid w:val="006176D9"/>
    <w:rsid w:val="00620E99"/>
    <w:rsid w:val="00620F24"/>
    <w:rsid w:val="00621B2F"/>
    <w:rsid w:val="00622AD2"/>
    <w:rsid w:val="00623182"/>
    <w:rsid w:val="00624CE8"/>
    <w:rsid w:val="00625B6E"/>
    <w:rsid w:val="00625CC3"/>
    <w:rsid w:val="00625FE5"/>
    <w:rsid w:val="00627326"/>
    <w:rsid w:val="006306CC"/>
    <w:rsid w:val="00631CD6"/>
    <w:rsid w:val="00635155"/>
    <w:rsid w:val="00635247"/>
    <w:rsid w:val="00635600"/>
    <w:rsid w:val="006366F7"/>
    <w:rsid w:val="00642931"/>
    <w:rsid w:val="006465E1"/>
    <w:rsid w:val="00647101"/>
    <w:rsid w:val="006512F8"/>
    <w:rsid w:val="0065187C"/>
    <w:rsid w:val="00652390"/>
    <w:rsid w:val="00652CFB"/>
    <w:rsid w:val="00656185"/>
    <w:rsid w:val="006566C1"/>
    <w:rsid w:val="00660E65"/>
    <w:rsid w:val="006612C0"/>
    <w:rsid w:val="00662E01"/>
    <w:rsid w:val="0066312E"/>
    <w:rsid w:val="00664A4A"/>
    <w:rsid w:val="00665C36"/>
    <w:rsid w:val="00666B4B"/>
    <w:rsid w:val="006718D6"/>
    <w:rsid w:val="00674755"/>
    <w:rsid w:val="006750DD"/>
    <w:rsid w:val="00675474"/>
    <w:rsid w:val="00675D90"/>
    <w:rsid w:val="00676746"/>
    <w:rsid w:val="00676775"/>
    <w:rsid w:val="00677298"/>
    <w:rsid w:val="00677F9C"/>
    <w:rsid w:val="00680663"/>
    <w:rsid w:val="00680B81"/>
    <w:rsid w:val="00681D96"/>
    <w:rsid w:val="006824C3"/>
    <w:rsid w:val="00682C2A"/>
    <w:rsid w:val="00682C6A"/>
    <w:rsid w:val="00686BFD"/>
    <w:rsid w:val="00686D8F"/>
    <w:rsid w:val="006921C1"/>
    <w:rsid w:val="006931F1"/>
    <w:rsid w:val="006934FC"/>
    <w:rsid w:val="006943D6"/>
    <w:rsid w:val="00695AF5"/>
    <w:rsid w:val="00695F0C"/>
    <w:rsid w:val="00696FE6"/>
    <w:rsid w:val="0069746D"/>
    <w:rsid w:val="006A1F7F"/>
    <w:rsid w:val="006A2992"/>
    <w:rsid w:val="006A3499"/>
    <w:rsid w:val="006B0B84"/>
    <w:rsid w:val="006B2912"/>
    <w:rsid w:val="006B3A52"/>
    <w:rsid w:val="006B3B6A"/>
    <w:rsid w:val="006B6AC7"/>
    <w:rsid w:val="006B6AF1"/>
    <w:rsid w:val="006B71E2"/>
    <w:rsid w:val="006B78B3"/>
    <w:rsid w:val="006C072E"/>
    <w:rsid w:val="006C1A60"/>
    <w:rsid w:val="006C39A2"/>
    <w:rsid w:val="006D7BB4"/>
    <w:rsid w:val="006E0290"/>
    <w:rsid w:val="006E109C"/>
    <w:rsid w:val="006E1EE4"/>
    <w:rsid w:val="006E2DB7"/>
    <w:rsid w:val="006F0B2F"/>
    <w:rsid w:val="006F2165"/>
    <w:rsid w:val="006F2829"/>
    <w:rsid w:val="006F34D6"/>
    <w:rsid w:val="006F421A"/>
    <w:rsid w:val="006F5817"/>
    <w:rsid w:val="006F766D"/>
    <w:rsid w:val="006F7ECD"/>
    <w:rsid w:val="00703923"/>
    <w:rsid w:val="0070406E"/>
    <w:rsid w:val="00712132"/>
    <w:rsid w:val="00712B5B"/>
    <w:rsid w:val="00713CE4"/>
    <w:rsid w:val="00714CED"/>
    <w:rsid w:val="00714DCC"/>
    <w:rsid w:val="007166E1"/>
    <w:rsid w:val="00717EF6"/>
    <w:rsid w:val="00720E6A"/>
    <w:rsid w:val="00723745"/>
    <w:rsid w:val="00723AF8"/>
    <w:rsid w:val="00723F9D"/>
    <w:rsid w:val="007250C4"/>
    <w:rsid w:val="0072541B"/>
    <w:rsid w:val="00730AC7"/>
    <w:rsid w:val="0073185B"/>
    <w:rsid w:val="00732ED9"/>
    <w:rsid w:val="00736C33"/>
    <w:rsid w:val="00740EAF"/>
    <w:rsid w:val="00740F88"/>
    <w:rsid w:val="00741653"/>
    <w:rsid w:val="00743ED6"/>
    <w:rsid w:val="00744BE6"/>
    <w:rsid w:val="007456D8"/>
    <w:rsid w:val="00747127"/>
    <w:rsid w:val="00751C9E"/>
    <w:rsid w:val="007533CC"/>
    <w:rsid w:val="00753DFC"/>
    <w:rsid w:val="0075403D"/>
    <w:rsid w:val="00754DDD"/>
    <w:rsid w:val="00756CAD"/>
    <w:rsid w:val="00756CBB"/>
    <w:rsid w:val="007574ED"/>
    <w:rsid w:val="00760B5C"/>
    <w:rsid w:val="00764399"/>
    <w:rsid w:val="00764941"/>
    <w:rsid w:val="0076500E"/>
    <w:rsid w:val="00766044"/>
    <w:rsid w:val="0076789E"/>
    <w:rsid w:val="00767B82"/>
    <w:rsid w:val="00767EF6"/>
    <w:rsid w:val="00772979"/>
    <w:rsid w:val="00772C23"/>
    <w:rsid w:val="00773DAE"/>
    <w:rsid w:val="00776A8F"/>
    <w:rsid w:val="00781159"/>
    <w:rsid w:val="00782F73"/>
    <w:rsid w:val="00783D19"/>
    <w:rsid w:val="007855F2"/>
    <w:rsid w:val="007864D9"/>
    <w:rsid w:val="00787B27"/>
    <w:rsid w:val="00793A88"/>
    <w:rsid w:val="007962BB"/>
    <w:rsid w:val="0079788B"/>
    <w:rsid w:val="007A1C88"/>
    <w:rsid w:val="007A24B9"/>
    <w:rsid w:val="007A3190"/>
    <w:rsid w:val="007A357E"/>
    <w:rsid w:val="007A3D59"/>
    <w:rsid w:val="007A4331"/>
    <w:rsid w:val="007A58E2"/>
    <w:rsid w:val="007A6926"/>
    <w:rsid w:val="007A6D93"/>
    <w:rsid w:val="007B4DF8"/>
    <w:rsid w:val="007B56A8"/>
    <w:rsid w:val="007B5C8B"/>
    <w:rsid w:val="007C08EA"/>
    <w:rsid w:val="007C20CA"/>
    <w:rsid w:val="007C26B2"/>
    <w:rsid w:val="007C3CC3"/>
    <w:rsid w:val="007C5AFD"/>
    <w:rsid w:val="007D205E"/>
    <w:rsid w:val="007D5E85"/>
    <w:rsid w:val="007D607E"/>
    <w:rsid w:val="007E0CB6"/>
    <w:rsid w:val="007E250D"/>
    <w:rsid w:val="007E26B3"/>
    <w:rsid w:val="007E3D2E"/>
    <w:rsid w:val="007E605D"/>
    <w:rsid w:val="007E6FBC"/>
    <w:rsid w:val="007F58E4"/>
    <w:rsid w:val="007F6088"/>
    <w:rsid w:val="007F61BB"/>
    <w:rsid w:val="007F7D9F"/>
    <w:rsid w:val="00800AF4"/>
    <w:rsid w:val="0080425A"/>
    <w:rsid w:val="0080443D"/>
    <w:rsid w:val="00805807"/>
    <w:rsid w:val="00811976"/>
    <w:rsid w:val="008150D2"/>
    <w:rsid w:val="0081608B"/>
    <w:rsid w:val="00820489"/>
    <w:rsid w:val="00821C5F"/>
    <w:rsid w:val="00825A15"/>
    <w:rsid w:val="00826BB9"/>
    <w:rsid w:val="0083017D"/>
    <w:rsid w:val="00831370"/>
    <w:rsid w:val="00831746"/>
    <w:rsid w:val="00833A73"/>
    <w:rsid w:val="00833D3C"/>
    <w:rsid w:val="00835480"/>
    <w:rsid w:val="00843766"/>
    <w:rsid w:val="008444CA"/>
    <w:rsid w:val="0084717A"/>
    <w:rsid w:val="00851C61"/>
    <w:rsid w:val="00852ED5"/>
    <w:rsid w:val="00853CD4"/>
    <w:rsid w:val="00862DCC"/>
    <w:rsid w:val="00863B1C"/>
    <w:rsid w:val="00871D83"/>
    <w:rsid w:val="00874C1F"/>
    <w:rsid w:val="00876D47"/>
    <w:rsid w:val="00877035"/>
    <w:rsid w:val="00880DFC"/>
    <w:rsid w:val="008810BA"/>
    <w:rsid w:val="00882972"/>
    <w:rsid w:val="008858B4"/>
    <w:rsid w:val="00885957"/>
    <w:rsid w:val="00890482"/>
    <w:rsid w:val="00891416"/>
    <w:rsid w:val="008914B4"/>
    <w:rsid w:val="008915C0"/>
    <w:rsid w:val="00892BA1"/>
    <w:rsid w:val="00893094"/>
    <w:rsid w:val="00893285"/>
    <w:rsid w:val="008949B4"/>
    <w:rsid w:val="00895498"/>
    <w:rsid w:val="00895EED"/>
    <w:rsid w:val="008A00EC"/>
    <w:rsid w:val="008A01E7"/>
    <w:rsid w:val="008A0439"/>
    <w:rsid w:val="008A069E"/>
    <w:rsid w:val="008A1DE8"/>
    <w:rsid w:val="008A6E73"/>
    <w:rsid w:val="008B2DEB"/>
    <w:rsid w:val="008B30BB"/>
    <w:rsid w:val="008B38BB"/>
    <w:rsid w:val="008B442A"/>
    <w:rsid w:val="008B4BE3"/>
    <w:rsid w:val="008B4C9C"/>
    <w:rsid w:val="008B54F1"/>
    <w:rsid w:val="008B65A4"/>
    <w:rsid w:val="008B6A1A"/>
    <w:rsid w:val="008B7803"/>
    <w:rsid w:val="008C1428"/>
    <w:rsid w:val="008C5452"/>
    <w:rsid w:val="008C7F23"/>
    <w:rsid w:val="008D0058"/>
    <w:rsid w:val="008D3114"/>
    <w:rsid w:val="008D317B"/>
    <w:rsid w:val="008D43FE"/>
    <w:rsid w:val="008D7430"/>
    <w:rsid w:val="008E0271"/>
    <w:rsid w:val="008E195C"/>
    <w:rsid w:val="008E2005"/>
    <w:rsid w:val="008E2DC3"/>
    <w:rsid w:val="008E319C"/>
    <w:rsid w:val="008F0851"/>
    <w:rsid w:val="008F1BF9"/>
    <w:rsid w:val="008F3302"/>
    <w:rsid w:val="008F4464"/>
    <w:rsid w:val="008F7EEB"/>
    <w:rsid w:val="00902962"/>
    <w:rsid w:val="00911193"/>
    <w:rsid w:val="0091166A"/>
    <w:rsid w:val="0091555D"/>
    <w:rsid w:val="00921C1A"/>
    <w:rsid w:val="0092455A"/>
    <w:rsid w:val="0092592D"/>
    <w:rsid w:val="00930687"/>
    <w:rsid w:val="00930C75"/>
    <w:rsid w:val="00930DF4"/>
    <w:rsid w:val="009310F4"/>
    <w:rsid w:val="00933D4C"/>
    <w:rsid w:val="00936900"/>
    <w:rsid w:val="00936E30"/>
    <w:rsid w:val="009409EA"/>
    <w:rsid w:val="0094102D"/>
    <w:rsid w:val="00941873"/>
    <w:rsid w:val="00944505"/>
    <w:rsid w:val="0095113C"/>
    <w:rsid w:val="00952EA3"/>
    <w:rsid w:val="00953D2D"/>
    <w:rsid w:val="00955EFE"/>
    <w:rsid w:val="00956719"/>
    <w:rsid w:val="00963812"/>
    <w:rsid w:val="00963B7E"/>
    <w:rsid w:val="00965F59"/>
    <w:rsid w:val="0097251B"/>
    <w:rsid w:val="0097267F"/>
    <w:rsid w:val="00973D8C"/>
    <w:rsid w:val="0097449A"/>
    <w:rsid w:val="00976403"/>
    <w:rsid w:val="00976908"/>
    <w:rsid w:val="00980156"/>
    <w:rsid w:val="009810A5"/>
    <w:rsid w:val="00981C8A"/>
    <w:rsid w:val="009832BC"/>
    <w:rsid w:val="00983C19"/>
    <w:rsid w:val="00990E20"/>
    <w:rsid w:val="00990E80"/>
    <w:rsid w:val="009915CF"/>
    <w:rsid w:val="0099423F"/>
    <w:rsid w:val="009956F5"/>
    <w:rsid w:val="009A49FC"/>
    <w:rsid w:val="009A52C4"/>
    <w:rsid w:val="009A52C9"/>
    <w:rsid w:val="009B2804"/>
    <w:rsid w:val="009B5672"/>
    <w:rsid w:val="009B5834"/>
    <w:rsid w:val="009C12F8"/>
    <w:rsid w:val="009C3169"/>
    <w:rsid w:val="009C573D"/>
    <w:rsid w:val="009C6FE8"/>
    <w:rsid w:val="009D0834"/>
    <w:rsid w:val="009D10EE"/>
    <w:rsid w:val="009D20EA"/>
    <w:rsid w:val="009D3564"/>
    <w:rsid w:val="009D4AF0"/>
    <w:rsid w:val="009E4B99"/>
    <w:rsid w:val="009E5D47"/>
    <w:rsid w:val="009E7601"/>
    <w:rsid w:val="009F2217"/>
    <w:rsid w:val="009F309B"/>
    <w:rsid w:val="009F3D18"/>
    <w:rsid w:val="00A00C8A"/>
    <w:rsid w:val="00A0265B"/>
    <w:rsid w:val="00A05034"/>
    <w:rsid w:val="00A0524B"/>
    <w:rsid w:val="00A05A54"/>
    <w:rsid w:val="00A07B21"/>
    <w:rsid w:val="00A112FB"/>
    <w:rsid w:val="00A11956"/>
    <w:rsid w:val="00A120CC"/>
    <w:rsid w:val="00A12898"/>
    <w:rsid w:val="00A12A9F"/>
    <w:rsid w:val="00A15303"/>
    <w:rsid w:val="00A1719D"/>
    <w:rsid w:val="00A20235"/>
    <w:rsid w:val="00A2283D"/>
    <w:rsid w:val="00A25A80"/>
    <w:rsid w:val="00A26D8B"/>
    <w:rsid w:val="00A31D18"/>
    <w:rsid w:val="00A324D7"/>
    <w:rsid w:val="00A37EFA"/>
    <w:rsid w:val="00A42A83"/>
    <w:rsid w:val="00A450DB"/>
    <w:rsid w:val="00A4522B"/>
    <w:rsid w:val="00A46051"/>
    <w:rsid w:val="00A468B2"/>
    <w:rsid w:val="00A50DCF"/>
    <w:rsid w:val="00A53F85"/>
    <w:rsid w:val="00A540D7"/>
    <w:rsid w:val="00A550BE"/>
    <w:rsid w:val="00A611AC"/>
    <w:rsid w:val="00A629A7"/>
    <w:rsid w:val="00A62F1A"/>
    <w:rsid w:val="00A634D0"/>
    <w:rsid w:val="00A65BBA"/>
    <w:rsid w:val="00A73442"/>
    <w:rsid w:val="00A7363D"/>
    <w:rsid w:val="00A75E38"/>
    <w:rsid w:val="00A760F9"/>
    <w:rsid w:val="00A80498"/>
    <w:rsid w:val="00A80792"/>
    <w:rsid w:val="00A82515"/>
    <w:rsid w:val="00A8484E"/>
    <w:rsid w:val="00A85D7E"/>
    <w:rsid w:val="00A86AE5"/>
    <w:rsid w:val="00A90D93"/>
    <w:rsid w:val="00A91496"/>
    <w:rsid w:val="00A91B6E"/>
    <w:rsid w:val="00A92C52"/>
    <w:rsid w:val="00A94D44"/>
    <w:rsid w:val="00A954F3"/>
    <w:rsid w:val="00A95F3F"/>
    <w:rsid w:val="00A960B2"/>
    <w:rsid w:val="00A97E4C"/>
    <w:rsid w:val="00AA02EF"/>
    <w:rsid w:val="00AA0DD5"/>
    <w:rsid w:val="00AA120D"/>
    <w:rsid w:val="00AA1B53"/>
    <w:rsid w:val="00AA2727"/>
    <w:rsid w:val="00AA2C64"/>
    <w:rsid w:val="00AA2C6A"/>
    <w:rsid w:val="00AA5326"/>
    <w:rsid w:val="00AB0439"/>
    <w:rsid w:val="00AB1184"/>
    <w:rsid w:val="00AB2416"/>
    <w:rsid w:val="00AB4355"/>
    <w:rsid w:val="00AB4E5D"/>
    <w:rsid w:val="00AB5A04"/>
    <w:rsid w:val="00AB69AA"/>
    <w:rsid w:val="00AB6A87"/>
    <w:rsid w:val="00AB6D88"/>
    <w:rsid w:val="00AC2F62"/>
    <w:rsid w:val="00AC381F"/>
    <w:rsid w:val="00AC4CB6"/>
    <w:rsid w:val="00AC6CF2"/>
    <w:rsid w:val="00AD0F2C"/>
    <w:rsid w:val="00AD2072"/>
    <w:rsid w:val="00AD2210"/>
    <w:rsid w:val="00AD245B"/>
    <w:rsid w:val="00AD327F"/>
    <w:rsid w:val="00AD3458"/>
    <w:rsid w:val="00AD3736"/>
    <w:rsid w:val="00AD5F09"/>
    <w:rsid w:val="00AE64EF"/>
    <w:rsid w:val="00AF185D"/>
    <w:rsid w:val="00AF2EB0"/>
    <w:rsid w:val="00AF315A"/>
    <w:rsid w:val="00AF705C"/>
    <w:rsid w:val="00AF76A3"/>
    <w:rsid w:val="00B01358"/>
    <w:rsid w:val="00B01EDC"/>
    <w:rsid w:val="00B021DC"/>
    <w:rsid w:val="00B03EF9"/>
    <w:rsid w:val="00B058FD"/>
    <w:rsid w:val="00B066B0"/>
    <w:rsid w:val="00B067A5"/>
    <w:rsid w:val="00B0708D"/>
    <w:rsid w:val="00B078A7"/>
    <w:rsid w:val="00B105E4"/>
    <w:rsid w:val="00B15882"/>
    <w:rsid w:val="00B170A8"/>
    <w:rsid w:val="00B20AC6"/>
    <w:rsid w:val="00B212EA"/>
    <w:rsid w:val="00B21D9C"/>
    <w:rsid w:val="00B22E00"/>
    <w:rsid w:val="00B30472"/>
    <w:rsid w:val="00B30B1F"/>
    <w:rsid w:val="00B31CAB"/>
    <w:rsid w:val="00B32A6C"/>
    <w:rsid w:val="00B35016"/>
    <w:rsid w:val="00B3547B"/>
    <w:rsid w:val="00B3637D"/>
    <w:rsid w:val="00B37ED0"/>
    <w:rsid w:val="00B41A14"/>
    <w:rsid w:val="00B43779"/>
    <w:rsid w:val="00B43900"/>
    <w:rsid w:val="00B44F49"/>
    <w:rsid w:val="00B51A42"/>
    <w:rsid w:val="00B52D0E"/>
    <w:rsid w:val="00B53CF3"/>
    <w:rsid w:val="00B5466F"/>
    <w:rsid w:val="00B54D2F"/>
    <w:rsid w:val="00B56D9D"/>
    <w:rsid w:val="00B572AC"/>
    <w:rsid w:val="00B6032E"/>
    <w:rsid w:val="00B6155A"/>
    <w:rsid w:val="00B61D52"/>
    <w:rsid w:val="00B62139"/>
    <w:rsid w:val="00B62A28"/>
    <w:rsid w:val="00B63946"/>
    <w:rsid w:val="00B652E7"/>
    <w:rsid w:val="00B66AA4"/>
    <w:rsid w:val="00B67111"/>
    <w:rsid w:val="00B7080B"/>
    <w:rsid w:val="00B73F62"/>
    <w:rsid w:val="00B75464"/>
    <w:rsid w:val="00B7554D"/>
    <w:rsid w:val="00B76BA0"/>
    <w:rsid w:val="00B8198B"/>
    <w:rsid w:val="00B81B01"/>
    <w:rsid w:val="00B83961"/>
    <w:rsid w:val="00B83A49"/>
    <w:rsid w:val="00B85B26"/>
    <w:rsid w:val="00B86B1D"/>
    <w:rsid w:val="00B872E4"/>
    <w:rsid w:val="00B90049"/>
    <w:rsid w:val="00B91DA5"/>
    <w:rsid w:val="00B92012"/>
    <w:rsid w:val="00B937D1"/>
    <w:rsid w:val="00B93B84"/>
    <w:rsid w:val="00B9579C"/>
    <w:rsid w:val="00B963F3"/>
    <w:rsid w:val="00B97E16"/>
    <w:rsid w:val="00BA08EA"/>
    <w:rsid w:val="00BA5B53"/>
    <w:rsid w:val="00BA71BB"/>
    <w:rsid w:val="00BB0262"/>
    <w:rsid w:val="00BB02C6"/>
    <w:rsid w:val="00BB0D7F"/>
    <w:rsid w:val="00BB4104"/>
    <w:rsid w:val="00BB7DC7"/>
    <w:rsid w:val="00BC0A23"/>
    <w:rsid w:val="00BC1E63"/>
    <w:rsid w:val="00BC327E"/>
    <w:rsid w:val="00BC4010"/>
    <w:rsid w:val="00BC4DB3"/>
    <w:rsid w:val="00BC5D2C"/>
    <w:rsid w:val="00BC5D69"/>
    <w:rsid w:val="00BD1574"/>
    <w:rsid w:val="00BD2F48"/>
    <w:rsid w:val="00BD5A4E"/>
    <w:rsid w:val="00BD6539"/>
    <w:rsid w:val="00BE34C1"/>
    <w:rsid w:val="00BE3AFA"/>
    <w:rsid w:val="00BE4CAA"/>
    <w:rsid w:val="00BE5868"/>
    <w:rsid w:val="00BF07CC"/>
    <w:rsid w:val="00BF0C81"/>
    <w:rsid w:val="00BF108D"/>
    <w:rsid w:val="00BF2437"/>
    <w:rsid w:val="00BF3EE8"/>
    <w:rsid w:val="00BF6387"/>
    <w:rsid w:val="00C001CC"/>
    <w:rsid w:val="00C028C5"/>
    <w:rsid w:val="00C038D2"/>
    <w:rsid w:val="00C06485"/>
    <w:rsid w:val="00C0709F"/>
    <w:rsid w:val="00C07942"/>
    <w:rsid w:val="00C10F3C"/>
    <w:rsid w:val="00C1435B"/>
    <w:rsid w:val="00C153E3"/>
    <w:rsid w:val="00C15EFF"/>
    <w:rsid w:val="00C22FB1"/>
    <w:rsid w:val="00C231BC"/>
    <w:rsid w:val="00C23FE9"/>
    <w:rsid w:val="00C2507A"/>
    <w:rsid w:val="00C27588"/>
    <w:rsid w:val="00C30E8D"/>
    <w:rsid w:val="00C32296"/>
    <w:rsid w:val="00C32B43"/>
    <w:rsid w:val="00C348F3"/>
    <w:rsid w:val="00C35516"/>
    <w:rsid w:val="00C35C8F"/>
    <w:rsid w:val="00C44261"/>
    <w:rsid w:val="00C442BD"/>
    <w:rsid w:val="00C44C0B"/>
    <w:rsid w:val="00C464DD"/>
    <w:rsid w:val="00C46751"/>
    <w:rsid w:val="00C4679D"/>
    <w:rsid w:val="00C501D2"/>
    <w:rsid w:val="00C5131E"/>
    <w:rsid w:val="00C51D7D"/>
    <w:rsid w:val="00C521BA"/>
    <w:rsid w:val="00C5494C"/>
    <w:rsid w:val="00C56882"/>
    <w:rsid w:val="00C60DCA"/>
    <w:rsid w:val="00C63B72"/>
    <w:rsid w:val="00C640B5"/>
    <w:rsid w:val="00C66A69"/>
    <w:rsid w:val="00C66CE3"/>
    <w:rsid w:val="00C7244D"/>
    <w:rsid w:val="00C728D9"/>
    <w:rsid w:val="00C72D09"/>
    <w:rsid w:val="00C74A47"/>
    <w:rsid w:val="00C7521B"/>
    <w:rsid w:val="00C76410"/>
    <w:rsid w:val="00C829E1"/>
    <w:rsid w:val="00C82DD6"/>
    <w:rsid w:val="00C8339D"/>
    <w:rsid w:val="00C845E3"/>
    <w:rsid w:val="00C86716"/>
    <w:rsid w:val="00C90769"/>
    <w:rsid w:val="00C9569A"/>
    <w:rsid w:val="00C95E17"/>
    <w:rsid w:val="00CA1456"/>
    <w:rsid w:val="00CA1CAB"/>
    <w:rsid w:val="00CA2DB6"/>
    <w:rsid w:val="00CA365C"/>
    <w:rsid w:val="00CA4635"/>
    <w:rsid w:val="00CA6180"/>
    <w:rsid w:val="00CA70A6"/>
    <w:rsid w:val="00CB0A91"/>
    <w:rsid w:val="00CB12B6"/>
    <w:rsid w:val="00CB2484"/>
    <w:rsid w:val="00CB6793"/>
    <w:rsid w:val="00CB7601"/>
    <w:rsid w:val="00CB792B"/>
    <w:rsid w:val="00CB7DA7"/>
    <w:rsid w:val="00CC1274"/>
    <w:rsid w:val="00CC211C"/>
    <w:rsid w:val="00CC23D3"/>
    <w:rsid w:val="00CC367D"/>
    <w:rsid w:val="00CC5230"/>
    <w:rsid w:val="00CC60B3"/>
    <w:rsid w:val="00CC63AB"/>
    <w:rsid w:val="00CD02FA"/>
    <w:rsid w:val="00CD104F"/>
    <w:rsid w:val="00CD33CF"/>
    <w:rsid w:val="00CD34B6"/>
    <w:rsid w:val="00CD4B99"/>
    <w:rsid w:val="00CD6476"/>
    <w:rsid w:val="00CD72B5"/>
    <w:rsid w:val="00CD7DA8"/>
    <w:rsid w:val="00CE169F"/>
    <w:rsid w:val="00CE3BD5"/>
    <w:rsid w:val="00CE71DA"/>
    <w:rsid w:val="00CF08CF"/>
    <w:rsid w:val="00CF1506"/>
    <w:rsid w:val="00CF4E4A"/>
    <w:rsid w:val="00CF63EE"/>
    <w:rsid w:val="00D02130"/>
    <w:rsid w:val="00D024BE"/>
    <w:rsid w:val="00D026AF"/>
    <w:rsid w:val="00D03D64"/>
    <w:rsid w:val="00D0603A"/>
    <w:rsid w:val="00D0693D"/>
    <w:rsid w:val="00D10E27"/>
    <w:rsid w:val="00D124F0"/>
    <w:rsid w:val="00D1588C"/>
    <w:rsid w:val="00D17B51"/>
    <w:rsid w:val="00D206AA"/>
    <w:rsid w:val="00D22E9D"/>
    <w:rsid w:val="00D24DF6"/>
    <w:rsid w:val="00D2567F"/>
    <w:rsid w:val="00D26532"/>
    <w:rsid w:val="00D2678E"/>
    <w:rsid w:val="00D30060"/>
    <w:rsid w:val="00D302DB"/>
    <w:rsid w:val="00D3131F"/>
    <w:rsid w:val="00D32877"/>
    <w:rsid w:val="00D32FA7"/>
    <w:rsid w:val="00D356CD"/>
    <w:rsid w:val="00D36A30"/>
    <w:rsid w:val="00D412A6"/>
    <w:rsid w:val="00D42B63"/>
    <w:rsid w:val="00D43435"/>
    <w:rsid w:val="00D53BF3"/>
    <w:rsid w:val="00D548FC"/>
    <w:rsid w:val="00D55EE2"/>
    <w:rsid w:val="00D571DC"/>
    <w:rsid w:val="00D57F36"/>
    <w:rsid w:val="00D60031"/>
    <w:rsid w:val="00D62994"/>
    <w:rsid w:val="00D67B2E"/>
    <w:rsid w:val="00D7256E"/>
    <w:rsid w:val="00D81580"/>
    <w:rsid w:val="00D862C8"/>
    <w:rsid w:val="00D90CE3"/>
    <w:rsid w:val="00D93D15"/>
    <w:rsid w:val="00D96972"/>
    <w:rsid w:val="00D977EA"/>
    <w:rsid w:val="00D97A3D"/>
    <w:rsid w:val="00D97A89"/>
    <w:rsid w:val="00DA014F"/>
    <w:rsid w:val="00DA22A8"/>
    <w:rsid w:val="00DA6FB1"/>
    <w:rsid w:val="00DA7AC7"/>
    <w:rsid w:val="00DB2043"/>
    <w:rsid w:val="00DB21BD"/>
    <w:rsid w:val="00DB222A"/>
    <w:rsid w:val="00DB2D49"/>
    <w:rsid w:val="00DB34BC"/>
    <w:rsid w:val="00DB4E00"/>
    <w:rsid w:val="00DB6CA9"/>
    <w:rsid w:val="00DC1BDF"/>
    <w:rsid w:val="00DC1BF2"/>
    <w:rsid w:val="00DD0C10"/>
    <w:rsid w:val="00DD22FF"/>
    <w:rsid w:val="00DD296F"/>
    <w:rsid w:val="00DD34CD"/>
    <w:rsid w:val="00DD39D6"/>
    <w:rsid w:val="00DE0390"/>
    <w:rsid w:val="00DE5334"/>
    <w:rsid w:val="00DF069B"/>
    <w:rsid w:val="00DF1C4C"/>
    <w:rsid w:val="00DF2483"/>
    <w:rsid w:val="00DF5E40"/>
    <w:rsid w:val="00DF668F"/>
    <w:rsid w:val="00DF7C3B"/>
    <w:rsid w:val="00E00939"/>
    <w:rsid w:val="00E0181C"/>
    <w:rsid w:val="00E0239D"/>
    <w:rsid w:val="00E02CC5"/>
    <w:rsid w:val="00E04850"/>
    <w:rsid w:val="00E05D27"/>
    <w:rsid w:val="00E06306"/>
    <w:rsid w:val="00E06469"/>
    <w:rsid w:val="00E066DD"/>
    <w:rsid w:val="00E0765E"/>
    <w:rsid w:val="00E10F2C"/>
    <w:rsid w:val="00E1179D"/>
    <w:rsid w:val="00E12D9F"/>
    <w:rsid w:val="00E14B2B"/>
    <w:rsid w:val="00E16BF7"/>
    <w:rsid w:val="00E17E13"/>
    <w:rsid w:val="00E2237C"/>
    <w:rsid w:val="00E229D7"/>
    <w:rsid w:val="00E25830"/>
    <w:rsid w:val="00E278D0"/>
    <w:rsid w:val="00E312F7"/>
    <w:rsid w:val="00E34AA6"/>
    <w:rsid w:val="00E40033"/>
    <w:rsid w:val="00E40787"/>
    <w:rsid w:val="00E40B7F"/>
    <w:rsid w:val="00E41105"/>
    <w:rsid w:val="00E450D5"/>
    <w:rsid w:val="00E4543A"/>
    <w:rsid w:val="00E5189D"/>
    <w:rsid w:val="00E52C2D"/>
    <w:rsid w:val="00E60055"/>
    <w:rsid w:val="00E602B5"/>
    <w:rsid w:val="00E608C1"/>
    <w:rsid w:val="00E6246E"/>
    <w:rsid w:val="00E63CFD"/>
    <w:rsid w:val="00E6775D"/>
    <w:rsid w:val="00E72150"/>
    <w:rsid w:val="00E72BD1"/>
    <w:rsid w:val="00E77965"/>
    <w:rsid w:val="00E81AF6"/>
    <w:rsid w:val="00E82329"/>
    <w:rsid w:val="00E83E92"/>
    <w:rsid w:val="00E8411C"/>
    <w:rsid w:val="00E858A3"/>
    <w:rsid w:val="00E8591A"/>
    <w:rsid w:val="00E86B96"/>
    <w:rsid w:val="00E86F8C"/>
    <w:rsid w:val="00E931C6"/>
    <w:rsid w:val="00E93930"/>
    <w:rsid w:val="00E94883"/>
    <w:rsid w:val="00E94DD9"/>
    <w:rsid w:val="00E95961"/>
    <w:rsid w:val="00E96A2E"/>
    <w:rsid w:val="00E96BC9"/>
    <w:rsid w:val="00EA02F2"/>
    <w:rsid w:val="00EA0B16"/>
    <w:rsid w:val="00EA21FF"/>
    <w:rsid w:val="00EA396E"/>
    <w:rsid w:val="00EA464A"/>
    <w:rsid w:val="00EA6668"/>
    <w:rsid w:val="00EB00EE"/>
    <w:rsid w:val="00EB13AA"/>
    <w:rsid w:val="00EB1609"/>
    <w:rsid w:val="00EB2FC5"/>
    <w:rsid w:val="00EB4109"/>
    <w:rsid w:val="00EB4961"/>
    <w:rsid w:val="00EB5E3B"/>
    <w:rsid w:val="00EB7BDC"/>
    <w:rsid w:val="00EC0E78"/>
    <w:rsid w:val="00EC5949"/>
    <w:rsid w:val="00EC7067"/>
    <w:rsid w:val="00EC75ED"/>
    <w:rsid w:val="00EC7EF9"/>
    <w:rsid w:val="00ED0ED8"/>
    <w:rsid w:val="00ED11D6"/>
    <w:rsid w:val="00ED43B6"/>
    <w:rsid w:val="00ED549D"/>
    <w:rsid w:val="00ED7669"/>
    <w:rsid w:val="00EE225E"/>
    <w:rsid w:val="00EE25E8"/>
    <w:rsid w:val="00EE2A44"/>
    <w:rsid w:val="00EE36F1"/>
    <w:rsid w:val="00EE481F"/>
    <w:rsid w:val="00EE4A02"/>
    <w:rsid w:val="00EE6B56"/>
    <w:rsid w:val="00EE7DD5"/>
    <w:rsid w:val="00EE7E2C"/>
    <w:rsid w:val="00EF1803"/>
    <w:rsid w:val="00EF194C"/>
    <w:rsid w:val="00EF4A0E"/>
    <w:rsid w:val="00EF7D4F"/>
    <w:rsid w:val="00F00BAE"/>
    <w:rsid w:val="00F034C0"/>
    <w:rsid w:val="00F03CAC"/>
    <w:rsid w:val="00F041A2"/>
    <w:rsid w:val="00F045F2"/>
    <w:rsid w:val="00F1022E"/>
    <w:rsid w:val="00F131CA"/>
    <w:rsid w:val="00F13731"/>
    <w:rsid w:val="00F138DD"/>
    <w:rsid w:val="00F15F21"/>
    <w:rsid w:val="00F172B7"/>
    <w:rsid w:val="00F17363"/>
    <w:rsid w:val="00F17403"/>
    <w:rsid w:val="00F17651"/>
    <w:rsid w:val="00F22F68"/>
    <w:rsid w:val="00F23029"/>
    <w:rsid w:val="00F24F88"/>
    <w:rsid w:val="00F255B8"/>
    <w:rsid w:val="00F26D0A"/>
    <w:rsid w:val="00F33778"/>
    <w:rsid w:val="00F341C1"/>
    <w:rsid w:val="00F35ED9"/>
    <w:rsid w:val="00F431F0"/>
    <w:rsid w:val="00F43F2B"/>
    <w:rsid w:val="00F44206"/>
    <w:rsid w:val="00F4722D"/>
    <w:rsid w:val="00F5108C"/>
    <w:rsid w:val="00F52377"/>
    <w:rsid w:val="00F57793"/>
    <w:rsid w:val="00F609CC"/>
    <w:rsid w:val="00F61AD8"/>
    <w:rsid w:val="00F627BD"/>
    <w:rsid w:val="00F62DD0"/>
    <w:rsid w:val="00F6518F"/>
    <w:rsid w:val="00F6768F"/>
    <w:rsid w:val="00F676E7"/>
    <w:rsid w:val="00F72A6A"/>
    <w:rsid w:val="00F74B14"/>
    <w:rsid w:val="00F75650"/>
    <w:rsid w:val="00F7574A"/>
    <w:rsid w:val="00F84E92"/>
    <w:rsid w:val="00F86CDA"/>
    <w:rsid w:val="00F87398"/>
    <w:rsid w:val="00F87FB5"/>
    <w:rsid w:val="00F901EE"/>
    <w:rsid w:val="00F9107C"/>
    <w:rsid w:val="00F92396"/>
    <w:rsid w:val="00F92AAC"/>
    <w:rsid w:val="00F95C95"/>
    <w:rsid w:val="00FA0915"/>
    <w:rsid w:val="00FA09F1"/>
    <w:rsid w:val="00FA137A"/>
    <w:rsid w:val="00FA2138"/>
    <w:rsid w:val="00FA2A21"/>
    <w:rsid w:val="00FA3E09"/>
    <w:rsid w:val="00FA3E1E"/>
    <w:rsid w:val="00FA435F"/>
    <w:rsid w:val="00FA5CD8"/>
    <w:rsid w:val="00FA7824"/>
    <w:rsid w:val="00FB1D41"/>
    <w:rsid w:val="00FB3527"/>
    <w:rsid w:val="00FB35AC"/>
    <w:rsid w:val="00FB409A"/>
    <w:rsid w:val="00FB57FC"/>
    <w:rsid w:val="00FB6672"/>
    <w:rsid w:val="00FB6FCD"/>
    <w:rsid w:val="00FC00DE"/>
    <w:rsid w:val="00FC0C81"/>
    <w:rsid w:val="00FC1D11"/>
    <w:rsid w:val="00FC39E3"/>
    <w:rsid w:val="00FC6496"/>
    <w:rsid w:val="00FD072C"/>
    <w:rsid w:val="00FD085C"/>
    <w:rsid w:val="00FD0F1B"/>
    <w:rsid w:val="00FD13F4"/>
    <w:rsid w:val="00FE1A60"/>
    <w:rsid w:val="00FE6253"/>
    <w:rsid w:val="00FF2D5E"/>
    <w:rsid w:val="00FF3A3B"/>
    <w:rsid w:val="0C93D3DE"/>
    <w:rsid w:val="0E40BBF5"/>
    <w:rsid w:val="116786E3"/>
    <w:rsid w:val="1271E384"/>
    <w:rsid w:val="1F3C460D"/>
    <w:rsid w:val="216C929B"/>
    <w:rsid w:val="22399EF2"/>
    <w:rsid w:val="29C7A8AD"/>
    <w:rsid w:val="3E5AD903"/>
    <w:rsid w:val="48993B83"/>
    <w:rsid w:val="52B42496"/>
    <w:rsid w:val="591A9623"/>
    <w:rsid w:val="5F9049BE"/>
    <w:rsid w:val="6E20A0DE"/>
    <w:rsid w:val="74F4A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37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A73"/>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A1019"/>
    <w:pPr>
      <w:keepNext/>
      <w:keepLines/>
      <w:spacing w:before="40" w:after="0"/>
      <w:outlineLvl w:val="1"/>
    </w:pPr>
    <w:rPr>
      <w:rFonts w:asciiTheme="majorHAnsi" w:eastAsia="Malgun Gothic" w:hAnsiTheme="majorHAnsi" w:cstheme="majorBidi"/>
      <w:color w:val="365F91" w:themeColor="accent1" w:themeShade="BF"/>
      <w:sz w:val="26"/>
      <w:szCs w:val="26"/>
      <w:lang w:eastAsia="ja-JP"/>
    </w:rPr>
  </w:style>
  <w:style w:type="paragraph" w:styleId="Heading3">
    <w:name w:val="heading 3"/>
    <w:basedOn w:val="Normal"/>
    <w:next w:val="Normal"/>
    <w:link w:val="Heading3Char"/>
    <w:uiPriority w:val="9"/>
    <w:unhideWhenUsed/>
    <w:qFormat/>
    <w:rsid w:val="00CD104F"/>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aliases w:val="F1"/>
    <w:basedOn w:val="Normal"/>
    <w:link w:val="FootnoteTextChar"/>
    <w:uiPriority w:val="99"/>
    <w:unhideWhenUsed/>
    <w:rsid w:val="009911AB"/>
    <w:rPr>
      <w:sz w:val="20"/>
      <w:szCs w:val="20"/>
    </w:rPr>
  </w:style>
  <w:style w:type="character" w:customStyle="1" w:styleId="FootnoteTextChar">
    <w:name w:val="Footnote Text Char"/>
    <w:aliases w:val="F1 Char"/>
    <w:basedOn w:val="DefaultParagraphFont"/>
    <w:link w:val="FootnoteText"/>
    <w:uiPriority w:val="99"/>
    <w:rsid w:val="009911AB"/>
  </w:style>
  <w:style w:type="character" w:styleId="FootnoteReference">
    <w:name w:val="footnote reference"/>
    <w:uiPriority w:val="99"/>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537D7E"/>
    <w:pPr>
      <w:tabs>
        <w:tab w:val="left" w:pos="450"/>
        <w:tab w:val="right" w:leader="dot" w:pos="9350"/>
      </w:tabs>
    </w:p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uiPriority w:val="34"/>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eastAsia="Times New Roman"/>
      <w:szCs w:val="24"/>
    </w:rPr>
  </w:style>
  <w:style w:type="character" w:customStyle="1" w:styleId="StyleTimesNewRoman">
    <w:name w:val="Style Times New Roman"/>
    <w:rsid w:val="00267682"/>
    <w:rPr>
      <w:color w:val="000000"/>
      <w:sz w:val="24"/>
    </w:rPr>
  </w:style>
  <w:style w:type="character" w:customStyle="1" w:styleId="Heading2Char">
    <w:name w:val="Heading 2 Char"/>
    <w:basedOn w:val="DefaultParagraphFont"/>
    <w:link w:val="Heading2"/>
    <w:uiPriority w:val="9"/>
    <w:rsid w:val="004A1019"/>
    <w:rPr>
      <w:rFonts w:asciiTheme="majorHAnsi" w:eastAsia="Malgun Gothic" w:hAnsiTheme="majorHAnsi" w:cstheme="majorBidi"/>
      <w:color w:val="365F91" w:themeColor="accent1" w:themeShade="BF"/>
      <w:sz w:val="26"/>
      <w:szCs w:val="26"/>
      <w:lang w:eastAsia="ja-JP"/>
    </w:rPr>
  </w:style>
  <w:style w:type="paragraph" w:styleId="TOC2">
    <w:name w:val="toc 2"/>
    <w:basedOn w:val="Normal"/>
    <w:next w:val="Normal"/>
    <w:autoRedefine/>
    <w:uiPriority w:val="39"/>
    <w:unhideWhenUsed/>
    <w:rsid w:val="00450883"/>
    <w:pPr>
      <w:spacing w:after="100"/>
      <w:ind w:left="220"/>
    </w:pPr>
    <w:rPr>
      <w:noProof/>
    </w:rPr>
  </w:style>
  <w:style w:type="character" w:styleId="LineNumber">
    <w:name w:val="line number"/>
    <w:basedOn w:val="DefaultParagraphFont"/>
    <w:uiPriority w:val="99"/>
    <w:semiHidden/>
    <w:unhideWhenUsed/>
    <w:rsid w:val="003B7B0C"/>
  </w:style>
  <w:style w:type="paragraph" w:styleId="TOCHeading">
    <w:name w:val="TOC Heading"/>
    <w:basedOn w:val="Heading1"/>
    <w:next w:val="Heading2"/>
    <w:uiPriority w:val="39"/>
    <w:unhideWhenUsed/>
    <w:qFormat/>
    <w:rsid w:val="00B067A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4A1019"/>
    <w:pPr>
      <w:spacing w:after="100" w:line="259" w:lineRule="auto"/>
      <w:ind w:left="440"/>
    </w:pPr>
    <w:rPr>
      <w:rFonts w:asciiTheme="minorHAnsi" w:eastAsiaTheme="minorEastAsia" w:hAnsiTheme="minorHAnsi"/>
    </w:rPr>
  </w:style>
  <w:style w:type="character" w:styleId="Emphasis">
    <w:name w:val="Emphasis"/>
    <w:basedOn w:val="DefaultParagraphFont"/>
    <w:uiPriority w:val="20"/>
    <w:qFormat/>
    <w:rsid w:val="001F5289"/>
    <w:rPr>
      <w:i/>
      <w:iCs/>
    </w:rPr>
  </w:style>
  <w:style w:type="character" w:customStyle="1" w:styleId="A33">
    <w:name w:val="A33"/>
    <w:uiPriority w:val="99"/>
    <w:rsid w:val="0080425A"/>
    <w:rPr>
      <w:i/>
      <w:color w:val="000000"/>
      <w:sz w:val="17"/>
    </w:rPr>
  </w:style>
  <w:style w:type="character" w:customStyle="1" w:styleId="Heading3Char">
    <w:name w:val="Heading 3 Char"/>
    <w:basedOn w:val="DefaultParagraphFont"/>
    <w:link w:val="Heading3"/>
    <w:uiPriority w:val="9"/>
    <w:rsid w:val="00CD104F"/>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A73"/>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A1019"/>
    <w:pPr>
      <w:keepNext/>
      <w:keepLines/>
      <w:spacing w:before="40" w:after="0"/>
      <w:outlineLvl w:val="1"/>
    </w:pPr>
    <w:rPr>
      <w:rFonts w:asciiTheme="majorHAnsi" w:eastAsia="Malgun Gothic" w:hAnsiTheme="majorHAnsi" w:cstheme="majorBidi"/>
      <w:color w:val="365F91" w:themeColor="accent1" w:themeShade="BF"/>
      <w:sz w:val="26"/>
      <w:szCs w:val="26"/>
      <w:lang w:eastAsia="ja-JP"/>
    </w:rPr>
  </w:style>
  <w:style w:type="paragraph" w:styleId="Heading3">
    <w:name w:val="heading 3"/>
    <w:basedOn w:val="Normal"/>
    <w:next w:val="Normal"/>
    <w:link w:val="Heading3Char"/>
    <w:uiPriority w:val="9"/>
    <w:unhideWhenUsed/>
    <w:qFormat/>
    <w:rsid w:val="00CD104F"/>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aliases w:val="F1"/>
    <w:basedOn w:val="Normal"/>
    <w:link w:val="FootnoteTextChar"/>
    <w:uiPriority w:val="99"/>
    <w:unhideWhenUsed/>
    <w:rsid w:val="009911AB"/>
    <w:rPr>
      <w:sz w:val="20"/>
      <w:szCs w:val="20"/>
    </w:rPr>
  </w:style>
  <w:style w:type="character" w:customStyle="1" w:styleId="FootnoteTextChar">
    <w:name w:val="Footnote Text Char"/>
    <w:aliases w:val="F1 Char"/>
    <w:basedOn w:val="DefaultParagraphFont"/>
    <w:link w:val="FootnoteText"/>
    <w:uiPriority w:val="99"/>
    <w:rsid w:val="009911AB"/>
  </w:style>
  <w:style w:type="character" w:styleId="FootnoteReference">
    <w:name w:val="footnote reference"/>
    <w:uiPriority w:val="99"/>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537D7E"/>
    <w:pPr>
      <w:tabs>
        <w:tab w:val="left" w:pos="450"/>
        <w:tab w:val="right" w:leader="dot" w:pos="9350"/>
      </w:tabs>
    </w:p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uiPriority w:val="34"/>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eastAsia="Times New Roman"/>
      <w:szCs w:val="24"/>
    </w:rPr>
  </w:style>
  <w:style w:type="character" w:customStyle="1" w:styleId="StyleTimesNewRoman">
    <w:name w:val="Style Times New Roman"/>
    <w:rsid w:val="00267682"/>
    <w:rPr>
      <w:color w:val="000000"/>
      <w:sz w:val="24"/>
    </w:rPr>
  </w:style>
  <w:style w:type="character" w:customStyle="1" w:styleId="Heading2Char">
    <w:name w:val="Heading 2 Char"/>
    <w:basedOn w:val="DefaultParagraphFont"/>
    <w:link w:val="Heading2"/>
    <w:uiPriority w:val="9"/>
    <w:rsid w:val="004A1019"/>
    <w:rPr>
      <w:rFonts w:asciiTheme="majorHAnsi" w:eastAsia="Malgun Gothic" w:hAnsiTheme="majorHAnsi" w:cstheme="majorBidi"/>
      <w:color w:val="365F91" w:themeColor="accent1" w:themeShade="BF"/>
      <w:sz w:val="26"/>
      <w:szCs w:val="26"/>
      <w:lang w:eastAsia="ja-JP"/>
    </w:rPr>
  </w:style>
  <w:style w:type="paragraph" w:styleId="TOC2">
    <w:name w:val="toc 2"/>
    <w:basedOn w:val="Normal"/>
    <w:next w:val="Normal"/>
    <w:autoRedefine/>
    <w:uiPriority w:val="39"/>
    <w:unhideWhenUsed/>
    <w:rsid w:val="00450883"/>
    <w:pPr>
      <w:spacing w:after="100"/>
      <w:ind w:left="220"/>
    </w:pPr>
    <w:rPr>
      <w:noProof/>
    </w:rPr>
  </w:style>
  <w:style w:type="character" w:styleId="LineNumber">
    <w:name w:val="line number"/>
    <w:basedOn w:val="DefaultParagraphFont"/>
    <w:uiPriority w:val="99"/>
    <w:semiHidden/>
    <w:unhideWhenUsed/>
    <w:rsid w:val="003B7B0C"/>
  </w:style>
  <w:style w:type="paragraph" w:styleId="TOCHeading">
    <w:name w:val="TOC Heading"/>
    <w:basedOn w:val="Heading1"/>
    <w:next w:val="Heading2"/>
    <w:uiPriority w:val="39"/>
    <w:unhideWhenUsed/>
    <w:qFormat/>
    <w:rsid w:val="00B067A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4A1019"/>
    <w:pPr>
      <w:spacing w:after="100" w:line="259" w:lineRule="auto"/>
      <w:ind w:left="440"/>
    </w:pPr>
    <w:rPr>
      <w:rFonts w:asciiTheme="minorHAnsi" w:eastAsiaTheme="minorEastAsia" w:hAnsiTheme="minorHAnsi"/>
    </w:rPr>
  </w:style>
  <w:style w:type="character" w:styleId="Emphasis">
    <w:name w:val="Emphasis"/>
    <w:basedOn w:val="DefaultParagraphFont"/>
    <w:uiPriority w:val="20"/>
    <w:qFormat/>
    <w:rsid w:val="001F5289"/>
    <w:rPr>
      <w:i/>
      <w:iCs/>
    </w:rPr>
  </w:style>
  <w:style w:type="character" w:customStyle="1" w:styleId="A33">
    <w:name w:val="A33"/>
    <w:uiPriority w:val="99"/>
    <w:rsid w:val="0080425A"/>
    <w:rPr>
      <w:i/>
      <w:color w:val="000000"/>
      <w:sz w:val="17"/>
    </w:rPr>
  </w:style>
  <w:style w:type="character" w:customStyle="1" w:styleId="Heading3Char">
    <w:name w:val="Heading 3 Char"/>
    <w:basedOn w:val="DefaultParagraphFont"/>
    <w:link w:val="Heading3"/>
    <w:uiPriority w:val="9"/>
    <w:rsid w:val="00CD104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265">
      <w:bodyDiv w:val="1"/>
      <w:marLeft w:val="0"/>
      <w:marRight w:val="0"/>
      <w:marTop w:val="0"/>
      <w:marBottom w:val="0"/>
      <w:divBdr>
        <w:top w:val="none" w:sz="0" w:space="0" w:color="auto"/>
        <w:left w:val="none" w:sz="0" w:space="0" w:color="auto"/>
        <w:bottom w:val="none" w:sz="0" w:space="0" w:color="auto"/>
        <w:right w:val="none" w:sz="0" w:space="0" w:color="auto"/>
      </w:divBdr>
    </w:div>
    <w:div w:id="441876200">
      <w:bodyDiv w:val="1"/>
      <w:marLeft w:val="0"/>
      <w:marRight w:val="0"/>
      <w:marTop w:val="0"/>
      <w:marBottom w:val="0"/>
      <w:divBdr>
        <w:top w:val="none" w:sz="0" w:space="0" w:color="auto"/>
        <w:left w:val="none" w:sz="0" w:space="0" w:color="auto"/>
        <w:bottom w:val="none" w:sz="0" w:space="0" w:color="auto"/>
        <w:right w:val="none" w:sz="0" w:space="0" w:color="auto"/>
      </w:divBdr>
    </w:div>
    <w:div w:id="489564501">
      <w:bodyDiv w:val="1"/>
      <w:marLeft w:val="0"/>
      <w:marRight w:val="0"/>
      <w:marTop w:val="0"/>
      <w:marBottom w:val="0"/>
      <w:divBdr>
        <w:top w:val="none" w:sz="0" w:space="0" w:color="auto"/>
        <w:left w:val="none" w:sz="0" w:space="0" w:color="auto"/>
        <w:bottom w:val="none" w:sz="0" w:space="0" w:color="auto"/>
        <w:right w:val="none" w:sz="0" w:space="0" w:color="auto"/>
      </w:divBdr>
    </w:div>
    <w:div w:id="536627173">
      <w:bodyDiv w:val="1"/>
      <w:marLeft w:val="0"/>
      <w:marRight w:val="0"/>
      <w:marTop w:val="0"/>
      <w:marBottom w:val="0"/>
      <w:divBdr>
        <w:top w:val="none" w:sz="0" w:space="0" w:color="auto"/>
        <w:left w:val="none" w:sz="0" w:space="0" w:color="auto"/>
        <w:bottom w:val="none" w:sz="0" w:space="0" w:color="auto"/>
        <w:right w:val="none" w:sz="0" w:space="0" w:color="auto"/>
      </w:divBdr>
    </w:div>
    <w:div w:id="714112553">
      <w:bodyDiv w:val="1"/>
      <w:marLeft w:val="0"/>
      <w:marRight w:val="0"/>
      <w:marTop w:val="0"/>
      <w:marBottom w:val="0"/>
      <w:divBdr>
        <w:top w:val="none" w:sz="0" w:space="0" w:color="auto"/>
        <w:left w:val="none" w:sz="0" w:space="0" w:color="auto"/>
        <w:bottom w:val="none" w:sz="0" w:space="0" w:color="auto"/>
        <w:right w:val="none" w:sz="0" w:space="0" w:color="auto"/>
      </w:divBdr>
    </w:div>
    <w:div w:id="757869663">
      <w:bodyDiv w:val="1"/>
      <w:marLeft w:val="0"/>
      <w:marRight w:val="0"/>
      <w:marTop w:val="0"/>
      <w:marBottom w:val="0"/>
      <w:divBdr>
        <w:top w:val="none" w:sz="0" w:space="0" w:color="auto"/>
        <w:left w:val="none" w:sz="0" w:space="0" w:color="auto"/>
        <w:bottom w:val="none" w:sz="0" w:space="0" w:color="auto"/>
        <w:right w:val="none" w:sz="0" w:space="0" w:color="auto"/>
      </w:divBdr>
    </w:div>
    <w:div w:id="872422342">
      <w:bodyDiv w:val="1"/>
      <w:marLeft w:val="0"/>
      <w:marRight w:val="0"/>
      <w:marTop w:val="0"/>
      <w:marBottom w:val="0"/>
      <w:divBdr>
        <w:top w:val="none" w:sz="0" w:space="0" w:color="auto"/>
        <w:left w:val="none" w:sz="0" w:space="0" w:color="auto"/>
        <w:bottom w:val="none" w:sz="0" w:space="0" w:color="auto"/>
        <w:right w:val="none" w:sz="0" w:space="0" w:color="auto"/>
      </w:divBdr>
      <w:divsChild>
        <w:div w:id="1679916928">
          <w:marLeft w:val="446"/>
          <w:marRight w:val="0"/>
          <w:marTop w:val="0"/>
          <w:marBottom w:val="0"/>
          <w:divBdr>
            <w:top w:val="none" w:sz="0" w:space="0" w:color="auto"/>
            <w:left w:val="none" w:sz="0" w:space="0" w:color="auto"/>
            <w:bottom w:val="none" w:sz="0" w:space="0" w:color="auto"/>
            <w:right w:val="none" w:sz="0" w:space="0" w:color="auto"/>
          </w:divBdr>
        </w:div>
        <w:div w:id="1133985136">
          <w:marLeft w:val="446"/>
          <w:marRight w:val="0"/>
          <w:marTop w:val="0"/>
          <w:marBottom w:val="0"/>
          <w:divBdr>
            <w:top w:val="none" w:sz="0" w:space="0" w:color="auto"/>
            <w:left w:val="none" w:sz="0" w:space="0" w:color="auto"/>
            <w:bottom w:val="none" w:sz="0" w:space="0" w:color="auto"/>
            <w:right w:val="none" w:sz="0" w:space="0" w:color="auto"/>
          </w:divBdr>
        </w:div>
        <w:div w:id="321202910">
          <w:marLeft w:val="446"/>
          <w:marRight w:val="0"/>
          <w:marTop w:val="0"/>
          <w:marBottom w:val="0"/>
          <w:divBdr>
            <w:top w:val="none" w:sz="0" w:space="0" w:color="auto"/>
            <w:left w:val="none" w:sz="0" w:space="0" w:color="auto"/>
            <w:bottom w:val="none" w:sz="0" w:space="0" w:color="auto"/>
            <w:right w:val="none" w:sz="0" w:space="0" w:color="auto"/>
          </w:divBdr>
        </w:div>
        <w:div w:id="1411150734">
          <w:marLeft w:val="446"/>
          <w:marRight w:val="0"/>
          <w:marTop w:val="0"/>
          <w:marBottom w:val="0"/>
          <w:divBdr>
            <w:top w:val="none" w:sz="0" w:space="0" w:color="auto"/>
            <w:left w:val="none" w:sz="0" w:space="0" w:color="auto"/>
            <w:bottom w:val="none" w:sz="0" w:space="0" w:color="auto"/>
            <w:right w:val="none" w:sz="0" w:space="0" w:color="auto"/>
          </w:divBdr>
        </w:div>
      </w:divsChild>
    </w:div>
    <w:div w:id="1066412066">
      <w:bodyDiv w:val="1"/>
      <w:marLeft w:val="0"/>
      <w:marRight w:val="0"/>
      <w:marTop w:val="0"/>
      <w:marBottom w:val="0"/>
      <w:divBdr>
        <w:top w:val="none" w:sz="0" w:space="0" w:color="auto"/>
        <w:left w:val="none" w:sz="0" w:space="0" w:color="auto"/>
        <w:bottom w:val="none" w:sz="0" w:space="0" w:color="auto"/>
        <w:right w:val="none" w:sz="0" w:space="0" w:color="auto"/>
      </w:divBdr>
      <w:divsChild>
        <w:div w:id="1569001462">
          <w:marLeft w:val="446"/>
          <w:marRight w:val="0"/>
          <w:marTop w:val="0"/>
          <w:marBottom w:val="0"/>
          <w:divBdr>
            <w:top w:val="none" w:sz="0" w:space="0" w:color="auto"/>
            <w:left w:val="none" w:sz="0" w:space="0" w:color="auto"/>
            <w:bottom w:val="none" w:sz="0" w:space="0" w:color="auto"/>
            <w:right w:val="none" w:sz="0" w:space="0" w:color="auto"/>
          </w:divBdr>
        </w:div>
        <w:div w:id="1947736609">
          <w:marLeft w:val="446"/>
          <w:marRight w:val="0"/>
          <w:marTop w:val="0"/>
          <w:marBottom w:val="0"/>
          <w:divBdr>
            <w:top w:val="none" w:sz="0" w:space="0" w:color="auto"/>
            <w:left w:val="none" w:sz="0" w:space="0" w:color="auto"/>
            <w:bottom w:val="none" w:sz="0" w:space="0" w:color="auto"/>
            <w:right w:val="none" w:sz="0" w:space="0" w:color="auto"/>
          </w:divBdr>
        </w:div>
        <w:div w:id="1451709307">
          <w:marLeft w:val="446"/>
          <w:marRight w:val="0"/>
          <w:marTop w:val="0"/>
          <w:marBottom w:val="0"/>
          <w:divBdr>
            <w:top w:val="none" w:sz="0" w:space="0" w:color="auto"/>
            <w:left w:val="none" w:sz="0" w:space="0" w:color="auto"/>
            <w:bottom w:val="none" w:sz="0" w:space="0" w:color="auto"/>
            <w:right w:val="none" w:sz="0" w:space="0" w:color="auto"/>
          </w:divBdr>
        </w:div>
        <w:div w:id="831678119">
          <w:marLeft w:val="446"/>
          <w:marRight w:val="0"/>
          <w:marTop w:val="0"/>
          <w:marBottom w:val="0"/>
          <w:divBdr>
            <w:top w:val="none" w:sz="0" w:space="0" w:color="auto"/>
            <w:left w:val="none" w:sz="0" w:space="0" w:color="auto"/>
            <w:bottom w:val="none" w:sz="0" w:space="0" w:color="auto"/>
            <w:right w:val="none" w:sz="0" w:space="0" w:color="auto"/>
          </w:divBdr>
        </w:div>
      </w:divsChild>
    </w:div>
    <w:div w:id="1489321881">
      <w:bodyDiv w:val="1"/>
      <w:marLeft w:val="0"/>
      <w:marRight w:val="0"/>
      <w:marTop w:val="0"/>
      <w:marBottom w:val="0"/>
      <w:divBdr>
        <w:top w:val="none" w:sz="0" w:space="0" w:color="auto"/>
        <w:left w:val="none" w:sz="0" w:space="0" w:color="auto"/>
        <w:bottom w:val="none" w:sz="0" w:space="0" w:color="auto"/>
        <w:right w:val="none" w:sz="0" w:space="0" w:color="auto"/>
      </w:divBdr>
    </w:div>
    <w:div w:id="1619144583">
      <w:bodyDiv w:val="1"/>
      <w:marLeft w:val="0"/>
      <w:marRight w:val="0"/>
      <w:marTop w:val="0"/>
      <w:marBottom w:val="0"/>
      <w:divBdr>
        <w:top w:val="none" w:sz="0" w:space="0" w:color="auto"/>
        <w:left w:val="none" w:sz="0" w:space="0" w:color="auto"/>
        <w:bottom w:val="none" w:sz="0" w:space="0" w:color="auto"/>
        <w:right w:val="none" w:sz="0" w:space="0" w:color="auto"/>
      </w:divBdr>
    </w:div>
    <w:div w:id="1689409984">
      <w:bodyDiv w:val="1"/>
      <w:marLeft w:val="0"/>
      <w:marRight w:val="0"/>
      <w:marTop w:val="0"/>
      <w:marBottom w:val="0"/>
      <w:divBdr>
        <w:top w:val="none" w:sz="0" w:space="0" w:color="auto"/>
        <w:left w:val="none" w:sz="0" w:space="0" w:color="auto"/>
        <w:bottom w:val="none" w:sz="0" w:space="0" w:color="auto"/>
        <w:right w:val="none" w:sz="0" w:space="0" w:color="auto"/>
      </w:divBdr>
    </w:div>
    <w:div w:id="1887135854">
      <w:bodyDiv w:val="1"/>
      <w:marLeft w:val="0"/>
      <w:marRight w:val="0"/>
      <w:marTop w:val="0"/>
      <w:marBottom w:val="0"/>
      <w:divBdr>
        <w:top w:val="none" w:sz="0" w:space="0" w:color="auto"/>
        <w:left w:val="none" w:sz="0" w:space="0" w:color="auto"/>
        <w:bottom w:val="none" w:sz="0" w:space="0" w:color="auto"/>
        <w:right w:val="none" w:sz="0" w:space="0" w:color="auto"/>
      </w:divBdr>
    </w:div>
    <w:div w:id="1934237726">
      <w:bodyDiv w:val="1"/>
      <w:marLeft w:val="0"/>
      <w:marRight w:val="0"/>
      <w:marTop w:val="0"/>
      <w:marBottom w:val="0"/>
      <w:divBdr>
        <w:top w:val="none" w:sz="0" w:space="0" w:color="auto"/>
        <w:left w:val="none" w:sz="0" w:space="0" w:color="auto"/>
        <w:bottom w:val="none" w:sz="0" w:space="0" w:color="auto"/>
        <w:right w:val="none" w:sz="0" w:space="0" w:color="auto"/>
      </w:divBdr>
    </w:div>
    <w:div w:id="2037345790">
      <w:bodyDiv w:val="1"/>
      <w:marLeft w:val="0"/>
      <w:marRight w:val="0"/>
      <w:marTop w:val="0"/>
      <w:marBottom w:val="0"/>
      <w:divBdr>
        <w:top w:val="none" w:sz="0" w:space="0" w:color="auto"/>
        <w:left w:val="none" w:sz="0" w:space="0" w:color="auto"/>
        <w:bottom w:val="none" w:sz="0" w:space="0" w:color="auto"/>
        <w:right w:val="none" w:sz="0" w:space="0" w:color="auto"/>
      </w:divBdr>
      <w:divsChild>
        <w:div w:id="625432208">
          <w:marLeft w:val="446"/>
          <w:marRight w:val="0"/>
          <w:marTop w:val="0"/>
          <w:marBottom w:val="0"/>
          <w:divBdr>
            <w:top w:val="none" w:sz="0" w:space="0" w:color="auto"/>
            <w:left w:val="none" w:sz="0" w:space="0" w:color="auto"/>
            <w:bottom w:val="none" w:sz="0" w:space="0" w:color="auto"/>
            <w:right w:val="none" w:sz="0" w:space="0" w:color="auto"/>
          </w:divBdr>
        </w:div>
        <w:div w:id="762796097">
          <w:marLeft w:val="446"/>
          <w:marRight w:val="0"/>
          <w:marTop w:val="0"/>
          <w:marBottom w:val="0"/>
          <w:divBdr>
            <w:top w:val="none" w:sz="0" w:space="0" w:color="auto"/>
            <w:left w:val="none" w:sz="0" w:space="0" w:color="auto"/>
            <w:bottom w:val="none" w:sz="0" w:space="0" w:color="auto"/>
            <w:right w:val="none" w:sz="0" w:space="0" w:color="auto"/>
          </w:divBdr>
        </w:div>
        <w:div w:id="1102649115">
          <w:marLeft w:val="446"/>
          <w:marRight w:val="0"/>
          <w:marTop w:val="0"/>
          <w:marBottom w:val="0"/>
          <w:divBdr>
            <w:top w:val="none" w:sz="0" w:space="0" w:color="auto"/>
            <w:left w:val="none" w:sz="0" w:space="0" w:color="auto"/>
            <w:bottom w:val="none" w:sz="0" w:space="0" w:color="auto"/>
            <w:right w:val="none" w:sz="0" w:space="0" w:color="auto"/>
          </w:divBdr>
        </w:div>
        <w:div w:id="1049955068">
          <w:marLeft w:val="446"/>
          <w:marRight w:val="0"/>
          <w:marTop w:val="0"/>
          <w:marBottom w:val="0"/>
          <w:divBdr>
            <w:top w:val="none" w:sz="0" w:space="0" w:color="auto"/>
            <w:left w:val="none" w:sz="0" w:space="0" w:color="auto"/>
            <w:bottom w:val="none" w:sz="0" w:space="0" w:color="auto"/>
            <w:right w:val="none" w:sz="0" w:space="0" w:color="auto"/>
          </w:divBdr>
        </w:div>
      </w:divsChild>
    </w:div>
    <w:div w:id="20836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2CF7B-1819-447E-89C0-EA95EBFCB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D8EB8-7966-4408-8C57-4110D715019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9CE9856C-F44E-4076-A476-5D90CC15FD97}">
  <ds:schemaRefs>
    <ds:schemaRef ds:uri="http://schemas.microsoft.com/sharepoint/v3/contenttype/forms"/>
  </ds:schemaRefs>
</ds:datastoreItem>
</file>

<file path=customXml/itemProps4.xml><?xml version="1.0" encoding="utf-8"?>
<ds:datastoreItem xmlns:ds="http://schemas.openxmlformats.org/officeDocument/2006/customXml" ds:itemID="{F59C5BC2-A6FC-4ACC-B568-165BB5FA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15652</CharactersWithSpaces>
  <SharedDoc>false</SharedDoc>
  <HLinks>
    <vt:vector size="66" baseType="variant">
      <vt:variant>
        <vt:i4>2031664</vt:i4>
      </vt:variant>
      <vt:variant>
        <vt:i4>62</vt:i4>
      </vt:variant>
      <vt:variant>
        <vt:i4>0</vt:i4>
      </vt:variant>
      <vt:variant>
        <vt:i4>5</vt:i4>
      </vt:variant>
      <vt:variant>
        <vt:lpwstr/>
      </vt:variant>
      <vt:variant>
        <vt:lpwstr>_Toc378538820</vt:lpwstr>
      </vt:variant>
      <vt:variant>
        <vt:i4>1835056</vt:i4>
      </vt:variant>
      <vt:variant>
        <vt:i4>56</vt:i4>
      </vt:variant>
      <vt:variant>
        <vt:i4>0</vt:i4>
      </vt:variant>
      <vt:variant>
        <vt:i4>5</vt:i4>
      </vt:variant>
      <vt:variant>
        <vt:lpwstr/>
      </vt:variant>
      <vt:variant>
        <vt:lpwstr>_Toc378538819</vt:lpwstr>
      </vt:variant>
      <vt:variant>
        <vt:i4>1835056</vt:i4>
      </vt:variant>
      <vt:variant>
        <vt:i4>50</vt:i4>
      </vt:variant>
      <vt:variant>
        <vt:i4>0</vt:i4>
      </vt:variant>
      <vt:variant>
        <vt:i4>5</vt:i4>
      </vt:variant>
      <vt:variant>
        <vt:lpwstr/>
      </vt:variant>
      <vt:variant>
        <vt:lpwstr>_Toc378538818</vt:lpwstr>
      </vt:variant>
      <vt:variant>
        <vt:i4>1835056</vt:i4>
      </vt:variant>
      <vt:variant>
        <vt:i4>44</vt:i4>
      </vt:variant>
      <vt:variant>
        <vt:i4>0</vt:i4>
      </vt:variant>
      <vt:variant>
        <vt:i4>5</vt:i4>
      </vt:variant>
      <vt:variant>
        <vt:lpwstr/>
      </vt:variant>
      <vt:variant>
        <vt:lpwstr>_Toc378538817</vt:lpwstr>
      </vt:variant>
      <vt:variant>
        <vt:i4>1835056</vt:i4>
      </vt:variant>
      <vt:variant>
        <vt:i4>38</vt:i4>
      </vt:variant>
      <vt:variant>
        <vt:i4>0</vt:i4>
      </vt:variant>
      <vt:variant>
        <vt:i4>5</vt:i4>
      </vt:variant>
      <vt:variant>
        <vt:lpwstr/>
      </vt:variant>
      <vt:variant>
        <vt:lpwstr>_Toc378538816</vt:lpwstr>
      </vt:variant>
      <vt:variant>
        <vt:i4>1835056</vt:i4>
      </vt:variant>
      <vt:variant>
        <vt:i4>32</vt:i4>
      </vt:variant>
      <vt:variant>
        <vt:i4>0</vt:i4>
      </vt:variant>
      <vt:variant>
        <vt:i4>5</vt:i4>
      </vt:variant>
      <vt:variant>
        <vt:lpwstr/>
      </vt:variant>
      <vt:variant>
        <vt:lpwstr>_Toc378538815</vt:lpwstr>
      </vt:variant>
      <vt:variant>
        <vt:i4>1835056</vt:i4>
      </vt:variant>
      <vt:variant>
        <vt:i4>26</vt:i4>
      </vt:variant>
      <vt:variant>
        <vt:i4>0</vt:i4>
      </vt:variant>
      <vt:variant>
        <vt:i4>5</vt:i4>
      </vt:variant>
      <vt:variant>
        <vt:lpwstr/>
      </vt:variant>
      <vt:variant>
        <vt:lpwstr>_Toc378538814</vt:lpwstr>
      </vt:variant>
      <vt:variant>
        <vt:i4>1900592</vt:i4>
      </vt:variant>
      <vt:variant>
        <vt:i4>20</vt:i4>
      </vt:variant>
      <vt:variant>
        <vt:i4>0</vt:i4>
      </vt:variant>
      <vt:variant>
        <vt:i4>5</vt:i4>
      </vt:variant>
      <vt:variant>
        <vt:lpwstr/>
      </vt:variant>
      <vt:variant>
        <vt:lpwstr>_Toc378538808</vt:lpwstr>
      </vt:variant>
      <vt:variant>
        <vt:i4>1900592</vt:i4>
      </vt:variant>
      <vt:variant>
        <vt:i4>14</vt:i4>
      </vt:variant>
      <vt:variant>
        <vt:i4>0</vt:i4>
      </vt:variant>
      <vt:variant>
        <vt:i4>5</vt:i4>
      </vt:variant>
      <vt:variant>
        <vt:lpwstr/>
      </vt:variant>
      <vt:variant>
        <vt:lpwstr>_Toc378538807</vt:lpwstr>
      </vt:variant>
      <vt:variant>
        <vt:i4>1900592</vt:i4>
      </vt:variant>
      <vt:variant>
        <vt:i4>8</vt:i4>
      </vt:variant>
      <vt:variant>
        <vt:i4>0</vt:i4>
      </vt:variant>
      <vt:variant>
        <vt:i4>5</vt:i4>
      </vt:variant>
      <vt:variant>
        <vt:lpwstr/>
      </vt:variant>
      <vt:variant>
        <vt:lpwstr>_Toc378538806</vt:lpwstr>
      </vt:variant>
      <vt:variant>
        <vt:i4>1900592</vt:i4>
      </vt:variant>
      <vt:variant>
        <vt:i4>2</vt:i4>
      </vt:variant>
      <vt:variant>
        <vt:i4>0</vt:i4>
      </vt:variant>
      <vt:variant>
        <vt:i4>5</vt:i4>
      </vt:variant>
      <vt:variant>
        <vt:lpwstr/>
      </vt:variant>
      <vt:variant>
        <vt:lpwstr>_Toc378538805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LWARD@ets.org;smaloney@ETS.ORG</dc:creator>
  <cp:lastModifiedBy>SYSTEM</cp:lastModifiedBy>
  <cp:revision>2</cp:revision>
  <cp:lastPrinted>2019-03-29T19:22:00Z</cp:lastPrinted>
  <dcterms:created xsi:type="dcterms:W3CDTF">2019-04-25T21:16:00Z</dcterms:created>
  <dcterms:modified xsi:type="dcterms:W3CDTF">2019-04-25T21:16:00Z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NewReviewCycle">
    <vt:lpwstr/>
  </property>
  <property fmtid="{D5CDD505-2E9C-101B-9397-08002B2CF9AE}" pid="4" name="_AdHocReviewCycleID">
    <vt:i4>1141412465</vt:i4>
  </property>
  <property fmtid="{D5CDD505-2E9C-101B-9397-08002B2CF9AE}" pid="5" name="_EmailSubject">
    <vt:lpwstr>NAEP NIES 2015 Report Focus Group (1880-0542)</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