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6659" w:rsidR="00C25242" w:rsidP="00F06866" w:rsidRDefault="00C25242" w14:paraId="427ECE53" w14:textId="77777777">
      <w:pPr>
        <w:pStyle w:val="Heading2"/>
        <w:tabs>
          <w:tab w:val="left" w:pos="900"/>
        </w:tabs>
        <w:ind w:right="-180"/>
        <w:rPr>
          <w:sz w:val="28"/>
        </w:rPr>
      </w:pPr>
      <w:bookmarkStart w:name="_GoBack" w:id="0"/>
      <w:bookmarkEnd w:id="0"/>
      <w:r w:rsidRPr="00C76659">
        <w:rPr>
          <w:sz w:val="28"/>
        </w:rPr>
        <w:t>Request for Approval under the</w:t>
      </w:r>
    </w:p>
    <w:p w:rsidRPr="00C76659" w:rsidR="00C25242" w:rsidP="00F06866" w:rsidRDefault="00F06866" w14:paraId="427ECE54" w14:textId="77777777">
      <w:pPr>
        <w:pStyle w:val="Heading2"/>
        <w:tabs>
          <w:tab w:val="left" w:pos="900"/>
        </w:tabs>
        <w:ind w:right="-180"/>
        <w:rPr>
          <w:sz w:val="28"/>
        </w:rPr>
      </w:pPr>
      <w:r w:rsidRPr="00C76659">
        <w:rPr>
          <w:sz w:val="28"/>
        </w:rPr>
        <w:t>“Generic Clearance for the Collection of Routine Customer Feedback”</w:t>
      </w:r>
    </w:p>
    <w:p w:rsidRPr="00C76659" w:rsidR="005E714A" w:rsidP="00F06866" w:rsidRDefault="00F06866" w14:paraId="427ECE55" w14:textId="77777777">
      <w:pPr>
        <w:pStyle w:val="Heading2"/>
        <w:tabs>
          <w:tab w:val="left" w:pos="900"/>
        </w:tabs>
        <w:ind w:right="-180"/>
        <w:rPr>
          <w:sz w:val="28"/>
        </w:rPr>
      </w:pPr>
      <w:r w:rsidRPr="00C76659">
        <w:rPr>
          <w:sz w:val="28"/>
        </w:rPr>
        <w:t xml:space="preserve">(OMB Control Number: </w:t>
      </w:r>
      <w:r w:rsidRPr="00C76659" w:rsidR="0054005B">
        <w:rPr>
          <w:sz w:val="28"/>
        </w:rPr>
        <w:t>1880-0542</w:t>
      </w:r>
      <w:r w:rsidRPr="00C76659">
        <w:rPr>
          <w:sz w:val="28"/>
        </w:rPr>
        <w:t>)</w:t>
      </w:r>
    </w:p>
    <w:p w:rsidRPr="00C76659" w:rsidR="00C25242" w:rsidP="00434E33" w:rsidRDefault="002C463C" w14:paraId="427ECE56" w14:textId="77777777">
      <w:r w:rsidRPr="00C76659">
        <w:rPr>
          <w:b/>
          <w:noProof/>
        </w:rPr>
        <mc:AlternateContent>
          <mc:Choice Requires="wps">
            <w:drawing>
              <wp:anchor distT="0" distB="0" distL="114300" distR="114300" simplePos="0" relativeHeight="251657728" behindDoc="0" locked="0" layoutInCell="0" allowOverlap="1" wp14:editId="427ECE99" wp14:anchorId="427ECE98">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FB17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C76659" w:rsidR="005E714A">
        <w:rPr>
          <w:b/>
        </w:rPr>
        <w:t>TITLE OF INFORMATION COLLECTION:</w:t>
      </w:r>
      <w:r w:rsidRPr="00C76659" w:rsidR="005E714A">
        <w:t xml:space="preserve">  </w:t>
      </w:r>
    </w:p>
    <w:p w:rsidR="005E714A" w:rsidP="00831AE0" w:rsidRDefault="00831AE0" w14:paraId="427ECE58" w14:textId="399F85EF">
      <w:pPr>
        <w:jc w:val="center"/>
      </w:pPr>
      <w:r w:rsidRPr="00831AE0">
        <w:t>IES Modernization Interviews and Focus Groups</w:t>
      </w:r>
    </w:p>
    <w:p w:rsidRPr="00C76659" w:rsidR="00831AE0" w:rsidRDefault="00831AE0" w14:paraId="37E1E7E2" w14:textId="77777777"/>
    <w:p w:rsidRPr="00C76659" w:rsidR="001B0AAA" w:rsidRDefault="00F15956" w14:paraId="427ECE59" w14:textId="77777777">
      <w:r w:rsidRPr="00C76659">
        <w:rPr>
          <w:b/>
        </w:rPr>
        <w:t>PURPOSE:</w:t>
      </w:r>
      <w:r w:rsidRPr="00C76659" w:rsidR="00C14CC4">
        <w:rPr>
          <w:b/>
        </w:rPr>
        <w:t xml:space="preserve">  </w:t>
      </w:r>
    </w:p>
    <w:p w:rsidRPr="00CB232B" w:rsidR="00C47F3A" w:rsidP="00C47F3A" w:rsidRDefault="00C47F3A" w14:paraId="65E83EB7" w14:textId="131C35AF">
      <w:r w:rsidRPr="00CB232B">
        <w:t xml:space="preserve">The Institute of Education Sciences (IES) is the nation's premier source for research, evaluation and statistics for educators, policymakers, and stakeholders seeking to improve outcomes for all students. IES supports a diverse but critical set of services for the nation's educators and researchers, including acting as an independent non-partisan curator of the survey and performance data of the Department of Education as well as directly funding rigorous testing of new approaches to improving education outcomes. IES users are as diverse as the services offered by the Institute, which presents a </w:t>
      </w:r>
      <w:proofErr w:type="gramStart"/>
      <w:r w:rsidRPr="00CB232B">
        <w:t>particular challenge</w:t>
      </w:r>
      <w:proofErr w:type="gramEnd"/>
      <w:r w:rsidRPr="00CB232B">
        <w:t xml:space="preserve"> when attempting to deliver world-class experiences through IES digital channels. Currently, IES’s website is built according to its organizational chart and doesn’t reflect customer/user experience research and mission-driven, agile development practices. Previous attempts to redesign the digital experience have been based solely on internal input, without the benefit of external user research and insight. </w:t>
      </w:r>
      <w:r w:rsidRPr="003603A1">
        <w:t xml:space="preserve">The IES Customer Experience effort addresses these challenges through a user-first understanding of IES. The goal of this research is to </w:t>
      </w:r>
      <w:r w:rsidR="004E0AA6">
        <w:t>use</w:t>
      </w:r>
      <w:r w:rsidRPr="003603A1">
        <w:t xml:space="preserve"> interviews and focus groups to gain insights into current audiences and how IES might better serve them. IES has provided a </w:t>
      </w:r>
      <w:r>
        <w:t>p</w:t>
      </w:r>
      <w:r w:rsidRPr="003603A1">
        <w:t xml:space="preserve">ool of potential research participants, and this project will conduct individual interviews and focus groups with those targeted participants. The results of the research will be used to refine the understanding of key IES user groups and determine what information is most useful to them so we can better achieve the mission of IES. We will also use </w:t>
      </w:r>
      <w:r>
        <w:t>these findings</w:t>
      </w:r>
      <w:r w:rsidRPr="003603A1">
        <w:t xml:space="preserve"> to inform future user research; the questions we ask now may inform a user survey </w:t>
      </w:r>
      <w:proofErr w:type="gramStart"/>
      <w:r w:rsidRPr="003603A1">
        <w:t>at a later date</w:t>
      </w:r>
      <w:proofErr w:type="gramEnd"/>
      <w:r w:rsidRPr="003603A1">
        <w:t>.</w:t>
      </w:r>
    </w:p>
    <w:p w:rsidRPr="00C76659" w:rsidR="000F12F4" w:rsidP="000556B9" w:rsidRDefault="000F12F4" w14:paraId="427ECE5C" w14:textId="77777777">
      <w:pPr>
        <w:spacing w:after="60"/>
        <w:rPr>
          <w:rStyle w:val="StyleTimesNewRoman"/>
        </w:rPr>
      </w:pPr>
    </w:p>
    <w:p w:rsidRPr="00C76659" w:rsidR="00434E33" w:rsidP="00434E33" w:rsidRDefault="00434E33" w14:paraId="427ECE5D" w14:textId="77777777">
      <w:pPr>
        <w:pStyle w:val="Header"/>
        <w:tabs>
          <w:tab w:val="clear" w:pos="4320"/>
          <w:tab w:val="clear" w:pos="8640"/>
        </w:tabs>
        <w:rPr>
          <w:i/>
          <w:snapToGrid/>
        </w:rPr>
      </w:pPr>
      <w:r w:rsidRPr="00C76659">
        <w:rPr>
          <w:b/>
        </w:rPr>
        <w:t>DESCRIPTION OF RESPONDENTS</w:t>
      </w:r>
      <w:r w:rsidRPr="00C76659">
        <w:t xml:space="preserve">: </w:t>
      </w:r>
    </w:p>
    <w:p w:rsidR="007F1139" w:rsidP="007F1139" w:rsidRDefault="007F1139" w14:paraId="09915422" w14:textId="77777777">
      <w:r>
        <w:t xml:space="preserve">The projected groups of participants are defined by their relationships to IES, and are as follows: (1) Policy Makers and Associations, consumers of IES data and targets in the IES mission statement (e.g., State Educational Agencies (SEAs) and Local Education Agencies (LEAs)); (2) Researchers, consumers of IES data, grant recipients, and targets in the IES mission statement (e.g., education PhDs, IES grant applicants); (3) Media – translators of IES data to the general public (e.g., </w:t>
      </w:r>
      <w:proofErr w:type="spellStart"/>
      <w:r>
        <w:t>EdWeek</w:t>
      </w:r>
      <w:proofErr w:type="spellEnd"/>
      <w:r>
        <w:t xml:space="preserve"> leadership and staff, via introductions from IES leadership); and (4) Education Subject Matter Experts, users of IES data and the education research landscape (e.g., experts from Grant Thornton Team network)</w:t>
      </w:r>
    </w:p>
    <w:p w:rsidR="007F1139" w:rsidP="007F1139" w:rsidRDefault="007F1139" w14:paraId="0D323D38" w14:textId="77777777"/>
    <w:p w:rsidRPr="00C76659" w:rsidR="00F06866" w:rsidP="007F1139" w:rsidRDefault="00F06866" w14:paraId="427ECE60" w14:textId="27554484">
      <w:pPr>
        <w:rPr>
          <w:b/>
        </w:rPr>
      </w:pPr>
      <w:r w:rsidRPr="00C76659">
        <w:rPr>
          <w:b/>
        </w:rPr>
        <w:t>TYPE OF COLLECTION:</w:t>
      </w:r>
      <w:r w:rsidRPr="00C76659">
        <w:t xml:space="preserve"> (Check one)</w:t>
      </w:r>
    </w:p>
    <w:p w:rsidRPr="00C76659" w:rsidR="00F06866" w:rsidP="0096108F" w:rsidRDefault="0096108F" w14:paraId="427ECE61" w14:textId="0A96E347">
      <w:pPr>
        <w:pStyle w:val="BodyTextIndent"/>
        <w:tabs>
          <w:tab w:val="left" w:pos="360"/>
        </w:tabs>
        <w:ind w:left="0"/>
        <w:rPr>
          <w:bCs/>
          <w:sz w:val="24"/>
        </w:rPr>
      </w:pPr>
      <w:proofErr w:type="gramStart"/>
      <w:r w:rsidRPr="00C76659">
        <w:rPr>
          <w:bCs/>
          <w:sz w:val="24"/>
        </w:rPr>
        <w:t>[ ]</w:t>
      </w:r>
      <w:proofErr w:type="gramEnd"/>
      <w:r w:rsidRPr="00C76659">
        <w:rPr>
          <w:bCs/>
          <w:sz w:val="24"/>
        </w:rPr>
        <w:t xml:space="preserve"> </w:t>
      </w:r>
      <w:r w:rsidRPr="00C76659" w:rsidR="00F06866">
        <w:rPr>
          <w:bCs/>
          <w:sz w:val="24"/>
        </w:rPr>
        <w:t>Customer Comment Card/Complaint Form</w:t>
      </w:r>
      <w:r w:rsidRPr="00C76659">
        <w:rPr>
          <w:bCs/>
          <w:sz w:val="24"/>
        </w:rPr>
        <w:t xml:space="preserve"> </w:t>
      </w:r>
      <w:r w:rsidRPr="00C76659">
        <w:rPr>
          <w:bCs/>
          <w:sz w:val="24"/>
        </w:rPr>
        <w:tab/>
        <w:t>[</w:t>
      </w:r>
      <w:r w:rsidR="00831AE0">
        <w:rPr>
          <w:bCs/>
          <w:sz w:val="24"/>
        </w:rPr>
        <w:t xml:space="preserve"> </w:t>
      </w:r>
      <w:r w:rsidRPr="00C76659">
        <w:rPr>
          <w:bCs/>
          <w:sz w:val="24"/>
        </w:rPr>
        <w:t xml:space="preserve">] </w:t>
      </w:r>
      <w:r w:rsidRPr="00C76659" w:rsidR="00F06866">
        <w:rPr>
          <w:bCs/>
          <w:sz w:val="24"/>
        </w:rPr>
        <w:t>Customer Satisfaction Survey</w:t>
      </w:r>
      <w:r w:rsidRPr="00C76659">
        <w:rPr>
          <w:bCs/>
          <w:sz w:val="24"/>
        </w:rPr>
        <w:t xml:space="preserve"> </w:t>
      </w:r>
      <w:r w:rsidRPr="00C76659" w:rsidR="00CA2650">
        <w:rPr>
          <w:bCs/>
          <w:sz w:val="24"/>
        </w:rPr>
        <w:t xml:space="preserve">  </w:t>
      </w:r>
      <w:r w:rsidRPr="00C76659">
        <w:rPr>
          <w:bCs/>
          <w:sz w:val="24"/>
        </w:rPr>
        <w:t xml:space="preserve"> </w:t>
      </w:r>
    </w:p>
    <w:p w:rsidRPr="00C76659" w:rsidR="0096108F" w:rsidP="0096108F" w:rsidRDefault="0096108F" w14:paraId="427ECE62" w14:textId="77777777">
      <w:pPr>
        <w:pStyle w:val="BodyTextIndent"/>
        <w:tabs>
          <w:tab w:val="left" w:pos="360"/>
        </w:tabs>
        <w:ind w:left="0"/>
        <w:rPr>
          <w:bCs/>
          <w:sz w:val="24"/>
        </w:rPr>
      </w:pPr>
      <w:proofErr w:type="gramStart"/>
      <w:r w:rsidRPr="00C76659">
        <w:rPr>
          <w:bCs/>
          <w:sz w:val="24"/>
        </w:rPr>
        <w:t>[</w:t>
      </w:r>
      <w:r w:rsidRPr="00C76659" w:rsidR="00C417E5">
        <w:rPr>
          <w:bCs/>
          <w:sz w:val="24"/>
        </w:rPr>
        <w:t xml:space="preserve"> </w:t>
      </w:r>
      <w:r w:rsidRPr="00C76659">
        <w:rPr>
          <w:bCs/>
          <w:sz w:val="24"/>
        </w:rPr>
        <w:t>]</w:t>
      </w:r>
      <w:proofErr w:type="gramEnd"/>
      <w:r w:rsidRPr="00C76659">
        <w:rPr>
          <w:bCs/>
          <w:sz w:val="24"/>
        </w:rPr>
        <w:t xml:space="preserve"> </w:t>
      </w:r>
      <w:r w:rsidRPr="00C76659" w:rsidR="00F06866">
        <w:rPr>
          <w:bCs/>
          <w:sz w:val="24"/>
        </w:rPr>
        <w:t>Usability</w:t>
      </w:r>
      <w:r w:rsidRPr="00C76659" w:rsidR="009239AA">
        <w:rPr>
          <w:bCs/>
          <w:sz w:val="24"/>
        </w:rPr>
        <w:t xml:space="preserve"> Testing (e.g., Website or Software</w:t>
      </w:r>
      <w:r w:rsidR="004272E6">
        <w:rPr>
          <w:bCs/>
          <w:sz w:val="24"/>
        </w:rPr>
        <w:t>)</w:t>
      </w:r>
      <w:r w:rsidRPr="00C76659" w:rsidR="00F06866">
        <w:rPr>
          <w:bCs/>
          <w:sz w:val="24"/>
        </w:rPr>
        <w:tab/>
        <w:t>[ ] Small Discussion Group</w:t>
      </w:r>
    </w:p>
    <w:p w:rsidRPr="00C76659" w:rsidR="00F06866" w:rsidP="0096108F" w:rsidRDefault="00935ADA" w14:paraId="427ECE63" w14:textId="262D77F7">
      <w:pPr>
        <w:pStyle w:val="BodyTextIndent"/>
        <w:tabs>
          <w:tab w:val="left" w:pos="360"/>
        </w:tabs>
        <w:ind w:left="0"/>
        <w:rPr>
          <w:bCs/>
          <w:sz w:val="24"/>
        </w:rPr>
      </w:pPr>
      <w:r w:rsidRPr="00C76659">
        <w:rPr>
          <w:bCs/>
          <w:sz w:val="24"/>
        </w:rPr>
        <w:t>[</w:t>
      </w:r>
      <w:r w:rsidR="00831AE0">
        <w:rPr>
          <w:bCs/>
          <w:sz w:val="24"/>
        </w:rPr>
        <w:t>X</w:t>
      </w:r>
      <w:r w:rsidRPr="00C76659">
        <w:rPr>
          <w:bCs/>
          <w:sz w:val="24"/>
        </w:rPr>
        <w:t xml:space="preserve">] Focus </w:t>
      </w:r>
      <w:r w:rsidRPr="00C76659" w:rsidR="003E7EC1">
        <w:rPr>
          <w:bCs/>
          <w:sz w:val="24"/>
        </w:rPr>
        <w:t xml:space="preserve">Group </w:t>
      </w:r>
      <w:r w:rsidRPr="00C76659" w:rsidR="003E7EC1">
        <w:rPr>
          <w:bCs/>
          <w:sz w:val="24"/>
        </w:rPr>
        <w:tab/>
      </w:r>
      <w:r w:rsidRPr="00C76659">
        <w:rPr>
          <w:bCs/>
          <w:sz w:val="24"/>
        </w:rPr>
        <w:tab/>
      </w:r>
      <w:r w:rsidRPr="00C76659">
        <w:rPr>
          <w:bCs/>
          <w:sz w:val="24"/>
        </w:rPr>
        <w:tab/>
      </w:r>
      <w:r w:rsidRPr="00C76659">
        <w:rPr>
          <w:bCs/>
          <w:sz w:val="24"/>
        </w:rPr>
        <w:tab/>
      </w:r>
      <w:r w:rsidRPr="00C76659">
        <w:rPr>
          <w:bCs/>
          <w:sz w:val="24"/>
        </w:rPr>
        <w:tab/>
      </w:r>
      <w:r w:rsidRPr="00C76659" w:rsidR="00F706C9">
        <w:rPr>
          <w:bCs/>
          <w:sz w:val="24"/>
        </w:rPr>
        <w:t>[</w:t>
      </w:r>
      <w:r w:rsidR="00831AE0">
        <w:rPr>
          <w:bCs/>
          <w:sz w:val="24"/>
        </w:rPr>
        <w:t>X</w:t>
      </w:r>
      <w:r w:rsidRPr="00C76659" w:rsidR="00F706C9">
        <w:rPr>
          <w:bCs/>
          <w:sz w:val="24"/>
        </w:rPr>
        <w:t>]</w:t>
      </w:r>
      <w:r w:rsidRPr="00C76659" w:rsidR="00F06866">
        <w:rPr>
          <w:bCs/>
          <w:sz w:val="24"/>
        </w:rPr>
        <w:t xml:space="preserve"> Other:</w:t>
      </w:r>
      <w:r w:rsidR="00831AE0">
        <w:rPr>
          <w:bCs/>
          <w:sz w:val="24"/>
        </w:rPr>
        <w:t xml:space="preserve"> Individual Interviews</w:t>
      </w:r>
      <w:r w:rsidRPr="00C76659" w:rsidR="00F06866">
        <w:rPr>
          <w:bCs/>
          <w:sz w:val="24"/>
        </w:rPr>
        <w:tab/>
      </w:r>
      <w:r w:rsidRPr="00C76659" w:rsidR="00F06866">
        <w:rPr>
          <w:bCs/>
          <w:sz w:val="24"/>
        </w:rPr>
        <w:tab/>
      </w:r>
    </w:p>
    <w:p w:rsidRPr="00C76659" w:rsidR="00434E33" w:rsidRDefault="00434E33" w14:paraId="427ECE64" w14:textId="77777777">
      <w:pPr>
        <w:pStyle w:val="Header"/>
        <w:tabs>
          <w:tab w:val="clear" w:pos="4320"/>
          <w:tab w:val="clear" w:pos="8640"/>
        </w:tabs>
      </w:pPr>
    </w:p>
    <w:p w:rsidRPr="00C76659" w:rsidR="00CA2650" w:rsidRDefault="00441434" w14:paraId="427ECE65" w14:textId="77777777">
      <w:pPr>
        <w:rPr>
          <w:b/>
        </w:rPr>
      </w:pPr>
      <w:r w:rsidRPr="00C76659">
        <w:rPr>
          <w:b/>
        </w:rPr>
        <w:t>C</w:t>
      </w:r>
      <w:r w:rsidRPr="00C76659" w:rsidR="009C13B9">
        <w:rPr>
          <w:b/>
        </w:rPr>
        <w:t>ERTIFICATION:</w:t>
      </w:r>
    </w:p>
    <w:p w:rsidRPr="00C76659" w:rsidR="008101A5" w:rsidP="008101A5" w:rsidRDefault="008101A5" w14:paraId="427ECE66" w14:textId="77777777">
      <w:r w:rsidRPr="00C76659">
        <w:t xml:space="preserve">I certify the following to be true: </w:t>
      </w:r>
    </w:p>
    <w:p w:rsidRPr="00C76659" w:rsidR="008101A5" w:rsidP="008101A5" w:rsidRDefault="008101A5" w14:paraId="427ECE67" w14:textId="77777777">
      <w:pPr>
        <w:pStyle w:val="ListParagraph"/>
        <w:numPr>
          <w:ilvl w:val="0"/>
          <w:numId w:val="14"/>
        </w:numPr>
        <w:rPr>
          <w:sz w:val="22"/>
          <w:szCs w:val="22"/>
        </w:rPr>
      </w:pPr>
      <w:r w:rsidRPr="00C76659">
        <w:rPr>
          <w:sz w:val="22"/>
          <w:szCs w:val="22"/>
        </w:rPr>
        <w:t xml:space="preserve">The collection is voluntary. </w:t>
      </w:r>
    </w:p>
    <w:p w:rsidRPr="00C76659" w:rsidR="008101A5" w:rsidP="008101A5" w:rsidRDefault="008101A5" w14:paraId="427ECE68" w14:textId="77777777">
      <w:pPr>
        <w:pStyle w:val="ListParagraph"/>
        <w:numPr>
          <w:ilvl w:val="0"/>
          <w:numId w:val="14"/>
        </w:numPr>
        <w:rPr>
          <w:sz w:val="22"/>
          <w:szCs w:val="22"/>
        </w:rPr>
      </w:pPr>
      <w:r w:rsidRPr="00C76659">
        <w:rPr>
          <w:sz w:val="22"/>
          <w:szCs w:val="22"/>
        </w:rPr>
        <w:t xml:space="preserve">The collection is </w:t>
      </w:r>
      <w:proofErr w:type="gramStart"/>
      <w:r w:rsidRPr="00C76659">
        <w:rPr>
          <w:sz w:val="22"/>
          <w:szCs w:val="22"/>
        </w:rPr>
        <w:t>low-burden</w:t>
      </w:r>
      <w:proofErr w:type="gramEnd"/>
      <w:r w:rsidRPr="00C76659">
        <w:rPr>
          <w:sz w:val="22"/>
          <w:szCs w:val="22"/>
        </w:rPr>
        <w:t xml:space="preserve"> for respondents and low-cost for the Federal Government.</w:t>
      </w:r>
    </w:p>
    <w:p w:rsidRPr="00C76659" w:rsidR="008101A5" w:rsidP="008101A5" w:rsidRDefault="008101A5" w14:paraId="427ECE69" w14:textId="77777777">
      <w:pPr>
        <w:pStyle w:val="ListParagraph"/>
        <w:numPr>
          <w:ilvl w:val="0"/>
          <w:numId w:val="14"/>
        </w:numPr>
        <w:rPr>
          <w:sz w:val="22"/>
          <w:szCs w:val="22"/>
        </w:rPr>
      </w:pPr>
      <w:r w:rsidRPr="00C76659">
        <w:rPr>
          <w:sz w:val="22"/>
          <w:szCs w:val="22"/>
        </w:rPr>
        <w:t xml:space="preserve">The collection is non-controversial and does </w:t>
      </w:r>
      <w:r w:rsidRPr="00C76659">
        <w:rPr>
          <w:sz w:val="22"/>
          <w:szCs w:val="22"/>
          <w:u w:val="single"/>
        </w:rPr>
        <w:t>not</w:t>
      </w:r>
      <w:r w:rsidRPr="00C76659">
        <w:rPr>
          <w:sz w:val="22"/>
          <w:szCs w:val="22"/>
        </w:rPr>
        <w:t xml:space="preserve"> raise issues of concern to other federal agencies</w:t>
      </w:r>
      <w:r w:rsidRPr="00C76659" w:rsidR="00F2265D">
        <w:rPr>
          <w:sz w:val="22"/>
          <w:szCs w:val="22"/>
        </w:rPr>
        <w:t>.</w:t>
      </w:r>
      <w:r w:rsidRPr="00C76659">
        <w:rPr>
          <w:sz w:val="22"/>
          <w:szCs w:val="22"/>
        </w:rPr>
        <w:tab/>
      </w:r>
    </w:p>
    <w:p w:rsidRPr="00C76659" w:rsidR="008101A5" w:rsidP="008101A5" w:rsidRDefault="008101A5" w14:paraId="427ECE6A" w14:textId="77777777">
      <w:pPr>
        <w:pStyle w:val="ListParagraph"/>
        <w:numPr>
          <w:ilvl w:val="0"/>
          <w:numId w:val="14"/>
        </w:numPr>
        <w:rPr>
          <w:sz w:val="22"/>
          <w:szCs w:val="22"/>
        </w:rPr>
      </w:pPr>
      <w:r w:rsidRPr="00C76659">
        <w:rPr>
          <w:sz w:val="22"/>
          <w:szCs w:val="22"/>
        </w:rPr>
        <w:t xml:space="preserve">The results are </w:t>
      </w:r>
      <w:r w:rsidRPr="00C76659">
        <w:rPr>
          <w:sz w:val="22"/>
          <w:szCs w:val="22"/>
          <w:u w:val="single"/>
        </w:rPr>
        <w:t>not</w:t>
      </w:r>
      <w:r w:rsidRPr="00C76659">
        <w:rPr>
          <w:sz w:val="22"/>
          <w:szCs w:val="22"/>
        </w:rPr>
        <w:t xml:space="preserve"> intended to be disseminated to the public.</w:t>
      </w:r>
      <w:r w:rsidRPr="00C76659">
        <w:rPr>
          <w:sz w:val="22"/>
          <w:szCs w:val="22"/>
        </w:rPr>
        <w:tab/>
      </w:r>
      <w:r w:rsidRPr="00C76659">
        <w:rPr>
          <w:sz w:val="22"/>
          <w:szCs w:val="22"/>
        </w:rPr>
        <w:tab/>
      </w:r>
    </w:p>
    <w:p w:rsidRPr="00C76659" w:rsidR="008101A5" w:rsidP="008101A5" w:rsidRDefault="008101A5" w14:paraId="427ECE6B" w14:textId="77777777">
      <w:pPr>
        <w:pStyle w:val="ListParagraph"/>
        <w:numPr>
          <w:ilvl w:val="0"/>
          <w:numId w:val="14"/>
        </w:numPr>
        <w:rPr>
          <w:sz w:val="22"/>
          <w:szCs w:val="22"/>
        </w:rPr>
      </w:pPr>
      <w:r w:rsidRPr="00C76659">
        <w:rPr>
          <w:sz w:val="22"/>
          <w:szCs w:val="22"/>
        </w:rPr>
        <w:t xml:space="preserve">Information gathered will not be used for the purpose of </w:t>
      </w:r>
      <w:r w:rsidRPr="00C76659">
        <w:rPr>
          <w:sz w:val="22"/>
          <w:szCs w:val="22"/>
          <w:u w:val="single"/>
        </w:rPr>
        <w:t>substantially</w:t>
      </w:r>
      <w:r w:rsidRPr="00C76659">
        <w:rPr>
          <w:sz w:val="22"/>
          <w:szCs w:val="22"/>
        </w:rPr>
        <w:t xml:space="preserve"> informing </w:t>
      </w:r>
      <w:r w:rsidRPr="00C76659">
        <w:rPr>
          <w:sz w:val="22"/>
          <w:szCs w:val="22"/>
          <w:u w:val="single"/>
        </w:rPr>
        <w:t xml:space="preserve">influential </w:t>
      </w:r>
      <w:r w:rsidRPr="00C76659">
        <w:rPr>
          <w:sz w:val="22"/>
          <w:szCs w:val="22"/>
        </w:rPr>
        <w:t xml:space="preserve">policy decisions. </w:t>
      </w:r>
    </w:p>
    <w:p w:rsidRPr="00C76659" w:rsidR="008101A5" w:rsidP="008101A5" w:rsidRDefault="008101A5" w14:paraId="427ECE6C" w14:textId="77777777">
      <w:pPr>
        <w:pStyle w:val="ListParagraph"/>
        <w:numPr>
          <w:ilvl w:val="0"/>
          <w:numId w:val="14"/>
        </w:numPr>
        <w:rPr>
          <w:sz w:val="22"/>
          <w:szCs w:val="22"/>
        </w:rPr>
      </w:pPr>
      <w:r w:rsidRPr="00C76659">
        <w:rPr>
          <w:sz w:val="22"/>
          <w:szCs w:val="22"/>
        </w:rPr>
        <w:t>The collection is targeted to the solicitation of opinions from respondents who have experience with the program or may have experience with the program in the future.</w:t>
      </w:r>
    </w:p>
    <w:p w:rsidRPr="00C76659" w:rsidR="009C13B9" w:rsidP="009C13B9" w:rsidRDefault="009C13B9" w14:paraId="427ECE6D" w14:textId="77777777">
      <w:pPr>
        <w:rPr>
          <w:sz w:val="14"/>
          <w:szCs w:val="14"/>
        </w:rPr>
      </w:pPr>
    </w:p>
    <w:p w:rsidRPr="00C76659" w:rsidR="009C13B9" w:rsidP="009C13B9" w:rsidRDefault="009C13B9" w14:paraId="427ECE6E" w14:textId="0AE64555">
      <w:r w:rsidRPr="00C76659">
        <w:t>Name:</w:t>
      </w:r>
      <w:r w:rsidRPr="00C76659" w:rsidR="00F2265D">
        <w:t xml:space="preserve">   </w:t>
      </w:r>
      <w:r w:rsidR="00831AE0">
        <w:t>Carrie Clarady</w:t>
      </w:r>
      <w:r w:rsidRPr="00C76659" w:rsidR="00224380">
        <w:t xml:space="preserve"> (</w:t>
      </w:r>
      <w:r w:rsidRPr="00831AE0" w:rsidR="00831AE0">
        <w:t>carrie.clarady@ed</w:t>
      </w:r>
      <w:r w:rsidR="00831AE0">
        <w:t>.gov</w:t>
      </w:r>
      <w:r w:rsidRPr="00C76659" w:rsidR="00224380">
        <w:t>)</w:t>
      </w:r>
    </w:p>
    <w:p w:rsidRPr="00C76659" w:rsidR="009C13B9" w:rsidP="009C13B9" w:rsidRDefault="009C13B9" w14:paraId="427ECE6F" w14:textId="77777777">
      <w:pPr>
        <w:pStyle w:val="ListParagraph"/>
        <w:ind w:left="360"/>
      </w:pPr>
    </w:p>
    <w:p w:rsidRPr="00C76659" w:rsidR="009C13B9" w:rsidP="009862BD" w:rsidRDefault="00C86E91" w14:paraId="427ECE70" w14:textId="3EFE7C43">
      <w:pPr>
        <w:keepNext/>
        <w:rPr>
          <w:b/>
        </w:rPr>
      </w:pPr>
      <w:proofErr w:type="gramStart"/>
      <w:r w:rsidRPr="00C76659">
        <w:rPr>
          <w:b/>
        </w:rPr>
        <w:t>Personally</w:t>
      </w:r>
      <w:proofErr w:type="gramEnd"/>
      <w:r w:rsidRPr="00C76659">
        <w:rPr>
          <w:b/>
        </w:rPr>
        <w:t xml:space="preserve"> Identifiable Information:</w:t>
      </w:r>
    </w:p>
    <w:p w:rsidRPr="00E55D3E" w:rsidR="00C86E91" w:rsidP="009862BD" w:rsidRDefault="009C13B9" w14:paraId="427ECE71" w14:textId="77777777">
      <w:pPr>
        <w:pStyle w:val="ListParagraph"/>
        <w:widowControl w:val="0"/>
        <w:numPr>
          <w:ilvl w:val="0"/>
          <w:numId w:val="18"/>
        </w:numPr>
      </w:pPr>
      <w:r w:rsidRPr="00E55D3E">
        <w:t>Is</w:t>
      </w:r>
      <w:r w:rsidRPr="00E55D3E" w:rsidR="00237B48">
        <w:t xml:space="preserve"> personally identifiable information (PII) collected</w:t>
      </w:r>
      <w:r w:rsidRPr="00E55D3E">
        <w:t xml:space="preserve">?  </w:t>
      </w:r>
      <w:proofErr w:type="gramStart"/>
      <w:r w:rsidRPr="00E55D3E" w:rsidR="009239AA">
        <w:t>[</w:t>
      </w:r>
      <w:r w:rsidRPr="00E55D3E" w:rsidR="00176106">
        <w:t xml:space="preserve">  </w:t>
      </w:r>
      <w:r w:rsidRPr="00E55D3E" w:rsidR="009239AA">
        <w:t>]</w:t>
      </w:r>
      <w:proofErr w:type="gramEnd"/>
      <w:r w:rsidRPr="00E55D3E" w:rsidR="009239AA">
        <w:t xml:space="preserve"> Yes  [</w:t>
      </w:r>
      <w:r w:rsidRPr="00E55D3E" w:rsidR="00176106">
        <w:t>X</w:t>
      </w:r>
      <w:r w:rsidRPr="00E55D3E" w:rsidR="009239AA">
        <w:t xml:space="preserve">]  No </w:t>
      </w:r>
    </w:p>
    <w:p w:rsidRPr="00E55D3E" w:rsidR="00C86E91" w:rsidP="00C86E91" w:rsidRDefault="009C13B9" w14:paraId="427ECE72" w14:textId="4074491A">
      <w:pPr>
        <w:pStyle w:val="ListParagraph"/>
        <w:numPr>
          <w:ilvl w:val="0"/>
          <w:numId w:val="18"/>
        </w:numPr>
      </w:pPr>
      <w:r w:rsidRPr="00E55D3E">
        <w:t xml:space="preserve">If </w:t>
      </w:r>
      <w:r w:rsidRPr="00E55D3E" w:rsidR="009239AA">
        <w:t>Yes,</w:t>
      </w:r>
      <w:r w:rsidRPr="00E55D3E">
        <w:t xml:space="preserve"> </w:t>
      </w:r>
      <w:r w:rsidRPr="00E55D3E" w:rsidR="009239AA">
        <w:t xml:space="preserve">is the information that will be collected included in records that are subject to the Privacy Act of 1974?   </w:t>
      </w:r>
      <w:proofErr w:type="gramStart"/>
      <w:r w:rsidRPr="00E55D3E" w:rsidR="009239AA">
        <w:t>[  ]</w:t>
      </w:r>
      <w:proofErr w:type="gramEnd"/>
      <w:r w:rsidRPr="00E55D3E" w:rsidR="009239AA">
        <w:t xml:space="preserve"> Yes [</w:t>
      </w:r>
      <w:r w:rsidRPr="00E55D3E" w:rsidR="00E55D3E">
        <w:t>X</w:t>
      </w:r>
      <w:r w:rsidRPr="00E55D3E" w:rsidR="009239AA">
        <w:t>] No</w:t>
      </w:r>
      <w:r w:rsidRPr="00E55D3E" w:rsidR="00C86E91">
        <w:t xml:space="preserve">   </w:t>
      </w:r>
    </w:p>
    <w:p w:rsidRPr="00E55D3E" w:rsidR="00C86E91" w:rsidP="00C86E91" w:rsidRDefault="00C86E91" w14:paraId="427ECE73" w14:textId="77777777">
      <w:pPr>
        <w:pStyle w:val="ListParagraph"/>
        <w:numPr>
          <w:ilvl w:val="0"/>
          <w:numId w:val="18"/>
        </w:numPr>
      </w:pPr>
      <w:r w:rsidRPr="00E55D3E">
        <w:t xml:space="preserve">If Applicable, has a System or Records Notice been published?  </w:t>
      </w:r>
      <w:proofErr w:type="gramStart"/>
      <w:r w:rsidRPr="00E55D3E">
        <w:t>[  ]</w:t>
      </w:r>
      <w:proofErr w:type="gramEnd"/>
      <w:r w:rsidRPr="00E55D3E">
        <w:t xml:space="preserve"> Yes  [</w:t>
      </w:r>
      <w:r w:rsidRPr="00E55D3E" w:rsidR="00176106">
        <w:t xml:space="preserve">  </w:t>
      </w:r>
      <w:r w:rsidRPr="00E55D3E">
        <w:t>] No</w:t>
      </w:r>
    </w:p>
    <w:p w:rsidRPr="00C76659" w:rsidR="00186CA7" w:rsidP="00C86E91" w:rsidRDefault="00186CA7" w14:paraId="427ECE74" w14:textId="77777777">
      <w:pPr>
        <w:pStyle w:val="ListParagraph"/>
        <w:ind w:left="0"/>
        <w:rPr>
          <w:b/>
        </w:rPr>
      </w:pPr>
    </w:p>
    <w:p w:rsidRPr="00C76659" w:rsidR="00C86E91" w:rsidP="00C86E91" w:rsidRDefault="00CB1078" w14:paraId="427ECE75" w14:textId="77777777">
      <w:pPr>
        <w:pStyle w:val="ListParagraph"/>
        <w:ind w:left="0"/>
        <w:rPr>
          <w:b/>
        </w:rPr>
      </w:pPr>
      <w:r w:rsidRPr="00C76659">
        <w:rPr>
          <w:b/>
        </w:rPr>
        <w:t>Gifts or Payments</w:t>
      </w:r>
      <w:r w:rsidRPr="00C76659" w:rsidR="00C86E91">
        <w:rPr>
          <w:b/>
        </w:rPr>
        <w:t>:</w:t>
      </w:r>
    </w:p>
    <w:p w:rsidRPr="00C76659" w:rsidR="00C86E91" w:rsidP="00C86E91" w:rsidRDefault="00C86E91" w14:paraId="427ECE76" w14:textId="77777777">
      <w:r w:rsidRPr="00C76659">
        <w:t xml:space="preserve">Is an incentive (e.g., money or reimbursement of expenses, token of appreciation) provided to participants?  </w:t>
      </w:r>
      <w:proofErr w:type="gramStart"/>
      <w:r w:rsidRPr="00C76659">
        <w:t>[</w:t>
      </w:r>
      <w:r w:rsidRPr="00C76659" w:rsidR="0008138E">
        <w:t xml:space="preserve"> </w:t>
      </w:r>
      <w:r w:rsidRPr="00C76659">
        <w:t>]</w:t>
      </w:r>
      <w:proofErr w:type="gramEnd"/>
      <w:r w:rsidRPr="00C76659">
        <w:t xml:space="preserve"> Yes [</w:t>
      </w:r>
      <w:r w:rsidRPr="00C76659" w:rsidR="0008138E">
        <w:t xml:space="preserve">X] No </w:t>
      </w:r>
    </w:p>
    <w:p w:rsidRPr="00C76659" w:rsidR="004D6E14" w:rsidRDefault="004D6E14" w14:paraId="427ECE77" w14:textId="77777777">
      <w:pPr>
        <w:rPr>
          <w:b/>
        </w:rPr>
      </w:pPr>
    </w:p>
    <w:p w:rsidR="005E714A" w:rsidP="00C86E91" w:rsidRDefault="005E714A" w14:paraId="427ECE78" w14:textId="725E995A">
      <w:r w:rsidRPr="00C76659">
        <w:rPr>
          <w:b/>
        </w:rPr>
        <w:t>BURDEN HOUR</w:t>
      </w:r>
      <w:r w:rsidRPr="00C76659" w:rsidR="00441434">
        <w:rPr>
          <w:b/>
        </w:rPr>
        <w:t>S</w:t>
      </w:r>
      <w:r w:rsidRPr="00C76659">
        <w:t xml:space="preserve"> </w:t>
      </w:r>
    </w:p>
    <w:p w:rsidR="008516D4" w:rsidP="00C86E91" w:rsidRDefault="008516D4" w14:paraId="322E14D2" w14:textId="2CE19156"/>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55"/>
        <w:gridCol w:w="1980"/>
        <w:gridCol w:w="1620"/>
        <w:gridCol w:w="1620"/>
        <w:gridCol w:w="1890"/>
      </w:tblGrid>
      <w:tr w:rsidRPr="00A73534" w:rsidR="008516D4" w:rsidTr="00DF7D45" w14:paraId="17D5941F" w14:textId="77777777">
        <w:trPr>
          <w:trHeight w:val="274"/>
        </w:trPr>
        <w:tc>
          <w:tcPr>
            <w:tcW w:w="3055" w:type="dxa"/>
          </w:tcPr>
          <w:p w:rsidRPr="00A73534" w:rsidR="008516D4" w:rsidP="00A57EEF" w:rsidRDefault="008516D4" w14:paraId="34CE50C8" w14:textId="77777777">
            <w:pPr>
              <w:rPr>
                <w:b/>
              </w:rPr>
            </w:pPr>
          </w:p>
        </w:tc>
        <w:tc>
          <w:tcPr>
            <w:tcW w:w="1980" w:type="dxa"/>
          </w:tcPr>
          <w:p w:rsidRPr="00A73534" w:rsidR="008516D4" w:rsidP="00A57EEF" w:rsidRDefault="008516D4" w14:paraId="69FDE544" w14:textId="77777777">
            <w:pPr>
              <w:jc w:val="center"/>
              <w:rPr>
                <w:b/>
              </w:rPr>
            </w:pPr>
            <w:r w:rsidRPr="00A73534">
              <w:rPr>
                <w:b/>
              </w:rPr>
              <w:t xml:space="preserve">No. of </w:t>
            </w:r>
            <w:r>
              <w:rPr>
                <w:b/>
              </w:rPr>
              <w:t>r</w:t>
            </w:r>
            <w:r w:rsidRPr="00A73534">
              <w:rPr>
                <w:b/>
              </w:rPr>
              <w:t>espondents</w:t>
            </w:r>
          </w:p>
        </w:tc>
        <w:tc>
          <w:tcPr>
            <w:tcW w:w="1620" w:type="dxa"/>
          </w:tcPr>
          <w:p w:rsidRPr="00A73534" w:rsidR="008516D4" w:rsidP="00A57EEF" w:rsidRDefault="008516D4" w14:paraId="4C514F06" w14:textId="77777777">
            <w:pPr>
              <w:jc w:val="center"/>
              <w:rPr>
                <w:b/>
              </w:rPr>
            </w:pPr>
            <w:r>
              <w:rPr>
                <w:b/>
              </w:rPr>
              <w:t>No. of responses</w:t>
            </w:r>
          </w:p>
        </w:tc>
        <w:tc>
          <w:tcPr>
            <w:tcW w:w="1620" w:type="dxa"/>
          </w:tcPr>
          <w:p w:rsidRPr="00A73534" w:rsidR="008516D4" w:rsidP="000556B9" w:rsidRDefault="008516D4" w14:paraId="6651738B" w14:textId="77777777">
            <w:pPr>
              <w:jc w:val="center"/>
              <w:rPr>
                <w:b/>
              </w:rPr>
            </w:pPr>
            <w:r w:rsidRPr="00A73534">
              <w:rPr>
                <w:b/>
              </w:rPr>
              <w:t>Participation Time</w:t>
            </w:r>
          </w:p>
        </w:tc>
        <w:tc>
          <w:tcPr>
            <w:tcW w:w="1890" w:type="dxa"/>
          </w:tcPr>
          <w:p w:rsidRPr="00A73534" w:rsidR="008516D4" w:rsidP="000556B9" w:rsidRDefault="008516D4" w14:paraId="5DCA7795" w14:textId="77777777">
            <w:pPr>
              <w:jc w:val="center"/>
              <w:rPr>
                <w:b/>
              </w:rPr>
            </w:pPr>
            <w:r w:rsidRPr="00A73534">
              <w:rPr>
                <w:b/>
              </w:rPr>
              <w:t>Burden</w:t>
            </w:r>
          </w:p>
          <w:p w:rsidRPr="00A73534" w:rsidR="008516D4" w:rsidP="000556B9" w:rsidRDefault="008516D4" w14:paraId="3B5A7209" w14:textId="77777777">
            <w:pPr>
              <w:jc w:val="center"/>
              <w:rPr>
                <w:b/>
              </w:rPr>
            </w:pPr>
            <w:r w:rsidRPr="00A73534">
              <w:rPr>
                <w:b/>
              </w:rPr>
              <w:t>Hours</w:t>
            </w:r>
          </w:p>
        </w:tc>
      </w:tr>
      <w:tr w:rsidRPr="001F2A2A" w:rsidR="008516D4" w:rsidTr="00DF7D45" w14:paraId="50745DA6" w14:textId="77777777">
        <w:trPr>
          <w:trHeight w:val="274"/>
        </w:trPr>
        <w:tc>
          <w:tcPr>
            <w:tcW w:w="3055" w:type="dxa"/>
          </w:tcPr>
          <w:p w:rsidRPr="001F2A2A" w:rsidR="008516D4" w:rsidP="00A57EEF" w:rsidRDefault="008516D4" w14:paraId="77A01C5C" w14:textId="77777777">
            <w:r w:rsidRPr="001F2A2A">
              <w:t>Recruitment</w:t>
            </w:r>
          </w:p>
        </w:tc>
        <w:tc>
          <w:tcPr>
            <w:tcW w:w="1980" w:type="dxa"/>
          </w:tcPr>
          <w:p w:rsidRPr="001F2A2A" w:rsidR="008516D4" w:rsidP="00A57EEF" w:rsidRDefault="008516D4" w14:paraId="546CF0FA" w14:textId="77777777">
            <w:pPr>
              <w:jc w:val="center"/>
            </w:pPr>
            <w:r w:rsidRPr="001F2A2A">
              <w:t>75</w:t>
            </w:r>
          </w:p>
        </w:tc>
        <w:tc>
          <w:tcPr>
            <w:tcW w:w="1620" w:type="dxa"/>
          </w:tcPr>
          <w:p w:rsidRPr="001F2A2A" w:rsidR="008516D4" w:rsidP="00A57EEF" w:rsidRDefault="008516D4" w14:paraId="726594E3" w14:textId="77777777">
            <w:pPr>
              <w:jc w:val="center"/>
            </w:pPr>
            <w:r w:rsidRPr="001F2A2A">
              <w:t>75</w:t>
            </w:r>
          </w:p>
        </w:tc>
        <w:tc>
          <w:tcPr>
            <w:tcW w:w="1620" w:type="dxa"/>
          </w:tcPr>
          <w:p w:rsidRPr="001F2A2A" w:rsidR="008516D4" w:rsidP="000556B9" w:rsidRDefault="008516D4" w14:paraId="3E0DC226" w14:textId="77777777">
            <w:pPr>
              <w:jc w:val="center"/>
            </w:pPr>
            <w:r w:rsidRPr="001F2A2A">
              <w:t>10 min</w:t>
            </w:r>
          </w:p>
        </w:tc>
        <w:tc>
          <w:tcPr>
            <w:tcW w:w="1890" w:type="dxa"/>
          </w:tcPr>
          <w:p w:rsidRPr="001F2A2A" w:rsidR="008516D4" w:rsidP="000556B9" w:rsidRDefault="008516D4" w14:paraId="30DE050C" w14:textId="38B6AA83">
            <w:pPr>
              <w:jc w:val="center"/>
            </w:pPr>
            <w:r w:rsidRPr="001F2A2A">
              <w:t>12.5</w:t>
            </w:r>
          </w:p>
        </w:tc>
      </w:tr>
      <w:tr w:rsidRPr="001F2A2A" w:rsidR="008516D4" w:rsidTr="00DF7D45" w14:paraId="46E7278E" w14:textId="77777777">
        <w:trPr>
          <w:trHeight w:val="274"/>
        </w:trPr>
        <w:tc>
          <w:tcPr>
            <w:tcW w:w="3055" w:type="dxa"/>
          </w:tcPr>
          <w:p w:rsidRPr="001F2A2A" w:rsidR="008516D4" w:rsidP="00A57EEF" w:rsidRDefault="008516D4" w14:paraId="1B397D4D" w14:textId="77777777">
            <w:r w:rsidRPr="001F2A2A">
              <w:t>Interviews and focus groups (subtotal)</w:t>
            </w:r>
          </w:p>
        </w:tc>
        <w:tc>
          <w:tcPr>
            <w:tcW w:w="1980" w:type="dxa"/>
          </w:tcPr>
          <w:p w:rsidRPr="001F2A2A" w:rsidR="008516D4" w:rsidP="00A57EEF" w:rsidRDefault="008516D4" w14:paraId="0788BE34" w14:textId="77777777">
            <w:pPr>
              <w:jc w:val="center"/>
            </w:pPr>
            <w:r w:rsidRPr="001F2A2A">
              <w:t>57</w:t>
            </w:r>
          </w:p>
        </w:tc>
        <w:tc>
          <w:tcPr>
            <w:tcW w:w="1620" w:type="dxa"/>
          </w:tcPr>
          <w:p w:rsidRPr="001F2A2A" w:rsidR="008516D4" w:rsidP="00A57EEF" w:rsidRDefault="008516D4" w14:paraId="23F59274" w14:textId="77777777">
            <w:pPr>
              <w:jc w:val="center"/>
            </w:pPr>
            <w:r w:rsidRPr="001F2A2A">
              <w:t>57</w:t>
            </w:r>
          </w:p>
        </w:tc>
        <w:tc>
          <w:tcPr>
            <w:tcW w:w="1620" w:type="dxa"/>
          </w:tcPr>
          <w:p w:rsidRPr="001F2A2A" w:rsidR="008516D4" w:rsidP="000556B9" w:rsidRDefault="008516D4" w14:paraId="1F004382" w14:textId="77777777">
            <w:pPr>
              <w:jc w:val="center"/>
            </w:pPr>
            <w:r w:rsidRPr="001F2A2A">
              <w:t>-</w:t>
            </w:r>
          </w:p>
        </w:tc>
        <w:tc>
          <w:tcPr>
            <w:tcW w:w="1890" w:type="dxa"/>
          </w:tcPr>
          <w:p w:rsidRPr="001F2A2A" w:rsidR="008516D4" w:rsidP="000556B9" w:rsidRDefault="008516D4" w14:paraId="682AA41F" w14:textId="77777777">
            <w:pPr>
              <w:jc w:val="center"/>
            </w:pPr>
            <w:r w:rsidRPr="001F2A2A">
              <w:t>69.5</w:t>
            </w:r>
          </w:p>
        </w:tc>
      </w:tr>
      <w:tr w:rsidRPr="001F2A2A" w:rsidR="008516D4" w:rsidTr="00DF7D45" w14:paraId="2BD259D8" w14:textId="77777777">
        <w:trPr>
          <w:trHeight w:val="274"/>
        </w:trPr>
        <w:tc>
          <w:tcPr>
            <w:tcW w:w="3055" w:type="dxa"/>
          </w:tcPr>
          <w:p w:rsidR="000556B9" w:rsidP="00A57EEF" w:rsidRDefault="008516D4" w14:paraId="0444B5B1" w14:textId="77777777">
            <w:pPr>
              <w:rPr>
                <w:i/>
                <w:iCs/>
              </w:rPr>
            </w:pPr>
            <w:r w:rsidRPr="001F2A2A">
              <w:rPr>
                <w:i/>
                <w:iCs/>
              </w:rPr>
              <w:t xml:space="preserve">     Policy Makers &amp; </w:t>
            </w:r>
            <w:r w:rsidR="000556B9">
              <w:rPr>
                <w:i/>
                <w:iCs/>
              </w:rPr>
              <w:t xml:space="preserve">      </w:t>
            </w:r>
          </w:p>
          <w:p w:rsidRPr="001F2A2A" w:rsidR="008516D4" w:rsidP="00A57EEF" w:rsidRDefault="000556B9" w14:paraId="2CE55AD0" w14:textId="71FA1ED7">
            <w:pPr>
              <w:rPr>
                <w:i/>
                <w:iCs/>
              </w:rPr>
            </w:pPr>
            <w:r>
              <w:rPr>
                <w:i/>
                <w:iCs/>
              </w:rPr>
              <w:t xml:space="preserve">         </w:t>
            </w:r>
            <w:r w:rsidRPr="001F2A2A" w:rsidR="008516D4">
              <w:rPr>
                <w:i/>
                <w:iCs/>
              </w:rPr>
              <w:t>Associations</w:t>
            </w:r>
            <w:r w:rsidR="008516D4">
              <w:rPr>
                <w:i/>
                <w:iCs/>
              </w:rPr>
              <w:t>*</w:t>
            </w:r>
            <w:r w:rsidRPr="001F2A2A" w:rsidR="008516D4">
              <w:rPr>
                <w:i/>
                <w:iCs/>
              </w:rPr>
              <w:t xml:space="preserve"> </w:t>
            </w:r>
          </w:p>
        </w:tc>
        <w:tc>
          <w:tcPr>
            <w:tcW w:w="1980" w:type="dxa"/>
          </w:tcPr>
          <w:p w:rsidRPr="001F2A2A" w:rsidR="008516D4" w:rsidP="00A57EEF" w:rsidRDefault="008516D4" w14:paraId="75D9AA70" w14:textId="77777777">
            <w:pPr>
              <w:jc w:val="center"/>
              <w:rPr>
                <w:i/>
                <w:iCs/>
              </w:rPr>
            </w:pPr>
            <w:r w:rsidRPr="001F2A2A">
              <w:rPr>
                <w:i/>
                <w:iCs/>
              </w:rPr>
              <w:t>25</w:t>
            </w:r>
          </w:p>
        </w:tc>
        <w:tc>
          <w:tcPr>
            <w:tcW w:w="1620" w:type="dxa"/>
          </w:tcPr>
          <w:p w:rsidRPr="001F2A2A" w:rsidR="008516D4" w:rsidP="00A57EEF" w:rsidRDefault="008516D4" w14:paraId="3A6C7277" w14:textId="77777777">
            <w:pPr>
              <w:jc w:val="center"/>
              <w:rPr>
                <w:i/>
                <w:iCs/>
              </w:rPr>
            </w:pPr>
            <w:r w:rsidRPr="001F2A2A">
              <w:rPr>
                <w:i/>
                <w:iCs/>
              </w:rPr>
              <w:t>25</w:t>
            </w:r>
          </w:p>
        </w:tc>
        <w:tc>
          <w:tcPr>
            <w:tcW w:w="1620" w:type="dxa"/>
          </w:tcPr>
          <w:p w:rsidRPr="001F2A2A" w:rsidR="008516D4" w:rsidP="000556B9" w:rsidRDefault="008516D4" w14:paraId="6D7008BC" w14:textId="77777777">
            <w:pPr>
              <w:jc w:val="center"/>
              <w:rPr>
                <w:i/>
                <w:iCs/>
              </w:rPr>
            </w:pPr>
            <w:r w:rsidRPr="001F2A2A">
              <w:rPr>
                <w:i/>
                <w:iCs/>
              </w:rPr>
              <w:t>1.5 hour</w:t>
            </w:r>
          </w:p>
        </w:tc>
        <w:tc>
          <w:tcPr>
            <w:tcW w:w="1890" w:type="dxa"/>
          </w:tcPr>
          <w:p w:rsidRPr="001F2A2A" w:rsidR="008516D4" w:rsidP="000556B9" w:rsidRDefault="008516D4" w14:paraId="7E0BF567" w14:textId="77777777">
            <w:pPr>
              <w:jc w:val="center"/>
              <w:rPr>
                <w:i/>
                <w:iCs/>
              </w:rPr>
            </w:pPr>
            <w:r w:rsidRPr="001F2A2A">
              <w:rPr>
                <w:i/>
                <w:iCs/>
              </w:rPr>
              <w:t>37.5</w:t>
            </w:r>
          </w:p>
        </w:tc>
      </w:tr>
      <w:tr w:rsidRPr="001F2A2A" w:rsidR="008516D4" w:rsidTr="00DF7D45" w14:paraId="453E4BBA" w14:textId="77777777">
        <w:trPr>
          <w:trHeight w:val="274"/>
        </w:trPr>
        <w:tc>
          <w:tcPr>
            <w:tcW w:w="3055" w:type="dxa"/>
          </w:tcPr>
          <w:p w:rsidRPr="001F2A2A" w:rsidR="008516D4" w:rsidP="00A57EEF" w:rsidRDefault="008516D4" w14:paraId="3FCD7CD3" w14:textId="77777777">
            <w:pPr>
              <w:rPr>
                <w:i/>
                <w:iCs/>
              </w:rPr>
            </w:pPr>
            <w:r w:rsidRPr="001F2A2A">
              <w:rPr>
                <w:i/>
                <w:iCs/>
              </w:rPr>
              <w:t xml:space="preserve">     Researchers</w:t>
            </w:r>
          </w:p>
        </w:tc>
        <w:tc>
          <w:tcPr>
            <w:tcW w:w="1980" w:type="dxa"/>
          </w:tcPr>
          <w:p w:rsidRPr="001F2A2A" w:rsidR="008516D4" w:rsidP="00A57EEF" w:rsidRDefault="008516D4" w14:paraId="493A7DD3" w14:textId="77777777">
            <w:pPr>
              <w:jc w:val="center"/>
              <w:rPr>
                <w:i/>
                <w:iCs/>
              </w:rPr>
            </w:pPr>
            <w:r w:rsidRPr="001F2A2A">
              <w:rPr>
                <w:i/>
                <w:iCs/>
              </w:rPr>
              <w:t>12</w:t>
            </w:r>
          </w:p>
        </w:tc>
        <w:tc>
          <w:tcPr>
            <w:tcW w:w="1620" w:type="dxa"/>
          </w:tcPr>
          <w:p w:rsidRPr="001F2A2A" w:rsidR="008516D4" w:rsidP="00A57EEF" w:rsidRDefault="008516D4" w14:paraId="63F9D2F4" w14:textId="77777777">
            <w:pPr>
              <w:jc w:val="center"/>
              <w:rPr>
                <w:i/>
                <w:iCs/>
              </w:rPr>
            </w:pPr>
            <w:r w:rsidRPr="001F2A2A">
              <w:rPr>
                <w:i/>
                <w:iCs/>
              </w:rPr>
              <w:t>12</w:t>
            </w:r>
          </w:p>
        </w:tc>
        <w:tc>
          <w:tcPr>
            <w:tcW w:w="1620" w:type="dxa"/>
          </w:tcPr>
          <w:p w:rsidRPr="001F2A2A" w:rsidR="008516D4" w:rsidP="000556B9" w:rsidRDefault="008516D4" w14:paraId="021EC98A" w14:textId="77777777">
            <w:pPr>
              <w:jc w:val="center"/>
              <w:rPr>
                <w:i/>
                <w:iCs/>
              </w:rPr>
            </w:pPr>
            <w:r w:rsidRPr="001F2A2A">
              <w:rPr>
                <w:i/>
                <w:iCs/>
              </w:rPr>
              <w:t>1 hour</w:t>
            </w:r>
          </w:p>
        </w:tc>
        <w:tc>
          <w:tcPr>
            <w:tcW w:w="1890" w:type="dxa"/>
          </w:tcPr>
          <w:p w:rsidRPr="001F2A2A" w:rsidR="008516D4" w:rsidP="000556B9" w:rsidRDefault="008516D4" w14:paraId="72266003" w14:textId="77777777">
            <w:pPr>
              <w:jc w:val="center"/>
              <w:rPr>
                <w:i/>
                <w:iCs/>
              </w:rPr>
            </w:pPr>
            <w:r w:rsidRPr="001F2A2A">
              <w:rPr>
                <w:i/>
                <w:iCs/>
              </w:rPr>
              <w:t>12</w:t>
            </w:r>
          </w:p>
        </w:tc>
      </w:tr>
      <w:tr w:rsidRPr="001F2A2A" w:rsidR="008516D4" w:rsidTr="00DF7D45" w14:paraId="66D9A675" w14:textId="77777777">
        <w:trPr>
          <w:trHeight w:val="274"/>
        </w:trPr>
        <w:tc>
          <w:tcPr>
            <w:tcW w:w="3055" w:type="dxa"/>
          </w:tcPr>
          <w:p w:rsidRPr="001F2A2A" w:rsidR="008516D4" w:rsidP="00A57EEF" w:rsidRDefault="008516D4" w14:paraId="01EBFA10" w14:textId="77777777">
            <w:pPr>
              <w:rPr>
                <w:i/>
                <w:iCs/>
              </w:rPr>
            </w:pPr>
            <w:r w:rsidRPr="001F2A2A">
              <w:rPr>
                <w:i/>
                <w:iCs/>
              </w:rPr>
              <w:t xml:space="preserve">     Media</w:t>
            </w:r>
          </w:p>
        </w:tc>
        <w:tc>
          <w:tcPr>
            <w:tcW w:w="1980" w:type="dxa"/>
          </w:tcPr>
          <w:p w:rsidRPr="001F2A2A" w:rsidR="008516D4" w:rsidP="00A57EEF" w:rsidRDefault="008516D4" w14:paraId="54E4E2F8" w14:textId="77777777">
            <w:pPr>
              <w:jc w:val="center"/>
              <w:rPr>
                <w:i/>
                <w:iCs/>
              </w:rPr>
            </w:pPr>
            <w:r w:rsidRPr="001F2A2A">
              <w:rPr>
                <w:i/>
                <w:iCs/>
              </w:rPr>
              <w:t>10</w:t>
            </w:r>
          </w:p>
        </w:tc>
        <w:tc>
          <w:tcPr>
            <w:tcW w:w="1620" w:type="dxa"/>
          </w:tcPr>
          <w:p w:rsidRPr="001F2A2A" w:rsidR="008516D4" w:rsidP="00A57EEF" w:rsidRDefault="008516D4" w14:paraId="6BE435E9" w14:textId="77777777">
            <w:pPr>
              <w:jc w:val="center"/>
              <w:rPr>
                <w:i/>
                <w:iCs/>
              </w:rPr>
            </w:pPr>
            <w:r w:rsidRPr="001F2A2A">
              <w:rPr>
                <w:i/>
                <w:iCs/>
              </w:rPr>
              <w:t>10</w:t>
            </w:r>
          </w:p>
        </w:tc>
        <w:tc>
          <w:tcPr>
            <w:tcW w:w="1620" w:type="dxa"/>
          </w:tcPr>
          <w:p w:rsidRPr="001F2A2A" w:rsidR="008516D4" w:rsidP="000556B9" w:rsidRDefault="008516D4" w14:paraId="2CF5191E" w14:textId="77777777">
            <w:pPr>
              <w:jc w:val="center"/>
              <w:rPr>
                <w:i/>
                <w:iCs/>
              </w:rPr>
            </w:pPr>
            <w:r w:rsidRPr="001F2A2A">
              <w:rPr>
                <w:i/>
                <w:iCs/>
              </w:rPr>
              <w:t>1 hour</w:t>
            </w:r>
          </w:p>
        </w:tc>
        <w:tc>
          <w:tcPr>
            <w:tcW w:w="1890" w:type="dxa"/>
          </w:tcPr>
          <w:p w:rsidRPr="001F2A2A" w:rsidR="008516D4" w:rsidP="000556B9" w:rsidRDefault="008516D4" w14:paraId="51D155E9" w14:textId="77777777">
            <w:pPr>
              <w:jc w:val="center"/>
              <w:rPr>
                <w:i/>
                <w:iCs/>
              </w:rPr>
            </w:pPr>
            <w:r w:rsidRPr="001F2A2A">
              <w:rPr>
                <w:i/>
                <w:iCs/>
              </w:rPr>
              <w:t>10</w:t>
            </w:r>
          </w:p>
        </w:tc>
      </w:tr>
      <w:tr w:rsidRPr="001F2A2A" w:rsidR="008516D4" w:rsidTr="00DF7D45" w14:paraId="1702B35E" w14:textId="77777777">
        <w:trPr>
          <w:trHeight w:val="274"/>
        </w:trPr>
        <w:tc>
          <w:tcPr>
            <w:tcW w:w="3055" w:type="dxa"/>
          </w:tcPr>
          <w:p w:rsidR="000556B9" w:rsidP="00A57EEF" w:rsidRDefault="008516D4" w14:paraId="6AE652DE" w14:textId="77777777">
            <w:pPr>
              <w:rPr>
                <w:i/>
                <w:iCs/>
              </w:rPr>
            </w:pPr>
            <w:r w:rsidRPr="001F2A2A">
              <w:rPr>
                <w:i/>
                <w:iCs/>
              </w:rPr>
              <w:t xml:space="preserve">     Education Subject Matter </w:t>
            </w:r>
          </w:p>
          <w:p w:rsidRPr="001F2A2A" w:rsidR="008516D4" w:rsidP="00A57EEF" w:rsidRDefault="000556B9" w14:paraId="46D3B60A" w14:textId="237E20A2">
            <w:pPr>
              <w:rPr>
                <w:i/>
                <w:iCs/>
              </w:rPr>
            </w:pPr>
            <w:r>
              <w:rPr>
                <w:i/>
                <w:iCs/>
              </w:rPr>
              <w:t xml:space="preserve">         </w:t>
            </w:r>
            <w:r w:rsidRPr="001F2A2A" w:rsidR="008516D4">
              <w:rPr>
                <w:i/>
                <w:iCs/>
              </w:rPr>
              <w:t>Experts</w:t>
            </w:r>
          </w:p>
        </w:tc>
        <w:tc>
          <w:tcPr>
            <w:tcW w:w="1980" w:type="dxa"/>
          </w:tcPr>
          <w:p w:rsidRPr="001F2A2A" w:rsidR="008516D4" w:rsidP="00A57EEF" w:rsidRDefault="008516D4" w14:paraId="42FB67D0" w14:textId="77777777">
            <w:pPr>
              <w:jc w:val="center"/>
              <w:rPr>
                <w:i/>
                <w:iCs/>
              </w:rPr>
            </w:pPr>
            <w:r w:rsidRPr="001F2A2A">
              <w:rPr>
                <w:i/>
                <w:iCs/>
              </w:rPr>
              <w:t>10</w:t>
            </w:r>
          </w:p>
        </w:tc>
        <w:tc>
          <w:tcPr>
            <w:tcW w:w="1620" w:type="dxa"/>
          </w:tcPr>
          <w:p w:rsidRPr="001F2A2A" w:rsidR="008516D4" w:rsidP="00A57EEF" w:rsidRDefault="008516D4" w14:paraId="41CA69A8" w14:textId="77777777">
            <w:pPr>
              <w:jc w:val="center"/>
              <w:rPr>
                <w:i/>
                <w:iCs/>
              </w:rPr>
            </w:pPr>
            <w:r w:rsidRPr="001F2A2A">
              <w:rPr>
                <w:i/>
                <w:iCs/>
              </w:rPr>
              <w:t>10</w:t>
            </w:r>
          </w:p>
        </w:tc>
        <w:tc>
          <w:tcPr>
            <w:tcW w:w="1620" w:type="dxa"/>
          </w:tcPr>
          <w:p w:rsidRPr="001F2A2A" w:rsidR="008516D4" w:rsidP="000556B9" w:rsidRDefault="008516D4" w14:paraId="0D443CBC" w14:textId="77777777">
            <w:pPr>
              <w:jc w:val="center"/>
              <w:rPr>
                <w:i/>
                <w:iCs/>
              </w:rPr>
            </w:pPr>
            <w:r w:rsidRPr="001F2A2A">
              <w:rPr>
                <w:i/>
                <w:iCs/>
              </w:rPr>
              <w:t>1 hour</w:t>
            </w:r>
          </w:p>
        </w:tc>
        <w:tc>
          <w:tcPr>
            <w:tcW w:w="1890" w:type="dxa"/>
          </w:tcPr>
          <w:p w:rsidRPr="001F2A2A" w:rsidR="008516D4" w:rsidP="000556B9" w:rsidRDefault="008516D4" w14:paraId="0DDA9E97" w14:textId="77777777">
            <w:pPr>
              <w:jc w:val="center"/>
              <w:rPr>
                <w:i/>
                <w:iCs/>
              </w:rPr>
            </w:pPr>
            <w:r w:rsidRPr="001F2A2A">
              <w:rPr>
                <w:i/>
                <w:iCs/>
              </w:rPr>
              <w:t>10</w:t>
            </w:r>
          </w:p>
        </w:tc>
      </w:tr>
      <w:tr w:rsidRPr="00A73534" w:rsidR="008516D4" w:rsidTr="00DF7D45" w14:paraId="761B7C2E" w14:textId="77777777">
        <w:trPr>
          <w:trHeight w:val="289"/>
        </w:trPr>
        <w:tc>
          <w:tcPr>
            <w:tcW w:w="3055" w:type="dxa"/>
          </w:tcPr>
          <w:p w:rsidRPr="001F2A2A" w:rsidR="008516D4" w:rsidP="00A57EEF" w:rsidRDefault="008516D4" w14:paraId="5DA7CC94" w14:textId="77777777">
            <w:pPr>
              <w:rPr>
                <w:b/>
              </w:rPr>
            </w:pPr>
            <w:r w:rsidRPr="001F2A2A">
              <w:rPr>
                <w:b/>
              </w:rPr>
              <w:t>Totals</w:t>
            </w:r>
          </w:p>
        </w:tc>
        <w:tc>
          <w:tcPr>
            <w:tcW w:w="1980" w:type="dxa"/>
          </w:tcPr>
          <w:p w:rsidRPr="001F2A2A" w:rsidR="008516D4" w:rsidP="00A57EEF" w:rsidRDefault="008516D4" w14:paraId="096022C9" w14:textId="77777777">
            <w:pPr>
              <w:jc w:val="center"/>
              <w:rPr>
                <w:b/>
              </w:rPr>
            </w:pPr>
            <w:r w:rsidRPr="001F2A2A">
              <w:rPr>
                <w:b/>
              </w:rPr>
              <w:t>132</w:t>
            </w:r>
          </w:p>
        </w:tc>
        <w:tc>
          <w:tcPr>
            <w:tcW w:w="1620" w:type="dxa"/>
          </w:tcPr>
          <w:p w:rsidRPr="001F2A2A" w:rsidR="008516D4" w:rsidP="00A57EEF" w:rsidRDefault="008516D4" w14:paraId="48232467" w14:textId="77777777">
            <w:pPr>
              <w:jc w:val="center"/>
              <w:rPr>
                <w:b/>
              </w:rPr>
            </w:pPr>
            <w:r w:rsidRPr="001F2A2A">
              <w:rPr>
                <w:b/>
              </w:rPr>
              <w:t>132</w:t>
            </w:r>
          </w:p>
        </w:tc>
        <w:tc>
          <w:tcPr>
            <w:tcW w:w="1620" w:type="dxa"/>
          </w:tcPr>
          <w:p w:rsidRPr="001F2A2A" w:rsidR="008516D4" w:rsidP="000556B9" w:rsidRDefault="008516D4" w14:paraId="073863C8" w14:textId="77777777">
            <w:pPr>
              <w:jc w:val="center"/>
              <w:rPr>
                <w:b/>
              </w:rPr>
            </w:pPr>
          </w:p>
        </w:tc>
        <w:tc>
          <w:tcPr>
            <w:tcW w:w="1890" w:type="dxa"/>
          </w:tcPr>
          <w:p w:rsidRPr="00A73534" w:rsidR="008516D4" w:rsidP="000556B9" w:rsidRDefault="008516D4" w14:paraId="19589366" w14:textId="77777777">
            <w:pPr>
              <w:jc w:val="center"/>
              <w:rPr>
                <w:b/>
              </w:rPr>
            </w:pPr>
            <w:r w:rsidRPr="001F2A2A">
              <w:rPr>
                <w:b/>
              </w:rPr>
              <w:t>82</w:t>
            </w:r>
          </w:p>
        </w:tc>
      </w:tr>
    </w:tbl>
    <w:p w:rsidR="00506292" w:rsidP="00506292" w:rsidRDefault="00506292" w14:paraId="32294692" w14:textId="77777777">
      <w:pPr>
        <w:rPr>
          <w:sz w:val="20"/>
          <w:szCs w:val="20"/>
        </w:rPr>
      </w:pPr>
      <w:r>
        <w:rPr>
          <w:sz w:val="20"/>
          <w:szCs w:val="20"/>
        </w:rPr>
        <w:t xml:space="preserve">* Respondents who are Policy Makers or key members of Associations may participate in either 1:1 </w:t>
      </w:r>
      <w:proofErr w:type="gramStart"/>
      <w:r>
        <w:rPr>
          <w:sz w:val="20"/>
          <w:szCs w:val="20"/>
        </w:rPr>
        <w:t>interviews</w:t>
      </w:r>
      <w:proofErr w:type="gramEnd"/>
      <w:r>
        <w:rPr>
          <w:sz w:val="20"/>
          <w:szCs w:val="20"/>
        </w:rPr>
        <w:t xml:space="preserve"> or focus groups. We estimate that 1:1 </w:t>
      </w:r>
      <w:proofErr w:type="gramStart"/>
      <w:r>
        <w:rPr>
          <w:sz w:val="20"/>
          <w:szCs w:val="20"/>
        </w:rPr>
        <w:t>interviews</w:t>
      </w:r>
      <w:proofErr w:type="gramEnd"/>
      <w:r>
        <w:rPr>
          <w:sz w:val="20"/>
          <w:szCs w:val="20"/>
        </w:rPr>
        <w:t xml:space="preserve"> will take no more than one hour, while focus groups may extend to an hour and a half. For that reason, this row represents the highest possible estimate of burden for this group, </w:t>
      </w:r>
      <w:proofErr w:type="gramStart"/>
      <w:r>
        <w:rPr>
          <w:sz w:val="20"/>
          <w:szCs w:val="20"/>
        </w:rPr>
        <w:t>assuming that</w:t>
      </w:r>
      <w:proofErr w:type="gramEnd"/>
      <w:r>
        <w:rPr>
          <w:sz w:val="20"/>
          <w:szCs w:val="20"/>
        </w:rPr>
        <w:t xml:space="preserve"> all respondents in this category will participate in a focus group, which is almost certainly not the case. </w:t>
      </w:r>
    </w:p>
    <w:p w:rsidRPr="006D2677" w:rsidR="00506292" w:rsidP="00506292" w:rsidRDefault="00506292" w14:paraId="7485201C" w14:textId="77777777">
      <w:pPr>
        <w:rPr>
          <w:b/>
          <w:sz w:val="2"/>
          <w:szCs w:val="2"/>
        </w:rPr>
      </w:pPr>
      <w:r>
        <w:rPr>
          <w:sz w:val="20"/>
          <w:szCs w:val="20"/>
        </w:rPr>
        <w:t>Italicized rows provide more detail and should not be considered as duplicative of rows providing subtotals.</w:t>
      </w:r>
    </w:p>
    <w:p w:rsidRPr="00C76659" w:rsidR="00F3170F" w:rsidP="00F3170F" w:rsidRDefault="00F3170F" w14:paraId="427ECE84" w14:textId="77777777"/>
    <w:p w:rsidRPr="00C76659" w:rsidR="005E714A" w:rsidRDefault="001C39F7" w14:paraId="427ECE85" w14:textId="469DCE37">
      <w:r w:rsidRPr="00C76659">
        <w:rPr>
          <w:b/>
        </w:rPr>
        <w:t xml:space="preserve">FEDERAL </w:t>
      </w:r>
      <w:r w:rsidRPr="00C76659" w:rsidR="009F5923">
        <w:rPr>
          <w:b/>
        </w:rPr>
        <w:t>COST</w:t>
      </w:r>
      <w:r w:rsidRPr="00C76659" w:rsidR="00F06866">
        <w:rPr>
          <w:b/>
        </w:rPr>
        <w:t>:</w:t>
      </w:r>
      <w:r w:rsidRPr="00C76659" w:rsidR="00895229">
        <w:rPr>
          <w:b/>
        </w:rPr>
        <w:t xml:space="preserve"> </w:t>
      </w:r>
      <w:r w:rsidRPr="00C76659" w:rsidR="00C86E91">
        <w:rPr>
          <w:b/>
        </w:rPr>
        <w:t xml:space="preserve"> </w:t>
      </w:r>
      <w:r w:rsidRPr="00397E3D" w:rsidR="00397E3D">
        <w:t>For this study there is a $0 incremental cost because it is a part of a larger IES Customer Experience effort and does not include surveys or third-party recruitment costs. The cost is also $0 because the interviewees are from known introductions vs surveys or cold outreach, and there are no incentives offered to participants.</w:t>
      </w:r>
    </w:p>
    <w:p w:rsidRPr="00C76659" w:rsidR="00ED6492" w:rsidRDefault="00ED6492" w14:paraId="427ECE86" w14:textId="77777777">
      <w:pPr>
        <w:rPr>
          <w:b/>
          <w:bCs/>
          <w:u w:val="single"/>
        </w:rPr>
      </w:pPr>
    </w:p>
    <w:p w:rsidRPr="00C76659" w:rsidR="0069403B" w:rsidP="00F06866" w:rsidRDefault="00ED6492" w14:paraId="427ECE87" w14:textId="77777777">
      <w:pPr>
        <w:rPr>
          <w:sz w:val="20"/>
          <w:szCs w:val="20"/>
        </w:rPr>
      </w:pPr>
      <w:r w:rsidRPr="00C76659">
        <w:rPr>
          <w:bCs/>
          <w:sz w:val="20"/>
          <w:szCs w:val="20"/>
          <w:u w:val="single"/>
        </w:rPr>
        <w:t xml:space="preserve">If you are conducting a focus group, survey, or </w:t>
      </w:r>
      <w:r w:rsidRPr="00C76659" w:rsidR="00652479">
        <w:rPr>
          <w:bCs/>
          <w:sz w:val="20"/>
          <w:szCs w:val="20"/>
          <w:u w:val="single"/>
        </w:rPr>
        <w:t>will</w:t>
      </w:r>
      <w:r w:rsidRPr="00C76659">
        <w:rPr>
          <w:bCs/>
          <w:sz w:val="20"/>
          <w:szCs w:val="20"/>
          <w:u w:val="single"/>
        </w:rPr>
        <w:t xml:space="preserve"> employ statistical methods, </w:t>
      </w:r>
      <w:r w:rsidRPr="00C76659" w:rsidR="0069403B">
        <w:rPr>
          <w:bCs/>
          <w:sz w:val="20"/>
          <w:szCs w:val="20"/>
          <w:u w:val="single"/>
        </w:rPr>
        <w:t>provide answers to the following questions:</w:t>
      </w:r>
    </w:p>
    <w:p w:rsidRPr="00C76659" w:rsidR="0069403B" w:rsidP="00F06866" w:rsidRDefault="0069403B" w14:paraId="427ECE88" w14:textId="77777777">
      <w:pPr>
        <w:rPr>
          <w:b/>
        </w:rPr>
      </w:pPr>
    </w:p>
    <w:p w:rsidRPr="00C76659" w:rsidR="00F06866" w:rsidP="00F06866" w:rsidRDefault="00636621" w14:paraId="427ECE89" w14:textId="77777777">
      <w:pPr>
        <w:rPr>
          <w:b/>
        </w:rPr>
      </w:pPr>
      <w:r w:rsidRPr="00C76659">
        <w:rPr>
          <w:b/>
        </w:rPr>
        <w:t>The</w:t>
      </w:r>
      <w:r w:rsidRPr="00C76659" w:rsidR="0069403B">
        <w:rPr>
          <w:b/>
        </w:rPr>
        <w:t xml:space="preserve"> select</w:t>
      </w:r>
      <w:r w:rsidRPr="00C76659">
        <w:rPr>
          <w:b/>
        </w:rPr>
        <w:t>ion of your targeted respondents</w:t>
      </w:r>
    </w:p>
    <w:p w:rsidRPr="00C76659" w:rsidR="0069403B" w:rsidP="0069403B" w:rsidRDefault="0069403B" w14:paraId="427ECE8A" w14:textId="1CAA553C">
      <w:pPr>
        <w:pStyle w:val="ListParagraph"/>
        <w:numPr>
          <w:ilvl w:val="0"/>
          <w:numId w:val="15"/>
        </w:numPr>
      </w:pPr>
      <w:r w:rsidRPr="00C76659">
        <w:t>Do you have a customer list or something similar that defines the universe of potential respondents</w:t>
      </w:r>
      <w:r w:rsidRPr="00C76659" w:rsidR="00636621">
        <w:t xml:space="preserve"> and do you have a sampling plan for selecting from this universe</w:t>
      </w:r>
      <w:r w:rsidRPr="00C76659">
        <w:t>?</w:t>
      </w:r>
      <w:r w:rsidRPr="00C76659">
        <w:tab/>
      </w:r>
      <w:r w:rsidRPr="00C76659">
        <w:tab/>
      </w:r>
      <w:r w:rsidRPr="00C76659">
        <w:tab/>
      </w:r>
      <w:r w:rsidRPr="00C76659">
        <w:tab/>
      </w:r>
      <w:r w:rsidRPr="00C76659">
        <w:tab/>
      </w:r>
      <w:r w:rsidRPr="00C76659">
        <w:tab/>
      </w:r>
      <w:r w:rsidRPr="00C76659">
        <w:tab/>
      </w:r>
      <w:r w:rsidRPr="00C76659">
        <w:tab/>
      </w:r>
      <w:r w:rsidRPr="00C76659" w:rsidR="00636621">
        <w:tab/>
      </w:r>
      <w:r w:rsidRPr="00C76659" w:rsidR="00636621">
        <w:tab/>
      </w:r>
      <w:r w:rsidRPr="00C76659" w:rsidR="00636621">
        <w:tab/>
      </w:r>
      <w:r w:rsidRPr="00C76659">
        <w:t>[</w:t>
      </w:r>
      <w:r w:rsidRPr="00C76659" w:rsidR="00FF254A">
        <w:t>X</w:t>
      </w:r>
      <w:r w:rsidRPr="00C76659">
        <w:t>] Yes</w:t>
      </w:r>
      <w:r w:rsidRPr="00C76659" w:rsidR="005A7C76">
        <w:tab/>
      </w:r>
      <w:proofErr w:type="gramStart"/>
      <w:r w:rsidRPr="00C76659">
        <w:t>[</w:t>
      </w:r>
      <w:r w:rsidR="00FF254A">
        <w:t xml:space="preserve"> </w:t>
      </w:r>
      <w:r w:rsidRPr="00C76659">
        <w:t>]</w:t>
      </w:r>
      <w:proofErr w:type="gramEnd"/>
      <w:r w:rsidRPr="00C76659">
        <w:t xml:space="preserve"> No</w:t>
      </w:r>
    </w:p>
    <w:p w:rsidRPr="00C76659" w:rsidR="00636621" w:rsidP="00636621" w:rsidRDefault="00636621" w14:paraId="427ECE8B" w14:textId="77777777">
      <w:pPr>
        <w:pStyle w:val="ListParagraph"/>
      </w:pPr>
    </w:p>
    <w:p w:rsidRPr="00C76659" w:rsidR="00636621" w:rsidP="001B0AAA" w:rsidRDefault="00636621" w14:paraId="427ECE8C" w14:textId="77777777">
      <w:r w:rsidRPr="00C76659">
        <w:t xml:space="preserve">If the answer is yes, please </w:t>
      </w:r>
      <w:proofErr w:type="gramStart"/>
      <w:r w:rsidRPr="00C76659">
        <w:t>provide</w:t>
      </w:r>
      <w:proofErr w:type="gramEnd"/>
      <w:r w:rsidRPr="00C76659">
        <w:t xml:space="preserve"> a description of both below</w:t>
      </w:r>
      <w:r w:rsidRPr="00C76659" w:rsidR="00A403BB">
        <w:t xml:space="preserve"> (or attach the sampling plan)</w:t>
      </w:r>
      <w:r w:rsidRPr="00C76659">
        <w:t>?   If the answer is no, please provide a description of how you plan to identify your potential group of respondents</w:t>
      </w:r>
      <w:r w:rsidRPr="00C76659" w:rsidR="001B0AAA">
        <w:t xml:space="preserve"> and how you will select them</w:t>
      </w:r>
      <w:r w:rsidRPr="00C76659">
        <w:t>?</w:t>
      </w:r>
    </w:p>
    <w:p w:rsidRPr="00C76659" w:rsidR="00E959FE" w:rsidP="001B0AAA" w:rsidRDefault="00E959FE" w14:paraId="427ECE8D" w14:textId="77777777"/>
    <w:p w:rsidR="00A403BB" w:rsidP="00A403BB" w:rsidRDefault="00FF254A" w14:paraId="427ECE8F" w14:textId="79198DBC">
      <w:pPr>
        <w:rPr>
          <w:szCs w:val="20"/>
        </w:rPr>
      </w:pPr>
      <w:r w:rsidRPr="00FF254A">
        <w:rPr>
          <w:szCs w:val="20"/>
        </w:rPr>
        <w:t xml:space="preserve">Leadership at IES and the research team have together compiled a list of individual Subject Matter Experts (SMEs), current users, and potential future users and user groups. The list was created by IES leadership, their team, and the research team based on previous research. We will continue to grow this </w:t>
      </w:r>
      <w:r w:rsidRPr="00FF254A">
        <w:rPr>
          <w:szCs w:val="20"/>
        </w:rPr>
        <w:lastRenderedPageBreak/>
        <w:t>list during the initial interviews based on recommendations from Subject Matter Experts. The maximum number of potential respondents we will contact is 75.</w:t>
      </w:r>
    </w:p>
    <w:p w:rsidRPr="00C76659" w:rsidR="00FF254A" w:rsidP="00A403BB" w:rsidRDefault="00FF254A" w14:paraId="645F63D9" w14:textId="77777777"/>
    <w:p w:rsidRPr="00C76659" w:rsidR="00A403BB" w:rsidP="00A403BB" w:rsidRDefault="00A403BB" w14:paraId="427ECE90" w14:textId="77777777">
      <w:pPr>
        <w:rPr>
          <w:b/>
        </w:rPr>
      </w:pPr>
      <w:r w:rsidRPr="00C76659">
        <w:rPr>
          <w:b/>
        </w:rPr>
        <w:t>Administration of the Instrument</w:t>
      </w:r>
    </w:p>
    <w:p w:rsidRPr="00C76659" w:rsidR="00A403BB" w:rsidP="00A403BB" w:rsidRDefault="001B0AAA" w14:paraId="427ECE91" w14:textId="77777777">
      <w:pPr>
        <w:pStyle w:val="ListParagraph"/>
        <w:numPr>
          <w:ilvl w:val="0"/>
          <w:numId w:val="17"/>
        </w:numPr>
      </w:pPr>
      <w:r w:rsidRPr="00C76659">
        <w:t>H</w:t>
      </w:r>
      <w:r w:rsidRPr="00C76659" w:rsidR="00A403BB">
        <w:t>ow will you collect the information? (Check all that apply)</w:t>
      </w:r>
    </w:p>
    <w:p w:rsidRPr="00C76659" w:rsidR="001B0AAA" w:rsidP="001B0AAA" w:rsidRDefault="00A403BB" w14:paraId="427ECE92" w14:textId="5CF835C8">
      <w:pPr>
        <w:ind w:left="720"/>
      </w:pPr>
      <w:proofErr w:type="gramStart"/>
      <w:r w:rsidRPr="00C76659">
        <w:t>[</w:t>
      </w:r>
      <w:r w:rsidR="00831AE0">
        <w:t xml:space="preserve">  </w:t>
      </w:r>
      <w:r w:rsidRPr="00C76659">
        <w:t>]</w:t>
      </w:r>
      <w:proofErr w:type="gramEnd"/>
      <w:r w:rsidRPr="00C76659">
        <w:t xml:space="preserve"> Web-based</w:t>
      </w:r>
      <w:r w:rsidRPr="00C76659" w:rsidR="001B0AAA">
        <w:t xml:space="preserve"> or other forms of Social Media </w:t>
      </w:r>
    </w:p>
    <w:p w:rsidRPr="00C76659" w:rsidR="001B0AAA" w:rsidP="001B0AAA" w:rsidRDefault="00A403BB" w14:paraId="427ECE93" w14:textId="251E074F">
      <w:pPr>
        <w:ind w:left="720"/>
      </w:pPr>
      <w:r w:rsidRPr="00C76659">
        <w:t>[</w:t>
      </w:r>
      <w:r w:rsidR="00831AE0">
        <w:t>X</w:t>
      </w:r>
      <w:r w:rsidRPr="00C76659">
        <w:t>] Telephone</w:t>
      </w:r>
      <w:r w:rsidRPr="00C76659">
        <w:tab/>
      </w:r>
    </w:p>
    <w:p w:rsidRPr="00C76659" w:rsidR="001B0AAA" w:rsidP="001B0AAA" w:rsidRDefault="00A403BB" w14:paraId="427ECE94" w14:textId="0C311CC7">
      <w:pPr>
        <w:ind w:left="720"/>
      </w:pPr>
      <w:r w:rsidRPr="00C76659">
        <w:t>[</w:t>
      </w:r>
      <w:r w:rsidR="00831AE0">
        <w:t>X</w:t>
      </w:r>
      <w:r w:rsidRPr="00C76659">
        <w:t>] In-person</w:t>
      </w:r>
      <w:r w:rsidRPr="00C76659">
        <w:tab/>
      </w:r>
    </w:p>
    <w:p w:rsidRPr="00C76659" w:rsidR="001B0AAA" w:rsidP="001B0AAA" w:rsidRDefault="00A403BB" w14:paraId="427ECE95" w14:textId="77777777">
      <w:pPr>
        <w:ind w:left="720"/>
      </w:pPr>
      <w:proofErr w:type="gramStart"/>
      <w:r w:rsidRPr="00C76659">
        <w:t>[</w:t>
      </w:r>
      <w:r w:rsidR="00777E41">
        <w:t xml:space="preserve">  </w:t>
      </w:r>
      <w:r w:rsidRPr="00C76659">
        <w:t>]</w:t>
      </w:r>
      <w:proofErr w:type="gramEnd"/>
      <w:r w:rsidRPr="00C76659">
        <w:t xml:space="preserve"> Mail</w:t>
      </w:r>
      <w:r w:rsidRPr="00C76659" w:rsidR="001B0AAA">
        <w:t xml:space="preserve"> </w:t>
      </w:r>
    </w:p>
    <w:p w:rsidRPr="00C76659" w:rsidR="001B0AAA" w:rsidP="001B0AAA" w:rsidRDefault="00A403BB" w14:paraId="427ECE96" w14:textId="42404FC8">
      <w:pPr>
        <w:ind w:left="720"/>
      </w:pPr>
      <w:r w:rsidRPr="00C76659">
        <w:t>[</w:t>
      </w:r>
      <w:r w:rsidR="00831AE0">
        <w:t>X</w:t>
      </w:r>
      <w:r w:rsidRPr="00C76659">
        <w:t xml:space="preserve">] Other, </w:t>
      </w:r>
      <w:proofErr w:type="gramStart"/>
      <w:r w:rsidRPr="00C76659">
        <w:t>Explain</w:t>
      </w:r>
      <w:proofErr w:type="gramEnd"/>
      <w:r w:rsidR="00F41F70">
        <w:t>: In-person interviews will be available as an option, although we don’t expect them to be widely used.</w:t>
      </w:r>
      <w:r w:rsidR="005B3951">
        <w:t xml:space="preserve"> (Data collection will likely take place in April 2020.)</w:t>
      </w:r>
    </w:p>
    <w:p w:rsidRPr="00C76659" w:rsidR="005E714A" w:rsidP="004A7CE7" w:rsidRDefault="00F24CFC" w14:paraId="427ECE97" w14:textId="228B8FA2">
      <w:pPr>
        <w:pStyle w:val="ListParagraph"/>
        <w:numPr>
          <w:ilvl w:val="0"/>
          <w:numId w:val="17"/>
        </w:numPr>
      </w:pPr>
      <w:r w:rsidRPr="00C76659">
        <w:t>Will interviewers or facilitators be used?  [</w:t>
      </w:r>
      <w:r w:rsidR="00831AE0">
        <w:t>X</w:t>
      </w:r>
      <w:r w:rsidRPr="00C76659">
        <w:t xml:space="preserve">] Yes </w:t>
      </w:r>
      <w:proofErr w:type="gramStart"/>
      <w:r w:rsidRPr="00C76659">
        <w:t>[</w:t>
      </w:r>
      <w:r w:rsidR="00831AE0">
        <w:t xml:space="preserve"> </w:t>
      </w:r>
      <w:r w:rsidRPr="00C76659">
        <w:t>]</w:t>
      </w:r>
      <w:proofErr w:type="gramEnd"/>
      <w:r w:rsidRPr="00C76659">
        <w:t xml:space="preserve"> No</w:t>
      </w:r>
    </w:p>
    <w:sectPr w:rsidRPr="00C76659" w:rsidR="005E714A" w:rsidSect="00B51E36">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6668B" w14:textId="77777777" w:rsidR="00612D9C" w:rsidRDefault="00612D9C">
      <w:r>
        <w:separator/>
      </w:r>
    </w:p>
  </w:endnote>
  <w:endnote w:type="continuationSeparator" w:id="0">
    <w:p w14:paraId="0FDF4A8B" w14:textId="77777777" w:rsidR="00612D9C" w:rsidRDefault="0061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CEA0" w14:textId="77777777" w:rsidR="00D8530A" w:rsidRDefault="00D85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CEA1" w14:textId="77777777" w:rsidR="008F50D4" w:rsidRDefault="00AF4EA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2627">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CEA3" w14:textId="77777777" w:rsidR="00D8530A" w:rsidRDefault="00D8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F3A1C" w14:textId="77777777" w:rsidR="00612D9C" w:rsidRDefault="00612D9C">
      <w:r>
        <w:separator/>
      </w:r>
    </w:p>
  </w:footnote>
  <w:footnote w:type="continuationSeparator" w:id="0">
    <w:p w14:paraId="4294C550" w14:textId="77777777" w:rsidR="00612D9C" w:rsidRDefault="00612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CE9E" w14:textId="77777777" w:rsidR="00D8530A" w:rsidRDefault="00D85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CE9F" w14:textId="77777777" w:rsidR="00BA2105" w:rsidRDefault="00BA21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ECEA2" w14:textId="77777777" w:rsidR="00D8530A" w:rsidRDefault="00D85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27CDA"/>
    <w:multiLevelType w:val="hybridMultilevel"/>
    <w:tmpl w:val="3BDCE57A"/>
    <w:lvl w:ilvl="0" w:tplc="33827C4A">
      <w:start w:val="1"/>
      <w:numFmt w:val="decimal"/>
      <w:pStyle w:val="OMBSectionHeading"/>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7D0D8B"/>
    <w:multiLevelType w:val="multilevel"/>
    <w:tmpl w:val="5B76164A"/>
    <w:lvl w:ilvl="0">
      <w:start w:val="4"/>
      <w:numFmt w:val="bullet"/>
      <w:lvlText w:val=""/>
      <w:lvlJc w:val="left"/>
      <w:rPr>
        <w:rFonts w:ascii="Symbol" w:eastAsia="Times New Roman"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70829"/>
    <w:multiLevelType w:val="hybridMultilevel"/>
    <w:tmpl w:val="499EB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E7497"/>
    <w:multiLevelType w:val="hybridMultilevel"/>
    <w:tmpl w:val="4C54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093F88"/>
    <w:multiLevelType w:val="hybridMultilevel"/>
    <w:tmpl w:val="FAD6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B367F"/>
    <w:multiLevelType w:val="hybridMultilevel"/>
    <w:tmpl w:val="27DC64FA"/>
    <w:lvl w:ilvl="0" w:tplc="AAC00070">
      <w:start w:val="6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3"/>
  </w:num>
  <w:num w:numId="5">
    <w:abstractNumId w:val="5"/>
  </w:num>
  <w:num w:numId="6">
    <w:abstractNumId w:val="1"/>
  </w:num>
  <w:num w:numId="7">
    <w:abstractNumId w:val="11"/>
  </w:num>
  <w:num w:numId="8">
    <w:abstractNumId w:val="17"/>
  </w:num>
  <w:num w:numId="9">
    <w:abstractNumId w:val="12"/>
  </w:num>
  <w:num w:numId="10">
    <w:abstractNumId w:val="2"/>
  </w:num>
  <w:num w:numId="11">
    <w:abstractNumId w:val="9"/>
  </w:num>
  <w:num w:numId="12">
    <w:abstractNumId w:val="10"/>
  </w:num>
  <w:num w:numId="13">
    <w:abstractNumId w:val="0"/>
  </w:num>
  <w:num w:numId="14">
    <w:abstractNumId w:val="18"/>
  </w:num>
  <w:num w:numId="15">
    <w:abstractNumId w:val="16"/>
  </w:num>
  <w:num w:numId="16">
    <w:abstractNumId w:val="15"/>
  </w:num>
  <w:num w:numId="17">
    <w:abstractNumId w:val="6"/>
  </w:num>
  <w:num w:numId="18">
    <w:abstractNumId w:val="7"/>
  </w:num>
  <w:num w:numId="19">
    <w:abstractNumId w:val="8"/>
  </w:num>
  <w:num w:numId="20">
    <w:abstractNumId w:val="14"/>
  </w:num>
  <w:num w:numId="21">
    <w:abstractNumId w:val="4"/>
  </w:num>
  <w:num w:numId="22">
    <w:abstractNumId w:val="3"/>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3A57"/>
    <w:rsid w:val="00036CA2"/>
    <w:rsid w:val="00047A64"/>
    <w:rsid w:val="000556B9"/>
    <w:rsid w:val="00067329"/>
    <w:rsid w:val="0008138E"/>
    <w:rsid w:val="000A57E8"/>
    <w:rsid w:val="000B2838"/>
    <w:rsid w:val="000C0796"/>
    <w:rsid w:val="000C3C86"/>
    <w:rsid w:val="000D44CA"/>
    <w:rsid w:val="000E200B"/>
    <w:rsid w:val="000E7BEF"/>
    <w:rsid w:val="000F12F4"/>
    <w:rsid w:val="000F55B2"/>
    <w:rsid w:val="000F68BE"/>
    <w:rsid w:val="0010589A"/>
    <w:rsid w:val="001355CB"/>
    <w:rsid w:val="001459B5"/>
    <w:rsid w:val="001651C1"/>
    <w:rsid w:val="00176106"/>
    <w:rsid w:val="00186CA7"/>
    <w:rsid w:val="001927A4"/>
    <w:rsid w:val="00194AC6"/>
    <w:rsid w:val="001A23B0"/>
    <w:rsid w:val="001A25CC"/>
    <w:rsid w:val="001A7744"/>
    <w:rsid w:val="001B0AAA"/>
    <w:rsid w:val="001B61DE"/>
    <w:rsid w:val="001C39F7"/>
    <w:rsid w:val="001E318E"/>
    <w:rsid w:val="00210624"/>
    <w:rsid w:val="00221809"/>
    <w:rsid w:val="00224380"/>
    <w:rsid w:val="00237B48"/>
    <w:rsid w:val="0024521E"/>
    <w:rsid w:val="00263C3D"/>
    <w:rsid w:val="00274D0B"/>
    <w:rsid w:val="0027650B"/>
    <w:rsid w:val="002B3C95"/>
    <w:rsid w:val="002C463C"/>
    <w:rsid w:val="002D0B92"/>
    <w:rsid w:val="002E0515"/>
    <w:rsid w:val="0033423B"/>
    <w:rsid w:val="003354B3"/>
    <w:rsid w:val="0035725C"/>
    <w:rsid w:val="00372896"/>
    <w:rsid w:val="00377CDC"/>
    <w:rsid w:val="00397E3D"/>
    <w:rsid w:val="003A2E1E"/>
    <w:rsid w:val="003D5BBE"/>
    <w:rsid w:val="003E3C61"/>
    <w:rsid w:val="003E7EC1"/>
    <w:rsid w:val="003F1C5B"/>
    <w:rsid w:val="0041126F"/>
    <w:rsid w:val="004272E6"/>
    <w:rsid w:val="00434E33"/>
    <w:rsid w:val="00441434"/>
    <w:rsid w:val="0045264C"/>
    <w:rsid w:val="004876EC"/>
    <w:rsid w:val="004A7CE7"/>
    <w:rsid w:val="004D68E7"/>
    <w:rsid w:val="004D6E14"/>
    <w:rsid w:val="004E0AA6"/>
    <w:rsid w:val="004E0F7F"/>
    <w:rsid w:val="005009B0"/>
    <w:rsid w:val="00505892"/>
    <w:rsid w:val="00506292"/>
    <w:rsid w:val="00510C43"/>
    <w:rsid w:val="005118FA"/>
    <w:rsid w:val="00514298"/>
    <w:rsid w:val="00526D7A"/>
    <w:rsid w:val="0054005B"/>
    <w:rsid w:val="0058093A"/>
    <w:rsid w:val="00580E2A"/>
    <w:rsid w:val="005A1006"/>
    <w:rsid w:val="005A7C76"/>
    <w:rsid w:val="005B3951"/>
    <w:rsid w:val="005E714A"/>
    <w:rsid w:val="00612D9C"/>
    <w:rsid w:val="006140A0"/>
    <w:rsid w:val="00636621"/>
    <w:rsid w:val="00642B49"/>
    <w:rsid w:val="006467F4"/>
    <w:rsid w:val="00652479"/>
    <w:rsid w:val="00652627"/>
    <w:rsid w:val="006832D9"/>
    <w:rsid w:val="0069403B"/>
    <w:rsid w:val="006A7629"/>
    <w:rsid w:val="006E4092"/>
    <w:rsid w:val="006F3DDE"/>
    <w:rsid w:val="00701479"/>
    <w:rsid w:val="00704678"/>
    <w:rsid w:val="00706FAE"/>
    <w:rsid w:val="00707462"/>
    <w:rsid w:val="00710A36"/>
    <w:rsid w:val="00740AF2"/>
    <w:rsid w:val="007425E7"/>
    <w:rsid w:val="00767656"/>
    <w:rsid w:val="00771555"/>
    <w:rsid w:val="00777E41"/>
    <w:rsid w:val="007A00B0"/>
    <w:rsid w:val="007B5A66"/>
    <w:rsid w:val="007B5C52"/>
    <w:rsid w:val="007F1139"/>
    <w:rsid w:val="007F2FC0"/>
    <w:rsid w:val="00802607"/>
    <w:rsid w:val="008101A5"/>
    <w:rsid w:val="00814C46"/>
    <w:rsid w:val="00822664"/>
    <w:rsid w:val="00831AE0"/>
    <w:rsid w:val="0083221B"/>
    <w:rsid w:val="00843796"/>
    <w:rsid w:val="008516D4"/>
    <w:rsid w:val="00852789"/>
    <w:rsid w:val="008730B3"/>
    <w:rsid w:val="00876D3B"/>
    <w:rsid w:val="00895229"/>
    <w:rsid w:val="008A0D48"/>
    <w:rsid w:val="008F0203"/>
    <w:rsid w:val="008F50D4"/>
    <w:rsid w:val="00901E91"/>
    <w:rsid w:val="009239AA"/>
    <w:rsid w:val="00935ADA"/>
    <w:rsid w:val="00946B6C"/>
    <w:rsid w:val="00947BFF"/>
    <w:rsid w:val="00955A71"/>
    <w:rsid w:val="009607A9"/>
    <w:rsid w:val="0096108F"/>
    <w:rsid w:val="00985ED0"/>
    <w:rsid w:val="009862BD"/>
    <w:rsid w:val="009A087C"/>
    <w:rsid w:val="009B7C13"/>
    <w:rsid w:val="009C0DA0"/>
    <w:rsid w:val="009C13B9"/>
    <w:rsid w:val="009D01A2"/>
    <w:rsid w:val="009E3B48"/>
    <w:rsid w:val="009F1CA4"/>
    <w:rsid w:val="009F5923"/>
    <w:rsid w:val="00A345C5"/>
    <w:rsid w:val="00A403BB"/>
    <w:rsid w:val="00A674DF"/>
    <w:rsid w:val="00A837B4"/>
    <w:rsid w:val="00A83AA6"/>
    <w:rsid w:val="00A9675C"/>
    <w:rsid w:val="00AB75A2"/>
    <w:rsid w:val="00AE1809"/>
    <w:rsid w:val="00AF0312"/>
    <w:rsid w:val="00AF4EA5"/>
    <w:rsid w:val="00B040A0"/>
    <w:rsid w:val="00B22567"/>
    <w:rsid w:val="00B41D2C"/>
    <w:rsid w:val="00B51E36"/>
    <w:rsid w:val="00B721B8"/>
    <w:rsid w:val="00B73355"/>
    <w:rsid w:val="00B738C9"/>
    <w:rsid w:val="00B80D76"/>
    <w:rsid w:val="00BA2105"/>
    <w:rsid w:val="00BA6C30"/>
    <w:rsid w:val="00BA7E06"/>
    <w:rsid w:val="00BB43B5"/>
    <w:rsid w:val="00BB6219"/>
    <w:rsid w:val="00BC56D0"/>
    <w:rsid w:val="00BD290F"/>
    <w:rsid w:val="00BE10E6"/>
    <w:rsid w:val="00BF199E"/>
    <w:rsid w:val="00C14CC4"/>
    <w:rsid w:val="00C25242"/>
    <w:rsid w:val="00C277C8"/>
    <w:rsid w:val="00C33C52"/>
    <w:rsid w:val="00C40D8B"/>
    <w:rsid w:val="00C417E5"/>
    <w:rsid w:val="00C47F3A"/>
    <w:rsid w:val="00C63DC1"/>
    <w:rsid w:val="00C76659"/>
    <w:rsid w:val="00C8407A"/>
    <w:rsid w:val="00C8488C"/>
    <w:rsid w:val="00C8536E"/>
    <w:rsid w:val="00C86E91"/>
    <w:rsid w:val="00CA2650"/>
    <w:rsid w:val="00CB1078"/>
    <w:rsid w:val="00CC06C1"/>
    <w:rsid w:val="00CC6FAF"/>
    <w:rsid w:val="00CC76AC"/>
    <w:rsid w:val="00D04914"/>
    <w:rsid w:val="00D24698"/>
    <w:rsid w:val="00D413D2"/>
    <w:rsid w:val="00D6383F"/>
    <w:rsid w:val="00D656D3"/>
    <w:rsid w:val="00D8530A"/>
    <w:rsid w:val="00DB59D0"/>
    <w:rsid w:val="00DC33D3"/>
    <w:rsid w:val="00DF7D45"/>
    <w:rsid w:val="00E26329"/>
    <w:rsid w:val="00E40B50"/>
    <w:rsid w:val="00E42388"/>
    <w:rsid w:val="00E50293"/>
    <w:rsid w:val="00E55D3E"/>
    <w:rsid w:val="00E65FFC"/>
    <w:rsid w:val="00E80112"/>
    <w:rsid w:val="00E80951"/>
    <w:rsid w:val="00E86CC6"/>
    <w:rsid w:val="00E959FE"/>
    <w:rsid w:val="00EB56B3"/>
    <w:rsid w:val="00ED6492"/>
    <w:rsid w:val="00EF2095"/>
    <w:rsid w:val="00F06866"/>
    <w:rsid w:val="00F15956"/>
    <w:rsid w:val="00F2265D"/>
    <w:rsid w:val="00F24CFC"/>
    <w:rsid w:val="00F3170F"/>
    <w:rsid w:val="00F41F70"/>
    <w:rsid w:val="00F544BE"/>
    <w:rsid w:val="00F706C9"/>
    <w:rsid w:val="00F940AD"/>
    <w:rsid w:val="00F956AC"/>
    <w:rsid w:val="00F976B0"/>
    <w:rsid w:val="00FA6DE7"/>
    <w:rsid w:val="00FB68B7"/>
    <w:rsid w:val="00FB695C"/>
    <w:rsid w:val="00FC0A8E"/>
    <w:rsid w:val="00FE2FA6"/>
    <w:rsid w:val="00FE3DF2"/>
    <w:rsid w:val="00FF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7ECE53"/>
  <w15:docId w15:val="{D11CD80F-4F1B-4104-933A-9B2ACC07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uiPriority w:val="99"/>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StyleTimesNewRoman">
    <w:name w:val="Style Times New Roman"/>
    <w:basedOn w:val="DefaultParagraphFont"/>
    <w:rsid w:val="000F55B2"/>
    <w:rPr>
      <w:rFonts w:ascii="Times New Roman" w:hAnsi="Times New Roman" w:cs="Times New Roman" w:hint="default"/>
      <w:sz w:val="24"/>
    </w:rPr>
  </w:style>
  <w:style w:type="paragraph" w:customStyle="1" w:styleId="NAEPOMB">
    <w:name w:val="NAEP OMB"/>
    <w:basedOn w:val="Normal"/>
    <w:qFormat/>
    <w:rsid w:val="00B51E36"/>
    <w:pPr>
      <w:spacing w:after="240" w:line="276" w:lineRule="auto"/>
    </w:pPr>
    <w:rPr>
      <w:szCs w:val="20"/>
    </w:rPr>
  </w:style>
  <w:style w:type="character" w:styleId="Hyperlink">
    <w:name w:val="Hyperlink"/>
    <w:basedOn w:val="DefaultParagraphFont"/>
    <w:uiPriority w:val="99"/>
    <w:unhideWhenUsed/>
    <w:rsid w:val="00F2265D"/>
    <w:rPr>
      <w:rFonts w:ascii="Times New Roman" w:hAnsi="Times New Roman" w:cs="Times New Roman" w:hint="default"/>
      <w:color w:val="0000FF"/>
      <w:u w:val="single"/>
    </w:rPr>
  </w:style>
  <w:style w:type="paragraph" w:styleId="FootnoteText">
    <w:name w:val="footnote text"/>
    <w:basedOn w:val="Normal"/>
    <w:link w:val="FootnoteTextChar"/>
    <w:uiPriority w:val="99"/>
    <w:unhideWhenUsed/>
    <w:rsid w:val="00F2265D"/>
    <w:rPr>
      <w:rFonts w:ascii="Arial" w:hAnsi="Arial"/>
      <w:sz w:val="20"/>
      <w:szCs w:val="20"/>
    </w:rPr>
  </w:style>
  <w:style w:type="character" w:customStyle="1" w:styleId="FootnoteTextChar">
    <w:name w:val="Footnote Text Char"/>
    <w:basedOn w:val="DefaultParagraphFont"/>
    <w:link w:val="FootnoteText"/>
    <w:uiPriority w:val="99"/>
    <w:rsid w:val="00F2265D"/>
    <w:rPr>
      <w:rFonts w:ascii="Arial" w:hAnsi="Arial"/>
    </w:rPr>
  </w:style>
  <w:style w:type="paragraph" w:styleId="PlainText">
    <w:name w:val="Plain Text"/>
    <w:basedOn w:val="Normal"/>
    <w:link w:val="PlainTextChar"/>
    <w:uiPriority w:val="99"/>
    <w:unhideWhenUsed/>
    <w:rsid w:val="00F2265D"/>
    <w:rPr>
      <w:rFonts w:ascii="Sylfaen" w:hAnsi="Sylfaen"/>
      <w:szCs w:val="21"/>
    </w:rPr>
  </w:style>
  <w:style w:type="character" w:customStyle="1" w:styleId="PlainTextChar">
    <w:name w:val="Plain Text Char"/>
    <w:basedOn w:val="DefaultParagraphFont"/>
    <w:link w:val="PlainText"/>
    <w:uiPriority w:val="99"/>
    <w:rsid w:val="00F2265D"/>
    <w:rPr>
      <w:rFonts w:ascii="Sylfaen" w:hAnsi="Sylfaen"/>
      <w:sz w:val="24"/>
      <w:szCs w:val="21"/>
    </w:rPr>
  </w:style>
  <w:style w:type="character" w:styleId="FootnoteReference">
    <w:name w:val="footnote reference"/>
    <w:basedOn w:val="DefaultParagraphFont"/>
    <w:uiPriority w:val="99"/>
    <w:unhideWhenUsed/>
    <w:rsid w:val="00F2265D"/>
    <w:rPr>
      <w:rFonts w:ascii="Times New Roman" w:hAnsi="Times New Roman" w:cs="Times New Roman" w:hint="default"/>
      <w:vertAlign w:val="superscript"/>
    </w:rPr>
  </w:style>
  <w:style w:type="character" w:customStyle="1" w:styleId="ListParagraphChar">
    <w:name w:val="List Paragraph Char"/>
    <w:basedOn w:val="DefaultParagraphFont"/>
    <w:link w:val="ListParagraph"/>
    <w:uiPriority w:val="34"/>
    <w:rsid w:val="00771555"/>
    <w:rPr>
      <w:sz w:val="24"/>
      <w:szCs w:val="24"/>
    </w:rPr>
  </w:style>
  <w:style w:type="character" w:customStyle="1" w:styleId="BodyTextChar">
    <w:name w:val="Body Text Char"/>
    <w:basedOn w:val="DefaultParagraphFont"/>
    <w:link w:val="BodyText"/>
    <w:uiPriority w:val="99"/>
    <w:locked/>
    <w:rsid w:val="00377CDC"/>
    <w:rPr>
      <w:i/>
      <w:iCs/>
      <w:snapToGrid w:val="0"/>
    </w:rPr>
  </w:style>
  <w:style w:type="paragraph" w:customStyle="1" w:styleId="OMBSectionHeading">
    <w:name w:val="OMB Section Heading"/>
    <w:basedOn w:val="Normal"/>
    <w:link w:val="OMBSectionHeadingChar"/>
    <w:uiPriority w:val="99"/>
    <w:qFormat/>
    <w:rsid w:val="00E959FE"/>
    <w:pPr>
      <w:keepNext/>
      <w:numPr>
        <w:numId w:val="22"/>
      </w:numPr>
      <w:tabs>
        <w:tab w:val="left" w:pos="360"/>
      </w:tabs>
      <w:spacing w:before="600" w:after="60" w:line="360" w:lineRule="auto"/>
      <w:ind w:left="360"/>
      <w:outlineLvl w:val="1"/>
    </w:pPr>
    <w:rPr>
      <w:b/>
      <w:bCs/>
      <w:sz w:val="28"/>
      <w:szCs w:val="20"/>
    </w:rPr>
  </w:style>
  <w:style w:type="character" w:customStyle="1" w:styleId="OMBSectionHeadingChar">
    <w:name w:val="OMB Section Heading Char"/>
    <w:basedOn w:val="DefaultParagraphFont"/>
    <w:link w:val="OMBSectionHeading"/>
    <w:uiPriority w:val="99"/>
    <w:locked/>
    <w:rsid w:val="00E959FE"/>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532037">
      <w:bodyDiv w:val="1"/>
      <w:marLeft w:val="0"/>
      <w:marRight w:val="0"/>
      <w:marTop w:val="0"/>
      <w:marBottom w:val="0"/>
      <w:divBdr>
        <w:top w:val="none" w:sz="0" w:space="0" w:color="auto"/>
        <w:left w:val="none" w:sz="0" w:space="0" w:color="auto"/>
        <w:bottom w:val="none" w:sz="0" w:space="0" w:color="auto"/>
        <w:right w:val="none" w:sz="0" w:space="0" w:color="auto"/>
      </w:divBdr>
    </w:div>
    <w:div w:id="175770144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886C7-00DA-466A-9A50-F1149A17E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4A15E-3AE4-46FB-A96B-92654D2CA153}">
  <ds:schemaRefs>
    <ds:schemaRef ds:uri="http://schemas.microsoft.com/sharepoint/v3/contenttype/forms"/>
  </ds:schemaRefs>
</ds:datastoreItem>
</file>

<file path=customXml/itemProps3.xml><?xml version="1.0" encoding="utf-8"?>
<ds:datastoreItem xmlns:ds="http://schemas.openxmlformats.org/officeDocument/2006/customXml" ds:itemID="{1E6A7BC7-C98D-4485-AC0D-F7009BE29E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1084</Words>
  <Characters>5813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Stephanie</cp:lastModifiedBy>
  <cp:revision>2</cp:revision>
  <cp:lastPrinted>2010-10-04T16:59:00Z</cp:lastPrinted>
  <dcterms:created xsi:type="dcterms:W3CDTF">2020-03-18T12:39:00Z</dcterms:created>
  <dcterms:modified xsi:type="dcterms:W3CDTF">2020-03-18T12:39:00Z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