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7514" w14:textId="1854A755" w:rsidR="000B2AB7" w:rsidRPr="0077509A" w:rsidRDefault="0077509A" w:rsidP="00C623A5">
      <w:pPr>
        <w:jc w:val="center"/>
        <w:rPr>
          <w:b/>
          <w:bCs/>
        </w:rPr>
      </w:pPr>
      <w:bookmarkStart w:id="0" w:name="_GoBack"/>
      <w:bookmarkEnd w:id="0"/>
      <w:r w:rsidRPr="0077509A">
        <w:rPr>
          <w:b/>
          <w:bCs/>
        </w:rPr>
        <w:t>Supporting Statement</w:t>
      </w:r>
      <w:r>
        <w:rPr>
          <w:b/>
          <w:bCs/>
        </w:rPr>
        <w:t xml:space="preserve"> for Paperwork Reduction Act Submission</w:t>
      </w:r>
    </w:p>
    <w:p w14:paraId="37F9E7A3" w14:textId="505DB156" w:rsidR="0077509A" w:rsidRPr="0077509A" w:rsidRDefault="0077509A" w:rsidP="00C623A5">
      <w:pPr>
        <w:jc w:val="center"/>
        <w:rPr>
          <w:b/>
        </w:rPr>
      </w:pPr>
      <w:r w:rsidRPr="0077509A">
        <w:rPr>
          <w:b/>
        </w:rPr>
        <w:t>American Housing Survey</w:t>
      </w:r>
    </w:p>
    <w:p w14:paraId="35690A9B" w14:textId="76FBD866" w:rsidR="0077509A" w:rsidRPr="0077509A" w:rsidRDefault="0077509A" w:rsidP="00C623A5">
      <w:pPr>
        <w:jc w:val="center"/>
        <w:rPr>
          <w:b/>
        </w:rPr>
      </w:pPr>
      <w:r w:rsidRPr="0077509A">
        <w:rPr>
          <w:b/>
        </w:rPr>
        <w:t>OMB Number 2528-0017</w:t>
      </w:r>
    </w:p>
    <w:p w14:paraId="4FEA3145" w14:textId="77777777" w:rsidR="000B2AB7" w:rsidRDefault="000B2AB7" w:rsidP="00C623A5"/>
    <w:p w14:paraId="6670F5F6" w14:textId="77777777" w:rsidR="000B2AB7" w:rsidRDefault="000B2AB7" w:rsidP="00C623A5">
      <w:r>
        <w:rPr>
          <w:b/>
          <w:bCs/>
        </w:rPr>
        <w:t xml:space="preserve">A.  </w:t>
      </w:r>
      <w:r>
        <w:rPr>
          <w:b/>
          <w:bCs/>
          <w:u w:val="single"/>
        </w:rPr>
        <w:t>Justification</w:t>
      </w:r>
    </w:p>
    <w:p w14:paraId="11888AF9" w14:textId="77777777" w:rsidR="00DF4B0D" w:rsidRDefault="00DF4B0D" w:rsidP="00DF4B0D">
      <w:pPr>
        <w:pStyle w:val="Level1"/>
        <w:ind w:left="0"/>
        <w:rPr>
          <w:rFonts w:ascii="Times New Roman" w:hAnsi="Times New Roman"/>
        </w:rPr>
      </w:pPr>
    </w:p>
    <w:p w14:paraId="7EF0579E" w14:textId="5A779397" w:rsidR="000B2AB7" w:rsidRDefault="000B2AB7" w:rsidP="00DF4B0D">
      <w:pPr>
        <w:pStyle w:val="Level1"/>
        <w:numPr>
          <w:ilvl w:val="0"/>
          <w:numId w:val="57"/>
        </w:numPr>
        <w:ind w:left="360"/>
        <w:rPr>
          <w:rFonts w:ascii="Times New Roman" w:hAnsi="Times New Roman"/>
        </w:rPr>
      </w:pPr>
      <w:r>
        <w:rPr>
          <w:rFonts w:ascii="Times New Roman" w:hAnsi="Times New Roman"/>
          <w:b/>
          <w:bCs/>
        </w:rPr>
        <w:t>Necessity of Information Collection</w:t>
      </w:r>
    </w:p>
    <w:p w14:paraId="2622A0D8" w14:textId="77777777" w:rsidR="00DF4B0D" w:rsidRDefault="000B2AB7" w:rsidP="00DF4B0D">
      <w:pPr>
        <w:numPr>
          <w:ilvl w:val="12"/>
          <w:numId w:val="0"/>
        </w:numPr>
        <w:tabs>
          <w:tab w:val="left" w:pos="432"/>
          <w:tab w:val="left" w:pos="720"/>
          <w:tab w:val="left" w:pos="864"/>
          <w:tab w:val="left" w:pos="1022"/>
          <w:tab w:val="left" w:pos="1296"/>
          <w:tab w:val="left" w:pos="1728"/>
          <w:tab w:val="left" w:pos="2160"/>
        </w:tabs>
        <w:ind w:left="1022"/>
      </w:pPr>
      <w:r>
        <w:t xml:space="preserve"> </w:t>
      </w:r>
    </w:p>
    <w:p w14:paraId="6B22C3FD" w14:textId="1AD07111" w:rsidR="00AB0B5E" w:rsidRDefault="000B2AB7" w:rsidP="00DF4B0D">
      <w:pPr>
        <w:numPr>
          <w:ilvl w:val="12"/>
          <w:numId w:val="0"/>
        </w:numPr>
        <w:ind w:left="360"/>
      </w:pPr>
      <w:r>
        <w:t xml:space="preserve">We request clearance for the proposed </w:t>
      </w:r>
      <w:r w:rsidR="00B63410">
        <w:t xml:space="preserve">questions to be used on the </w:t>
      </w:r>
      <w:r w:rsidR="00A02D4D">
        <w:t>2017</w:t>
      </w:r>
      <w:r w:rsidR="003963D9">
        <w:t xml:space="preserve"> American Housing Survey (AHS).  </w:t>
      </w:r>
      <w:r w:rsidR="00987D64">
        <w:t>We</w:t>
      </w:r>
      <w:r w:rsidR="003963D9">
        <w:t xml:space="preserve"> will collect data</w:t>
      </w:r>
      <w:r w:rsidR="00287C35">
        <w:t xml:space="preserve"> for the majority of </w:t>
      </w:r>
      <w:r w:rsidR="006330B0">
        <w:t xml:space="preserve">the </w:t>
      </w:r>
      <w:r w:rsidR="00287C35">
        <w:t>sample</w:t>
      </w:r>
      <w:r w:rsidR="003963D9">
        <w:t xml:space="preserve"> </w:t>
      </w:r>
      <w:r>
        <w:t xml:space="preserve">between </w:t>
      </w:r>
      <w:r w:rsidR="000F7598">
        <w:t xml:space="preserve">May 1 and </w:t>
      </w:r>
      <w:r w:rsidR="004E672C">
        <w:t>August 25</w:t>
      </w:r>
      <w:r w:rsidR="00F45E89">
        <w:t xml:space="preserve">, </w:t>
      </w:r>
      <w:r w:rsidR="00A02D4D">
        <w:t>2017</w:t>
      </w:r>
      <w:r w:rsidR="0065799D">
        <w:t xml:space="preserve">. </w:t>
      </w:r>
      <w:r w:rsidR="00AB0B5E">
        <w:t>This request is a revision to the currently approved data collection request for the AHS under OMB Number 2528-0017.</w:t>
      </w:r>
    </w:p>
    <w:p w14:paraId="2FC5B0B4" w14:textId="77777777" w:rsidR="00896EEE" w:rsidRDefault="0065799D" w:rsidP="00DF4B0D">
      <w:pPr>
        <w:numPr>
          <w:ilvl w:val="12"/>
          <w:numId w:val="0"/>
        </w:numPr>
        <w:tabs>
          <w:tab w:val="left" w:pos="432"/>
          <w:tab w:val="left" w:pos="720"/>
          <w:tab w:val="left" w:pos="864"/>
          <w:tab w:val="left" w:pos="1022"/>
          <w:tab w:val="left" w:pos="1296"/>
          <w:tab w:val="left" w:pos="1728"/>
          <w:tab w:val="left" w:pos="2160"/>
        </w:tabs>
        <w:ind w:left="1382"/>
      </w:pPr>
      <w:r>
        <w:t xml:space="preserve"> </w:t>
      </w:r>
    </w:p>
    <w:p w14:paraId="2711FF97" w14:textId="17644547" w:rsidR="000B2AB7" w:rsidRDefault="00C870B1" w:rsidP="00DF4B0D">
      <w:pPr>
        <w:shd w:val="clear" w:color="auto" w:fill="FFFFFF"/>
        <w:ind w:left="360"/>
      </w:pPr>
      <w:r>
        <w:rPr>
          <w:color w:val="000000" w:themeColor="text1"/>
        </w:rPr>
        <w:t xml:space="preserve">The </w:t>
      </w:r>
      <w:r w:rsidR="00A02D4D">
        <w:rPr>
          <w:color w:val="000000" w:themeColor="text1"/>
        </w:rPr>
        <w:t>201</w:t>
      </w:r>
      <w:r w:rsidR="009733D8">
        <w:rPr>
          <w:color w:val="000000" w:themeColor="text1"/>
        </w:rPr>
        <w:t>5</w:t>
      </w:r>
      <w:r>
        <w:rPr>
          <w:color w:val="000000" w:themeColor="text1"/>
        </w:rPr>
        <w:t xml:space="preserve"> AHS </w:t>
      </w:r>
      <w:r w:rsidR="009733D8">
        <w:rPr>
          <w:color w:val="000000" w:themeColor="text1"/>
        </w:rPr>
        <w:t>began a new longitudinal panel</w:t>
      </w:r>
      <w:r>
        <w:rPr>
          <w:color w:val="000000" w:themeColor="text1"/>
        </w:rPr>
        <w:t xml:space="preserve">.  The sample design </w:t>
      </w:r>
      <w:r w:rsidR="000F2B7F">
        <w:rPr>
          <w:color w:val="000000" w:themeColor="text1"/>
        </w:rPr>
        <w:t>has</w:t>
      </w:r>
      <w:r>
        <w:rPr>
          <w:color w:val="000000" w:themeColor="text1"/>
        </w:rPr>
        <w:t xml:space="preserve"> t</w:t>
      </w:r>
      <w:r w:rsidR="004D163E">
        <w:rPr>
          <w:color w:val="000000" w:themeColor="text1"/>
        </w:rPr>
        <w:t>hree</w:t>
      </w:r>
      <w:r>
        <w:rPr>
          <w:color w:val="000000" w:themeColor="text1"/>
        </w:rPr>
        <w:t xml:space="preserve"> primary components: </w:t>
      </w:r>
      <w:r w:rsidR="004D163E">
        <w:rPr>
          <w:color w:val="000000" w:themeColor="text1"/>
        </w:rPr>
        <w:t xml:space="preserve">an integrated </w:t>
      </w:r>
      <w:r>
        <w:rPr>
          <w:color w:val="000000" w:themeColor="text1"/>
        </w:rPr>
        <w:t xml:space="preserve">national </w:t>
      </w:r>
      <w:r w:rsidR="004D163E">
        <w:rPr>
          <w:color w:val="000000" w:themeColor="text1"/>
        </w:rPr>
        <w:t>sample, an</w:t>
      </w:r>
      <w:r>
        <w:rPr>
          <w:color w:val="000000" w:themeColor="text1"/>
        </w:rPr>
        <w:t xml:space="preserve"> </w:t>
      </w:r>
      <w:r w:rsidR="004D163E">
        <w:rPr>
          <w:color w:val="000000" w:themeColor="text1"/>
        </w:rPr>
        <w:t xml:space="preserve">independent </w:t>
      </w:r>
      <w:r>
        <w:rPr>
          <w:color w:val="000000" w:themeColor="text1"/>
        </w:rPr>
        <w:t xml:space="preserve">metropolitan </w:t>
      </w:r>
      <w:r w:rsidR="004D163E">
        <w:rPr>
          <w:color w:val="000000" w:themeColor="text1"/>
        </w:rPr>
        <w:t>area</w:t>
      </w:r>
      <w:r w:rsidR="00A508BA">
        <w:rPr>
          <w:color w:val="000000" w:themeColor="text1"/>
        </w:rPr>
        <w:t>s</w:t>
      </w:r>
      <w:r w:rsidR="004D163E">
        <w:rPr>
          <w:color w:val="000000" w:themeColor="text1"/>
        </w:rPr>
        <w:t xml:space="preserve"> sample, and a bridge sample of housing units</w:t>
      </w:r>
      <w:r w:rsidR="004D3591">
        <w:rPr>
          <w:color w:val="000000" w:themeColor="text1"/>
        </w:rPr>
        <w:t xml:space="preserve"> from the previous panel</w:t>
      </w:r>
      <w:r w:rsidR="006073F2">
        <w:rPr>
          <w:color w:val="000000" w:themeColor="text1"/>
        </w:rPr>
        <w:t>.  Furthermore</w:t>
      </w:r>
      <w:r w:rsidR="00B51F1F">
        <w:rPr>
          <w:color w:val="000000" w:themeColor="text1"/>
        </w:rPr>
        <w:t>,</w:t>
      </w:r>
      <w:r w:rsidR="006073F2">
        <w:rPr>
          <w:color w:val="000000" w:themeColor="text1"/>
        </w:rPr>
        <w:t xml:space="preserve"> the</w:t>
      </w:r>
      <w:r>
        <w:rPr>
          <w:color w:val="000000" w:themeColor="text1"/>
        </w:rPr>
        <w:t xml:space="preserve"> </w:t>
      </w:r>
      <w:r w:rsidR="004D163E">
        <w:rPr>
          <w:color w:val="000000" w:themeColor="text1"/>
        </w:rPr>
        <w:t>integrated national sample</w:t>
      </w:r>
      <w:r>
        <w:rPr>
          <w:color w:val="000000" w:themeColor="text1"/>
        </w:rPr>
        <w:t xml:space="preserve"> includes </w:t>
      </w:r>
      <w:r w:rsidR="004D163E">
        <w:rPr>
          <w:color w:val="000000" w:themeColor="text1"/>
        </w:rPr>
        <w:t>three</w:t>
      </w:r>
      <w:r>
        <w:rPr>
          <w:color w:val="000000" w:themeColor="text1"/>
        </w:rPr>
        <w:t xml:space="preserve"> parts: (</w:t>
      </w:r>
      <w:r w:rsidRPr="00C21FB8">
        <w:rPr>
          <w:color w:val="000000" w:themeColor="text1"/>
        </w:rPr>
        <w:t xml:space="preserve">1) </w:t>
      </w:r>
      <w:r w:rsidR="0002413F" w:rsidRPr="00C21FB8">
        <w:rPr>
          <w:color w:val="000000" w:themeColor="text1"/>
        </w:rPr>
        <w:t xml:space="preserve">34,392 </w:t>
      </w:r>
      <w:r w:rsidRPr="00C21FB8">
        <w:rPr>
          <w:color w:val="000000" w:themeColor="text1"/>
        </w:rPr>
        <w:t>national cases</w:t>
      </w:r>
      <w:r w:rsidR="004D2633" w:rsidRPr="00C21FB8">
        <w:rPr>
          <w:color w:val="000000" w:themeColor="text1"/>
        </w:rPr>
        <w:t xml:space="preserve"> representative of the US and nine Census divisions, (2) </w:t>
      </w:r>
      <w:r w:rsidR="00B03271" w:rsidRPr="006102A4">
        <w:t>5</w:t>
      </w:r>
      <w:r w:rsidR="0088035B" w:rsidRPr="006102A4">
        <w:t>,202</w:t>
      </w:r>
      <w:r w:rsidR="00B03271" w:rsidRPr="00C21FB8">
        <w:t xml:space="preserve"> </w:t>
      </w:r>
      <w:r w:rsidR="004D2633" w:rsidRPr="00C21FB8">
        <w:rPr>
          <w:color w:val="000000" w:themeColor="text1"/>
        </w:rPr>
        <w:t xml:space="preserve">subsidized renter oversample cases, </w:t>
      </w:r>
      <w:r w:rsidR="004D163E" w:rsidRPr="00C21FB8">
        <w:rPr>
          <w:color w:val="000000" w:themeColor="text1"/>
        </w:rPr>
        <w:t xml:space="preserve">and </w:t>
      </w:r>
      <w:r w:rsidR="004D2633" w:rsidRPr="00C21FB8">
        <w:rPr>
          <w:color w:val="000000" w:themeColor="text1"/>
        </w:rPr>
        <w:t>(3)</w:t>
      </w:r>
      <w:r w:rsidR="0002413F" w:rsidRPr="00C21FB8">
        <w:rPr>
          <w:color w:val="000000" w:themeColor="text1"/>
        </w:rPr>
        <w:t xml:space="preserve"> </w:t>
      </w:r>
      <w:r w:rsidR="0002413F" w:rsidRPr="006102A4">
        <w:rPr>
          <w:color w:val="000000" w:themeColor="text1"/>
        </w:rPr>
        <w:t>45,285</w:t>
      </w:r>
      <w:r w:rsidR="0002413F" w:rsidRPr="00C21FB8">
        <w:rPr>
          <w:color w:val="000000" w:themeColor="text1"/>
        </w:rPr>
        <w:t xml:space="preserve"> </w:t>
      </w:r>
      <w:r w:rsidR="004D2633" w:rsidRPr="00C21FB8">
        <w:rPr>
          <w:color w:val="000000" w:themeColor="text1"/>
        </w:rPr>
        <w:t>oversample of the top 15 metro</w:t>
      </w:r>
      <w:r w:rsidR="00A508BA" w:rsidRPr="00C21FB8">
        <w:rPr>
          <w:color w:val="000000" w:themeColor="text1"/>
        </w:rPr>
        <w:t>politan</w:t>
      </w:r>
      <w:r w:rsidR="004D2633" w:rsidRPr="00C21FB8">
        <w:rPr>
          <w:color w:val="000000" w:themeColor="text1"/>
        </w:rPr>
        <w:t xml:space="preserve"> areas in the US</w:t>
      </w:r>
      <w:r w:rsidR="004D163E" w:rsidRPr="00C21FB8">
        <w:rPr>
          <w:color w:val="000000" w:themeColor="text1"/>
        </w:rPr>
        <w:t>.</w:t>
      </w:r>
      <w:r w:rsidR="004D2633" w:rsidRPr="00C21FB8">
        <w:rPr>
          <w:color w:val="000000" w:themeColor="text1"/>
        </w:rPr>
        <w:t xml:space="preserve">  The total </w:t>
      </w:r>
      <w:r w:rsidR="004D163E" w:rsidRPr="00C21FB8">
        <w:rPr>
          <w:color w:val="000000" w:themeColor="text1"/>
        </w:rPr>
        <w:t>integrated national</w:t>
      </w:r>
      <w:r w:rsidR="00031F86" w:rsidRPr="00C21FB8">
        <w:rPr>
          <w:color w:val="000000" w:themeColor="text1"/>
        </w:rPr>
        <w:t xml:space="preserve"> sample will </w:t>
      </w:r>
      <w:r w:rsidR="00031F86" w:rsidRPr="007C5E5C">
        <w:rPr>
          <w:color w:val="000000" w:themeColor="text1"/>
        </w:rPr>
        <w:t xml:space="preserve">be </w:t>
      </w:r>
      <w:r w:rsidR="008425A8">
        <w:rPr>
          <w:color w:val="000000" w:themeColor="text1"/>
        </w:rPr>
        <w:t xml:space="preserve">approximately </w:t>
      </w:r>
      <w:r w:rsidR="00C77F3C" w:rsidRPr="007C5E5C">
        <w:rPr>
          <w:color w:val="000000" w:themeColor="text1"/>
        </w:rPr>
        <w:t>8</w:t>
      </w:r>
      <w:r w:rsidR="001879E0">
        <w:rPr>
          <w:color w:val="000000" w:themeColor="text1"/>
        </w:rPr>
        <w:t>4</w:t>
      </w:r>
      <w:r w:rsidR="00C77F3C" w:rsidRPr="007C5E5C">
        <w:rPr>
          <w:color w:val="000000" w:themeColor="text1"/>
        </w:rPr>
        <w:t>,8</w:t>
      </w:r>
      <w:r w:rsidR="001879E0">
        <w:rPr>
          <w:color w:val="000000" w:themeColor="text1"/>
        </w:rPr>
        <w:t>79</w:t>
      </w:r>
      <w:r w:rsidR="004D2633" w:rsidRPr="007C5E5C">
        <w:rPr>
          <w:color w:val="000000" w:themeColor="text1"/>
        </w:rPr>
        <w:t xml:space="preserve">.  </w:t>
      </w:r>
      <w:r w:rsidR="000C4B9C" w:rsidRPr="007C5E5C">
        <w:rPr>
          <w:color w:val="000000" w:themeColor="text1"/>
        </w:rPr>
        <w:t>For 2017, t</w:t>
      </w:r>
      <w:r w:rsidR="004D2633" w:rsidRPr="007C5E5C">
        <w:rPr>
          <w:color w:val="000000" w:themeColor="text1"/>
        </w:rPr>
        <w:t xml:space="preserve">he </w:t>
      </w:r>
      <w:r w:rsidR="004D163E" w:rsidRPr="007C5E5C">
        <w:rPr>
          <w:color w:val="000000" w:themeColor="text1"/>
        </w:rPr>
        <w:t>independent metropolitan area</w:t>
      </w:r>
      <w:r w:rsidR="00A508BA" w:rsidRPr="007C5E5C">
        <w:rPr>
          <w:color w:val="000000" w:themeColor="text1"/>
        </w:rPr>
        <w:t>s</w:t>
      </w:r>
      <w:r w:rsidR="004D163E" w:rsidRPr="007C5E5C">
        <w:rPr>
          <w:color w:val="000000" w:themeColor="text1"/>
        </w:rPr>
        <w:t xml:space="preserve"> sample</w:t>
      </w:r>
      <w:r w:rsidR="004D2633" w:rsidRPr="007C5E5C">
        <w:rPr>
          <w:color w:val="000000" w:themeColor="text1"/>
        </w:rPr>
        <w:t xml:space="preserve"> will consist of an additional </w:t>
      </w:r>
      <w:r w:rsidR="00D37901" w:rsidRPr="007C5E5C">
        <w:rPr>
          <w:color w:val="000000" w:themeColor="text1"/>
        </w:rPr>
        <w:t>1</w:t>
      </w:r>
      <w:r w:rsidR="001879E0">
        <w:rPr>
          <w:color w:val="000000" w:themeColor="text1"/>
        </w:rPr>
        <w:t>0</w:t>
      </w:r>
      <w:r w:rsidR="004D2633" w:rsidRPr="007C5E5C">
        <w:rPr>
          <w:color w:val="000000" w:themeColor="text1"/>
        </w:rPr>
        <w:t xml:space="preserve"> metro</w:t>
      </w:r>
      <w:r w:rsidR="000C4B9C" w:rsidRPr="007C5E5C">
        <w:rPr>
          <w:color w:val="000000" w:themeColor="text1"/>
        </w:rPr>
        <w:t>politan</w:t>
      </w:r>
      <w:r w:rsidR="004D2633" w:rsidRPr="007C5E5C">
        <w:rPr>
          <w:color w:val="000000" w:themeColor="text1"/>
        </w:rPr>
        <w:t xml:space="preserve"> areas and will include </w:t>
      </w:r>
      <w:r w:rsidR="001879E0">
        <w:rPr>
          <w:color w:val="000000" w:themeColor="text1"/>
        </w:rPr>
        <w:t>29,993</w:t>
      </w:r>
      <w:r w:rsidR="004D2633" w:rsidRPr="007C5E5C">
        <w:rPr>
          <w:color w:val="000000" w:themeColor="text1"/>
        </w:rPr>
        <w:t xml:space="preserve"> records (</w:t>
      </w:r>
      <w:r w:rsidR="00031F86" w:rsidRPr="007C5E5C">
        <w:rPr>
          <w:color w:val="000000" w:themeColor="text1"/>
        </w:rPr>
        <w:t xml:space="preserve">approximately </w:t>
      </w:r>
      <w:r w:rsidR="004D2633" w:rsidRPr="007C5E5C">
        <w:rPr>
          <w:color w:val="000000" w:themeColor="text1"/>
        </w:rPr>
        <w:t>3,000 per metro</w:t>
      </w:r>
      <w:r w:rsidR="00A508BA" w:rsidRPr="007C5E5C">
        <w:rPr>
          <w:color w:val="000000" w:themeColor="text1"/>
        </w:rPr>
        <w:t>politan</w:t>
      </w:r>
      <w:r w:rsidR="004D2633" w:rsidRPr="007C5E5C">
        <w:rPr>
          <w:color w:val="000000" w:themeColor="text1"/>
        </w:rPr>
        <w:t xml:space="preserve"> area).  </w:t>
      </w:r>
      <w:r w:rsidR="00783CA5" w:rsidRPr="007C5E5C">
        <w:rPr>
          <w:color w:val="000000" w:themeColor="text1"/>
        </w:rPr>
        <w:t xml:space="preserve">The </w:t>
      </w:r>
      <w:r w:rsidR="004D163E" w:rsidRPr="007C5E5C">
        <w:rPr>
          <w:color w:val="000000" w:themeColor="text1"/>
        </w:rPr>
        <w:t xml:space="preserve">bridge </w:t>
      </w:r>
      <w:r w:rsidR="00783CA5" w:rsidRPr="007C5E5C">
        <w:rPr>
          <w:color w:val="000000" w:themeColor="text1"/>
        </w:rPr>
        <w:t xml:space="preserve">sample </w:t>
      </w:r>
      <w:r w:rsidR="004D3591" w:rsidRPr="007C5E5C">
        <w:rPr>
          <w:color w:val="000000" w:themeColor="text1"/>
        </w:rPr>
        <w:t>consists</w:t>
      </w:r>
      <w:r w:rsidR="004D163E" w:rsidRPr="007C5E5C">
        <w:rPr>
          <w:color w:val="000000" w:themeColor="text1"/>
        </w:rPr>
        <w:t xml:space="preserve"> of </w:t>
      </w:r>
      <w:r w:rsidR="006102A4">
        <w:rPr>
          <w:color w:val="000000" w:themeColor="text1"/>
        </w:rPr>
        <w:t>5,</w:t>
      </w:r>
      <w:r w:rsidR="001879E0">
        <w:rPr>
          <w:color w:val="000000" w:themeColor="text1"/>
        </w:rPr>
        <w:t>956</w:t>
      </w:r>
      <w:r w:rsidR="00C70EAE" w:rsidRPr="007C5E5C">
        <w:rPr>
          <w:color w:val="000000" w:themeColor="text1"/>
        </w:rPr>
        <w:t xml:space="preserve"> housing units </w:t>
      </w:r>
      <w:r w:rsidR="004D163E" w:rsidRPr="007C5E5C">
        <w:rPr>
          <w:color w:val="000000" w:themeColor="text1"/>
        </w:rPr>
        <w:t xml:space="preserve">surveyed </w:t>
      </w:r>
      <w:r w:rsidR="00C70EAE" w:rsidRPr="007C5E5C">
        <w:rPr>
          <w:color w:val="000000" w:themeColor="text1"/>
        </w:rPr>
        <w:t xml:space="preserve">in </w:t>
      </w:r>
      <w:r w:rsidR="004D163E" w:rsidRPr="007C5E5C">
        <w:rPr>
          <w:color w:val="000000" w:themeColor="text1"/>
        </w:rPr>
        <w:t>2013</w:t>
      </w:r>
      <w:r w:rsidR="000C4B9C" w:rsidRPr="007C5E5C">
        <w:rPr>
          <w:color w:val="000000" w:themeColor="text1"/>
        </w:rPr>
        <w:t xml:space="preserve"> and</w:t>
      </w:r>
      <w:r w:rsidR="004D3591" w:rsidRPr="007C5E5C">
        <w:rPr>
          <w:color w:val="000000" w:themeColor="text1"/>
        </w:rPr>
        <w:t xml:space="preserve"> </w:t>
      </w:r>
      <w:r w:rsidR="000C4B9C" w:rsidRPr="007C5E5C">
        <w:rPr>
          <w:color w:val="000000" w:themeColor="text1"/>
        </w:rPr>
        <w:t>2015</w:t>
      </w:r>
      <w:r w:rsidR="00C70EAE" w:rsidRPr="007C5E5C">
        <w:rPr>
          <w:color w:val="000000" w:themeColor="text1"/>
        </w:rPr>
        <w:t>.</w:t>
      </w:r>
      <w:r w:rsidR="000C4B9C" w:rsidRPr="007C5E5C">
        <w:rPr>
          <w:color w:val="000000" w:themeColor="text1"/>
        </w:rPr>
        <w:t xml:space="preserve"> </w:t>
      </w:r>
    </w:p>
    <w:p w14:paraId="129090EC" w14:textId="77777777" w:rsidR="000C4B9C" w:rsidRDefault="000C4B9C" w:rsidP="00DF4B0D">
      <w:pPr>
        <w:shd w:val="clear" w:color="auto" w:fill="FFFFFF"/>
        <w:ind w:left="1382"/>
      </w:pPr>
    </w:p>
    <w:p w14:paraId="78870CC2" w14:textId="7E132C85" w:rsidR="006918CE" w:rsidRDefault="006918CE" w:rsidP="00DF4B0D">
      <w:pPr>
        <w:numPr>
          <w:ilvl w:val="12"/>
          <w:numId w:val="0"/>
        </w:numPr>
        <w:tabs>
          <w:tab w:val="left" w:pos="432"/>
          <w:tab w:val="left" w:pos="720"/>
          <w:tab w:val="left" w:pos="864"/>
          <w:tab w:val="left" w:pos="1022"/>
          <w:tab w:val="left" w:pos="1296"/>
          <w:tab w:val="left" w:pos="1728"/>
          <w:tab w:val="left" w:pos="2160"/>
        </w:tabs>
        <w:ind w:left="360"/>
      </w:pPr>
      <w:r>
        <w:t xml:space="preserve">Starting in 2009, the AHS questions were classified into “core” modules and “rotating topical” modules </w:t>
      </w:r>
      <w:r w:rsidRPr="006918CE">
        <w:t>in order to minimize respondent burden and satisfy widening needs for data content</w:t>
      </w:r>
      <w:r>
        <w:t>.  Questions in the core modules are asked in each survey and typically undergo only minor revisions between surveys.  Question</w:t>
      </w:r>
      <w:r w:rsidR="00E92293">
        <w:t>s</w:t>
      </w:r>
      <w:r>
        <w:t xml:space="preserve"> in the topical modules are asked on a rotating basis.</w:t>
      </w:r>
    </w:p>
    <w:p w14:paraId="70016490" w14:textId="77777777" w:rsidR="000B2AB7" w:rsidRDefault="000B2AB7" w:rsidP="00DF4B0D">
      <w:pPr>
        <w:numPr>
          <w:ilvl w:val="12"/>
          <w:numId w:val="0"/>
        </w:numPr>
        <w:tabs>
          <w:tab w:val="left" w:pos="432"/>
          <w:tab w:val="left" w:pos="720"/>
          <w:tab w:val="left" w:pos="864"/>
          <w:tab w:val="left" w:pos="1022"/>
          <w:tab w:val="left" w:pos="1296"/>
          <w:tab w:val="left" w:pos="1728"/>
          <w:tab w:val="left" w:pos="2160"/>
        </w:tabs>
        <w:ind w:left="360"/>
      </w:pPr>
    </w:p>
    <w:p w14:paraId="007BCC59" w14:textId="5ED00E85" w:rsidR="000B2AB7" w:rsidRDefault="000B2AB7" w:rsidP="00DF4B0D">
      <w:pPr>
        <w:numPr>
          <w:ilvl w:val="12"/>
          <w:numId w:val="0"/>
        </w:numPr>
        <w:tabs>
          <w:tab w:val="right" w:pos="9360"/>
        </w:tabs>
        <w:ind w:left="360"/>
      </w:pPr>
      <w:r>
        <w:t xml:space="preserve">Title 12, United States Code, Sections 1701z-1, 1701z-2(g), and 1701z-10a provide authority to collect this information.  </w:t>
      </w:r>
      <w:r>
        <w:tab/>
      </w:r>
    </w:p>
    <w:p w14:paraId="285B1254" w14:textId="66BA8708" w:rsidR="000B2AB7" w:rsidRDefault="000B2AB7" w:rsidP="00DF4B0D">
      <w:pPr>
        <w:numPr>
          <w:ilvl w:val="12"/>
          <w:numId w:val="0"/>
        </w:numPr>
        <w:tabs>
          <w:tab w:val="left" w:pos="432"/>
          <w:tab w:val="left" w:pos="720"/>
          <w:tab w:val="left" w:pos="864"/>
          <w:tab w:val="left" w:pos="1022"/>
          <w:tab w:val="left" w:pos="1296"/>
          <w:tab w:val="left" w:pos="1728"/>
          <w:tab w:val="left" w:pos="2160"/>
        </w:tabs>
        <w:spacing w:before="240"/>
        <w:ind w:left="360"/>
      </w:pPr>
      <w:r w:rsidRPr="00B45E7E">
        <w:t xml:space="preserve">The Department of Housing and Urban Development (HUD) uses the information from </w:t>
      </w:r>
      <w:r w:rsidR="00455739" w:rsidRPr="00B45E7E">
        <w:t>the</w:t>
      </w:r>
      <w:r w:rsidR="00455739" w:rsidRPr="003C3B79">
        <w:t xml:space="preserve"> AHS</w:t>
      </w:r>
      <w:r w:rsidRPr="003C3B79">
        <w:t xml:space="preserve"> to prepare the </w:t>
      </w:r>
      <w:r w:rsidR="00D70977" w:rsidRPr="00F87851">
        <w:rPr>
          <w:i/>
        </w:rPr>
        <w:t>Worst Case Needs</w:t>
      </w:r>
      <w:r w:rsidR="00D70977" w:rsidRPr="00B45E7E">
        <w:t xml:space="preserve"> reports</w:t>
      </w:r>
      <w:r w:rsidR="008B7E97" w:rsidRPr="00B45E7E">
        <w:t xml:space="preserve"> to Congress.  </w:t>
      </w:r>
      <w:r w:rsidR="00B45E7E">
        <w:t xml:space="preserve">HUD was directed to prepare this report series by </w:t>
      </w:r>
      <w:r w:rsidR="00B45E7E" w:rsidRPr="00B45E7E">
        <w:t xml:space="preserve">U.S. Senate Appropriations </w:t>
      </w:r>
      <w:r w:rsidR="00455739" w:rsidRPr="00B45E7E">
        <w:t xml:space="preserve">Committee </w:t>
      </w:r>
      <w:r w:rsidR="00455739">
        <w:t>in</w:t>
      </w:r>
      <w:r w:rsidR="00B45E7E">
        <w:t xml:space="preserve"> 1990 (</w:t>
      </w:r>
      <w:r w:rsidR="00B45E7E" w:rsidRPr="00B45E7E">
        <w:t>Committee Report to accompany H.R. 5158, The VA-HUD Appropriations Act for FY 1991 (S. Rpt. 101-474)</w:t>
      </w:r>
      <w:r w:rsidR="00B45E7E">
        <w:t xml:space="preserve">).  </w:t>
      </w:r>
      <w:r w:rsidR="008C6429" w:rsidRPr="00215CC8">
        <w:t>HUD</w:t>
      </w:r>
      <w:r w:rsidRPr="00B45E7E">
        <w:t xml:space="preserve"> also uses these data to prepare other special reports for</w:t>
      </w:r>
      <w:r>
        <w:t xml:space="preserve"> Congress and its committees concerning the effect of legislation on the housing stock.</w:t>
      </w:r>
    </w:p>
    <w:p w14:paraId="48DAE97F" w14:textId="61A6C824" w:rsidR="00E870D4" w:rsidRDefault="00C94742" w:rsidP="00DF4B0D">
      <w:pPr>
        <w:numPr>
          <w:ilvl w:val="12"/>
          <w:numId w:val="0"/>
        </w:numPr>
        <w:tabs>
          <w:tab w:val="left" w:pos="432"/>
          <w:tab w:val="left" w:pos="720"/>
          <w:tab w:val="left" w:pos="864"/>
          <w:tab w:val="left" w:pos="1022"/>
          <w:tab w:val="left" w:pos="1296"/>
          <w:tab w:val="left" w:pos="1728"/>
          <w:tab w:val="left" w:pos="2160"/>
        </w:tabs>
        <w:spacing w:before="240"/>
        <w:ind w:left="360"/>
      </w:pPr>
      <w:r>
        <w:t xml:space="preserve">The </w:t>
      </w:r>
      <w:r w:rsidR="00A02D4D">
        <w:t>2017</w:t>
      </w:r>
      <w:r w:rsidR="00E870D4">
        <w:t xml:space="preserve"> data collection procedures and questionnaire c</w:t>
      </w:r>
      <w:r>
        <w:t xml:space="preserve">ontent are </w:t>
      </w:r>
      <w:r w:rsidR="006073F2">
        <w:t>similar</w:t>
      </w:r>
      <w:r>
        <w:t xml:space="preserve"> to the 201</w:t>
      </w:r>
      <w:r w:rsidR="00A35DD9">
        <w:t>5</w:t>
      </w:r>
      <w:r w:rsidR="00E870D4">
        <w:t xml:space="preserve"> survey with the following exceptions</w:t>
      </w:r>
      <w:r w:rsidR="00813152">
        <w:t>:</w:t>
      </w:r>
    </w:p>
    <w:p w14:paraId="113C8F55" w14:textId="77777777" w:rsidR="000B2AB7" w:rsidRPr="0062443E" w:rsidRDefault="000B2AB7" w:rsidP="00C623A5">
      <w:pPr>
        <w:numPr>
          <w:ilvl w:val="12"/>
          <w:numId w:val="0"/>
        </w:numPr>
        <w:tabs>
          <w:tab w:val="left" w:pos="432"/>
          <w:tab w:val="left" w:pos="720"/>
          <w:tab w:val="left" w:pos="864"/>
          <w:tab w:val="left" w:pos="1022"/>
          <w:tab w:val="left" w:pos="1296"/>
          <w:tab w:val="left" w:pos="1728"/>
          <w:tab w:val="left" w:pos="2160"/>
        </w:tabs>
      </w:pPr>
    </w:p>
    <w:p w14:paraId="5B53781C" w14:textId="7BE6DE25" w:rsidR="00226448" w:rsidRDefault="00A35DD9" w:rsidP="00226448">
      <w:pPr>
        <w:pStyle w:val="ListParagraph"/>
        <w:numPr>
          <w:ilvl w:val="0"/>
          <w:numId w:val="7"/>
        </w:numPr>
        <w:tabs>
          <w:tab w:val="left" w:pos="432"/>
          <w:tab w:val="left" w:pos="720"/>
          <w:tab w:val="left" w:pos="864"/>
          <w:tab w:val="left" w:pos="1022"/>
          <w:tab w:val="left" w:pos="1350"/>
          <w:tab w:val="left" w:pos="1728"/>
          <w:tab w:val="left" w:pos="2160"/>
        </w:tabs>
        <w:contextualSpacing w:val="0"/>
      </w:pPr>
      <w:r>
        <w:rPr>
          <w:u w:val="single"/>
        </w:rPr>
        <w:t xml:space="preserve">Removal </w:t>
      </w:r>
      <w:r w:rsidR="00D324EC" w:rsidRPr="00297577">
        <w:rPr>
          <w:u w:val="single"/>
        </w:rPr>
        <w:t xml:space="preserve">of the </w:t>
      </w:r>
      <w:r w:rsidR="00C819F5" w:rsidRPr="00297577">
        <w:rPr>
          <w:u w:val="single"/>
        </w:rPr>
        <w:t>Pre</w:t>
      </w:r>
      <w:r w:rsidR="00E05CEF">
        <w:rPr>
          <w:u w:val="single"/>
        </w:rPr>
        <w:t>-I</w:t>
      </w:r>
      <w:r w:rsidR="00C819F5" w:rsidRPr="00297577">
        <w:rPr>
          <w:u w:val="single"/>
        </w:rPr>
        <w:t>nterview Module Completed by the Field</w:t>
      </w:r>
      <w:r w:rsidR="00FD23BE">
        <w:rPr>
          <w:u w:val="single"/>
        </w:rPr>
        <w:t xml:space="preserve"> </w:t>
      </w:r>
      <w:r w:rsidR="00C819F5" w:rsidRPr="00297577">
        <w:rPr>
          <w:u w:val="single"/>
        </w:rPr>
        <w:t>Representative</w:t>
      </w:r>
      <w:r w:rsidR="00BA1EF4" w:rsidRPr="00297577">
        <w:rPr>
          <w:u w:val="single"/>
        </w:rPr>
        <w:t>s (FRs):</w:t>
      </w:r>
      <w:r w:rsidR="00BA1EF4">
        <w:t xml:space="preserve">  </w:t>
      </w:r>
      <w:r w:rsidR="00226448">
        <w:t>FRs will</w:t>
      </w:r>
      <w:r w:rsidR="00492830">
        <w:t xml:space="preserve"> no longer</w:t>
      </w:r>
      <w:r w:rsidR="00BA1EF4">
        <w:t xml:space="preserve"> </w:t>
      </w:r>
      <w:r w:rsidR="000B0B8A">
        <w:t xml:space="preserve">consult public records and </w:t>
      </w:r>
      <w:r w:rsidR="00BA1EF4">
        <w:t xml:space="preserve">observe the housing unit and neighborhood </w:t>
      </w:r>
      <w:r w:rsidR="000B0B8A">
        <w:t xml:space="preserve">to answer questions </w:t>
      </w:r>
      <w:r w:rsidR="00BA1EF4">
        <w:t xml:space="preserve">prior to the AHS interview. </w:t>
      </w:r>
      <w:r w:rsidR="00E05CEF">
        <w:t xml:space="preserve"> </w:t>
      </w:r>
    </w:p>
    <w:p w14:paraId="2C33A7E9" w14:textId="77777777" w:rsidR="000F7840" w:rsidRPr="00297577" w:rsidRDefault="000F7840" w:rsidP="00297577">
      <w:pPr>
        <w:pStyle w:val="ListParagraph"/>
        <w:tabs>
          <w:tab w:val="left" w:pos="432"/>
          <w:tab w:val="left" w:pos="720"/>
          <w:tab w:val="left" w:pos="864"/>
          <w:tab w:val="left" w:pos="1022"/>
          <w:tab w:val="left" w:pos="1350"/>
          <w:tab w:val="left" w:pos="1728"/>
          <w:tab w:val="left" w:pos="2160"/>
        </w:tabs>
        <w:ind w:left="1382"/>
        <w:contextualSpacing w:val="0"/>
      </w:pPr>
    </w:p>
    <w:p w14:paraId="54BD5209" w14:textId="112E9C7B" w:rsidR="0005304D" w:rsidRDefault="0005304D" w:rsidP="00814AC3">
      <w:pPr>
        <w:pStyle w:val="ListParagraph"/>
        <w:numPr>
          <w:ilvl w:val="0"/>
          <w:numId w:val="7"/>
        </w:numPr>
        <w:tabs>
          <w:tab w:val="left" w:pos="432"/>
          <w:tab w:val="left" w:pos="720"/>
          <w:tab w:val="left" w:pos="864"/>
          <w:tab w:val="left" w:pos="1022"/>
          <w:tab w:val="left" w:pos="1350"/>
          <w:tab w:val="left" w:pos="1728"/>
          <w:tab w:val="left" w:pos="2160"/>
        </w:tabs>
        <w:ind w:left="1350" w:hanging="328"/>
        <w:contextualSpacing w:val="0"/>
      </w:pPr>
      <w:r w:rsidRPr="00CF15FF">
        <w:rPr>
          <w:u w:val="single"/>
        </w:rPr>
        <w:lastRenderedPageBreak/>
        <w:t>Remov</w:t>
      </w:r>
      <w:r w:rsidR="00D324EC">
        <w:rPr>
          <w:u w:val="single"/>
        </w:rPr>
        <w:t xml:space="preserve">al </w:t>
      </w:r>
      <w:r w:rsidR="0080722F">
        <w:rPr>
          <w:u w:val="single"/>
        </w:rPr>
        <w:t xml:space="preserve">of </w:t>
      </w:r>
      <w:r w:rsidR="0080722F" w:rsidRPr="00CF15FF">
        <w:rPr>
          <w:u w:val="single"/>
        </w:rPr>
        <w:t>Four</w:t>
      </w:r>
      <w:r w:rsidRPr="00CF15FF">
        <w:rPr>
          <w:u w:val="single"/>
        </w:rPr>
        <w:t xml:space="preserve"> </w:t>
      </w:r>
      <w:r w:rsidR="00E92293">
        <w:rPr>
          <w:u w:val="single"/>
        </w:rPr>
        <w:t xml:space="preserve">Rotating Topical </w:t>
      </w:r>
      <w:r w:rsidRPr="00CF15FF">
        <w:rPr>
          <w:u w:val="single"/>
        </w:rPr>
        <w:t>Modules from the 201</w:t>
      </w:r>
      <w:r w:rsidR="00B1134D">
        <w:rPr>
          <w:u w:val="single"/>
        </w:rPr>
        <w:t>5</w:t>
      </w:r>
      <w:r w:rsidRPr="00CF15FF">
        <w:rPr>
          <w:u w:val="single"/>
        </w:rPr>
        <w:t xml:space="preserve"> AHS:</w:t>
      </w:r>
      <w:r>
        <w:t xml:space="preserve">  </w:t>
      </w:r>
      <w:r w:rsidR="00C604DD">
        <w:t>T</w:t>
      </w:r>
      <w:r w:rsidR="0063089D">
        <w:t xml:space="preserve">he </w:t>
      </w:r>
      <w:r w:rsidR="00492830">
        <w:t>Arts and Culture</w:t>
      </w:r>
      <w:r w:rsidR="00F33EF6">
        <w:t xml:space="preserve">, </w:t>
      </w:r>
      <w:r w:rsidR="00492830">
        <w:t>Housing Counseling</w:t>
      </w:r>
      <w:r w:rsidR="00F33EF6">
        <w:t xml:space="preserve">, </w:t>
      </w:r>
      <w:r w:rsidR="00B1134D">
        <w:t xml:space="preserve">Healthy Homes, </w:t>
      </w:r>
      <w:r w:rsidR="00F33EF6">
        <w:t xml:space="preserve">and </w:t>
      </w:r>
      <w:r w:rsidR="00B1134D">
        <w:t>Food Security</w:t>
      </w:r>
      <w:r w:rsidR="0063089D">
        <w:t xml:space="preserve"> </w:t>
      </w:r>
      <w:r w:rsidR="00C604DD">
        <w:t xml:space="preserve">topical </w:t>
      </w:r>
      <w:r w:rsidR="00DE588B">
        <w:t xml:space="preserve">modules </w:t>
      </w:r>
      <w:r>
        <w:t xml:space="preserve">will not be included in the </w:t>
      </w:r>
      <w:r w:rsidR="00A02D4D">
        <w:t>2017</w:t>
      </w:r>
      <w:r>
        <w:t xml:space="preserve"> survey</w:t>
      </w:r>
      <w:r w:rsidR="006918CE">
        <w:t>.</w:t>
      </w:r>
      <w:r w:rsidRPr="0062443E">
        <w:t xml:space="preserve">  </w:t>
      </w:r>
    </w:p>
    <w:p w14:paraId="7E010C8A" w14:textId="77777777" w:rsidR="00A15DB9" w:rsidRPr="00896E8C" w:rsidRDefault="00A15DB9" w:rsidP="004D3591">
      <w:pPr>
        <w:pStyle w:val="ListParagraph"/>
        <w:tabs>
          <w:tab w:val="left" w:pos="432"/>
          <w:tab w:val="left" w:pos="720"/>
          <w:tab w:val="left" w:pos="864"/>
          <w:tab w:val="left" w:pos="1022"/>
          <w:tab w:val="left" w:pos="1350"/>
          <w:tab w:val="left" w:pos="1728"/>
          <w:tab w:val="left" w:pos="2160"/>
        </w:tabs>
        <w:ind w:left="1350"/>
        <w:contextualSpacing w:val="0"/>
      </w:pPr>
    </w:p>
    <w:p w14:paraId="094B1235" w14:textId="1D19B915" w:rsidR="00A15DB9" w:rsidRDefault="0080722F" w:rsidP="001C549C">
      <w:pPr>
        <w:pStyle w:val="ListParagraph"/>
        <w:numPr>
          <w:ilvl w:val="0"/>
          <w:numId w:val="7"/>
        </w:numPr>
        <w:tabs>
          <w:tab w:val="left" w:pos="432"/>
          <w:tab w:val="left" w:pos="720"/>
          <w:tab w:val="left" w:pos="864"/>
          <w:tab w:val="left" w:pos="1022"/>
          <w:tab w:val="left" w:pos="1350"/>
          <w:tab w:val="left" w:pos="1728"/>
          <w:tab w:val="left" w:pos="2160"/>
        </w:tabs>
        <w:ind w:left="1353" w:hanging="331"/>
      </w:pPr>
      <w:r w:rsidRPr="00DE4599">
        <w:rPr>
          <w:u w:val="single"/>
        </w:rPr>
        <w:t>Reinstatement of</w:t>
      </w:r>
      <w:r w:rsidR="00A15DB9" w:rsidRPr="00DE4599">
        <w:rPr>
          <w:u w:val="single"/>
        </w:rPr>
        <w:t xml:space="preserve"> </w:t>
      </w:r>
      <w:r w:rsidRPr="00DE4599">
        <w:rPr>
          <w:u w:val="single"/>
        </w:rPr>
        <w:t xml:space="preserve">the </w:t>
      </w:r>
      <w:r w:rsidR="00B1134D">
        <w:rPr>
          <w:u w:val="single"/>
        </w:rPr>
        <w:t>Disaster P</w:t>
      </w:r>
      <w:r w:rsidR="0020520A">
        <w:rPr>
          <w:u w:val="single"/>
        </w:rPr>
        <w:t>lanning</w:t>
      </w:r>
      <w:r w:rsidR="00A15DB9" w:rsidRPr="00DE4599">
        <w:rPr>
          <w:u w:val="single"/>
        </w:rPr>
        <w:t xml:space="preserve"> Topical Module:</w:t>
      </w:r>
      <w:r w:rsidR="00A15DB9" w:rsidRPr="00896E8C">
        <w:t xml:space="preserve">  </w:t>
      </w:r>
      <w:r w:rsidR="00B1134D">
        <w:t>The Disaster Planning module collects data on how prepared a household is for an emergency situation or disaster such as a fire, flood, or earthquake.</w:t>
      </w:r>
      <w:r w:rsidR="00B1134D" w:rsidRPr="0045692E">
        <w:t xml:space="preserve"> </w:t>
      </w:r>
      <w:r w:rsidR="00B1134D">
        <w:t xml:space="preserve"> </w:t>
      </w:r>
      <w:r w:rsidR="00694C92">
        <w:t xml:space="preserve">In close consultation with the Federal Emergency Management Agency (FEMA), the module </w:t>
      </w:r>
      <w:r w:rsidR="00A15DB9" w:rsidRPr="0045692E">
        <w:t>has been revised since its last deployment in 201</w:t>
      </w:r>
      <w:r w:rsidR="00B1134D">
        <w:t>3</w:t>
      </w:r>
      <w:r w:rsidR="00A15DB9" w:rsidRPr="0045692E">
        <w:t xml:space="preserve">. In addition to revised questions on </w:t>
      </w:r>
      <w:r w:rsidR="002C7ED9">
        <w:t>findin</w:t>
      </w:r>
      <w:r w:rsidR="00202AB3">
        <w:t xml:space="preserve">g </w:t>
      </w:r>
      <w:r w:rsidR="00033F83">
        <w:t>disaster information</w:t>
      </w:r>
      <w:r w:rsidR="0042002F">
        <w:t xml:space="preserve">, flood insurance, and </w:t>
      </w:r>
      <w:r w:rsidR="0062110C">
        <w:t>availability</w:t>
      </w:r>
      <w:r w:rsidR="0042002F">
        <w:t xml:space="preserve"> of emergency supplies</w:t>
      </w:r>
      <w:r w:rsidR="00A15DB9" w:rsidRPr="0045692E">
        <w:t xml:space="preserve">, there are new questions </w:t>
      </w:r>
      <w:r w:rsidR="00033F83">
        <w:t>to identify connections between disasters and reasons for moving</w:t>
      </w:r>
      <w:r w:rsidR="00A15DB9" w:rsidRPr="0045692E">
        <w:t>.</w:t>
      </w:r>
      <w:r w:rsidR="00A15DB9">
        <w:t xml:space="preserve"> </w:t>
      </w:r>
      <w:r w:rsidR="0042002F">
        <w:t>We will no longer ask whether the building number can be read from the street.</w:t>
      </w:r>
    </w:p>
    <w:p w14:paraId="20062956" w14:textId="77777777" w:rsidR="0005304D" w:rsidRPr="00565DFF" w:rsidRDefault="0005304D" w:rsidP="00C03E84">
      <w:pPr>
        <w:pStyle w:val="ListParagraph"/>
        <w:tabs>
          <w:tab w:val="left" w:pos="432"/>
          <w:tab w:val="left" w:pos="720"/>
          <w:tab w:val="left" w:pos="864"/>
          <w:tab w:val="left" w:pos="1022"/>
          <w:tab w:val="left" w:pos="1350"/>
          <w:tab w:val="left" w:pos="1728"/>
          <w:tab w:val="left" w:pos="2160"/>
        </w:tabs>
        <w:ind w:left="1350"/>
        <w:contextualSpacing w:val="0"/>
      </w:pPr>
    </w:p>
    <w:p w14:paraId="276C96EB" w14:textId="77777777" w:rsidR="00B862D1" w:rsidRPr="00B862D1" w:rsidRDefault="00B862D1" w:rsidP="00E40F14">
      <w:pPr>
        <w:pStyle w:val="ListParagraph"/>
        <w:numPr>
          <w:ilvl w:val="0"/>
          <w:numId w:val="7"/>
        </w:numPr>
        <w:tabs>
          <w:tab w:val="left" w:pos="432"/>
          <w:tab w:val="left" w:pos="720"/>
          <w:tab w:val="left" w:pos="864"/>
          <w:tab w:val="left" w:pos="1022"/>
          <w:tab w:val="left" w:pos="1350"/>
          <w:tab w:val="left" w:pos="1728"/>
          <w:tab w:val="left" w:pos="2160"/>
        </w:tabs>
        <w:ind w:left="1411" w:hanging="331"/>
        <w:contextualSpacing w:val="0"/>
      </w:pPr>
      <w:r>
        <w:rPr>
          <w:u w:val="single"/>
        </w:rPr>
        <w:t xml:space="preserve">Partial </w:t>
      </w:r>
      <w:r w:rsidRPr="00DE4599">
        <w:rPr>
          <w:u w:val="single"/>
        </w:rPr>
        <w:t xml:space="preserve">Reinstatement of the </w:t>
      </w:r>
      <w:r>
        <w:rPr>
          <w:u w:val="single"/>
        </w:rPr>
        <w:t>Doubled-Up</w:t>
      </w:r>
      <w:r w:rsidRPr="00DE4599">
        <w:rPr>
          <w:u w:val="single"/>
        </w:rPr>
        <w:t xml:space="preserve"> Topical Module:</w:t>
      </w:r>
      <w:r w:rsidRPr="00896E8C">
        <w:t xml:space="preserve">  </w:t>
      </w:r>
      <w:r>
        <w:t>In 2013, t</w:t>
      </w:r>
      <w:r w:rsidRPr="00B862D1">
        <w:t xml:space="preserve">he Doubled-Up Households module </w:t>
      </w:r>
      <w:r>
        <w:t>collected</w:t>
      </w:r>
      <w:r w:rsidRPr="00B862D1">
        <w:t xml:space="preserve"> data on peo</w:t>
      </w:r>
      <w:r>
        <w:t>ple who had to temporaril</w:t>
      </w:r>
      <w:r w:rsidR="00327CF5">
        <w:t>y move-in with other households and</w:t>
      </w:r>
      <w:r>
        <w:t xml:space="preserve"> the reasons</w:t>
      </w:r>
      <w:r w:rsidRPr="00B862D1">
        <w:t xml:space="preserve"> people le</w:t>
      </w:r>
      <w:r>
        <w:t>ft their previous homes to move-</w:t>
      </w:r>
      <w:r w:rsidRPr="00B862D1">
        <w:t>in with other households</w:t>
      </w:r>
      <w:r w:rsidR="00327CF5">
        <w:t xml:space="preserve">.  These questions will not be reinstated.  Returning for 2017 are questions that asked </w:t>
      </w:r>
      <w:r w:rsidRPr="00B862D1">
        <w:t xml:space="preserve">whether </w:t>
      </w:r>
      <w:r w:rsidR="00327CF5">
        <w:t>respondents</w:t>
      </w:r>
      <w:r w:rsidR="00C52749">
        <w:t xml:space="preserve"> moved in with other</w:t>
      </w:r>
      <w:r w:rsidRPr="00B862D1">
        <w:t xml:space="preserve"> household</w:t>
      </w:r>
      <w:r w:rsidR="00C52749">
        <w:t>s</w:t>
      </w:r>
      <w:r w:rsidRPr="00B862D1">
        <w:t xml:space="preserve"> due to lack of financial means or other support</w:t>
      </w:r>
      <w:r w:rsidR="00327CF5">
        <w:t xml:space="preserve"> and where </w:t>
      </w:r>
      <w:r w:rsidRPr="00B862D1">
        <w:t>people would stay if they left the household.</w:t>
      </w:r>
    </w:p>
    <w:p w14:paraId="0BE68493" w14:textId="77777777" w:rsidR="00B862D1" w:rsidRPr="00B862D1" w:rsidRDefault="00B862D1" w:rsidP="00B862D1">
      <w:pPr>
        <w:pStyle w:val="ListParagraph"/>
        <w:tabs>
          <w:tab w:val="left" w:pos="432"/>
          <w:tab w:val="left" w:pos="720"/>
          <w:tab w:val="left" w:pos="864"/>
          <w:tab w:val="left" w:pos="1022"/>
          <w:tab w:val="left" w:pos="1350"/>
          <w:tab w:val="left" w:pos="1728"/>
          <w:tab w:val="left" w:pos="2160"/>
        </w:tabs>
        <w:ind w:left="1440"/>
        <w:contextualSpacing w:val="0"/>
      </w:pPr>
    </w:p>
    <w:p w14:paraId="2578AEA8" w14:textId="025EC007" w:rsidR="000461B4" w:rsidRPr="0062443E" w:rsidRDefault="00814AC3" w:rsidP="001C549C">
      <w:pPr>
        <w:pStyle w:val="ListParagraph"/>
        <w:numPr>
          <w:ilvl w:val="0"/>
          <w:numId w:val="7"/>
        </w:numPr>
        <w:tabs>
          <w:tab w:val="left" w:pos="432"/>
          <w:tab w:val="left" w:pos="720"/>
          <w:tab w:val="left" w:pos="864"/>
          <w:tab w:val="left" w:pos="1022"/>
          <w:tab w:val="left" w:pos="1350"/>
          <w:tab w:val="left" w:pos="1728"/>
          <w:tab w:val="left" w:pos="2160"/>
        </w:tabs>
        <w:ind w:left="1411" w:hanging="331"/>
        <w:contextualSpacing w:val="0"/>
      </w:pPr>
      <w:r w:rsidRPr="000D6B2D">
        <w:rPr>
          <w:u w:val="single"/>
        </w:rPr>
        <w:t>In</w:t>
      </w:r>
      <w:r w:rsidR="0005304D" w:rsidRPr="000D6B2D">
        <w:rPr>
          <w:u w:val="single"/>
        </w:rPr>
        <w:t>troduc</w:t>
      </w:r>
      <w:r w:rsidR="00D324EC">
        <w:rPr>
          <w:u w:val="single"/>
        </w:rPr>
        <w:t xml:space="preserve">tion </w:t>
      </w:r>
      <w:r w:rsidR="004A31FA">
        <w:rPr>
          <w:u w:val="single"/>
        </w:rPr>
        <w:t xml:space="preserve">of </w:t>
      </w:r>
      <w:r w:rsidR="00E423EF">
        <w:rPr>
          <w:u w:val="single"/>
        </w:rPr>
        <w:t>Two</w:t>
      </w:r>
      <w:r w:rsidR="0063089D" w:rsidRPr="000D6B2D">
        <w:rPr>
          <w:u w:val="single"/>
        </w:rPr>
        <w:t xml:space="preserve"> </w:t>
      </w:r>
      <w:r w:rsidRPr="000D6B2D">
        <w:rPr>
          <w:u w:val="single"/>
        </w:rPr>
        <w:t>N</w:t>
      </w:r>
      <w:r w:rsidR="000B2AB7" w:rsidRPr="000D6B2D">
        <w:rPr>
          <w:u w:val="single"/>
        </w:rPr>
        <w:t xml:space="preserve">ew </w:t>
      </w:r>
      <w:r w:rsidR="0005304D" w:rsidRPr="000D6B2D">
        <w:rPr>
          <w:u w:val="single"/>
        </w:rPr>
        <w:t xml:space="preserve">Topical </w:t>
      </w:r>
      <w:r w:rsidRPr="000D6B2D">
        <w:rPr>
          <w:u w:val="single"/>
        </w:rPr>
        <w:t>M</w:t>
      </w:r>
      <w:r w:rsidR="000B2AB7" w:rsidRPr="000D6B2D">
        <w:rPr>
          <w:u w:val="single"/>
        </w:rPr>
        <w:t>odules</w:t>
      </w:r>
      <w:r w:rsidRPr="000D6B2D">
        <w:rPr>
          <w:u w:val="single"/>
        </w:rPr>
        <w:t>:</w:t>
      </w:r>
      <w:r w:rsidRPr="000D6B2D">
        <w:t xml:space="preserve">  </w:t>
      </w:r>
      <w:r w:rsidR="00C604DD">
        <w:t>To</w:t>
      </w:r>
      <w:r w:rsidR="00C604DD" w:rsidRPr="0062443E">
        <w:t xml:space="preserve"> </w:t>
      </w:r>
      <w:r w:rsidR="00C604DD">
        <w:t>continue the</w:t>
      </w:r>
      <w:r w:rsidR="00C604DD" w:rsidRPr="0062443E">
        <w:t xml:space="preserve"> strategy of rotating topical modules in order to minimize respondent burden and satisfy widening needs for data content</w:t>
      </w:r>
      <w:r w:rsidR="00C604DD">
        <w:t xml:space="preserve">, </w:t>
      </w:r>
      <w:r w:rsidR="00694C92">
        <w:t>two</w:t>
      </w:r>
      <w:r w:rsidR="00694C92" w:rsidRPr="000D6B2D">
        <w:t xml:space="preserve"> new</w:t>
      </w:r>
      <w:r w:rsidRPr="000D6B2D">
        <w:t xml:space="preserve"> </w:t>
      </w:r>
      <w:r w:rsidR="0005304D" w:rsidRPr="00402618">
        <w:t xml:space="preserve">topical </w:t>
      </w:r>
      <w:r w:rsidRPr="00402618">
        <w:t>modules</w:t>
      </w:r>
      <w:r w:rsidR="000B2AB7" w:rsidRPr="00402618">
        <w:t xml:space="preserve"> have been added</w:t>
      </w:r>
      <w:r w:rsidR="00F12DA8" w:rsidRPr="00402618">
        <w:t xml:space="preserve"> to the survey</w:t>
      </w:r>
      <w:r w:rsidR="00C604DD">
        <w:t xml:space="preserve">, </w:t>
      </w:r>
      <w:r w:rsidR="005E0C63">
        <w:t>Commuting</w:t>
      </w:r>
      <w:r w:rsidR="00E423EF">
        <w:t xml:space="preserve"> and </w:t>
      </w:r>
      <w:r w:rsidR="005E0C63">
        <w:t>Eviction</w:t>
      </w:r>
      <w:r w:rsidR="0041035A">
        <w:t xml:space="preserve"> </w:t>
      </w:r>
      <w:r w:rsidR="00A95BBB">
        <w:t>m</w:t>
      </w:r>
      <w:r w:rsidR="0041035A">
        <w:t>odules</w:t>
      </w:r>
      <w:r w:rsidR="00AC249B" w:rsidRPr="00402618">
        <w:t xml:space="preserve">.  </w:t>
      </w:r>
      <w:r w:rsidR="00BF0088">
        <w:t xml:space="preserve">These </w:t>
      </w:r>
      <w:r w:rsidR="00AC249B" w:rsidRPr="00402618">
        <w:t>module</w:t>
      </w:r>
      <w:r w:rsidR="00BF0088">
        <w:t>s</w:t>
      </w:r>
      <w:r w:rsidR="00AC249B" w:rsidRPr="00402618">
        <w:t xml:space="preserve"> collect data on</w:t>
      </w:r>
      <w:r w:rsidR="00AC249B" w:rsidRPr="00297577">
        <w:rPr>
          <w:iCs/>
        </w:rPr>
        <w:t xml:space="preserve"> </w:t>
      </w:r>
      <w:r w:rsidR="00E423EF" w:rsidRPr="00E423EF">
        <w:rPr>
          <w:iCs/>
        </w:rPr>
        <w:t>how people get to work, how long it takes, and any associated costs</w:t>
      </w:r>
      <w:r w:rsidR="00BF0088">
        <w:rPr>
          <w:iCs/>
        </w:rPr>
        <w:t>, and the</w:t>
      </w:r>
      <w:r w:rsidR="00D37901">
        <w:rPr>
          <w:iCs/>
        </w:rPr>
        <w:t xml:space="preserve"> </w:t>
      </w:r>
      <w:r w:rsidR="00FA0340">
        <w:rPr>
          <w:iCs/>
        </w:rPr>
        <w:t xml:space="preserve">causes </w:t>
      </w:r>
      <w:r w:rsidR="00BF0088">
        <w:rPr>
          <w:iCs/>
        </w:rPr>
        <w:t xml:space="preserve">and effects </w:t>
      </w:r>
      <w:r w:rsidR="00FA0340">
        <w:rPr>
          <w:iCs/>
        </w:rPr>
        <w:t>of evictions</w:t>
      </w:r>
      <w:r w:rsidR="000D6B2D">
        <w:rPr>
          <w:iCs/>
        </w:rPr>
        <w:t xml:space="preserve">. </w:t>
      </w:r>
      <w:r w:rsidR="00AC249B" w:rsidRPr="00297577">
        <w:rPr>
          <w:iCs/>
          <w:sz w:val="22"/>
          <w:szCs w:val="22"/>
        </w:rPr>
        <w:t xml:space="preserve"> </w:t>
      </w:r>
      <w:r w:rsidR="00C94742" w:rsidRPr="00297577">
        <w:rPr>
          <w:sz w:val="22"/>
          <w:szCs w:val="22"/>
        </w:rPr>
        <w:t xml:space="preserve"> </w:t>
      </w:r>
      <w:r w:rsidR="00694C92">
        <w:rPr>
          <w:sz w:val="22"/>
          <w:szCs w:val="22"/>
        </w:rPr>
        <w:t xml:space="preserve">The Eviction module was derived directly from the Milwaukee Area Renters Study.  </w:t>
      </w:r>
      <w:r w:rsidR="000B2AB7" w:rsidRPr="0062443E">
        <w:t>Please refer to the attached items b</w:t>
      </w:r>
      <w:r w:rsidR="00F12DA8" w:rsidRPr="0062443E">
        <w:t>ooklet for the questions in these</w:t>
      </w:r>
      <w:r w:rsidR="000B2AB7" w:rsidRPr="0062443E">
        <w:t xml:space="preserve"> module</w:t>
      </w:r>
      <w:r w:rsidR="00F12DA8" w:rsidRPr="0062443E">
        <w:t>s</w:t>
      </w:r>
      <w:r w:rsidR="000B2AB7" w:rsidRPr="0062443E">
        <w:t xml:space="preserve"> and the entire AHS questionnaire.</w:t>
      </w:r>
      <w:r w:rsidR="006D725E" w:rsidRPr="0062443E">
        <w:t xml:space="preserve"> </w:t>
      </w:r>
    </w:p>
    <w:p w14:paraId="21D11FCD" w14:textId="77777777" w:rsidR="000461B4" w:rsidRDefault="000461B4" w:rsidP="00297577">
      <w:pPr>
        <w:pStyle w:val="ListParagraph"/>
        <w:spacing w:line="276" w:lineRule="auto"/>
        <w:ind w:left="1382"/>
      </w:pPr>
    </w:p>
    <w:p w14:paraId="6EBDBADC" w14:textId="50B79F3F" w:rsidR="00AC5067" w:rsidRDefault="0005304D" w:rsidP="001C549C">
      <w:pPr>
        <w:pStyle w:val="ListParagraph"/>
        <w:numPr>
          <w:ilvl w:val="0"/>
          <w:numId w:val="7"/>
        </w:numPr>
      </w:pPr>
      <w:r w:rsidRPr="0045692E">
        <w:rPr>
          <w:u w:val="single"/>
        </w:rPr>
        <w:t>Sample Split for Rotating Topical Modules:</w:t>
      </w:r>
      <w:r>
        <w:t xml:space="preserve">  </w:t>
      </w:r>
      <w:r w:rsidR="00DB7941">
        <w:t>A</w:t>
      </w:r>
      <w:r>
        <w:t xml:space="preserve"> split of the </w:t>
      </w:r>
      <w:r w:rsidR="00631BF7">
        <w:t xml:space="preserve">survey sample will be </w:t>
      </w:r>
      <w:r>
        <w:t xml:space="preserve">used </w:t>
      </w:r>
      <w:r w:rsidR="003B5868">
        <w:t xml:space="preserve">to </w:t>
      </w:r>
      <w:r>
        <w:t xml:space="preserve">maximize the </w:t>
      </w:r>
      <w:r w:rsidR="00AE20AF">
        <w:t xml:space="preserve">number of rotating topical modules that can be included in the </w:t>
      </w:r>
      <w:r w:rsidR="00A02D4D">
        <w:t>2017</w:t>
      </w:r>
      <w:r w:rsidR="00AE20AF">
        <w:t xml:space="preserve"> AHS.</w:t>
      </w:r>
      <w:r w:rsidR="000461B4">
        <w:t xml:space="preserve">  Fifty </w:t>
      </w:r>
      <w:r w:rsidR="000D5C79">
        <w:t>p</w:t>
      </w:r>
      <w:r w:rsidR="006F7801">
        <w:t>ercent</w:t>
      </w:r>
      <w:r w:rsidR="000C1083">
        <w:t xml:space="preserve"> of the sample will be</w:t>
      </w:r>
      <w:r w:rsidR="000C1083" w:rsidRPr="00297577">
        <w:t xml:space="preserve"> asked</w:t>
      </w:r>
      <w:r w:rsidR="000C1083">
        <w:t xml:space="preserve"> the</w:t>
      </w:r>
      <w:r w:rsidR="008D13F8">
        <w:t xml:space="preserve"> </w:t>
      </w:r>
      <w:r w:rsidR="0020520A">
        <w:t>Commuting</w:t>
      </w:r>
      <w:r w:rsidR="008D13F8">
        <w:t xml:space="preserve"> </w:t>
      </w:r>
      <w:r w:rsidR="00A95BBB">
        <w:t>m</w:t>
      </w:r>
      <w:r w:rsidR="008D13F8">
        <w:t>odule</w:t>
      </w:r>
      <w:r w:rsidR="000C1083">
        <w:t xml:space="preserve">.  The other </w:t>
      </w:r>
      <w:r w:rsidR="006F7801">
        <w:t xml:space="preserve">50 </w:t>
      </w:r>
      <w:r w:rsidR="000C1083">
        <w:t xml:space="preserve">percent </w:t>
      </w:r>
      <w:r w:rsidR="008D13F8">
        <w:t xml:space="preserve">will be asked the </w:t>
      </w:r>
      <w:r w:rsidR="0020520A">
        <w:t>Disaster Planning</w:t>
      </w:r>
      <w:r w:rsidR="00153171">
        <w:t xml:space="preserve"> </w:t>
      </w:r>
      <w:r w:rsidR="00A95BBB">
        <w:t>m</w:t>
      </w:r>
      <w:r w:rsidR="008D13F8">
        <w:t>odule</w:t>
      </w:r>
      <w:r w:rsidR="000C1083">
        <w:t>.</w:t>
      </w:r>
    </w:p>
    <w:p w14:paraId="7FB67D62" w14:textId="77777777" w:rsidR="00677B13" w:rsidRDefault="00677B13" w:rsidP="00297577">
      <w:pPr>
        <w:ind w:left="720" w:firstLine="302"/>
      </w:pPr>
    </w:p>
    <w:p w14:paraId="3C0AE671" w14:textId="06D1FB30" w:rsidR="006102A4" w:rsidRPr="00B03271" w:rsidRDefault="00DD786B" w:rsidP="00DF4B0D">
      <w:pPr>
        <w:shd w:val="clear" w:color="auto" w:fill="FFFFFF"/>
        <w:ind w:left="720"/>
      </w:pPr>
      <w:r w:rsidRPr="00E4432F">
        <w:t xml:space="preserve">The </w:t>
      </w:r>
      <w:r w:rsidR="006102A4">
        <w:t xml:space="preserve">2017 data collection will include a </w:t>
      </w:r>
      <w:r w:rsidR="006102A4" w:rsidRPr="00B03271">
        <w:t xml:space="preserve">supplemental sample of approximately </w:t>
      </w:r>
      <w:r w:rsidR="006102A4">
        <w:t>29,993</w:t>
      </w:r>
      <w:r w:rsidR="006102A4" w:rsidRPr="00B03271">
        <w:t xml:space="preserve"> housing units will be selected from 1</w:t>
      </w:r>
      <w:r w:rsidR="006102A4">
        <w:t>0</w:t>
      </w:r>
      <w:r w:rsidR="006102A4" w:rsidRPr="00B03271">
        <w:t xml:space="preserve"> metropolitan areas</w:t>
      </w:r>
      <w:r w:rsidR="006102A4">
        <w:t xml:space="preserve">.  The ten metropolitan areas were selected from HUD’s “Next 20” group, as described in HUD’s report, “Metro Area Selection Strategies &amp; Decisions for the 2015 AHS &amp; Beyond.”  </w:t>
      </w:r>
    </w:p>
    <w:p w14:paraId="1E8E0E1C" w14:textId="7F8DEB1A" w:rsidR="00896EEE" w:rsidRPr="00B03271" w:rsidRDefault="00896EEE" w:rsidP="003D2BDF">
      <w:pPr>
        <w:shd w:val="clear" w:color="auto" w:fill="FFFFFF"/>
      </w:pPr>
    </w:p>
    <w:p w14:paraId="27199034" w14:textId="4E44B19E" w:rsidR="00F03515" w:rsidRPr="002B508A" w:rsidRDefault="007865C5" w:rsidP="00DF4B0D">
      <w:pPr>
        <w:ind w:left="720"/>
      </w:pPr>
      <w:r w:rsidRPr="00B03271">
        <w:t xml:space="preserve">We also request clearance for the </w:t>
      </w:r>
      <w:proofErr w:type="spellStart"/>
      <w:r w:rsidRPr="00B03271">
        <w:t>reinterview</w:t>
      </w:r>
      <w:proofErr w:type="spellEnd"/>
      <w:r w:rsidRPr="00B03271">
        <w:t xml:space="preserve"> questions to be used in conjunction with this survey.  We will conduct a second interview at approximately 7 percent of the total addresses in the survey for the purpose of interviewer quality control.  </w:t>
      </w:r>
      <w:proofErr w:type="spellStart"/>
      <w:r w:rsidRPr="00B03271">
        <w:t>Reinterview</w:t>
      </w:r>
      <w:proofErr w:type="spellEnd"/>
      <w:r w:rsidRPr="00B03271">
        <w:t xml:space="preserve"> questions ask respondent whether they recall general details from the original interview.  </w:t>
      </w:r>
      <w:r w:rsidRPr="00B03271">
        <w:lastRenderedPageBreak/>
        <w:t xml:space="preserve">The </w:t>
      </w:r>
      <w:r w:rsidR="00A02D4D" w:rsidRPr="00B03271">
        <w:t>2017</w:t>
      </w:r>
      <w:r w:rsidRPr="00B03271">
        <w:t xml:space="preserve"> </w:t>
      </w:r>
      <w:proofErr w:type="spellStart"/>
      <w:r w:rsidRPr="00B03271">
        <w:t>reinterview</w:t>
      </w:r>
      <w:proofErr w:type="spellEnd"/>
      <w:r w:rsidRPr="00B03271">
        <w:t xml:space="preserve"> instrument will contain </w:t>
      </w:r>
      <w:r w:rsidR="00D27ABC">
        <w:t>five</w:t>
      </w:r>
      <w:r w:rsidR="001326C4" w:rsidRPr="00B03271">
        <w:t xml:space="preserve"> </w:t>
      </w:r>
      <w:r w:rsidRPr="002B508A">
        <w:t xml:space="preserve">questions.  However, each respondent will only be asked </w:t>
      </w:r>
      <w:r w:rsidR="00D27ABC">
        <w:t>four</w:t>
      </w:r>
      <w:r w:rsidR="003B1844" w:rsidRPr="002B508A">
        <w:t xml:space="preserve"> </w:t>
      </w:r>
      <w:r w:rsidR="00D27ABC">
        <w:t>questions.  Re</w:t>
      </w:r>
      <w:r w:rsidR="009C3403">
        <w:t>s</w:t>
      </w:r>
      <w:r w:rsidR="00D27ABC">
        <w:t>pondents will receive 3 of the same questions and the fourth and fifth questions will be divided between sample groups.</w:t>
      </w:r>
      <w:r w:rsidRPr="002B508A">
        <w:t xml:space="preserve">  We included in this clearance the cost and respondent burden estimates for the </w:t>
      </w:r>
      <w:proofErr w:type="spellStart"/>
      <w:r w:rsidRPr="002B508A">
        <w:t>reinterview</w:t>
      </w:r>
      <w:proofErr w:type="spellEnd"/>
      <w:r w:rsidRPr="002B508A">
        <w:t>.</w:t>
      </w:r>
      <w:r w:rsidR="00F5764F" w:rsidRPr="002B508A">
        <w:t xml:space="preserve"> </w:t>
      </w:r>
    </w:p>
    <w:p w14:paraId="1ABDE931" w14:textId="1582EDB4" w:rsidR="00E13F9E" w:rsidRDefault="000B2AB7" w:rsidP="004F5950">
      <w:pPr>
        <w:pStyle w:val="Level1"/>
        <w:numPr>
          <w:ilvl w:val="0"/>
          <w:numId w:val="57"/>
        </w:numPr>
        <w:spacing w:before="240"/>
        <w:rPr>
          <w:rFonts w:ascii="Times New Roman" w:hAnsi="Times New Roman"/>
        </w:rPr>
      </w:pPr>
      <w:r>
        <w:rPr>
          <w:rFonts w:ascii="Times New Roman" w:hAnsi="Times New Roman"/>
          <w:b/>
          <w:bCs/>
        </w:rPr>
        <w:t>Needs and Uses</w:t>
      </w:r>
    </w:p>
    <w:p w14:paraId="02A7CF87" w14:textId="77777777" w:rsidR="000B2AB7" w:rsidRDefault="000B2AB7" w:rsidP="00C623A5">
      <w:pPr>
        <w:numPr>
          <w:ilvl w:val="12"/>
          <w:numId w:val="0"/>
        </w:numPr>
        <w:tabs>
          <w:tab w:val="left" w:pos="432"/>
          <w:tab w:val="left" w:pos="720"/>
          <w:tab w:val="left" w:pos="864"/>
          <w:tab w:val="left" w:pos="1022"/>
          <w:tab w:val="left" w:pos="1296"/>
          <w:tab w:val="left" w:pos="1728"/>
          <w:tab w:val="left" w:pos="2160"/>
        </w:tabs>
      </w:pPr>
    </w:p>
    <w:p w14:paraId="7AD10F88" w14:textId="77777777" w:rsidR="000B2AB7" w:rsidRDefault="00E92293" w:rsidP="00DF4B0D">
      <w:pPr>
        <w:pStyle w:val="BodyTextIndent"/>
        <w:tabs>
          <w:tab w:val="clear" w:pos="432"/>
          <w:tab w:val="clear" w:pos="720"/>
          <w:tab w:val="clear" w:pos="864"/>
          <w:tab w:val="clear" w:pos="1022"/>
          <w:tab w:val="clear" w:pos="1296"/>
          <w:tab w:val="clear" w:pos="1728"/>
          <w:tab w:val="clear" w:pos="2160"/>
        </w:tabs>
        <w:ind w:left="720"/>
      </w:pPr>
      <w:r>
        <w:t xml:space="preserve">Both HUD and outside entities use the </w:t>
      </w:r>
      <w:r w:rsidR="00813152">
        <w:t xml:space="preserve">core modules of the </w:t>
      </w:r>
      <w:r w:rsidR="00E979C8">
        <w:t>AHS</w:t>
      </w:r>
      <w:r>
        <w:t xml:space="preserve"> extensively.  </w:t>
      </w:r>
      <w:r w:rsidR="00813152">
        <w:t xml:space="preserve">The core modules capture information about building and unit characteristics, housing quality, fuel and electricity costs, resident mobility and recent movers, rent and mortgage expenses, household demographic characteristics, income, and repairs and remodeling frequency and expenses.  </w:t>
      </w:r>
      <w:r>
        <w:t>The following subsections describe the internal and external uses of the core modules and expected uses of the rotating topical modules.</w:t>
      </w:r>
    </w:p>
    <w:p w14:paraId="414DDC07" w14:textId="77777777"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p>
    <w:p w14:paraId="62FEE077" w14:textId="77777777" w:rsidR="00924430" w:rsidRDefault="00863819" w:rsidP="00DF4B0D">
      <w:pPr>
        <w:pStyle w:val="ListParagraph"/>
        <w:numPr>
          <w:ilvl w:val="0"/>
          <w:numId w:val="30"/>
        </w:numPr>
      </w:pPr>
      <w:r>
        <w:t xml:space="preserve">HUD’s </w:t>
      </w:r>
      <w:r w:rsidR="00E979C8">
        <w:t xml:space="preserve">Internal Needs </w:t>
      </w:r>
      <w:r>
        <w:t xml:space="preserve">for the </w:t>
      </w:r>
      <w:r w:rsidR="00924430">
        <w:t>Core Module</w:t>
      </w:r>
      <w:r>
        <w:t>s</w:t>
      </w:r>
    </w:p>
    <w:p w14:paraId="66F632F5" w14:textId="77777777"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p>
    <w:p w14:paraId="0E0DD944" w14:textId="77777777" w:rsidR="000B2AB7" w:rsidRDefault="000B2AB7" w:rsidP="00C623A5">
      <w:pPr>
        <w:spacing w:line="2" w:lineRule="exact"/>
        <w:rPr>
          <w:sz w:val="14"/>
          <w:szCs w:val="14"/>
        </w:rPr>
      </w:pPr>
    </w:p>
    <w:p w14:paraId="4454CDA2" w14:textId="77777777" w:rsidR="00A960DE" w:rsidRDefault="00E979C8" w:rsidP="00DF4B0D">
      <w:pPr>
        <w:ind w:left="1112" w:hanging="32"/>
        <w:rPr>
          <w:lang w:val="en-CA"/>
        </w:rPr>
      </w:pPr>
      <w:r>
        <w:rPr>
          <w:lang w:val="en-CA"/>
        </w:rPr>
        <w:t xml:space="preserve">HUD has numerous needs for the AHS to support Congressional reporting requirements, programmatic needs, and </w:t>
      </w:r>
      <w:r w:rsidR="00CB5E4F">
        <w:rPr>
          <w:lang w:val="en-CA"/>
        </w:rPr>
        <w:t xml:space="preserve">ongoing </w:t>
      </w:r>
      <w:r>
        <w:rPr>
          <w:lang w:val="en-CA"/>
        </w:rPr>
        <w:t>research.</w:t>
      </w:r>
      <w:r w:rsidR="00813152">
        <w:rPr>
          <w:lang w:val="en-CA"/>
        </w:rPr>
        <w:t xml:space="preserve">  </w:t>
      </w:r>
    </w:p>
    <w:p w14:paraId="0461A815" w14:textId="77777777" w:rsidR="00A960DE" w:rsidRDefault="00A960DE" w:rsidP="00CB5E4F">
      <w:pPr>
        <w:ind w:left="1382" w:hanging="32"/>
        <w:rPr>
          <w:lang w:val="en-CA"/>
        </w:rPr>
      </w:pPr>
    </w:p>
    <w:p w14:paraId="29CC50DB" w14:textId="77777777" w:rsidR="006F1AC1" w:rsidRDefault="00813152" w:rsidP="00DF4B0D">
      <w:pPr>
        <w:ind w:left="1144" w:hanging="32"/>
        <w:rPr>
          <w:lang w:val="en-CA"/>
        </w:rPr>
      </w:pPr>
      <w:r>
        <w:rPr>
          <w:lang w:val="en-CA"/>
        </w:rPr>
        <w:t>The needs include, but are not limited to:</w:t>
      </w:r>
    </w:p>
    <w:p w14:paraId="1E46AAFE" w14:textId="77777777" w:rsidR="006F1AC1" w:rsidRDefault="006F1AC1" w:rsidP="00C623A5">
      <w:pPr>
        <w:rPr>
          <w:lang w:val="en-CA"/>
        </w:rPr>
      </w:pPr>
    </w:p>
    <w:p w14:paraId="181A860D" w14:textId="1ED27521" w:rsidR="00B120E8" w:rsidRPr="00E979C8" w:rsidRDefault="00B120E8" w:rsidP="00170186">
      <w:pPr>
        <w:pStyle w:val="ListParagraph"/>
        <w:numPr>
          <w:ilvl w:val="1"/>
          <w:numId w:val="8"/>
        </w:numPr>
        <w:ind w:left="1440"/>
        <w:rPr>
          <w:lang w:val="en-CA"/>
        </w:rPr>
      </w:pPr>
      <w:r w:rsidRPr="00DF4B0D">
        <w:rPr>
          <w:u w:val="single"/>
          <w:lang w:val="en-CA"/>
        </w:rPr>
        <w:t>Worst</w:t>
      </w:r>
      <w:r w:rsidRPr="00E979C8">
        <w:rPr>
          <w:u w:val="single"/>
          <w:lang w:val="en-CA"/>
        </w:rPr>
        <w:t xml:space="preserve"> Case Housing Needs:</w:t>
      </w:r>
      <w:r w:rsidRPr="00E979C8">
        <w:rPr>
          <w:lang w:val="en-CA"/>
        </w:rPr>
        <w:t xml:space="preserve">  Congress requires HUD to produce the Worst Case Housing Needs report every two years.  This report is based almost entirely on the AHS.</w:t>
      </w:r>
    </w:p>
    <w:p w14:paraId="4C9567E7" w14:textId="77777777" w:rsidR="00B120E8" w:rsidRDefault="00B120E8" w:rsidP="00E979C8">
      <w:pPr>
        <w:ind w:left="1800" w:hanging="450"/>
        <w:rPr>
          <w:lang w:val="en-CA"/>
        </w:rPr>
      </w:pPr>
    </w:p>
    <w:p w14:paraId="1ABFF830" w14:textId="77777777" w:rsidR="00B120E8" w:rsidRDefault="00B120E8" w:rsidP="00170186">
      <w:pPr>
        <w:pStyle w:val="ListParagraph"/>
        <w:numPr>
          <w:ilvl w:val="1"/>
          <w:numId w:val="8"/>
        </w:numPr>
        <w:ind w:left="1440"/>
        <w:rPr>
          <w:lang w:val="en-CA"/>
        </w:rPr>
      </w:pPr>
      <w:r w:rsidRPr="00E979C8">
        <w:rPr>
          <w:u w:val="single"/>
          <w:lang w:val="en-CA"/>
        </w:rPr>
        <w:t xml:space="preserve">Worst Case Housing Needs </w:t>
      </w:r>
      <w:r w:rsidR="00E979C8" w:rsidRPr="00E979C8">
        <w:rPr>
          <w:u w:val="single"/>
          <w:lang w:val="en-CA"/>
        </w:rPr>
        <w:t>of People with Disabilities</w:t>
      </w:r>
      <w:r w:rsidRPr="00E979C8">
        <w:rPr>
          <w:u w:val="single"/>
          <w:lang w:val="en-CA"/>
        </w:rPr>
        <w:t>:</w:t>
      </w:r>
      <w:r w:rsidRPr="00E979C8">
        <w:rPr>
          <w:lang w:val="en-CA"/>
        </w:rPr>
        <w:t xml:space="preserve">  </w:t>
      </w:r>
      <w:r w:rsidR="00E979C8" w:rsidRPr="00E979C8">
        <w:rPr>
          <w:lang w:val="en-CA"/>
        </w:rPr>
        <w:t>HUD produces a supplemental report to the Worst Case Housing Needs report providing national estimates and information on the critical housing problems that confront low income renting families that include people with disabilities.</w:t>
      </w:r>
    </w:p>
    <w:p w14:paraId="51A11929" w14:textId="77777777" w:rsidR="00E979C8" w:rsidRPr="00E979C8" w:rsidRDefault="00E979C8" w:rsidP="00CB5E4F">
      <w:pPr>
        <w:pStyle w:val="ListParagraph"/>
        <w:rPr>
          <w:lang w:val="en-CA"/>
        </w:rPr>
      </w:pPr>
    </w:p>
    <w:p w14:paraId="2C4F1DED" w14:textId="1B2AEA48" w:rsidR="00620A21" w:rsidRDefault="00AB0B5E" w:rsidP="00170186">
      <w:pPr>
        <w:pStyle w:val="ListParagraph"/>
        <w:numPr>
          <w:ilvl w:val="1"/>
          <w:numId w:val="8"/>
        </w:numPr>
        <w:ind w:left="1440"/>
        <w:rPr>
          <w:lang w:val="en-CA"/>
        </w:rPr>
      </w:pPr>
      <w:r>
        <w:rPr>
          <w:u w:val="single"/>
          <w:lang w:val="en-CA"/>
        </w:rPr>
        <w:t xml:space="preserve">Characteristics of </w:t>
      </w:r>
      <w:r w:rsidR="00E979C8" w:rsidRPr="00CB5E4F">
        <w:rPr>
          <w:u w:val="single"/>
          <w:lang w:val="en-CA"/>
        </w:rPr>
        <w:t>HUD Assisted Renters and Their Units:</w:t>
      </w:r>
      <w:r w:rsidR="00E979C8">
        <w:rPr>
          <w:lang w:val="en-CA"/>
        </w:rPr>
        <w:t xml:space="preserve">  HUD produces a report detailing the housing conditions of HUD-assisted renters.  This report is based entirely on the AHS</w:t>
      </w:r>
      <w:r w:rsidR="00DC5D0B">
        <w:rPr>
          <w:lang w:val="en-CA"/>
        </w:rPr>
        <w:t xml:space="preserve"> responses of units that</w:t>
      </w:r>
      <w:r w:rsidR="009A7D0F">
        <w:rPr>
          <w:lang w:val="en-CA"/>
        </w:rPr>
        <w:t xml:space="preserve"> match to HUD administrative records of subsidized housing</w:t>
      </w:r>
      <w:r w:rsidR="00E979C8">
        <w:rPr>
          <w:lang w:val="en-CA"/>
        </w:rPr>
        <w:t>.</w:t>
      </w:r>
    </w:p>
    <w:p w14:paraId="723BD361" w14:textId="77777777" w:rsidR="00620A21" w:rsidRDefault="00620A21" w:rsidP="00813152">
      <w:pPr>
        <w:pStyle w:val="ListParagraph"/>
        <w:ind w:left="1800"/>
        <w:rPr>
          <w:lang w:val="en-CA"/>
        </w:rPr>
      </w:pPr>
    </w:p>
    <w:p w14:paraId="7C29189C" w14:textId="77777777" w:rsidR="00620A21" w:rsidRDefault="00620A21" w:rsidP="00170186">
      <w:pPr>
        <w:pStyle w:val="ListParagraph"/>
        <w:numPr>
          <w:ilvl w:val="1"/>
          <w:numId w:val="8"/>
        </w:numPr>
        <w:ind w:left="1440"/>
      </w:pPr>
      <w:r w:rsidRPr="00813152">
        <w:rPr>
          <w:u w:val="single"/>
          <w:lang w:val="en-CA"/>
        </w:rPr>
        <w:t>Housing Program Monitoring:</w:t>
      </w:r>
      <w:r>
        <w:rPr>
          <w:lang w:val="en-CA"/>
        </w:rPr>
        <w:t xml:space="preserve">  AHS </w:t>
      </w:r>
      <w:r>
        <w:t>data is used to evaluate, monitor, and design the HUD programs to improve efficiency and effectiveness.  From a HUD policy perspective, the AHS data have proved valuable in analyzing the potential effects of program design and redesign proposals.  Past data have enabled HUD, for instance, to determine under what conditions a moderate income, multifamily construction program might be needed and feasible; to examine the effect of low vacancy rates on housing maintenance and quality; and to evaluate how housing assistance programs help welfare recipients.</w:t>
      </w:r>
    </w:p>
    <w:p w14:paraId="4FA219EC" w14:textId="77777777" w:rsidR="00620A21" w:rsidRPr="00AC0084" w:rsidRDefault="00620A21" w:rsidP="00813152">
      <w:pPr>
        <w:pStyle w:val="ListParagraph"/>
        <w:rPr>
          <w:u w:val="single"/>
          <w:lang w:val="en-CA"/>
        </w:rPr>
      </w:pPr>
    </w:p>
    <w:p w14:paraId="18C95950" w14:textId="77777777" w:rsidR="00E979C8" w:rsidRPr="00AC0084" w:rsidRDefault="00CB5E4F" w:rsidP="00170186">
      <w:pPr>
        <w:pStyle w:val="ListParagraph"/>
        <w:numPr>
          <w:ilvl w:val="1"/>
          <w:numId w:val="8"/>
        </w:numPr>
        <w:ind w:left="1440"/>
        <w:rPr>
          <w:lang w:val="en-CA"/>
        </w:rPr>
      </w:pPr>
      <w:r w:rsidRPr="00AC0084">
        <w:rPr>
          <w:u w:val="single"/>
          <w:lang w:val="en-CA"/>
        </w:rPr>
        <w:lastRenderedPageBreak/>
        <w:t xml:space="preserve">National </w:t>
      </w:r>
      <w:r w:rsidR="00E979C8" w:rsidRPr="00AC0084">
        <w:rPr>
          <w:u w:val="single"/>
          <w:lang w:val="en-CA"/>
        </w:rPr>
        <w:t xml:space="preserve">Housing Market </w:t>
      </w:r>
      <w:r w:rsidRPr="00AC0084">
        <w:rPr>
          <w:u w:val="single"/>
          <w:lang w:val="en-CA"/>
        </w:rPr>
        <w:t xml:space="preserve">Program of </w:t>
      </w:r>
      <w:r w:rsidR="00E979C8" w:rsidRPr="00AC0084">
        <w:rPr>
          <w:u w:val="single"/>
          <w:lang w:val="en-CA"/>
        </w:rPr>
        <w:t>Research</w:t>
      </w:r>
      <w:r w:rsidRPr="00AC0084">
        <w:rPr>
          <w:u w:val="single"/>
          <w:lang w:val="en-CA"/>
        </w:rPr>
        <w:t>:</w:t>
      </w:r>
      <w:r w:rsidRPr="00AC0084">
        <w:rPr>
          <w:lang w:val="en-CA"/>
        </w:rPr>
        <w:t xml:space="preserve">  HUD PD&amp;R continuously monitors the state of the </w:t>
      </w:r>
      <w:r w:rsidR="00674871" w:rsidRPr="00AC0084">
        <w:rPr>
          <w:lang w:val="en-CA"/>
        </w:rPr>
        <w:t xml:space="preserve">nation’s </w:t>
      </w:r>
      <w:r w:rsidRPr="00AC0084">
        <w:rPr>
          <w:lang w:val="en-CA"/>
        </w:rPr>
        <w:t xml:space="preserve">housing market.  </w:t>
      </w:r>
      <w:r w:rsidR="00674871" w:rsidRPr="00AC0084">
        <w:rPr>
          <w:lang w:val="en-CA"/>
        </w:rPr>
        <w:t xml:space="preserve">The AHS contributes to this effort by providing estimates of vacancy, </w:t>
      </w:r>
      <w:r w:rsidR="00AB0B5E" w:rsidRPr="00AC0084">
        <w:rPr>
          <w:lang w:val="en-CA"/>
        </w:rPr>
        <w:t xml:space="preserve">financing types, </w:t>
      </w:r>
      <w:r w:rsidR="00674871" w:rsidRPr="00AC0084">
        <w:rPr>
          <w:lang w:val="en-CA"/>
        </w:rPr>
        <w:t>homeowner equity, and housing values, to name a few.</w:t>
      </w:r>
      <w:r w:rsidRPr="00AC0084">
        <w:rPr>
          <w:lang w:val="en-CA"/>
        </w:rPr>
        <w:t xml:space="preserve"> </w:t>
      </w:r>
    </w:p>
    <w:p w14:paraId="7F741F16" w14:textId="77777777" w:rsidR="00A00B1B" w:rsidRPr="00A00B1B" w:rsidRDefault="00A00B1B" w:rsidP="00297577">
      <w:pPr>
        <w:rPr>
          <w:lang w:val="en-CA"/>
        </w:rPr>
      </w:pPr>
    </w:p>
    <w:p w14:paraId="24D984B5" w14:textId="77777777" w:rsidR="00620A21" w:rsidRDefault="00620A21" w:rsidP="00170186">
      <w:pPr>
        <w:pStyle w:val="ListParagraph"/>
        <w:numPr>
          <w:ilvl w:val="1"/>
          <w:numId w:val="8"/>
        </w:numPr>
        <w:ind w:left="1440"/>
        <w:rPr>
          <w:lang w:val="en-CA"/>
        </w:rPr>
      </w:pPr>
      <w:r>
        <w:rPr>
          <w:u w:val="single"/>
          <w:lang w:val="en-CA"/>
        </w:rPr>
        <w:t>Regional and Local Housing Market Research:</w:t>
      </w:r>
      <w:r>
        <w:rPr>
          <w:lang w:val="en-CA"/>
        </w:rPr>
        <w:t xml:space="preserve">  HUD PD&amp;R use the AHS data </w:t>
      </w:r>
      <w:r w:rsidR="00F97CE3">
        <w:rPr>
          <w:lang w:val="en-CA"/>
        </w:rPr>
        <w:t xml:space="preserve">as one source of data </w:t>
      </w:r>
      <w:r>
        <w:rPr>
          <w:lang w:val="en-CA"/>
        </w:rPr>
        <w:t>for creating Comprehensive Housing Market Analys</w:t>
      </w:r>
      <w:r w:rsidR="00F97CE3">
        <w:rPr>
          <w:lang w:val="en-CA"/>
        </w:rPr>
        <w:t xml:space="preserve">es </w:t>
      </w:r>
      <w:r w:rsidR="00813152">
        <w:rPr>
          <w:lang w:val="en-CA"/>
        </w:rPr>
        <w:t xml:space="preserve">and other local housing market intelligence reports.  These reports help HUD field economists evaluate feasibility and market impacts of proposed multifamily assisted housing project investments.  </w:t>
      </w:r>
      <w:r w:rsidR="00F97CE3">
        <w:rPr>
          <w:lang w:val="en-CA"/>
        </w:rPr>
        <w:t xml:space="preserve"> </w:t>
      </w:r>
    </w:p>
    <w:p w14:paraId="47C4D504" w14:textId="77777777" w:rsidR="00CB5E4F" w:rsidRPr="00CB5E4F" w:rsidRDefault="00CB5E4F" w:rsidP="00CB5E4F">
      <w:pPr>
        <w:pStyle w:val="ListParagraph"/>
        <w:rPr>
          <w:lang w:val="en-CA"/>
        </w:rPr>
      </w:pPr>
    </w:p>
    <w:p w14:paraId="652CDC4F" w14:textId="77777777" w:rsidR="00CB5E4F" w:rsidRPr="00AB0B5E" w:rsidRDefault="00CB5E4F" w:rsidP="00170186">
      <w:pPr>
        <w:pStyle w:val="ListParagraph"/>
        <w:numPr>
          <w:ilvl w:val="1"/>
          <w:numId w:val="8"/>
        </w:numPr>
        <w:ind w:left="1440"/>
        <w:rPr>
          <w:lang w:val="en-CA"/>
        </w:rPr>
      </w:pPr>
      <w:r w:rsidRPr="00CB5E4F">
        <w:rPr>
          <w:u w:val="single"/>
          <w:lang w:val="en-CA"/>
        </w:rPr>
        <w:t>Affordable Housing Program of Research:</w:t>
      </w:r>
      <w:r>
        <w:rPr>
          <w:lang w:val="en-CA"/>
        </w:rPr>
        <w:t xml:space="preserve">  HUD PD&amp;R uses the AHS to </w:t>
      </w:r>
      <w:r>
        <w:t>conduct research on the number of affordable rental units in the housing stock and the degree to which rents are affordable to low- and moderate-income families and to very-low-income families</w:t>
      </w:r>
      <w:r w:rsidR="00674871">
        <w:t>.</w:t>
      </w:r>
    </w:p>
    <w:p w14:paraId="050CA516" w14:textId="77777777" w:rsidR="00AB0B5E" w:rsidRPr="00AB0B5E" w:rsidRDefault="00AB0B5E" w:rsidP="00AB0B5E">
      <w:pPr>
        <w:pStyle w:val="ListParagraph"/>
        <w:rPr>
          <w:lang w:val="en-CA"/>
        </w:rPr>
      </w:pPr>
    </w:p>
    <w:p w14:paraId="5125DD10" w14:textId="77777777" w:rsidR="00AB0B5E" w:rsidRPr="000B6804" w:rsidRDefault="00AB0B5E" w:rsidP="00170186">
      <w:pPr>
        <w:pStyle w:val="ListParagraph"/>
        <w:numPr>
          <w:ilvl w:val="1"/>
          <w:numId w:val="8"/>
        </w:numPr>
        <w:ind w:left="1440"/>
        <w:rPr>
          <w:lang w:val="en-CA"/>
        </w:rPr>
      </w:pPr>
      <w:r w:rsidRPr="00620A21">
        <w:rPr>
          <w:u w:val="single"/>
          <w:lang w:val="en-CA"/>
        </w:rPr>
        <w:t xml:space="preserve">Housing </w:t>
      </w:r>
      <w:r w:rsidR="008F1347" w:rsidRPr="00620A21">
        <w:rPr>
          <w:u w:val="single"/>
          <w:lang w:val="en-CA"/>
        </w:rPr>
        <w:t xml:space="preserve">and </w:t>
      </w:r>
      <w:r w:rsidRPr="00620A21">
        <w:rPr>
          <w:u w:val="single"/>
          <w:lang w:val="en-CA"/>
        </w:rPr>
        <w:t>Demographic</w:t>
      </w:r>
      <w:r w:rsidR="008F1347" w:rsidRPr="00620A21">
        <w:rPr>
          <w:u w:val="single"/>
          <w:lang w:val="en-CA"/>
        </w:rPr>
        <w:t>s</w:t>
      </w:r>
      <w:r w:rsidRPr="00620A21">
        <w:rPr>
          <w:u w:val="single"/>
          <w:lang w:val="en-CA"/>
        </w:rPr>
        <w:t xml:space="preserve"> Program of Research:</w:t>
      </w:r>
      <w:r>
        <w:rPr>
          <w:lang w:val="en-CA"/>
        </w:rPr>
        <w:t xml:space="preserve">  HUD PD&amp;R uses the AHS to conduct research on demographic distributions by types of housing units.  </w:t>
      </w:r>
      <w:r w:rsidR="008F1347">
        <w:rPr>
          <w:lang w:val="en-CA"/>
        </w:rPr>
        <w:t xml:space="preserve">Of particular interest are housing choices by </w:t>
      </w:r>
      <w:r w:rsidR="008F1347">
        <w:t>low-income female householders, minorities, first-time home buyers, the elderly, and households nearing retirement.</w:t>
      </w:r>
    </w:p>
    <w:p w14:paraId="349E7EC3" w14:textId="77777777" w:rsidR="00674871" w:rsidRPr="00674871" w:rsidRDefault="00674871" w:rsidP="000B6804">
      <w:pPr>
        <w:pStyle w:val="ListParagraph"/>
        <w:rPr>
          <w:lang w:val="en-CA"/>
        </w:rPr>
      </w:pPr>
    </w:p>
    <w:p w14:paraId="3F71D169" w14:textId="77777777" w:rsidR="00A44FBE" w:rsidRDefault="00A44FBE" w:rsidP="00FA2FA2">
      <w:pPr>
        <w:pStyle w:val="ListParagraph"/>
        <w:numPr>
          <w:ilvl w:val="0"/>
          <w:numId w:val="30"/>
        </w:numPr>
      </w:pPr>
      <w:r>
        <w:t>Core Modules Uses</w:t>
      </w:r>
      <w:r w:rsidR="00212F9A">
        <w:t xml:space="preserve"> </w:t>
      </w:r>
      <w:r w:rsidR="00AB0B5E">
        <w:t xml:space="preserve">External </w:t>
      </w:r>
      <w:r w:rsidR="00D21F74">
        <w:t>to</w:t>
      </w:r>
      <w:r w:rsidR="00212F9A">
        <w:t xml:space="preserve"> HUD</w:t>
      </w:r>
    </w:p>
    <w:p w14:paraId="0C7B896E" w14:textId="77777777" w:rsidR="00BE23AE" w:rsidRDefault="00BE23AE" w:rsidP="002977DE">
      <w:pPr>
        <w:pStyle w:val="ListParagraph"/>
        <w:ind w:left="1715"/>
      </w:pPr>
    </w:p>
    <w:p w14:paraId="7A540418" w14:textId="1D1639AC" w:rsidR="00E1001F" w:rsidRPr="006A3886" w:rsidRDefault="00A44FBE" w:rsidP="00170186">
      <w:pPr>
        <w:ind w:left="1080"/>
        <w:rPr>
          <w:rStyle w:val="Hyperlink"/>
        </w:rPr>
      </w:pPr>
      <w:r w:rsidRPr="00341DBB">
        <w:rPr>
          <w:vanish/>
        </w:rPr>
        <w:t>Core Modules Uses</w:t>
      </w:r>
      <w:r w:rsidRPr="00341DBB">
        <w:rPr>
          <w:vanish/>
        </w:rPr>
        <w:cr/>
        <w:t>s:  ibility to their places of workn part of the current AHS sampletistical precision of national estimates wa</w:t>
      </w:r>
      <w:r>
        <w:t xml:space="preserve">National and local policy analysts, program managers, budget analysts, and Congressional staff use the AHS data to advise executive and legislative branches about housing conditions and the suitability of policy initiatives.  Academic researchers and private organizations also use the AHS data in efforts of specific interest and concern to their respective communities. </w:t>
      </w:r>
    </w:p>
    <w:p w14:paraId="042E0356" w14:textId="5C2FC9AC" w:rsidR="00E92293" w:rsidRDefault="00E92293" w:rsidP="00170186">
      <w:pPr>
        <w:spacing w:before="240"/>
        <w:ind w:left="1080"/>
      </w:pPr>
      <w:r>
        <w:t xml:space="preserve">Data from the </w:t>
      </w:r>
      <w:r w:rsidR="00D21F74">
        <w:t xml:space="preserve">AHS is </w:t>
      </w:r>
      <w:r>
        <w:t>the major source of estimates of the space-rental value of housing (a component of personal consumption expenditures) and of the rental income of persons (a component of both personal income and national income).  The Bureau of Economic Analysis (BEA) uses the AHS data in preparing metropolitan income and product accounts. The specific data that the BEA uses are those defining farm or nonfarm location, type of housing unit, occupancy status, tenure of the occupant, and the expenditures related to housing (rent, utilities, mortgage, and so on).  Another use of the AHS data is to evaluate the housing program benefits reported on the Current Population Survey (CPS) and the Survey of Income and Program Participation (SIPP).  The Energy Information Administration of the Department of Energy issues an annual report “Annual Energy Review” using the heating fuel data collected in AHS</w:t>
      </w:r>
      <w:r w:rsidR="00951358">
        <w:t xml:space="preserve"> (</w:t>
      </w:r>
      <w:r w:rsidR="00951358" w:rsidRPr="007B2F37">
        <w:t>http://www.eia.gov/totalenergy/data/annual/</w:t>
      </w:r>
      <w:r w:rsidR="00951358">
        <w:t>)</w:t>
      </w:r>
      <w:r>
        <w:t xml:space="preserve">. </w:t>
      </w:r>
    </w:p>
    <w:p w14:paraId="74429C08" w14:textId="69CDA394" w:rsidR="00E92293" w:rsidRDefault="00CB5E4F" w:rsidP="00170186">
      <w:pPr>
        <w:spacing w:before="240"/>
        <w:ind w:left="1080"/>
      </w:pPr>
      <w:r>
        <w:t xml:space="preserve">Data from the AHS are the primary input into </w:t>
      </w:r>
      <w:r w:rsidR="00674871">
        <w:t>Harvard’s Joint Center for Housing Studies estimate of the size of the remodeling market</w:t>
      </w:r>
      <w:r w:rsidR="00350FAB">
        <w:t xml:space="preserve"> (</w:t>
      </w:r>
      <w:r w:rsidR="00350FAB" w:rsidRPr="007B2F37">
        <w:t>http://www.jchs.harvard.edu/research/remodeling-futures</w:t>
      </w:r>
      <w:r w:rsidR="00350FAB">
        <w:t>)</w:t>
      </w:r>
      <w:r w:rsidR="00674871">
        <w:t>.</w:t>
      </w:r>
    </w:p>
    <w:p w14:paraId="3A68DC0A" w14:textId="77777777" w:rsidR="00F71F97" w:rsidRDefault="00F71F97"/>
    <w:p w14:paraId="63CE2C25" w14:textId="77777777" w:rsidR="00924430" w:rsidRDefault="00924430" w:rsidP="00FA2FA2">
      <w:pPr>
        <w:pStyle w:val="ListParagraph"/>
        <w:numPr>
          <w:ilvl w:val="0"/>
          <w:numId w:val="30"/>
        </w:numPr>
      </w:pPr>
      <w:r>
        <w:t>Rotating Module Needs</w:t>
      </w:r>
      <w:r w:rsidR="00A44FBE">
        <w:t xml:space="preserve"> and Potential Uses</w:t>
      </w:r>
    </w:p>
    <w:p w14:paraId="77807057" w14:textId="77777777" w:rsidR="00924430" w:rsidRDefault="00924430" w:rsidP="002977DE">
      <w:pPr>
        <w:ind w:left="1341"/>
      </w:pPr>
    </w:p>
    <w:p w14:paraId="15629ED6" w14:textId="46C9BA73" w:rsidR="00991874" w:rsidRPr="003C3DEE" w:rsidRDefault="00C33D30" w:rsidP="00170186">
      <w:pPr>
        <w:ind w:left="1080"/>
        <w:rPr>
          <w:iCs/>
        </w:rPr>
      </w:pPr>
      <w:r w:rsidRPr="00D87439">
        <w:t>New data are</w:t>
      </w:r>
      <w:r w:rsidR="00991874" w:rsidRPr="00D87439">
        <w:t xml:space="preserve"> being collec</w:t>
      </w:r>
      <w:r w:rsidR="00FF34FA" w:rsidRPr="00D87439">
        <w:t xml:space="preserve">ted in the </w:t>
      </w:r>
      <w:r w:rsidR="00A02D4D">
        <w:t>2017</w:t>
      </w:r>
      <w:r w:rsidR="00F80582" w:rsidRPr="00D87439">
        <w:t xml:space="preserve"> survey </w:t>
      </w:r>
      <w:r w:rsidR="00FF34FA" w:rsidRPr="00D87439">
        <w:t>on</w:t>
      </w:r>
      <w:r w:rsidR="00FF6FDA" w:rsidRPr="00FF6FDA">
        <w:t xml:space="preserve"> </w:t>
      </w:r>
      <w:r w:rsidR="003C3DEE" w:rsidRPr="003C3DEE">
        <w:rPr>
          <w:iCs/>
        </w:rPr>
        <w:t>how people commute to work and commuting costs</w:t>
      </w:r>
      <w:r w:rsidR="003C3DEE">
        <w:rPr>
          <w:iCs/>
        </w:rPr>
        <w:t xml:space="preserve">, </w:t>
      </w:r>
      <w:r w:rsidR="003C3DEE" w:rsidRPr="003C3DEE">
        <w:rPr>
          <w:iCs/>
        </w:rPr>
        <w:t>the causes and effects of evictions</w:t>
      </w:r>
      <w:r w:rsidR="003C3DEE">
        <w:rPr>
          <w:iCs/>
        </w:rPr>
        <w:t xml:space="preserve">, </w:t>
      </w:r>
      <w:r w:rsidR="003C3DEE" w:rsidRPr="003C3DEE">
        <w:rPr>
          <w:iCs/>
        </w:rPr>
        <w:t>disaster and emergency preparedness, and recent delinquent payments and notices for mortgage, rent, or utility bills</w:t>
      </w:r>
      <w:r w:rsidR="00FF6FDA">
        <w:t>.</w:t>
      </w:r>
      <w:r w:rsidR="00B47468">
        <w:t xml:space="preserve">  </w:t>
      </w:r>
      <w:r w:rsidR="0038748E" w:rsidRPr="00D87439">
        <w:t xml:space="preserve">We will collect this data in the following </w:t>
      </w:r>
      <w:r w:rsidR="00EC6F05">
        <w:t xml:space="preserve">four </w:t>
      </w:r>
      <w:r w:rsidR="0038748E" w:rsidRPr="00D87439">
        <w:t>modules</w:t>
      </w:r>
      <w:r w:rsidR="000607D3" w:rsidRPr="00D87439">
        <w:t>.</w:t>
      </w:r>
    </w:p>
    <w:p w14:paraId="05324416" w14:textId="37005A78" w:rsidR="00E62D27" w:rsidRDefault="00E62D27" w:rsidP="00834983">
      <w:pPr>
        <w:pStyle w:val="ListParagraph"/>
        <w:numPr>
          <w:ilvl w:val="0"/>
          <w:numId w:val="11"/>
        </w:numPr>
        <w:spacing w:before="240"/>
      </w:pPr>
      <w:r>
        <w:rPr>
          <w:u w:val="single"/>
        </w:rPr>
        <w:t>Commuting Module</w:t>
      </w:r>
      <w:r w:rsidRPr="00297577">
        <w:rPr>
          <w:u w:val="single"/>
        </w:rPr>
        <w:t>:</w:t>
      </w:r>
      <w:r w:rsidRPr="0045692E">
        <w:t xml:space="preserve">  </w:t>
      </w:r>
      <w:r w:rsidR="00282D5F">
        <w:t xml:space="preserve">The Commuting module collects data on </w:t>
      </w:r>
      <w:r w:rsidR="007B283E">
        <w:t xml:space="preserve">the householder’s journey to work, time and distance traveled, number of days worked per week, modes of transport, </w:t>
      </w:r>
      <w:r w:rsidR="00E52310">
        <w:t>and costs</w:t>
      </w:r>
      <w:r w:rsidR="007B283E">
        <w:t xml:space="preserve"> of commuting</w:t>
      </w:r>
      <w:r w:rsidR="00834983">
        <w:t xml:space="preserve"> during a typical work week.  </w:t>
      </w:r>
      <w:r w:rsidR="00694C92">
        <w:t xml:space="preserve">HUD added this module so it could </w:t>
      </w:r>
      <w:r w:rsidR="00E5050A">
        <w:t>develop</w:t>
      </w:r>
      <w:r w:rsidR="00694C92">
        <w:t xml:space="preserve"> better estimates of housing costs that include commuting costs.</w:t>
      </w:r>
      <w:r w:rsidRPr="0045692E">
        <w:t xml:space="preserve">  </w:t>
      </w:r>
    </w:p>
    <w:p w14:paraId="50B5F87D" w14:textId="69B75D42" w:rsidR="00E62D27" w:rsidRPr="00E62D27" w:rsidRDefault="00E62D27" w:rsidP="00A20F5F">
      <w:pPr>
        <w:pStyle w:val="ListParagraph"/>
        <w:numPr>
          <w:ilvl w:val="0"/>
          <w:numId w:val="11"/>
        </w:numPr>
        <w:spacing w:before="240"/>
        <w:contextualSpacing w:val="0"/>
      </w:pPr>
      <w:r w:rsidRPr="00E47511">
        <w:rPr>
          <w:u w:val="single"/>
        </w:rPr>
        <w:t>Eviction Module:</w:t>
      </w:r>
      <w:r w:rsidRPr="0045692E">
        <w:t xml:space="preserve">  </w:t>
      </w:r>
      <w:r w:rsidR="00834983">
        <w:t>The Eviction question</w:t>
      </w:r>
      <w:r w:rsidR="005714A8">
        <w:t>s</w:t>
      </w:r>
      <w:r w:rsidR="00834983">
        <w:t xml:space="preserve"> </w:t>
      </w:r>
      <w:r w:rsidR="00834983" w:rsidRPr="00834983">
        <w:t>expand on the reasons for movi</w:t>
      </w:r>
      <w:r w:rsidR="006F47D9">
        <w:t xml:space="preserve">ng, </w:t>
      </w:r>
      <w:r w:rsidR="00834983" w:rsidRPr="00834983">
        <w:t>which we already ask of respondents that have moved into the u</w:t>
      </w:r>
      <w:r w:rsidR="00A20F5F">
        <w:t xml:space="preserve">nit within the past two years.  The module collects data on the causes, process, and effects of eviction.  There are questions on </w:t>
      </w:r>
      <w:r w:rsidR="005457A6">
        <w:t>t</w:t>
      </w:r>
      <w:r w:rsidR="00E030BF">
        <w:t xml:space="preserve">he </w:t>
      </w:r>
      <w:r w:rsidR="00A20F5F">
        <w:t xml:space="preserve">types of warnings or notices received, </w:t>
      </w:r>
      <w:r w:rsidR="005457A6">
        <w:t xml:space="preserve">what </w:t>
      </w:r>
      <w:r w:rsidR="00111C3C">
        <w:t xml:space="preserve">led to the move, i.e., raised rent, property condemned, etc., </w:t>
      </w:r>
      <w:r w:rsidR="00A20F5F">
        <w:t xml:space="preserve">and </w:t>
      </w:r>
      <w:r w:rsidR="00111C3C">
        <w:t>whether children had to switch schools because of the move.</w:t>
      </w:r>
      <w:r w:rsidR="00E47511">
        <w:t xml:space="preserve"> </w:t>
      </w:r>
      <w:r w:rsidR="00834983" w:rsidRPr="00834983">
        <w:t xml:space="preserve">The content of these questions was taken from Matthew Desmond’s Milwaukee Area Renters Study (MARS).  Matthew Desmond, a sociologist out of Harvard University, has done extensive fieldwork on housing and poverty, targeting low-income renters. </w:t>
      </w:r>
      <w:r w:rsidR="00A20F5F">
        <w:t xml:space="preserve">The AHS eviction questions will be limited to respondents who moved from a place that was either rented or occupied without payment of rent. </w:t>
      </w:r>
      <w:r w:rsidR="00694C92">
        <w:t>HUD will use this information to produce national estimates of eviction – something that does not currently exist.</w:t>
      </w:r>
      <w:r w:rsidRPr="0045692E">
        <w:t xml:space="preserve">  </w:t>
      </w:r>
    </w:p>
    <w:p w14:paraId="526CEE4B" w14:textId="4D76FD3C" w:rsidR="00C16C29" w:rsidRDefault="00C16C29" w:rsidP="00917E74">
      <w:pPr>
        <w:pStyle w:val="ListParagraph"/>
        <w:numPr>
          <w:ilvl w:val="0"/>
          <w:numId w:val="11"/>
        </w:numPr>
        <w:spacing w:before="240"/>
        <w:contextualSpacing w:val="0"/>
      </w:pPr>
      <w:r w:rsidRPr="00341DBB">
        <w:rPr>
          <w:u w:val="single"/>
        </w:rPr>
        <w:t>Disaster Planning</w:t>
      </w:r>
      <w:r w:rsidR="00B351FE">
        <w:rPr>
          <w:u w:val="single"/>
        </w:rPr>
        <w:t xml:space="preserve"> Module</w:t>
      </w:r>
      <w:r w:rsidRPr="00341DBB">
        <w:rPr>
          <w:u w:val="single"/>
        </w:rPr>
        <w:t>:</w:t>
      </w:r>
      <w:r w:rsidRPr="00341DBB">
        <w:t xml:space="preserve">  </w:t>
      </w:r>
      <w:r>
        <w:t xml:space="preserve">The Disaster Planning module was </w:t>
      </w:r>
      <w:r w:rsidR="00917E74">
        <w:t xml:space="preserve">last </w:t>
      </w:r>
      <w:r w:rsidR="000D2551">
        <w:t xml:space="preserve">included in the </w:t>
      </w:r>
      <w:r w:rsidR="00E62D27">
        <w:t xml:space="preserve">2013 AHS.  The </w:t>
      </w:r>
      <w:r w:rsidR="000D2551">
        <w:t xml:space="preserve">module </w:t>
      </w:r>
      <w:r>
        <w:t xml:space="preserve">collects data on how prepared a household is for an emergency situation or disaster such as a fire, flood, or earthquake.  This module includes questions about whether the household has emergency supplies such as water, food, or a generator.  There are questions about whether a household would have the financial means to relocate during an evacuation, where they would stay, and whether they have enough reliable vehicles to carry all household members, pets, and supplies. </w:t>
      </w:r>
      <w:r w:rsidR="00917E74" w:rsidRPr="00917E74">
        <w:t>For specific geographic areas prone to tornado activity, the module asks whether there is a room or shelter designated to withstand a tornado.</w:t>
      </w:r>
    </w:p>
    <w:p w14:paraId="3BF109CD" w14:textId="77777777" w:rsidR="00C16C29" w:rsidRDefault="00C16C29" w:rsidP="00170186">
      <w:pPr>
        <w:pStyle w:val="ListParagraph"/>
        <w:spacing w:before="240"/>
        <w:ind w:left="1440"/>
        <w:contextualSpacing w:val="0"/>
      </w:pPr>
      <w:r w:rsidRPr="009E4522">
        <w:t xml:space="preserve">This </w:t>
      </w:r>
      <w:r w:rsidRPr="00A21D8C">
        <w:t>mo</w:t>
      </w:r>
      <w:r>
        <w:t xml:space="preserve">dule is closely related to HUD </w:t>
      </w:r>
      <w:proofErr w:type="spellStart"/>
      <w:r w:rsidRPr="009E4522">
        <w:t>Subgoal</w:t>
      </w:r>
      <w:proofErr w:type="spellEnd"/>
      <w:r w:rsidRPr="009E4522">
        <w:t xml:space="preserve"> 4D</w:t>
      </w:r>
      <w:r>
        <w:t>,</w:t>
      </w:r>
      <w:r w:rsidRPr="009E4522">
        <w:t xml:space="preserve"> </w:t>
      </w:r>
      <w:r>
        <w:t>“</w:t>
      </w:r>
      <w:r w:rsidRPr="009E4522">
        <w:t>Facilitate disaster preparedness, recovery, and resiliency.</w:t>
      </w:r>
      <w:r>
        <w:t xml:space="preserve">” </w:t>
      </w:r>
      <w:r w:rsidRPr="009E4522" w:rsidDel="009E4522">
        <w:t xml:space="preserve"> </w:t>
      </w:r>
      <w:r>
        <w:t>It provides HUD and local planners with information that connects household emergency plans with their housing, demographic, and income characteristics.</w:t>
      </w:r>
    </w:p>
    <w:p w14:paraId="06D7358B" w14:textId="6D2D410D" w:rsidR="003261D3" w:rsidRDefault="00C16C29" w:rsidP="00170186">
      <w:pPr>
        <w:pStyle w:val="ListParagraph"/>
        <w:spacing w:before="240"/>
        <w:ind w:left="1440"/>
        <w:contextualSpacing w:val="0"/>
      </w:pPr>
      <w:r>
        <w:t xml:space="preserve">HUD’s Office of Disaster Preparedness will be able to utilize the data to access disaster preparedness for HUD-assisted households.  HUD expects that the National Disaster Housing Task Force (NDHTF) members will use the data, as will the local </w:t>
      </w:r>
      <w:r>
        <w:lastRenderedPageBreak/>
        <w:t xml:space="preserve">planning agencies in the supplemental metropolitan areas.  Interest in this module was expressed by the Mid-America Regional Council, the South Florida Regional Planning Council, Reconnecting America, the City of </w:t>
      </w:r>
      <w:proofErr w:type="gramStart"/>
      <w:r>
        <w:t>Des</w:t>
      </w:r>
      <w:proofErr w:type="gramEnd"/>
      <w:r>
        <w:t xml:space="preserve"> Moines, the National Association of Home Builders, and the Jacob France Institute of the University of Baltimore.</w:t>
      </w:r>
      <w:r w:rsidR="00E90E99">
        <w:t xml:space="preserve"> </w:t>
      </w:r>
    </w:p>
    <w:p w14:paraId="1D9DA3B0" w14:textId="6106F13C" w:rsidR="00E62D27" w:rsidRDefault="00114C22" w:rsidP="00E62D27">
      <w:pPr>
        <w:pStyle w:val="ListParagraph"/>
        <w:numPr>
          <w:ilvl w:val="0"/>
          <w:numId w:val="11"/>
        </w:numPr>
        <w:spacing w:before="240"/>
        <w:contextualSpacing w:val="0"/>
      </w:pPr>
      <w:r>
        <w:rPr>
          <w:u w:val="single"/>
        </w:rPr>
        <w:t>Delinquent Payments and Notices</w:t>
      </w:r>
      <w:r w:rsidR="00B351FE">
        <w:rPr>
          <w:u w:val="single"/>
        </w:rPr>
        <w:t xml:space="preserve"> Module</w:t>
      </w:r>
      <w:r w:rsidR="00E62D27" w:rsidRPr="00341DBB">
        <w:rPr>
          <w:u w:val="single"/>
        </w:rPr>
        <w:t>:</w:t>
      </w:r>
      <w:r w:rsidR="00E62D27" w:rsidRPr="004F4C67">
        <w:t xml:space="preserve">  The </w:t>
      </w:r>
      <w:r w:rsidR="00E62D27" w:rsidRPr="00341DBB">
        <w:t>D</w:t>
      </w:r>
      <w:r w:rsidR="001E1348">
        <w:t>elinquent</w:t>
      </w:r>
      <w:r w:rsidR="00606211">
        <w:t xml:space="preserve"> Payments and Notices topical module is comprised of a subset of the questions </w:t>
      </w:r>
      <w:r w:rsidR="00917E74">
        <w:t>from</w:t>
      </w:r>
      <w:r w:rsidR="00606211">
        <w:t xml:space="preserve"> the 2013 AHS Doubled-Up Households module.  The </w:t>
      </w:r>
      <w:r w:rsidR="00613901">
        <w:t xml:space="preserve">original </w:t>
      </w:r>
      <w:r w:rsidR="00606211">
        <w:t xml:space="preserve">Doubled-Up Households module </w:t>
      </w:r>
      <w:r w:rsidR="00E62D27" w:rsidRPr="00341DBB">
        <w:t>was created as a rotating topical module that collect</w:t>
      </w:r>
      <w:r w:rsidR="00606211">
        <w:t>ed</w:t>
      </w:r>
      <w:r w:rsidR="00613901">
        <w:t xml:space="preserve"> data on </w:t>
      </w:r>
      <w:r w:rsidR="00E62D27" w:rsidRPr="00341DBB">
        <w:t>people who had to temporarily move in with other households in the last year</w:t>
      </w:r>
      <w:r w:rsidR="00613901">
        <w:t>; w</w:t>
      </w:r>
      <w:r w:rsidR="00E62D27" w:rsidRPr="00341DBB">
        <w:t>hy people left their previous homes to move in with other households</w:t>
      </w:r>
      <w:r w:rsidR="00613901">
        <w:t>;</w:t>
      </w:r>
      <w:r w:rsidR="00E62D27" w:rsidRPr="00341DBB">
        <w:t xml:space="preserve"> and</w:t>
      </w:r>
      <w:r w:rsidR="00613901">
        <w:t>,</w:t>
      </w:r>
      <w:r w:rsidR="00E62D27" w:rsidRPr="00341DBB">
        <w:t xml:space="preserve"> </w:t>
      </w:r>
      <w:r w:rsidR="00613901">
        <w:t xml:space="preserve">in </w:t>
      </w:r>
      <w:r w:rsidR="00E62D27" w:rsidRPr="00341DBB">
        <w:t>wh</w:t>
      </w:r>
      <w:r w:rsidR="00613901">
        <w:t>at is now the Delinquen</w:t>
      </w:r>
      <w:r w:rsidR="001E1348">
        <w:t>t</w:t>
      </w:r>
      <w:r w:rsidR="00613901">
        <w:t xml:space="preserve"> Payments and Notices module, wh</w:t>
      </w:r>
      <w:r w:rsidR="00E62D27" w:rsidRPr="00341DBB">
        <w:t xml:space="preserve">ether </w:t>
      </w:r>
      <w:r w:rsidR="00613901">
        <w:t xml:space="preserve">people had to move </w:t>
      </w:r>
      <w:r w:rsidR="00E62D27" w:rsidRPr="00341DBB">
        <w:t>due to lack of financial means or other support</w:t>
      </w:r>
      <w:r w:rsidR="00613901">
        <w:t xml:space="preserve"> and w</w:t>
      </w:r>
      <w:r w:rsidR="00E62D27" w:rsidRPr="00341DBB">
        <w:t xml:space="preserve">here </w:t>
      </w:r>
      <w:r w:rsidR="00613901">
        <w:t xml:space="preserve">they </w:t>
      </w:r>
      <w:r w:rsidR="00E62D27" w:rsidRPr="00341DBB">
        <w:t>would stay if they left the household.</w:t>
      </w:r>
    </w:p>
    <w:p w14:paraId="3F2F04BE" w14:textId="77777777" w:rsidR="00E62D27" w:rsidRDefault="00E62D27" w:rsidP="00170186">
      <w:pPr>
        <w:pStyle w:val="ListParagraph"/>
        <w:spacing w:before="240"/>
        <w:ind w:left="1440"/>
        <w:contextualSpacing w:val="0"/>
      </w:pPr>
      <w:r>
        <w:t xml:space="preserve">This module is related to HUD’s Strategic </w:t>
      </w:r>
      <w:r w:rsidRPr="00C623A5">
        <w:t>Goal 2</w:t>
      </w:r>
      <w:r>
        <w:t>,</w:t>
      </w:r>
      <w:r w:rsidRPr="00C623A5">
        <w:t xml:space="preserve"> </w:t>
      </w:r>
      <w:r>
        <w:t>“</w:t>
      </w:r>
      <w:r w:rsidRPr="00C623A5">
        <w:t>Meet the Need for Quality Affordable Rental Homes</w:t>
      </w:r>
      <w:r>
        <w:t xml:space="preserve">.”  In particular, </w:t>
      </w:r>
      <w:proofErr w:type="spellStart"/>
      <w:r>
        <w:t>Subgoal</w:t>
      </w:r>
      <w:proofErr w:type="spellEnd"/>
      <w:r>
        <w:t xml:space="preserve"> 2A is “End homelessness and substantially reduce the number of families and individuals</w:t>
      </w:r>
      <w:r w:rsidRPr="00C623A5">
        <w:t xml:space="preserve"> </w:t>
      </w:r>
      <w:r>
        <w:t>with severe housing needs.”  Doubling up is widely seen as a precursor to homelessness.</w:t>
      </w:r>
    </w:p>
    <w:p w14:paraId="31DCB0B5" w14:textId="79F73313" w:rsidR="00E62D27" w:rsidRPr="0045692E" w:rsidRDefault="00E62D27" w:rsidP="00170186">
      <w:pPr>
        <w:pStyle w:val="ListParagraph"/>
        <w:spacing w:before="240"/>
        <w:ind w:left="1440"/>
        <w:contextualSpacing w:val="0"/>
        <w:rPr>
          <w:rFonts w:eastAsia="Calibri"/>
        </w:rPr>
      </w:pPr>
      <w:r>
        <w:t>HUD expects The Department of Education to be interested in the data produced by this module.  Children in temporary doubled-up conditions are considered homeless for the purposes of education policy, and efforts are made to ensure that these children attend the same schools as their housing situation changes.  The United State Interagency Council on Homelessness and the National Alliance to End Homelessness Research Institute each has expressed strong interest in the findings from this module.</w:t>
      </w:r>
    </w:p>
    <w:p w14:paraId="7A7A1A0E" w14:textId="77777777" w:rsidR="006D15BF" w:rsidRDefault="006D15BF" w:rsidP="00114C22"/>
    <w:p w14:paraId="3946872B" w14:textId="77777777" w:rsidR="000B2AB7" w:rsidRDefault="000B2AB7" w:rsidP="002977DE">
      <w:pPr>
        <w:pStyle w:val="ListParagraph"/>
        <w:ind w:left="1413"/>
        <w:contextualSpacing w:val="0"/>
      </w:pPr>
      <w:r>
        <w:t>Information quality assessment is an integral part of the pre</w:t>
      </w:r>
      <w:r w:rsidR="00FF248A">
        <w:t>-</w:t>
      </w:r>
      <w:r>
        <w:t>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14:paraId="61BC4EAA" w14:textId="77777777" w:rsidR="00F03515" w:rsidRDefault="00F03515" w:rsidP="002977DE">
      <w:pPr>
        <w:ind w:left="1341"/>
      </w:pPr>
    </w:p>
    <w:p w14:paraId="1022CBFE" w14:textId="77777777" w:rsidR="000B2AB7" w:rsidRDefault="000B2AB7" w:rsidP="004F5950">
      <w:pPr>
        <w:pStyle w:val="Level1"/>
        <w:numPr>
          <w:ilvl w:val="0"/>
          <w:numId w:val="57"/>
        </w:numPr>
        <w:rPr>
          <w:rFonts w:ascii="Times New Roman" w:hAnsi="Times New Roman"/>
        </w:rPr>
      </w:pPr>
      <w:r>
        <w:rPr>
          <w:rFonts w:ascii="Times New Roman" w:hAnsi="Times New Roman"/>
          <w:b/>
          <w:bCs/>
        </w:rPr>
        <w:t>Use of Information Technology</w:t>
      </w:r>
    </w:p>
    <w:p w14:paraId="21F888E5" w14:textId="77777777" w:rsidR="000B2AB7" w:rsidRDefault="000B2AB7" w:rsidP="002977DE">
      <w:pPr>
        <w:ind w:left="333" w:firstLine="720"/>
      </w:pPr>
    </w:p>
    <w:p w14:paraId="56A886D1" w14:textId="77777777" w:rsidR="000B2AB7" w:rsidRDefault="000B2AB7" w:rsidP="004F5950">
      <w:pPr>
        <w:numPr>
          <w:ilvl w:val="0"/>
          <w:numId w:val="4"/>
        </w:numPr>
        <w:tabs>
          <w:tab w:val="clear" w:pos="1368"/>
        </w:tabs>
        <w:ind w:left="1080"/>
      </w:pPr>
      <w:r>
        <w:t>Data Collection</w:t>
      </w:r>
    </w:p>
    <w:p w14:paraId="1A48E0A9" w14:textId="77777777" w:rsidR="000B2AB7" w:rsidRDefault="000B2AB7" w:rsidP="004F5950">
      <w:pPr>
        <w:ind w:left="333"/>
      </w:pPr>
    </w:p>
    <w:p w14:paraId="78DF79F9" w14:textId="291F50BC" w:rsidR="000B2AB7" w:rsidRDefault="000B2AB7" w:rsidP="004F5950">
      <w:pPr>
        <w:pStyle w:val="BodyTextIndent2"/>
        <w:ind w:left="1080"/>
      </w:pPr>
      <w:r>
        <w:t xml:space="preserve">The U.S. Census Bureau began conducting all the AHS interviewing with computers with the 1997 AHS enumeration.  A Census Bureau FR conducts the interview </w:t>
      </w:r>
      <w:r w:rsidR="004C2428">
        <w:t>via a Blaise</w:t>
      </w:r>
      <w:r w:rsidR="00E84DAE">
        <w:t xml:space="preserve"> CAPI instrument</w:t>
      </w:r>
      <w:r>
        <w:t>.</w:t>
      </w:r>
      <w:r w:rsidR="00DF61CA">
        <w:t xml:space="preserve">  The same survey instrument is used for all interviews.  However, the instrument code includes skip patterns and makes use of dependent interviewing techniques</w:t>
      </w:r>
      <w:r>
        <w:t xml:space="preserve">, which means that a few questions will not have to be asked in future enumerations </w:t>
      </w:r>
      <w:r w:rsidR="00E84DAE">
        <w:t xml:space="preserve">to </w:t>
      </w:r>
      <w:r>
        <w:t>decrease respondent burden for households in sample.</w:t>
      </w:r>
    </w:p>
    <w:p w14:paraId="305749B5" w14:textId="77777777" w:rsidR="000B2AB7" w:rsidRDefault="000B2AB7" w:rsidP="00FA2FA2">
      <w:pPr>
        <w:tabs>
          <w:tab w:val="left" w:pos="432"/>
          <w:tab w:val="left" w:pos="720"/>
          <w:tab w:val="left" w:pos="864"/>
          <w:tab w:val="left" w:pos="1008"/>
          <w:tab w:val="left" w:pos="1296"/>
          <w:tab w:val="left" w:pos="1368"/>
          <w:tab w:val="left" w:pos="1728"/>
          <w:tab w:val="left" w:pos="2160"/>
        </w:tabs>
        <w:ind w:left="1710"/>
      </w:pPr>
    </w:p>
    <w:p w14:paraId="1FB36F29" w14:textId="70C6443C" w:rsidR="001F2A21" w:rsidRDefault="000B2AB7" w:rsidP="004F5950">
      <w:pPr>
        <w:pStyle w:val="BodyTextIndent2"/>
        <w:ind w:left="1080"/>
      </w:pPr>
      <w:r>
        <w:t xml:space="preserve">The AHS </w:t>
      </w:r>
      <w:r w:rsidR="001F2A21">
        <w:t xml:space="preserve">has </w:t>
      </w:r>
      <w:r>
        <w:t>not collect</w:t>
      </w:r>
      <w:r w:rsidR="001F2A21">
        <w:t>ed</w:t>
      </w:r>
      <w:r>
        <w:t xml:space="preserve"> data via the Internet or through the Electronic Data Interchange because of the significant investment in time and research needed to establish these types of electronic reporting in an ongoing survey.</w:t>
      </w:r>
      <w:r w:rsidR="001F2A21" w:rsidRPr="001F2A21">
        <w:t xml:space="preserve"> </w:t>
      </w:r>
      <w:r w:rsidR="001F2A21">
        <w:t>However, t</w:t>
      </w:r>
      <w:r w:rsidR="00765E64">
        <w:t>he Census Bureau</w:t>
      </w:r>
      <w:r w:rsidR="00F43B47">
        <w:t xml:space="preserve"> is </w:t>
      </w:r>
      <w:r w:rsidR="00FE056F">
        <w:t>planning</w:t>
      </w:r>
      <w:r w:rsidR="001F2A21">
        <w:t xml:space="preserve"> </w:t>
      </w:r>
      <w:r w:rsidR="004A31FA">
        <w:t>the use</w:t>
      </w:r>
      <w:r w:rsidR="001F2A21">
        <w:t xml:space="preserve"> of an Internet survey for the 201</w:t>
      </w:r>
      <w:r w:rsidR="003C6324">
        <w:t>9</w:t>
      </w:r>
      <w:r w:rsidR="001F2A21">
        <w:t xml:space="preserve"> AHS.</w:t>
      </w:r>
    </w:p>
    <w:p w14:paraId="41BC3988" w14:textId="77777777" w:rsidR="008E3FB0" w:rsidRDefault="008E3FB0" w:rsidP="00FA2FA2">
      <w:pPr>
        <w:pStyle w:val="BodyTextIndent2"/>
        <w:tabs>
          <w:tab w:val="left" w:pos="432"/>
          <w:tab w:val="left" w:pos="720"/>
          <w:tab w:val="left" w:pos="864"/>
          <w:tab w:val="left" w:pos="1008"/>
          <w:tab w:val="left" w:pos="1296"/>
          <w:tab w:val="left" w:pos="1368"/>
          <w:tab w:val="left" w:pos="1728"/>
          <w:tab w:val="left" w:pos="2160"/>
        </w:tabs>
        <w:ind w:left="1710"/>
      </w:pPr>
    </w:p>
    <w:p w14:paraId="6CF7F4BD" w14:textId="77777777" w:rsidR="000B2AB7" w:rsidRDefault="000B2AB7" w:rsidP="004F5950">
      <w:pPr>
        <w:numPr>
          <w:ilvl w:val="0"/>
          <w:numId w:val="4"/>
        </w:numPr>
        <w:tabs>
          <w:tab w:val="clear" w:pos="1368"/>
        </w:tabs>
        <w:ind w:left="1080"/>
      </w:pPr>
      <w:r>
        <w:t>Data Dissemination</w:t>
      </w:r>
    </w:p>
    <w:p w14:paraId="7F74EACC" w14:textId="77777777" w:rsidR="000B2AB7" w:rsidRDefault="000B2AB7" w:rsidP="002977DE">
      <w:pPr>
        <w:pStyle w:val="Header"/>
        <w:tabs>
          <w:tab w:val="clear" w:pos="4320"/>
          <w:tab w:val="clear" w:pos="8640"/>
          <w:tab w:val="left" w:pos="432"/>
          <w:tab w:val="left" w:pos="720"/>
          <w:tab w:val="left" w:pos="864"/>
          <w:tab w:val="left" w:pos="1008"/>
          <w:tab w:val="left" w:pos="1296"/>
          <w:tab w:val="left" w:pos="1368"/>
          <w:tab w:val="left" w:pos="1728"/>
          <w:tab w:val="left" w:pos="2160"/>
        </w:tabs>
        <w:ind w:left="333"/>
      </w:pPr>
    </w:p>
    <w:p w14:paraId="4DA10000" w14:textId="5E8B4802" w:rsidR="00096DCA" w:rsidRDefault="0063330A" w:rsidP="004F5950">
      <w:pPr>
        <w:pStyle w:val="BodyTextIndent2"/>
        <w:ind w:left="1080"/>
      </w:pPr>
      <w:r>
        <w:t xml:space="preserve">The Census Bureau </w:t>
      </w:r>
      <w:r w:rsidR="006F6FC8">
        <w:t xml:space="preserve">currently makes </w:t>
      </w:r>
      <w:r w:rsidR="000B7EDF">
        <w:t xml:space="preserve">summary </w:t>
      </w:r>
      <w:r w:rsidR="005C5370">
        <w:t xml:space="preserve">tables </w:t>
      </w:r>
      <w:r w:rsidR="00944E84">
        <w:t xml:space="preserve">and micro </w:t>
      </w:r>
      <w:r w:rsidR="006F6FC8">
        <w:t>data collected by</w:t>
      </w:r>
      <w:r w:rsidR="000B2AB7">
        <w:t xml:space="preserve"> the AHS available to the public on </w:t>
      </w:r>
      <w:r>
        <w:t xml:space="preserve">the new Census Bureau </w:t>
      </w:r>
      <w:r w:rsidR="000B2AB7">
        <w:t>Internet Web site</w:t>
      </w:r>
      <w:r w:rsidR="00BC496D">
        <w:t xml:space="preserve"> </w:t>
      </w:r>
      <w:r w:rsidR="005C5370">
        <w:t xml:space="preserve">developed in collaboration with HUD </w:t>
      </w:r>
      <w:r w:rsidR="00BC496D">
        <w:t>at:</w:t>
      </w:r>
      <w:r w:rsidRPr="0063330A">
        <w:t xml:space="preserve"> </w:t>
      </w:r>
      <w:hyperlink r:id="rId8" w:history="1">
        <w:r w:rsidRPr="00741E3D">
          <w:rPr>
            <w:rStyle w:val="Hyperlink"/>
          </w:rPr>
          <w:t>http://www.census.gov/programs-surveys/ahs</w:t>
        </w:r>
      </w:hyperlink>
    </w:p>
    <w:p w14:paraId="25579739" w14:textId="77777777" w:rsidR="00096DCA" w:rsidRDefault="00096DCA" w:rsidP="00096DCA">
      <w:pPr>
        <w:pStyle w:val="BodyTextIndent2"/>
        <w:tabs>
          <w:tab w:val="left" w:pos="432"/>
          <w:tab w:val="left" w:pos="720"/>
          <w:tab w:val="left" w:pos="864"/>
          <w:tab w:val="left" w:pos="1008"/>
          <w:tab w:val="left" w:pos="1296"/>
          <w:tab w:val="left" w:pos="1368"/>
          <w:tab w:val="left" w:pos="1728"/>
          <w:tab w:val="left" w:pos="2160"/>
        </w:tabs>
        <w:ind w:left="1701"/>
      </w:pPr>
    </w:p>
    <w:p w14:paraId="242107F2" w14:textId="5B8A9B78" w:rsidR="0077251A" w:rsidRDefault="00574072" w:rsidP="004F5950">
      <w:pPr>
        <w:pStyle w:val="BodyTextIndent2"/>
        <w:tabs>
          <w:tab w:val="left" w:pos="432"/>
          <w:tab w:val="left" w:pos="720"/>
          <w:tab w:val="left" w:pos="864"/>
          <w:tab w:val="left" w:pos="1008"/>
          <w:tab w:val="left" w:pos="1296"/>
          <w:tab w:val="left" w:pos="1368"/>
          <w:tab w:val="left" w:pos="1728"/>
          <w:tab w:val="left" w:pos="2160"/>
        </w:tabs>
      </w:pPr>
      <w:r>
        <w:t xml:space="preserve">The Census Bureau plans to make the </w:t>
      </w:r>
      <w:r w:rsidR="00A02D4D">
        <w:t>2017</w:t>
      </w:r>
      <w:r>
        <w:t xml:space="preserve"> AHS summary data available on</w:t>
      </w:r>
      <w:r w:rsidR="00450DB7">
        <w:t xml:space="preserve"> </w:t>
      </w:r>
      <w:r>
        <w:t xml:space="preserve">  </w:t>
      </w:r>
      <w:r w:rsidR="00450DB7">
        <w:t>via the newly</w:t>
      </w:r>
      <w:r w:rsidR="003C6324">
        <w:t xml:space="preserve"> developed </w:t>
      </w:r>
      <w:r w:rsidR="00450DB7">
        <w:t>AHS Table Creator Tool</w:t>
      </w:r>
      <w:r w:rsidR="00EF6C0F">
        <w:t xml:space="preserve"> </w:t>
      </w:r>
      <w:r w:rsidR="001C6468">
        <w:t>(</w:t>
      </w:r>
      <w:r w:rsidR="00365186" w:rsidRPr="00F743AD">
        <w:t>http://sasweb.ssd.census.gov/ahs/ahstablecreator.html</w:t>
      </w:r>
      <w:r w:rsidR="00365186">
        <w:t>)</w:t>
      </w:r>
      <w:r w:rsidR="00450DB7">
        <w:t xml:space="preserve">. </w:t>
      </w:r>
    </w:p>
    <w:p w14:paraId="223A9234" w14:textId="77777777" w:rsidR="008E3FB0" w:rsidRDefault="008E3FB0" w:rsidP="003C6324">
      <w:pPr>
        <w:pStyle w:val="BodyTextIndent2"/>
        <w:tabs>
          <w:tab w:val="left" w:pos="432"/>
          <w:tab w:val="left" w:pos="720"/>
          <w:tab w:val="left" w:pos="864"/>
          <w:tab w:val="left" w:pos="1008"/>
          <w:tab w:val="left" w:pos="1296"/>
          <w:tab w:val="left" w:pos="1368"/>
          <w:tab w:val="left" w:pos="1728"/>
          <w:tab w:val="left" w:pos="2160"/>
        </w:tabs>
      </w:pPr>
    </w:p>
    <w:p w14:paraId="7B6B4EB2" w14:textId="77777777" w:rsidR="006C0CE6" w:rsidRDefault="006C0CE6" w:rsidP="004F5950">
      <w:pPr>
        <w:pStyle w:val="BodyTextIndent2"/>
        <w:tabs>
          <w:tab w:val="left" w:pos="432"/>
          <w:tab w:val="left" w:pos="720"/>
          <w:tab w:val="left" w:pos="864"/>
          <w:tab w:val="left" w:pos="1008"/>
          <w:tab w:val="left" w:pos="1296"/>
          <w:tab w:val="left" w:pos="1368"/>
          <w:tab w:val="left" w:pos="1728"/>
          <w:tab w:val="left" w:pos="2160"/>
        </w:tabs>
      </w:pPr>
      <w:r>
        <w:t>T</w:t>
      </w:r>
      <w:r w:rsidRPr="006C0CE6">
        <w:t xml:space="preserve">he data being disseminated and released are not individually identifiable and will have been cleared for release/dissemination by the Census Bureau's Disclosure Review Board.  </w:t>
      </w:r>
    </w:p>
    <w:p w14:paraId="08AE0853" w14:textId="77777777" w:rsidR="00F03515" w:rsidRDefault="00450DB7" w:rsidP="002977DE">
      <w:pPr>
        <w:pStyle w:val="BodyTextIndent2"/>
        <w:tabs>
          <w:tab w:val="left" w:pos="432"/>
          <w:tab w:val="left" w:pos="720"/>
          <w:tab w:val="left" w:pos="864"/>
          <w:tab w:val="left" w:pos="1008"/>
          <w:tab w:val="left" w:pos="1296"/>
          <w:tab w:val="left" w:pos="1368"/>
          <w:tab w:val="left" w:pos="1728"/>
          <w:tab w:val="left" w:pos="2160"/>
        </w:tabs>
        <w:ind w:left="333"/>
      </w:pPr>
      <w:r>
        <w:t xml:space="preserve"> </w:t>
      </w:r>
    </w:p>
    <w:p w14:paraId="17820257" w14:textId="189735DE" w:rsidR="000B2AB7" w:rsidRDefault="000B2AB7" w:rsidP="004F5950">
      <w:pPr>
        <w:pStyle w:val="Level1"/>
        <w:numPr>
          <w:ilvl w:val="0"/>
          <w:numId w:val="57"/>
        </w:numPr>
        <w:rPr>
          <w:rFonts w:ascii="Times New Roman" w:hAnsi="Times New Roman"/>
        </w:rPr>
      </w:pPr>
      <w:r>
        <w:rPr>
          <w:rFonts w:ascii="Times New Roman" w:hAnsi="Times New Roman"/>
          <w:b/>
          <w:bCs/>
        </w:rPr>
        <w:t>Efforts to Identify Duplication</w:t>
      </w:r>
    </w:p>
    <w:p w14:paraId="71A08132" w14:textId="77777777" w:rsidR="000B2AB7" w:rsidRDefault="000B2AB7" w:rsidP="002977DE">
      <w:pPr>
        <w:ind w:left="333"/>
      </w:pPr>
    </w:p>
    <w:p w14:paraId="358940D8" w14:textId="74EBADA1" w:rsidR="00F02076" w:rsidRDefault="00F02076" w:rsidP="004F5950">
      <w:pPr>
        <w:pStyle w:val="Level1"/>
        <w:numPr>
          <w:ilvl w:val="1"/>
          <w:numId w:val="57"/>
        </w:numPr>
        <w:autoSpaceDE/>
        <w:autoSpaceDN/>
        <w:adjustRightInd/>
        <w:ind w:left="1080"/>
        <w:rPr>
          <w:rFonts w:ascii="Times New Roman" w:hAnsi="Times New Roman"/>
        </w:rPr>
      </w:pPr>
      <w:r>
        <w:rPr>
          <w:rFonts w:ascii="Times New Roman" w:hAnsi="Times New Roman"/>
        </w:rPr>
        <w:t>Duplication in the Core Modules</w:t>
      </w:r>
    </w:p>
    <w:p w14:paraId="6D8964AD" w14:textId="77777777" w:rsidR="00F02076" w:rsidRDefault="00F02076" w:rsidP="002977DE">
      <w:pPr>
        <w:pStyle w:val="Level1"/>
        <w:autoSpaceDE/>
        <w:autoSpaceDN/>
        <w:adjustRightInd/>
        <w:ind w:left="1773"/>
        <w:rPr>
          <w:rFonts w:ascii="Times New Roman" w:hAnsi="Times New Roman"/>
        </w:rPr>
      </w:pPr>
    </w:p>
    <w:p w14:paraId="4AE82241" w14:textId="440847B2" w:rsidR="000B2AB7" w:rsidRDefault="000B2AB7" w:rsidP="004F5950">
      <w:pPr>
        <w:pStyle w:val="Level1"/>
        <w:autoSpaceDE/>
        <w:autoSpaceDN/>
        <w:adjustRightInd/>
        <w:ind w:left="1080"/>
        <w:rPr>
          <w:rFonts w:ascii="Times New Roman" w:hAnsi="Times New Roman"/>
        </w:rPr>
      </w:pPr>
      <w:r>
        <w:rPr>
          <w:rFonts w:ascii="Times New Roman" w:hAnsi="Times New Roman"/>
        </w:rPr>
        <w:t>HUD consulted with other government agencies and determined that the AHS is the only</w:t>
      </w:r>
      <w:r w:rsidR="004F5950">
        <w:rPr>
          <w:rFonts w:ascii="Times New Roman" w:hAnsi="Times New Roman"/>
        </w:rPr>
        <w:t xml:space="preserve"> </w:t>
      </w:r>
      <w:r>
        <w:rPr>
          <w:rFonts w:ascii="Times New Roman" w:hAnsi="Times New Roman"/>
        </w:rPr>
        <w:t xml:space="preserve">data source with </w:t>
      </w:r>
      <w:r w:rsidR="00717CA3">
        <w:rPr>
          <w:rFonts w:ascii="Times New Roman" w:hAnsi="Times New Roman"/>
        </w:rPr>
        <w:t>both</w:t>
      </w:r>
      <w:r>
        <w:rPr>
          <w:rFonts w:ascii="Times New Roman" w:hAnsi="Times New Roman"/>
        </w:rPr>
        <w:t xml:space="preserve"> detailed information on the physical condition of the housing inventory and of rents of housing units.  Although housing data are collected as part of the American Community Survey (ACS) (Census Bureau), Consumer Expenditure Survey (CES) (Bureau of Labor Statistics), and the Residential Energy Consumption Survey (RECS) (Department of Energy), these surveys provide neither the longitudinal data over a period of years </w:t>
      </w:r>
      <w:r w:rsidR="00E5505E">
        <w:rPr>
          <w:rFonts w:ascii="Times New Roman" w:hAnsi="Times New Roman"/>
        </w:rPr>
        <w:t>or</w:t>
      </w:r>
      <w:r>
        <w:rPr>
          <w:rFonts w:ascii="Times New Roman" w:hAnsi="Times New Roman"/>
        </w:rPr>
        <w:t xml:space="preserve"> the detailed information available from the AHS.  The CES collects housing cost data but does not collect detailed information on vacant units.  The RECS does not collect mortgage or detailed housing cost data.  Neither the ACS nor the RECS have detailed information on the physical condition of housing units or information on vacant units.  Thus, these datasets could not serve as substitutes for the measures produced by the AHS that detail worst case housing needs.</w:t>
      </w:r>
    </w:p>
    <w:p w14:paraId="2518635E" w14:textId="77777777" w:rsidR="004F5950" w:rsidRDefault="004F5950" w:rsidP="004F5950">
      <w:pPr>
        <w:pStyle w:val="Level1"/>
        <w:autoSpaceDE/>
        <w:autoSpaceDN/>
        <w:adjustRightInd/>
        <w:ind w:left="0"/>
        <w:rPr>
          <w:rFonts w:ascii="Times New Roman" w:hAnsi="Times New Roman"/>
        </w:rPr>
      </w:pPr>
    </w:p>
    <w:p w14:paraId="31C76DF6" w14:textId="77777777" w:rsidR="00A0470B" w:rsidRDefault="000B2AB7" w:rsidP="00A0470B">
      <w:pPr>
        <w:pStyle w:val="Level1"/>
        <w:autoSpaceDE/>
        <w:autoSpaceDN/>
        <w:adjustRightInd/>
        <w:ind w:left="1080"/>
        <w:rPr>
          <w:rFonts w:ascii="Times New Roman" w:hAnsi="Times New Roman"/>
        </w:rPr>
      </w:pPr>
      <w:r>
        <w:rPr>
          <w:rFonts w:ascii="Times New Roman" w:hAnsi="Times New Roman"/>
        </w:rPr>
        <w:t xml:space="preserve">The purposes of the AHS and the other surveys cited above also differ according to the agency’s goals and objectives.  Certainly the HUD surveys involve personal/household behavior with respect to housing and community development issues.  But human behavior in general is conditional on fundamental familial, demographic, housing, and economic variables.  As a general rule, HUD is not interested in the levels of individual variables, but in the relationships among variables.  Therefore, they must observe the values of the variables for the same individuals in the same sample to capture covariance structure.  (All multivariate statistical procedures rely on the covariance structure.)  The </w:t>
      </w:r>
      <w:r>
        <w:rPr>
          <w:rFonts w:ascii="Times New Roman" w:hAnsi="Times New Roman"/>
        </w:rPr>
        <w:lastRenderedPageBreak/>
        <w:t xml:space="preserve">AHS asks about the same fundamental variables but goes further and asks numerous detailed questions about other aspects of housing consumption, finance, </w:t>
      </w:r>
      <w:r w:rsidR="003E5A34">
        <w:rPr>
          <w:rFonts w:ascii="Times New Roman" w:hAnsi="Times New Roman"/>
        </w:rPr>
        <w:t xml:space="preserve">and </w:t>
      </w:r>
      <w:r>
        <w:rPr>
          <w:rFonts w:ascii="Times New Roman" w:hAnsi="Times New Roman"/>
        </w:rPr>
        <w:t xml:space="preserve">moving.  In order to understand human behavior and detailed housing information, HUD needs to know how the fundamental housing variables </w:t>
      </w:r>
      <w:r w:rsidR="007B3C15">
        <w:rPr>
          <w:rFonts w:ascii="Times New Roman" w:hAnsi="Times New Roman"/>
        </w:rPr>
        <w:t xml:space="preserve">affect </w:t>
      </w:r>
      <w:r>
        <w:rPr>
          <w:rFonts w:ascii="Times New Roman" w:hAnsi="Times New Roman"/>
        </w:rPr>
        <w:t xml:space="preserve">or are related to the more detailed housing variables. It would make no sense to collect detailed information about housing cost burdens and mortgage financing if we had no idea about fundamental housing attributes such as size, value, or rent of the housing unit. </w:t>
      </w:r>
    </w:p>
    <w:p w14:paraId="1257BF6C" w14:textId="77777777" w:rsidR="00A0470B" w:rsidRDefault="00A0470B" w:rsidP="00A0470B">
      <w:pPr>
        <w:pStyle w:val="Level1"/>
        <w:autoSpaceDE/>
        <w:autoSpaceDN/>
        <w:adjustRightInd/>
        <w:ind w:left="1080"/>
        <w:rPr>
          <w:rFonts w:ascii="Times New Roman" w:hAnsi="Times New Roman"/>
        </w:rPr>
      </w:pPr>
    </w:p>
    <w:p w14:paraId="7603E0A7" w14:textId="2905682C" w:rsidR="000B7EDF" w:rsidRDefault="00A0470B" w:rsidP="00A0470B">
      <w:pPr>
        <w:pStyle w:val="Level1"/>
        <w:numPr>
          <w:ilvl w:val="1"/>
          <w:numId w:val="57"/>
        </w:numPr>
        <w:autoSpaceDE/>
        <w:autoSpaceDN/>
        <w:adjustRightInd/>
        <w:ind w:left="1080"/>
        <w:jc w:val="both"/>
        <w:rPr>
          <w:rFonts w:ascii="Times New Roman" w:hAnsi="Times New Roman"/>
        </w:rPr>
      </w:pPr>
      <w:r>
        <w:rPr>
          <w:rFonts w:ascii="Times New Roman" w:hAnsi="Times New Roman"/>
        </w:rPr>
        <w:t xml:space="preserve"> </w:t>
      </w:r>
      <w:r w:rsidR="000B7EDF">
        <w:rPr>
          <w:rFonts w:ascii="Times New Roman" w:hAnsi="Times New Roman"/>
        </w:rPr>
        <w:t>Duplication in the Rotating Topical Modules</w:t>
      </w:r>
    </w:p>
    <w:p w14:paraId="0DCE4F7F" w14:textId="77777777" w:rsidR="000B7EDF" w:rsidRDefault="000B7EDF" w:rsidP="002977DE">
      <w:pPr>
        <w:pStyle w:val="Level1"/>
        <w:autoSpaceDE/>
        <w:autoSpaceDN/>
        <w:adjustRightInd/>
        <w:ind w:left="1773"/>
        <w:rPr>
          <w:rFonts w:ascii="Times New Roman" w:hAnsi="Times New Roman"/>
        </w:rPr>
      </w:pPr>
    </w:p>
    <w:p w14:paraId="3ECC731C" w14:textId="77777777" w:rsidR="00DF1423" w:rsidRDefault="00DF1423" w:rsidP="00A0470B">
      <w:pPr>
        <w:pStyle w:val="Level1"/>
        <w:autoSpaceDE/>
        <w:autoSpaceDN/>
        <w:adjustRightInd/>
        <w:ind w:left="1080"/>
        <w:rPr>
          <w:rFonts w:ascii="Times New Roman" w:hAnsi="Times New Roman"/>
        </w:rPr>
      </w:pPr>
      <w:r>
        <w:rPr>
          <w:rFonts w:ascii="Times New Roman" w:hAnsi="Times New Roman"/>
        </w:rPr>
        <w:t>HUD undertook considerable effort to determine if the rotating topical modules would be duplicative of existing surveys.  HUD’s conclusions are below</w:t>
      </w:r>
      <w:r w:rsidR="00D50C61">
        <w:rPr>
          <w:rFonts w:ascii="Times New Roman" w:hAnsi="Times New Roman"/>
        </w:rPr>
        <w:t>:</w:t>
      </w:r>
    </w:p>
    <w:p w14:paraId="4468C6F3" w14:textId="77777777" w:rsidR="00741E3D" w:rsidRDefault="00741E3D" w:rsidP="002977DE">
      <w:pPr>
        <w:pStyle w:val="Level1"/>
        <w:autoSpaceDE/>
        <w:autoSpaceDN/>
        <w:adjustRightInd/>
        <w:ind w:left="1773"/>
        <w:rPr>
          <w:rFonts w:ascii="Times New Roman" w:hAnsi="Times New Roman"/>
        </w:rPr>
      </w:pPr>
    </w:p>
    <w:p w14:paraId="02A52096" w14:textId="650D868A" w:rsidR="00384A36" w:rsidRDefault="00B351FE" w:rsidP="00A0470B">
      <w:pPr>
        <w:pStyle w:val="ListParagraph"/>
        <w:numPr>
          <w:ilvl w:val="0"/>
          <w:numId w:val="34"/>
        </w:numPr>
        <w:ind w:left="1260" w:hanging="270"/>
      </w:pPr>
      <w:r>
        <w:rPr>
          <w:u w:val="single"/>
        </w:rPr>
        <w:t>Commuting Module</w:t>
      </w:r>
      <w:r w:rsidRPr="00297577">
        <w:rPr>
          <w:u w:val="single"/>
        </w:rPr>
        <w:t>:</w:t>
      </w:r>
      <w:r w:rsidR="00CD3EFF" w:rsidRPr="00297577">
        <w:t xml:space="preserve">  </w:t>
      </w:r>
      <w:r w:rsidR="00297577">
        <w:t xml:space="preserve"> </w:t>
      </w:r>
      <w:r w:rsidR="00694C92">
        <w:t xml:space="preserve">The Consumer Expenditure Survey (CE) does include questions about both housing costs and commuting costs.  The CE could be used to make similar estimates.  However, the AHS estimates can be tied to housing conditions, something not currently achievable with the CE. </w:t>
      </w:r>
    </w:p>
    <w:p w14:paraId="13DFD8D6" w14:textId="77777777" w:rsidR="00741E3D" w:rsidRDefault="00741E3D" w:rsidP="00A0470B">
      <w:pPr>
        <w:pStyle w:val="ListParagraph"/>
        <w:ind w:left="1260"/>
      </w:pPr>
    </w:p>
    <w:p w14:paraId="0D8E4205" w14:textId="2068C55A" w:rsidR="00D50C61" w:rsidRDefault="00B351FE" w:rsidP="00A0470B">
      <w:pPr>
        <w:pStyle w:val="ListParagraph"/>
        <w:numPr>
          <w:ilvl w:val="0"/>
          <w:numId w:val="34"/>
        </w:numPr>
        <w:ind w:left="1260" w:hanging="270"/>
      </w:pPr>
      <w:r>
        <w:rPr>
          <w:u w:val="single"/>
        </w:rPr>
        <w:t>Eviction Module</w:t>
      </w:r>
      <w:r w:rsidR="00741E3D" w:rsidRPr="00297577">
        <w:rPr>
          <w:u w:val="single"/>
        </w:rPr>
        <w:t>:</w:t>
      </w:r>
      <w:r w:rsidR="00CD3EFF">
        <w:t xml:space="preserve">  </w:t>
      </w:r>
      <w:r w:rsidR="00694C92">
        <w:t>No other federal survey includes these questions or similar questions.</w:t>
      </w:r>
    </w:p>
    <w:p w14:paraId="25876DBE" w14:textId="77777777" w:rsidR="00D50C61" w:rsidRPr="00297577" w:rsidRDefault="00D50C61" w:rsidP="00A0470B">
      <w:pPr>
        <w:pStyle w:val="ListParagraph"/>
        <w:ind w:left="1260"/>
      </w:pPr>
    </w:p>
    <w:p w14:paraId="5789E724" w14:textId="5DDFA1C6" w:rsidR="00384A36" w:rsidRPr="00D50C61" w:rsidRDefault="00B351FE" w:rsidP="00A0470B">
      <w:pPr>
        <w:pStyle w:val="ListParagraph"/>
        <w:numPr>
          <w:ilvl w:val="0"/>
          <w:numId w:val="34"/>
        </w:numPr>
        <w:ind w:left="1260" w:hanging="270"/>
      </w:pPr>
      <w:r w:rsidRPr="00341DBB">
        <w:rPr>
          <w:u w:val="single"/>
        </w:rPr>
        <w:t>Disaster Planning</w:t>
      </w:r>
      <w:r>
        <w:rPr>
          <w:u w:val="single"/>
        </w:rPr>
        <w:t xml:space="preserve"> Module</w:t>
      </w:r>
      <w:r w:rsidR="00741E3D" w:rsidRPr="00297577">
        <w:rPr>
          <w:u w:val="single"/>
        </w:rPr>
        <w:t>:</w:t>
      </w:r>
      <w:r w:rsidR="00CD3EFF">
        <w:t xml:space="preserve">  </w:t>
      </w:r>
      <w:r w:rsidR="007342C7">
        <w:t xml:space="preserve">Much of the content is based on the FEMA guidelines for disaster preparedness, </w:t>
      </w:r>
      <w:hyperlink r:id="rId9" w:history="1">
        <w:r w:rsidR="007342C7" w:rsidRPr="00D15B82">
          <w:rPr>
            <w:rStyle w:val="Hyperlink"/>
          </w:rPr>
          <w:t>http://www.fema.gov/plan-prepare-mitigate</w:t>
        </w:r>
      </w:hyperlink>
      <w:r w:rsidR="007342C7">
        <w:t xml:space="preserve">.  While the content of the Disaster Planning modules is very similar to FEMA guidelines and other disaster preparedness surveys, </w:t>
      </w:r>
      <w:r w:rsidR="008A6187">
        <w:t>FEMA and other entities administer their surveys at the local level (e.g., cities, counties). T</w:t>
      </w:r>
      <w:r w:rsidR="007342C7">
        <w:t xml:space="preserve">o the best of HUD’s knowledge, </w:t>
      </w:r>
      <w:r w:rsidR="008A6187">
        <w:t xml:space="preserve">there is no national-level survey on Disaster Planning. </w:t>
      </w:r>
      <w:r w:rsidR="007342C7">
        <w:t xml:space="preserve">Therefore, while there is duplication in </w:t>
      </w:r>
      <w:r w:rsidR="008A6187">
        <w:t xml:space="preserve">some </w:t>
      </w:r>
      <w:r w:rsidR="007342C7">
        <w:t xml:space="preserve">content, the AHS </w:t>
      </w:r>
      <w:r w:rsidR="008A6187">
        <w:t xml:space="preserve">truly is a unique data source for Disaster Planning data because it </w:t>
      </w:r>
      <w:r w:rsidR="00265D47">
        <w:t xml:space="preserve">provides </w:t>
      </w:r>
      <w:r w:rsidR="007342C7">
        <w:t xml:space="preserve">a </w:t>
      </w:r>
      <w:r w:rsidR="008A6187">
        <w:t xml:space="preserve">national-level data. With national-level data, comparisons can be made between various geographic areas and </w:t>
      </w:r>
      <w:r w:rsidR="007342C7">
        <w:t>socioeconomic groups of interest to HUD.</w:t>
      </w:r>
      <w:r w:rsidR="00D50C61">
        <w:t xml:space="preserve"> </w:t>
      </w:r>
    </w:p>
    <w:p w14:paraId="6075371A" w14:textId="77777777" w:rsidR="00741E3D" w:rsidRDefault="00741E3D" w:rsidP="00A0470B">
      <w:pPr>
        <w:pStyle w:val="ListParagraph"/>
        <w:ind w:left="1260"/>
      </w:pPr>
    </w:p>
    <w:p w14:paraId="0F610D3C" w14:textId="3058ACE3" w:rsidR="007342C7" w:rsidRDefault="00B351FE" w:rsidP="00A0470B">
      <w:pPr>
        <w:pStyle w:val="ListParagraph"/>
        <w:numPr>
          <w:ilvl w:val="0"/>
          <w:numId w:val="34"/>
        </w:numPr>
        <w:spacing w:before="240"/>
        <w:ind w:left="1260" w:hanging="270"/>
      </w:pPr>
      <w:r>
        <w:rPr>
          <w:u w:val="single"/>
        </w:rPr>
        <w:t>Delinquent Payments and Notices Module</w:t>
      </w:r>
      <w:r w:rsidR="00741E3D" w:rsidRPr="00297577">
        <w:rPr>
          <w:u w:val="single"/>
        </w:rPr>
        <w:t>:</w:t>
      </w:r>
      <w:r w:rsidR="00741E3D" w:rsidRPr="00741E3D">
        <w:t xml:space="preserve"> </w:t>
      </w:r>
      <w:r w:rsidR="007342C7">
        <w:t>The most current research report to make an attempt to estimate the population of doubled-up households is:</w:t>
      </w:r>
    </w:p>
    <w:p w14:paraId="19456E9F" w14:textId="77777777" w:rsidR="007342C7" w:rsidRDefault="007342C7" w:rsidP="00A0470B">
      <w:pPr>
        <w:pStyle w:val="ListParagraph"/>
        <w:ind w:left="270" w:hanging="270"/>
      </w:pPr>
    </w:p>
    <w:p w14:paraId="17B1899A" w14:textId="77777777" w:rsidR="007342C7" w:rsidRDefault="007342C7" w:rsidP="00A0470B">
      <w:pPr>
        <w:pStyle w:val="ListParagraph"/>
        <w:spacing w:before="240"/>
        <w:ind w:left="1260"/>
      </w:pPr>
      <w:proofErr w:type="spellStart"/>
      <w:r>
        <w:t>Mykyta</w:t>
      </w:r>
      <w:proofErr w:type="spellEnd"/>
      <w:r>
        <w:t xml:space="preserve">, </w:t>
      </w:r>
      <w:proofErr w:type="spellStart"/>
      <w:r>
        <w:t>Laryssa</w:t>
      </w:r>
      <w:proofErr w:type="spellEnd"/>
      <w:r>
        <w:t xml:space="preserve"> and </w:t>
      </w:r>
      <w:proofErr w:type="spellStart"/>
      <w:r>
        <w:t>Macartney</w:t>
      </w:r>
      <w:proofErr w:type="spellEnd"/>
      <w:r>
        <w:t xml:space="preserve">, Suzanne. June 2012. Sharing a Household: Household Composition and Economic Well-Being: 2007-2010. </w:t>
      </w:r>
      <w:r w:rsidRPr="00AB5598">
        <w:rPr>
          <w:i/>
        </w:rPr>
        <w:t>Current Population Report</w:t>
      </w:r>
      <w:r>
        <w:t xml:space="preserve"> U.S. Census Bureau. Accessed July 7, 2012 at </w:t>
      </w:r>
      <w:hyperlink r:id="rId10" w:history="1">
        <w:r w:rsidRPr="0082007B">
          <w:rPr>
            <w:rStyle w:val="Hyperlink"/>
          </w:rPr>
          <w:t>http://www.census.gov/prod/2012pubs/p60-242.pdf</w:t>
        </w:r>
      </w:hyperlink>
    </w:p>
    <w:p w14:paraId="10F8A97F" w14:textId="77777777" w:rsidR="007342C7" w:rsidRDefault="007342C7" w:rsidP="00A0470B">
      <w:pPr>
        <w:pStyle w:val="ListParagraph"/>
        <w:spacing w:before="240"/>
        <w:ind w:left="1260" w:hanging="270"/>
      </w:pPr>
    </w:p>
    <w:p w14:paraId="0BCFD749" w14:textId="232E7DE8" w:rsidR="001E2D41" w:rsidRDefault="007342C7" w:rsidP="00A0470B">
      <w:pPr>
        <w:pStyle w:val="ListParagraph"/>
        <w:spacing w:before="240"/>
        <w:ind w:left="1260"/>
      </w:pPr>
      <w:r>
        <w:t>The aforementioned report used data from the Survey of Income and Program Participation (SIPP).  HUD PD&amp;R feels that the SIPP-based analysis has shortcomings that make it difficult to accurately measure the doubled-up household population.  First, SIPP does not</w:t>
      </w:r>
      <w:r w:rsidRPr="004F2B1E">
        <w:t xml:space="preserve"> address the issue of risk of housing loss</w:t>
      </w:r>
      <w:r>
        <w:t xml:space="preserve">.  </w:t>
      </w:r>
      <w:r w:rsidRPr="004F2B1E">
        <w:t xml:space="preserve">They focus instead on doubled-up households at the time of the interviews and shifts over different interview </w:t>
      </w:r>
      <w:r w:rsidRPr="004F2B1E">
        <w:lastRenderedPageBreak/>
        <w:t xml:space="preserve">waves rather than on housing loss and out-movers.  </w:t>
      </w:r>
      <w:r>
        <w:t xml:space="preserve">Second, SIPP questions do not directly allow for an assessment of “economic” doubled-up households, which is of the most interest to HUD.  Instead, SIPP permits analysis of </w:t>
      </w:r>
      <w:r w:rsidRPr="004F2B1E">
        <w:t>the presence of “additional adults,” describing their basic demographic characteristics and shifts in numbers over time, plus changes in overall household economic well-being and eligibility for means-tested public benefits given a change in household composition.</w:t>
      </w:r>
    </w:p>
    <w:p w14:paraId="4C4F2857" w14:textId="77777777" w:rsidR="004F5950" w:rsidRDefault="004F5950" w:rsidP="004F5950">
      <w:pPr>
        <w:pStyle w:val="Level1"/>
        <w:ind w:left="0"/>
        <w:rPr>
          <w:rFonts w:ascii="Times New Roman" w:hAnsi="Times New Roman"/>
        </w:rPr>
      </w:pPr>
    </w:p>
    <w:p w14:paraId="165EC8E1" w14:textId="5655B272" w:rsidR="000B2AB7" w:rsidRDefault="000B2AB7" w:rsidP="004F5950">
      <w:pPr>
        <w:pStyle w:val="Level1"/>
        <w:numPr>
          <w:ilvl w:val="0"/>
          <w:numId w:val="57"/>
        </w:numPr>
        <w:rPr>
          <w:rFonts w:ascii="Times New Roman" w:hAnsi="Times New Roman"/>
        </w:rPr>
      </w:pPr>
      <w:r>
        <w:rPr>
          <w:rFonts w:ascii="Times New Roman" w:hAnsi="Times New Roman"/>
          <w:b/>
          <w:bCs/>
        </w:rPr>
        <w:t>Minimizing Burden</w:t>
      </w:r>
    </w:p>
    <w:p w14:paraId="4D4D257F" w14:textId="77777777" w:rsidR="000B2AB7" w:rsidRDefault="000B2AB7" w:rsidP="002977DE">
      <w:pPr>
        <w:ind w:left="333"/>
      </w:pPr>
    </w:p>
    <w:p w14:paraId="23A45719" w14:textId="4278DB08" w:rsidR="000B2AB7" w:rsidRDefault="000B2AB7" w:rsidP="004F5950">
      <w:pPr>
        <w:pStyle w:val="Level1"/>
        <w:autoSpaceDE/>
        <w:autoSpaceDN/>
        <w:adjustRightInd/>
        <w:rPr>
          <w:rFonts w:ascii="Times New Roman" w:hAnsi="Times New Roman"/>
        </w:rPr>
      </w:pPr>
      <w:r>
        <w:rPr>
          <w:rFonts w:ascii="Times New Roman" w:hAnsi="Times New Roman"/>
        </w:rPr>
        <w:t xml:space="preserve">We have designed the AHS questions to obtain the required information, while keeping respondent burden to a minimum.  </w:t>
      </w:r>
      <w:r w:rsidR="00455739">
        <w:rPr>
          <w:rFonts w:ascii="Times New Roman" w:hAnsi="Times New Roman"/>
        </w:rPr>
        <w:t xml:space="preserve">The data are collected only from individual households, not small businesses or other small entities.  </w:t>
      </w:r>
      <w:r w:rsidR="004420BD">
        <w:rPr>
          <w:rFonts w:ascii="Times New Roman" w:hAnsi="Times New Roman"/>
        </w:rPr>
        <w:t xml:space="preserve">For unoccupied units, data are collected from a </w:t>
      </w:r>
      <w:r w:rsidR="00717CA3">
        <w:rPr>
          <w:rFonts w:ascii="Times New Roman" w:hAnsi="Times New Roman"/>
        </w:rPr>
        <w:t>“</w:t>
      </w:r>
      <w:r w:rsidR="004420BD">
        <w:rPr>
          <w:rFonts w:ascii="Times New Roman" w:hAnsi="Times New Roman"/>
        </w:rPr>
        <w:t>knowledgeable respondent,</w:t>
      </w:r>
      <w:r w:rsidR="00717CA3">
        <w:rPr>
          <w:rFonts w:ascii="Times New Roman" w:hAnsi="Times New Roman"/>
        </w:rPr>
        <w:t>”</w:t>
      </w:r>
      <w:r w:rsidR="004420BD">
        <w:rPr>
          <w:rFonts w:ascii="Times New Roman" w:hAnsi="Times New Roman"/>
        </w:rPr>
        <w:t xml:space="preserve"> who could be a landlord, </w:t>
      </w:r>
      <w:r w:rsidR="00717CA3">
        <w:rPr>
          <w:rFonts w:ascii="Times New Roman" w:hAnsi="Times New Roman"/>
        </w:rPr>
        <w:t xml:space="preserve">property manager, </w:t>
      </w:r>
      <w:r w:rsidR="004420BD">
        <w:rPr>
          <w:rFonts w:ascii="Times New Roman" w:hAnsi="Times New Roman"/>
        </w:rPr>
        <w:t>rental agent, real estate agent, or</w:t>
      </w:r>
      <w:r w:rsidR="00717CA3">
        <w:rPr>
          <w:rFonts w:ascii="Times New Roman" w:hAnsi="Times New Roman"/>
        </w:rPr>
        <w:t xml:space="preserve"> neighbor</w:t>
      </w:r>
      <w:r w:rsidR="004420BD">
        <w:rPr>
          <w:rFonts w:ascii="Times New Roman" w:hAnsi="Times New Roman"/>
        </w:rPr>
        <w:t>.</w:t>
      </w:r>
      <w:r w:rsidR="00455739">
        <w:rPr>
          <w:rFonts w:ascii="Times New Roman" w:hAnsi="Times New Roman"/>
        </w:rPr>
        <w:t xml:space="preserve">  </w:t>
      </w:r>
    </w:p>
    <w:p w14:paraId="293E9B83" w14:textId="77777777" w:rsidR="004F5950" w:rsidRDefault="004F5950" w:rsidP="004F5950">
      <w:pPr>
        <w:pStyle w:val="Level1"/>
        <w:ind w:left="0"/>
        <w:rPr>
          <w:rFonts w:ascii="Times New Roman" w:hAnsi="Times New Roman"/>
        </w:rPr>
      </w:pPr>
    </w:p>
    <w:p w14:paraId="1EC30527" w14:textId="778550D8" w:rsidR="000B2AB7" w:rsidRDefault="000B2AB7" w:rsidP="004F5950">
      <w:pPr>
        <w:pStyle w:val="Level1"/>
        <w:numPr>
          <w:ilvl w:val="0"/>
          <w:numId w:val="57"/>
        </w:numPr>
        <w:rPr>
          <w:rFonts w:ascii="Times New Roman" w:hAnsi="Times New Roman"/>
        </w:rPr>
      </w:pPr>
      <w:r>
        <w:rPr>
          <w:rFonts w:ascii="Times New Roman" w:hAnsi="Times New Roman"/>
          <w:b/>
          <w:bCs/>
        </w:rPr>
        <w:t>Consequences of Less Frequent Collection</w:t>
      </w:r>
    </w:p>
    <w:p w14:paraId="546EEF4A" w14:textId="77777777" w:rsidR="004F5950" w:rsidRDefault="004F5950" w:rsidP="004F5950">
      <w:pPr>
        <w:pStyle w:val="BodyTextIndent3"/>
        <w:numPr>
          <w:ilvl w:val="0"/>
          <w:numId w:val="0"/>
        </w:numPr>
      </w:pPr>
    </w:p>
    <w:p w14:paraId="0FACE819" w14:textId="2BFE4377" w:rsidR="000B2AB7" w:rsidRDefault="000B2AB7" w:rsidP="004F5950">
      <w:pPr>
        <w:pStyle w:val="BodyTextIndent3"/>
        <w:numPr>
          <w:ilvl w:val="0"/>
          <w:numId w:val="0"/>
        </w:numPr>
        <w:ind w:left="720"/>
      </w:pPr>
      <w:r>
        <w:t xml:space="preserve">As a longitudinal survey, we interview our samples periodically to provide intermittent readings between decennial censuses.  The length of time between interviews is two years on the AHS.  Less frequent enumerations </w:t>
      </w:r>
      <w:r w:rsidR="00A63971">
        <w:t xml:space="preserve">would </w:t>
      </w:r>
      <w:r>
        <w:t xml:space="preserve">reduce HUD’s ability to detect changes in </w:t>
      </w:r>
      <w:r w:rsidR="00717CA3">
        <w:t>worst case</w:t>
      </w:r>
      <w:r>
        <w:t xml:space="preserve"> housing needs.  Without this ability, the Administration and Congress would be unable to formulate policy on housing assistance.</w:t>
      </w:r>
    </w:p>
    <w:p w14:paraId="5DA99DC3" w14:textId="77777777" w:rsidR="004F5950" w:rsidRDefault="004F5950" w:rsidP="004F5950">
      <w:pPr>
        <w:pStyle w:val="Level1"/>
        <w:ind w:left="0"/>
        <w:rPr>
          <w:rFonts w:ascii="Times New Roman" w:hAnsi="Times New Roman"/>
        </w:rPr>
      </w:pPr>
    </w:p>
    <w:p w14:paraId="6FA18B27" w14:textId="60749479" w:rsidR="000B2AB7" w:rsidRPr="0077509A" w:rsidRDefault="000B2AB7" w:rsidP="004F5950">
      <w:pPr>
        <w:pStyle w:val="Level1"/>
        <w:numPr>
          <w:ilvl w:val="0"/>
          <w:numId w:val="57"/>
        </w:numPr>
        <w:rPr>
          <w:rFonts w:ascii="Times New Roman" w:hAnsi="Times New Roman"/>
        </w:rPr>
      </w:pPr>
      <w:r>
        <w:rPr>
          <w:rFonts w:ascii="Times New Roman" w:hAnsi="Times New Roman"/>
          <w:b/>
          <w:bCs/>
        </w:rPr>
        <w:t>Special Circumstances</w:t>
      </w:r>
    </w:p>
    <w:p w14:paraId="44732648" w14:textId="7611EF22" w:rsidR="0077509A" w:rsidRDefault="0077509A" w:rsidP="0077509A">
      <w:pPr>
        <w:pStyle w:val="Level1"/>
        <w:tabs>
          <w:tab w:val="left" w:pos="432"/>
          <w:tab w:val="left" w:pos="720"/>
          <w:tab w:val="left" w:pos="864"/>
          <w:tab w:val="left" w:pos="1022"/>
          <w:tab w:val="left" w:pos="1296"/>
          <w:tab w:val="num" w:pos="1413"/>
          <w:tab w:val="left" w:pos="1728"/>
          <w:tab w:val="left" w:pos="2160"/>
        </w:tabs>
        <w:ind w:left="1350"/>
        <w:rPr>
          <w:rFonts w:ascii="Times New Roman" w:hAnsi="Times New Roman"/>
          <w:b/>
          <w:bCs/>
        </w:rPr>
      </w:pPr>
    </w:p>
    <w:p w14:paraId="150DCD58" w14:textId="56ADF90B" w:rsidR="0077509A" w:rsidRPr="0077509A" w:rsidRDefault="0077509A" w:rsidP="004F5950">
      <w:pPr>
        <w:numPr>
          <w:ilvl w:val="0"/>
          <w:numId w:val="55"/>
        </w:numPr>
        <w:tabs>
          <w:tab w:val="left" w:pos="600"/>
        </w:tabs>
        <w:overflowPunct w:val="0"/>
        <w:autoSpaceDE w:val="0"/>
        <w:autoSpaceDN w:val="0"/>
        <w:adjustRightInd w:val="0"/>
        <w:ind w:left="1080"/>
        <w:textAlignment w:val="baseline"/>
      </w:pPr>
      <w:r w:rsidRPr="0077509A">
        <w:t xml:space="preserve">requiring respondents to report information to the agency more than quarterly; </w:t>
      </w:r>
      <w:r w:rsidR="00F564D4" w:rsidRPr="00F564D4">
        <w:rPr>
          <w:b/>
        </w:rPr>
        <w:t>Not Applicable.</w:t>
      </w:r>
    </w:p>
    <w:p w14:paraId="4D8B740C" w14:textId="1E227EB5" w:rsidR="0077509A" w:rsidRPr="0077509A" w:rsidRDefault="0077509A" w:rsidP="004F5950">
      <w:pPr>
        <w:numPr>
          <w:ilvl w:val="0"/>
          <w:numId w:val="55"/>
        </w:numPr>
        <w:tabs>
          <w:tab w:val="left" w:pos="600"/>
        </w:tabs>
        <w:overflowPunct w:val="0"/>
        <w:autoSpaceDE w:val="0"/>
        <w:autoSpaceDN w:val="0"/>
        <w:adjustRightInd w:val="0"/>
        <w:ind w:left="1080"/>
        <w:textAlignment w:val="baseline"/>
      </w:pPr>
      <w:r w:rsidRPr="0077509A">
        <w:t xml:space="preserve">requiring respondents to prepare a written response to a collection of information in fewer than 30 days after receipt of it; </w:t>
      </w:r>
      <w:r w:rsidR="00F564D4" w:rsidRPr="00F564D4">
        <w:rPr>
          <w:b/>
        </w:rPr>
        <w:t>Not Applicable.</w:t>
      </w:r>
    </w:p>
    <w:p w14:paraId="79EFCA58" w14:textId="15AC030D" w:rsidR="0077509A" w:rsidRPr="0077509A" w:rsidRDefault="0077509A" w:rsidP="004F5950">
      <w:pPr>
        <w:numPr>
          <w:ilvl w:val="0"/>
          <w:numId w:val="55"/>
        </w:numPr>
        <w:tabs>
          <w:tab w:val="left" w:pos="600"/>
        </w:tabs>
        <w:overflowPunct w:val="0"/>
        <w:autoSpaceDE w:val="0"/>
        <w:autoSpaceDN w:val="0"/>
        <w:adjustRightInd w:val="0"/>
        <w:ind w:left="1080"/>
        <w:textAlignment w:val="baseline"/>
      </w:pPr>
      <w:r w:rsidRPr="0077509A">
        <w:t xml:space="preserve">requiring respondents to submit more than an original and two copies of any document; </w:t>
      </w:r>
      <w:r w:rsidR="00F564D4" w:rsidRPr="00F564D4">
        <w:rPr>
          <w:b/>
        </w:rPr>
        <w:t>Not Applicable.</w:t>
      </w:r>
    </w:p>
    <w:p w14:paraId="7F3297F0" w14:textId="04401473" w:rsidR="0077509A" w:rsidRPr="0077509A" w:rsidRDefault="0077509A" w:rsidP="004F5950">
      <w:pPr>
        <w:numPr>
          <w:ilvl w:val="0"/>
          <w:numId w:val="55"/>
        </w:numPr>
        <w:tabs>
          <w:tab w:val="left" w:pos="600"/>
        </w:tabs>
        <w:overflowPunct w:val="0"/>
        <w:autoSpaceDE w:val="0"/>
        <w:autoSpaceDN w:val="0"/>
        <w:adjustRightInd w:val="0"/>
        <w:ind w:left="1080"/>
        <w:textAlignment w:val="baseline"/>
      </w:pPr>
      <w:r w:rsidRPr="0077509A">
        <w:t xml:space="preserve">requiring respondents to retain records other than health, medical, government contract, grant-in-aid, or tax records for more than three years; </w:t>
      </w:r>
      <w:r w:rsidR="00F564D4" w:rsidRPr="00F564D4">
        <w:rPr>
          <w:b/>
        </w:rPr>
        <w:t>Not Applicable.</w:t>
      </w:r>
    </w:p>
    <w:p w14:paraId="52FBC9B3" w14:textId="7448AE7A" w:rsidR="0077509A" w:rsidRPr="0077509A" w:rsidRDefault="0077509A" w:rsidP="004F5950">
      <w:pPr>
        <w:numPr>
          <w:ilvl w:val="0"/>
          <w:numId w:val="55"/>
        </w:numPr>
        <w:tabs>
          <w:tab w:val="left" w:pos="600"/>
        </w:tabs>
        <w:overflowPunct w:val="0"/>
        <w:autoSpaceDE w:val="0"/>
        <w:autoSpaceDN w:val="0"/>
        <w:adjustRightInd w:val="0"/>
        <w:ind w:left="1080"/>
        <w:textAlignment w:val="baseline"/>
      </w:pPr>
      <w:r w:rsidRPr="0077509A">
        <w:t xml:space="preserve">in connection with a statistical survey, that is not designed to produce valid and reliable results than can be generalized to the universe of study; </w:t>
      </w:r>
      <w:r w:rsidR="00F564D4" w:rsidRPr="00F564D4">
        <w:rPr>
          <w:b/>
        </w:rPr>
        <w:t>Not Applicable.</w:t>
      </w:r>
    </w:p>
    <w:p w14:paraId="2075A714" w14:textId="0D15C828" w:rsidR="0077509A" w:rsidRPr="0077509A" w:rsidRDefault="0077509A" w:rsidP="004F5950">
      <w:pPr>
        <w:numPr>
          <w:ilvl w:val="0"/>
          <w:numId w:val="55"/>
        </w:numPr>
        <w:tabs>
          <w:tab w:val="left" w:pos="600"/>
        </w:tabs>
        <w:overflowPunct w:val="0"/>
        <w:autoSpaceDE w:val="0"/>
        <w:autoSpaceDN w:val="0"/>
        <w:adjustRightInd w:val="0"/>
        <w:ind w:left="1080"/>
        <w:textAlignment w:val="baseline"/>
      </w:pPr>
      <w:r w:rsidRPr="0077509A">
        <w:t xml:space="preserve">requiring the use of a statistical data classification that has not been reviewed and approved by OMB; </w:t>
      </w:r>
      <w:r w:rsidR="00F564D4" w:rsidRPr="00F564D4">
        <w:rPr>
          <w:b/>
        </w:rPr>
        <w:t>Not Applicable.</w:t>
      </w:r>
    </w:p>
    <w:p w14:paraId="008B6092" w14:textId="0CB70461" w:rsidR="0077509A" w:rsidRDefault="0077509A" w:rsidP="004F5950">
      <w:pPr>
        <w:numPr>
          <w:ilvl w:val="0"/>
          <w:numId w:val="55"/>
        </w:numPr>
        <w:tabs>
          <w:tab w:val="left" w:pos="600"/>
        </w:tabs>
        <w:overflowPunct w:val="0"/>
        <w:autoSpaceDE w:val="0"/>
        <w:autoSpaceDN w:val="0"/>
        <w:adjustRightInd w:val="0"/>
        <w:ind w:left="1080"/>
        <w:textAlignment w:val="baseline"/>
      </w:pPr>
      <w:r w:rsidRPr="0077509A">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00F564D4" w:rsidRPr="00F564D4">
        <w:rPr>
          <w:b/>
        </w:rPr>
        <w:t xml:space="preserve">Not Applicable. </w:t>
      </w:r>
    </w:p>
    <w:p w14:paraId="290FE9E8" w14:textId="543F0542" w:rsidR="0077509A" w:rsidRPr="0077509A" w:rsidRDefault="0077509A" w:rsidP="004F5950">
      <w:pPr>
        <w:pStyle w:val="ListParagraph"/>
        <w:numPr>
          <w:ilvl w:val="0"/>
          <w:numId w:val="55"/>
        </w:numPr>
        <w:tabs>
          <w:tab w:val="left" w:pos="600"/>
        </w:tabs>
        <w:overflowPunct w:val="0"/>
        <w:autoSpaceDE w:val="0"/>
        <w:autoSpaceDN w:val="0"/>
        <w:adjustRightInd w:val="0"/>
        <w:ind w:left="1080"/>
        <w:textAlignment w:val="baseline"/>
      </w:pPr>
      <w:r w:rsidRPr="0077509A">
        <w:t>requiring respondents to submit proprietary trade secret, or other confidential information unless the agency can demonstrate that it has instituted procedures to protect the information's confidentiality to the extent permitted by law.</w:t>
      </w:r>
      <w:r w:rsidR="00F564D4">
        <w:t xml:space="preserve"> </w:t>
      </w:r>
      <w:r w:rsidR="00F564D4" w:rsidRPr="00F564D4">
        <w:rPr>
          <w:b/>
        </w:rPr>
        <w:t>Not Applicable.</w:t>
      </w:r>
    </w:p>
    <w:p w14:paraId="236448B0" w14:textId="2AAD693B" w:rsidR="000B2AB7" w:rsidRDefault="000B2AB7" w:rsidP="004F5950">
      <w:pPr>
        <w:tabs>
          <w:tab w:val="left" w:pos="720"/>
        </w:tabs>
        <w:ind w:left="63"/>
      </w:pPr>
    </w:p>
    <w:p w14:paraId="5945429B" w14:textId="77777777" w:rsidR="000B2AB7" w:rsidRDefault="000B2AB7" w:rsidP="004F5950">
      <w:pPr>
        <w:pStyle w:val="Level1"/>
        <w:tabs>
          <w:tab w:val="left" w:pos="720"/>
        </w:tabs>
        <w:autoSpaceDE/>
        <w:autoSpaceDN/>
        <w:adjustRightInd/>
        <w:ind w:left="1143"/>
        <w:rPr>
          <w:rFonts w:ascii="Times New Roman" w:hAnsi="Times New Roman"/>
        </w:rPr>
      </w:pPr>
      <w:r>
        <w:rPr>
          <w:rFonts w:ascii="Times New Roman" w:hAnsi="Times New Roman"/>
        </w:rPr>
        <w:t>We collect the data in a manner consistent with OMB guidelines, and there are no special circumstances.</w:t>
      </w:r>
    </w:p>
    <w:p w14:paraId="50774102" w14:textId="77777777" w:rsidR="004F5950" w:rsidRDefault="004F5950" w:rsidP="004F5950">
      <w:pPr>
        <w:pStyle w:val="Level1"/>
        <w:ind w:left="0"/>
        <w:rPr>
          <w:rFonts w:ascii="Times New Roman" w:hAnsi="Times New Roman"/>
        </w:rPr>
      </w:pPr>
    </w:p>
    <w:p w14:paraId="4A8B2A9B" w14:textId="79F3717C" w:rsidR="000B2AB7" w:rsidRDefault="000B2AB7" w:rsidP="004F5950">
      <w:pPr>
        <w:pStyle w:val="Level1"/>
        <w:numPr>
          <w:ilvl w:val="0"/>
          <w:numId w:val="57"/>
        </w:numPr>
        <w:rPr>
          <w:rFonts w:ascii="Times New Roman" w:hAnsi="Times New Roman"/>
        </w:rPr>
      </w:pPr>
      <w:r>
        <w:rPr>
          <w:rFonts w:ascii="Times New Roman" w:hAnsi="Times New Roman"/>
          <w:b/>
          <w:bCs/>
        </w:rPr>
        <w:t>Consultations Outside the Agency</w:t>
      </w:r>
    </w:p>
    <w:p w14:paraId="57EE4823" w14:textId="77777777" w:rsidR="000B2AB7" w:rsidRDefault="000B2AB7" w:rsidP="002977DE">
      <w:pPr>
        <w:pStyle w:val="Header"/>
        <w:tabs>
          <w:tab w:val="clear" w:pos="4320"/>
          <w:tab w:val="clear" w:pos="8640"/>
        </w:tabs>
        <w:ind w:left="333"/>
      </w:pPr>
    </w:p>
    <w:p w14:paraId="6B5239A8" w14:textId="77777777" w:rsidR="00A21D8C" w:rsidRPr="00F02076" w:rsidRDefault="00A21D8C" w:rsidP="004F5950">
      <w:pPr>
        <w:pStyle w:val="ListParagraph"/>
        <w:numPr>
          <w:ilvl w:val="0"/>
          <w:numId w:val="28"/>
        </w:numPr>
        <w:tabs>
          <w:tab w:val="clear" w:pos="1368"/>
        </w:tabs>
        <w:ind w:left="1080"/>
      </w:pPr>
      <w:r w:rsidRPr="00F02076">
        <w:t>Federal Register Comments</w:t>
      </w:r>
    </w:p>
    <w:p w14:paraId="4C7AE528" w14:textId="77777777" w:rsidR="00A21D8C" w:rsidRPr="00341DBB" w:rsidRDefault="00A21D8C" w:rsidP="004F5950">
      <w:pPr>
        <w:ind w:left="693"/>
        <w:rPr>
          <w:i/>
        </w:rPr>
      </w:pPr>
    </w:p>
    <w:p w14:paraId="1D66BEAF" w14:textId="453BE3DA" w:rsidR="00343169" w:rsidRDefault="006E1A69" w:rsidP="004F5950">
      <w:pPr>
        <w:ind w:left="981"/>
      </w:pPr>
      <w:r>
        <w:t>Attached</w:t>
      </w:r>
      <w:r w:rsidR="000B2AB7">
        <w:t xml:space="preserve"> is a copy of the </w:t>
      </w:r>
      <w:r w:rsidR="000B2AB7">
        <w:rPr>
          <w:i/>
          <w:iCs/>
        </w:rPr>
        <w:t>Federal Register Notice</w:t>
      </w:r>
      <w:r w:rsidR="000B2AB7">
        <w:rPr>
          <w:i/>
          <w:iCs/>
          <w:color w:val="FF0000"/>
        </w:rPr>
        <w:t xml:space="preserve"> </w:t>
      </w:r>
      <w:r w:rsidR="000B2AB7">
        <w:t xml:space="preserve">required by 5 CFR 1320.8(d). </w:t>
      </w:r>
      <w:r w:rsidR="00F564D4">
        <w:t xml:space="preserve">The Notice </w:t>
      </w:r>
      <w:r w:rsidR="009C089F">
        <w:t>w</w:t>
      </w:r>
      <w:r w:rsidR="00F564D4">
        <w:t>as published on August 31, 2016.</w:t>
      </w:r>
      <w:r w:rsidR="00AE4BBE">
        <w:t xml:space="preserve">  HUD </w:t>
      </w:r>
      <w:r w:rsidR="00343169">
        <w:t>received no comments.</w:t>
      </w:r>
    </w:p>
    <w:p w14:paraId="25A1016E" w14:textId="77777777" w:rsidR="00AE4BBE" w:rsidRDefault="00AE4BBE" w:rsidP="004F5950">
      <w:pPr>
        <w:ind w:left="981"/>
      </w:pPr>
    </w:p>
    <w:p w14:paraId="719FA7E6" w14:textId="25CA3D09" w:rsidR="00A21D8C" w:rsidRPr="00341DBB" w:rsidRDefault="00A21D8C" w:rsidP="004F5950">
      <w:pPr>
        <w:pStyle w:val="Level1"/>
        <w:numPr>
          <w:ilvl w:val="0"/>
          <w:numId w:val="28"/>
        </w:numPr>
        <w:tabs>
          <w:tab w:val="clear" w:pos="1368"/>
        </w:tabs>
        <w:autoSpaceDE/>
        <w:autoSpaceDN/>
        <w:adjustRightInd/>
        <w:ind w:left="1080"/>
        <w:rPr>
          <w:rFonts w:ascii="Times New Roman" w:hAnsi="Times New Roman"/>
        </w:rPr>
      </w:pPr>
      <w:r w:rsidRPr="00341DBB">
        <w:rPr>
          <w:rFonts w:ascii="Times New Roman" w:hAnsi="Times New Roman"/>
        </w:rPr>
        <w:t xml:space="preserve">Consultations Influencing the </w:t>
      </w:r>
      <w:r w:rsidR="00A02D4D">
        <w:rPr>
          <w:rFonts w:ascii="Times New Roman" w:hAnsi="Times New Roman"/>
        </w:rPr>
        <w:t>2017</w:t>
      </w:r>
      <w:r w:rsidRPr="00341DBB">
        <w:rPr>
          <w:rFonts w:ascii="Times New Roman" w:hAnsi="Times New Roman"/>
        </w:rPr>
        <w:t xml:space="preserve"> AHS </w:t>
      </w:r>
      <w:r w:rsidR="00341DBB">
        <w:rPr>
          <w:rFonts w:ascii="Times New Roman" w:hAnsi="Times New Roman"/>
        </w:rPr>
        <w:t xml:space="preserve">Core Modules </w:t>
      </w:r>
    </w:p>
    <w:p w14:paraId="1CEC5A9C" w14:textId="77777777" w:rsidR="0036669A" w:rsidRDefault="0036669A" w:rsidP="004F5950">
      <w:pPr>
        <w:pStyle w:val="Level1"/>
        <w:autoSpaceDE/>
        <w:autoSpaceDN/>
        <w:adjustRightInd/>
        <w:ind w:left="621"/>
        <w:rPr>
          <w:rFonts w:ascii="Times New Roman" w:hAnsi="Times New Roman"/>
        </w:rPr>
      </w:pPr>
    </w:p>
    <w:p w14:paraId="4C1CABAF" w14:textId="1AB6917F" w:rsidR="009303B0" w:rsidRDefault="001A45FE" w:rsidP="004F5950">
      <w:pPr>
        <w:ind w:left="1080"/>
      </w:pPr>
      <w:r>
        <w:t>The content of the 2017</w:t>
      </w:r>
      <w:r w:rsidR="00367B24" w:rsidRPr="00583F28">
        <w:t xml:space="preserve"> AHS Core Modules </w:t>
      </w:r>
      <w:proofErr w:type="gramStart"/>
      <w:r w:rsidR="00367B24" w:rsidRPr="00583F28">
        <w:t>are</w:t>
      </w:r>
      <w:proofErr w:type="gramEnd"/>
      <w:r w:rsidR="00367B24" w:rsidRPr="00583F28">
        <w:t xml:space="preserve"> the result of many years of consultation and testing starting with </w:t>
      </w:r>
      <w:r w:rsidR="000B2AB7" w:rsidRPr="009303B0">
        <w:t>the development of the 1984 AHS</w:t>
      </w:r>
      <w:r w:rsidR="002272FF" w:rsidRPr="009303B0">
        <w:t xml:space="preserve"> questionnaire</w:t>
      </w:r>
      <w:r w:rsidR="00367B24" w:rsidRPr="00583F28">
        <w:t xml:space="preserve">.  For the original 1984 AHS questionnaire </w:t>
      </w:r>
      <w:r w:rsidR="000B2AB7" w:rsidRPr="009303B0">
        <w:t xml:space="preserve">approximately 250 prospective data users </w:t>
      </w:r>
      <w:r w:rsidR="00367B24" w:rsidRPr="00583F28">
        <w:t xml:space="preserve">were consulted </w:t>
      </w:r>
      <w:r w:rsidR="000B2AB7" w:rsidRPr="009303B0">
        <w:t xml:space="preserve">who </w:t>
      </w:r>
      <w:r w:rsidR="00367B24" w:rsidRPr="00583F28">
        <w:t>represented</w:t>
      </w:r>
      <w:r w:rsidR="000B2AB7" w:rsidRPr="009303B0">
        <w:t xml:space="preserve"> diverse areas of interest.  </w:t>
      </w:r>
      <w:r w:rsidR="00367B24" w:rsidRPr="00583F28">
        <w:t xml:space="preserve">The Bureau of Economic Analysis (BEA) </w:t>
      </w:r>
      <w:r w:rsidR="000B2AB7" w:rsidRPr="009303B0">
        <w:t xml:space="preserve">suggested modifications to the </w:t>
      </w:r>
      <w:r w:rsidR="00367B24" w:rsidRPr="00583F28">
        <w:t>original questionnaire to improve BEA’s</w:t>
      </w:r>
      <w:r w:rsidR="000B2AB7" w:rsidRPr="009303B0">
        <w:t xml:space="preserve"> estimates and to improve the clarity and consistency of the </w:t>
      </w:r>
      <w:r w:rsidR="00367B24" w:rsidRPr="00583F28">
        <w:t xml:space="preserve">questions. </w:t>
      </w:r>
    </w:p>
    <w:p w14:paraId="45C26B1D" w14:textId="77777777" w:rsidR="009303B0" w:rsidRPr="009F3790" w:rsidRDefault="009303B0" w:rsidP="004F5950">
      <w:pPr>
        <w:ind w:left="990"/>
      </w:pPr>
    </w:p>
    <w:p w14:paraId="18DB4ADD" w14:textId="6B4155D0" w:rsidR="00814AC3" w:rsidRPr="009303B0" w:rsidRDefault="00447A0B" w:rsidP="004F5950">
      <w:pPr>
        <w:ind w:left="1080"/>
      </w:pPr>
      <w:r w:rsidRPr="009303B0">
        <w:t>HUD and the Census Bureau routinely consult with outside groups who are frequent users of the AHS, including the National Association of Home Builders and the Harvard Joint Center for Housing Studies</w:t>
      </w:r>
      <w:r w:rsidR="00574072" w:rsidRPr="009303B0">
        <w:t xml:space="preserve"> (JCHS)</w:t>
      </w:r>
      <w:r w:rsidRPr="009303B0">
        <w:t xml:space="preserve">.  Because of the depth of their experience with the AHS, these groups often make recommendations concerning minor changes to AHS questions. </w:t>
      </w:r>
      <w:r w:rsidR="00367B24" w:rsidRPr="007A0D0F">
        <w:t>The Neighborhood Quality Module was added to the core and the number of questions in the module was reduced after co</w:t>
      </w:r>
      <w:r w:rsidR="00367B24">
        <w:t>nsultation with NAHB</w:t>
      </w:r>
      <w:r w:rsidR="00367B24" w:rsidRPr="007A0D0F">
        <w:t>.  In consultation with</w:t>
      </w:r>
      <w:r w:rsidR="00367B24">
        <w:t xml:space="preserve"> JCHS</w:t>
      </w:r>
      <w:r w:rsidR="00367B24" w:rsidRPr="007A0D0F">
        <w:t>, questions on the date of completion and the source of financing for remodeling jobs were added to the Home Improvement and Remodeling Module.</w:t>
      </w:r>
      <w:r w:rsidR="00450DB7" w:rsidRPr="009303B0">
        <w:t xml:space="preserve">  </w:t>
      </w:r>
      <w:r w:rsidR="004929F5" w:rsidRPr="009303B0">
        <w:t>W</w:t>
      </w:r>
      <w:r w:rsidR="00574072" w:rsidRPr="009303B0">
        <w:t>e also worked with JCHS</w:t>
      </w:r>
      <w:r w:rsidR="007E0080" w:rsidRPr="009303B0">
        <w:t xml:space="preserve"> to combine</w:t>
      </w:r>
      <w:r w:rsidR="004929F5" w:rsidRPr="009303B0">
        <w:t xml:space="preserve"> some of the Home Improvement job categories</w:t>
      </w:r>
      <w:r w:rsidR="007E0080" w:rsidRPr="009303B0">
        <w:t xml:space="preserve"> to reduce respondent burden</w:t>
      </w:r>
      <w:r w:rsidR="004929F5" w:rsidRPr="009303B0">
        <w:t>.</w:t>
      </w:r>
      <w:r w:rsidR="00367B24" w:rsidRPr="007A0D0F">
        <w:t xml:space="preserve">  </w:t>
      </w:r>
      <w:r w:rsidR="00367B24">
        <w:t xml:space="preserve">The Energy Information Administration (EIA) at the Department of Energy was consulted in the development of utility cost allocation models, which </w:t>
      </w:r>
      <w:r w:rsidR="009303B0">
        <w:t>are</w:t>
      </w:r>
      <w:r w:rsidR="00367B24">
        <w:t xml:space="preserve"> used to model utility costs using household and housing characteristi</w:t>
      </w:r>
      <w:r w:rsidR="009303B0">
        <w:t xml:space="preserve">cs and climate data in the 2017 </w:t>
      </w:r>
      <w:r w:rsidR="00367B24">
        <w:t>AHS.</w:t>
      </w:r>
    </w:p>
    <w:p w14:paraId="2FD3B569" w14:textId="77777777" w:rsidR="0036669A" w:rsidRPr="002A1DF3" w:rsidRDefault="0036669A" w:rsidP="004F5950">
      <w:pPr>
        <w:pStyle w:val="Level1"/>
        <w:autoSpaceDE/>
        <w:autoSpaceDN/>
        <w:adjustRightInd/>
        <w:ind w:left="621"/>
        <w:rPr>
          <w:rFonts w:ascii="Times New Roman" w:hAnsi="Times New Roman"/>
        </w:rPr>
      </w:pPr>
    </w:p>
    <w:p w14:paraId="67E34EAA" w14:textId="627431AD" w:rsidR="00814AC3" w:rsidRDefault="00814AC3" w:rsidP="004F5950">
      <w:pPr>
        <w:pStyle w:val="Level1"/>
        <w:numPr>
          <w:ilvl w:val="0"/>
          <w:numId w:val="28"/>
        </w:numPr>
        <w:tabs>
          <w:tab w:val="clear" w:pos="1368"/>
        </w:tabs>
        <w:autoSpaceDE/>
        <w:autoSpaceDN/>
        <w:adjustRightInd/>
        <w:ind w:left="1080"/>
        <w:rPr>
          <w:rFonts w:ascii="Times New Roman" w:hAnsi="Times New Roman"/>
        </w:rPr>
      </w:pPr>
      <w:r>
        <w:rPr>
          <w:rFonts w:ascii="Times New Roman" w:hAnsi="Times New Roman"/>
        </w:rPr>
        <w:t xml:space="preserve">Consultations Influencing the </w:t>
      </w:r>
      <w:r w:rsidR="00A02D4D">
        <w:rPr>
          <w:rFonts w:ascii="Times New Roman" w:hAnsi="Times New Roman"/>
        </w:rPr>
        <w:t>2017</w:t>
      </w:r>
      <w:r>
        <w:rPr>
          <w:rFonts w:ascii="Times New Roman" w:hAnsi="Times New Roman"/>
        </w:rPr>
        <w:t xml:space="preserve"> AHS Rotating Topical Modules</w:t>
      </w:r>
    </w:p>
    <w:p w14:paraId="164DC194" w14:textId="77777777" w:rsidR="00814AC3" w:rsidRDefault="00814AC3" w:rsidP="004F5950">
      <w:pPr>
        <w:pStyle w:val="Level1"/>
        <w:autoSpaceDE/>
        <w:autoSpaceDN/>
        <w:adjustRightInd/>
        <w:ind w:left="621"/>
        <w:rPr>
          <w:rFonts w:ascii="Times New Roman" w:hAnsi="Times New Roman"/>
        </w:rPr>
      </w:pPr>
    </w:p>
    <w:p w14:paraId="12AF1A95" w14:textId="3AB298D5" w:rsidR="009303B0" w:rsidRDefault="00447A0B" w:rsidP="004F5950">
      <w:pPr>
        <w:pStyle w:val="Level1"/>
        <w:autoSpaceDE/>
        <w:autoSpaceDN/>
        <w:adjustRightInd/>
        <w:ind w:left="1080"/>
        <w:rPr>
          <w:rFonts w:ascii="Times New Roman" w:hAnsi="Times New Roman"/>
        </w:rPr>
      </w:pPr>
      <w:r>
        <w:rPr>
          <w:rFonts w:ascii="Times New Roman" w:hAnsi="Times New Roman"/>
        </w:rPr>
        <w:t xml:space="preserve">The process of developing the </w:t>
      </w:r>
      <w:r w:rsidR="00A02D4D">
        <w:rPr>
          <w:rFonts w:ascii="Times New Roman" w:hAnsi="Times New Roman"/>
        </w:rPr>
        <w:t>2017</w:t>
      </w:r>
      <w:r>
        <w:rPr>
          <w:rFonts w:ascii="Times New Roman" w:hAnsi="Times New Roman"/>
        </w:rPr>
        <w:t xml:space="preserve"> AHS rotating topic modules included consultations with several outside groups.</w:t>
      </w:r>
    </w:p>
    <w:p w14:paraId="2ACDFD71" w14:textId="77777777" w:rsidR="0099200D" w:rsidRDefault="0099200D" w:rsidP="004F5950">
      <w:pPr>
        <w:pStyle w:val="ListParagraph"/>
        <w:ind w:left="1323"/>
      </w:pPr>
    </w:p>
    <w:p w14:paraId="30EAB4DA" w14:textId="63865F66" w:rsidR="0099200D" w:rsidRPr="00694C92" w:rsidRDefault="0099200D" w:rsidP="004F5950">
      <w:pPr>
        <w:pStyle w:val="ListParagraph"/>
        <w:numPr>
          <w:ilvl w:val="0"/>
          <w:numId w:val="52"/>
        </w:numPr>
        <w:ind w:left="1440"/>
      </w:pPr>
      <w:r w:rsidRPr="0099200D">
        <w:rPr>
          <w:u w:val="single"/>
        </w:rPr>
        <w:t>Commuting Module:</w:t>
      </w:r>
      <w:r w:rsidRPr="00297577">
        <w:t xml:space="preserve">  </w:t>
      </w:r>
      <w:r>
        <w:t xml:space="preserve"> </w:t>
      </w:r>
      <w:r w:rsidR="00694C92" w:rsidRPr="00694C92">
        <w:t>HUD consulted with Census Bureau experts on commuting</w:t>
      </w:r>
      <w:r w:rsidRPr="00694C92">
        <w:t>.</w:t>
      </w:r>
    </w:p>
    <w:p w14:paraId="24F6C607" w14:textId="77777777" w:rsidR="0099200D" w:rsidRDefault="0099200D" w:rsidP="004F5950">
      <w:pPr>
        <w:pStyle w:val="ListParagraph"/>
        <w:ind w:left="1323"/>
      </w:pPr>
    </w:p>
    <w:p w14:paraId="36643CBF" w14:textId="1062A4FB" w:rsidR="0099200D" w:rsidRDefault="0099200D" w:rsidP="004F5950">
      <w:pPr>
        <w:pStyle w:val="ListParagraph"/>
        <w:numPr>
          <w:ilvl w:val="0"/>
          <w:numId w:val="52"/>
        </w:numPr>
        <w:ind w:left="1440"/>
      </w:pPr>
      <w:r w:rsidRPr="0099200D">
        <w:rPr>
          <w:u w:val="single"/>
        </w:rPr>
        <w:t>Eviction Module:</w:t>
      </w:r>
      <w:r>
        <w:t xml:space="preserve">  </w:t>
      </w:r>
      <w:r w:rsidR="00694C92">
        <w:t>HUD consulted with Harvard Department of Sociology and the University of Wisconsin Survey Center</w:t>
      </w:r>
      <w:r w:rsidR="0058085A">
        <w:t>.</w:t>
      </w:r>
    </w:p>
    <w:p w14:paraId="496CB8BD" w14:textId="77777777" w:rsidR="0099200D" w:rsidRPr="00297577" w:rsidRDefault="0099200D" w:rsidP="004F5950">
      <w:pPr>
        <w:pStyle w:val="ListParagraph"/>
        <w:ind w:left="1323"/>
      </w:pPr>
    </w:p>
    <w:p w14:paraId="3E7B36C4" w14:textId="2913135C" w:rsidR="0099200D" w:rsidRPr="00D50C61" w:rsidRDefault="0099200D" w:rsidP="004F5950">
      <w:pPr>
        <w:pStyle w:val="ListParagraph"/>
        <w:numPr>
          <w:ilvl w:val="0"/>
          <w:numId w:val="52"/>
        </w:numPr>
        <w:ind w:left="1440"/>
      </w:pPr>
      <w:r w:rsidRPr="00341DBB">
        <w:rPr>
          <w:u w:val="single"/>
        </w:rPr>
        <w:lastRenderedPageBreak/>
        <w:t>Disaster Planning</w:t>
      </w:r>
      <w:r>
        <w:rPr>
          <w:u w:val="single"/>
        </w:rPr>
        <w:t xml:space="preserve"> Module</w:t>
      </w:r>
      <w:r w:rsidRPr="00297577">
        <w:rPr>
          <w:u w:val="single"/>
        </w:rPr>
        <w:t>:</w:t>
      </w:r>
      <w:r>
        <w:t xml:space="preserve">  The questions were composed by HUD after consultation with outside organizations, particularly the National Disaster Housing Task Force (NDHTF)</w:t>
      </w:r>
      <w:r w:rsidR="0058085A">
        <w:t xml:space="preserve"> and other experts within FEMA</w:t>
      </w:r>
      <w:r>
        <w:t xml:space="preserve">.  Much of the content is based on the FEMA guidelines for disaster preparedness, </w:t>
      </w:r>
      <w:hyperlink r:id="rId11" w:history="1">
        <w:r w:rsidRPr="00D15B82">
          <w:rPr>
            <w:rStyle w:val="Hyperlink"/>
          </w:rPr>
          <w:t>http://www.fema.gov/plan-prepare-mitigate</w:t>
        </w:r>
      </w:hyperlink>
      <w:r>
        <w:t xml:space="preserve">.  </w:t>
      </w:r>
    </w:p>
    <w:p w14:paraId="17F0CCB4" w14:textId="77777777" w:rsidR="0099200D" w:rsidRDefault="0099200D" w:rsidP="004F5950">
      <w:pPr>
        <w:pStyle w:val="ListParagraph"/>
        <w:ind w:left="1323"/>
      </w:pPr>
    </w:p>
    <w:p w14:paraId="0BE9E485" w14:textId="0AC70447" w:rsidR="0099200D" w:rsidRDefault="0099200D" w:rsidP="004F5950">
      <w:pPr>
        <w:pStyle w:val="ListParagraph"/>
        <w:numPr>
          <w:ilvl w:val="0"/>
          <w:numId w:val="52"/>
        </w:numPr>
        <w:spacing w:before="240"/>
        <w:ind w:left="1440"/>
      </w:pPr>
      <w:r>
        <w:rPr>
          <w:u w:val="single"/>
        </w:rPr>
        <w:t>Delinquent Payments and Notices Module:</w:t>
      </w:r>
      <w:r w:rsidRPr="0099200D">
        <w:t xml:space="preserve"> </w:t>
      </w:r>
      <w:r>
        <w:t xml:space="preserve"> The questions were developed by a panel of experts assembled by HUD PD&amp;R’s and modified by AHS personnel at HUD and Census.  The panel of experts included representatives from the </w:t>
      </w:r>
      <w:r w:rsidRPr="00003FF1">
        <w:t xml:space="preserve">Urban Institute, the University of Pennsylvania, the United States Interagency Council on Homelessness, </w:t>
      </w:r>
      <w:proofErr w:type="spellStart"/>
      <w:r w:rsidRPr="00003FF1">
        <w:t>Westat</w:t>
      </w:r>
      <w:proofErr w:type="spellEnd"/>
      <w:r w:rsidRPr="00003FF1">
        <w:t xml:space="preserve">, the National Alliance to End Homelessness Research Institute, </w:t>
      </w:r>
      <w:proofErr w:type="spellStart"/>
      <w:r w:rsidRPr="00003FF1">
        <w:t>Abt</w:t>
      </w:r>
      <w:proofErr w:type="spellEnd"/>
      <w:r w:rsidRPr="00003FF1">
        <w:t xml:space="preserve"> Associates, </w:t>
      </w:r>
      <w:r>
        <w:t xml:space="preserve">and </w:t>
      </w:r>
      <w:r w:rsidRPr="00003FF1">
        <w:t>Wayne State University</w:t>
      </w:r>
      <w:r>
        <w:t>.</w:t>
      </w:r>
    </w:p>
    <w:p w14:paraId="08064DF2" w14:textId="77777777" w:rsidR="004F5950" w:rsidRDefault="004F5950" w:rsidP="004F5950">
      <w:pPr>
        <w:pStyle w:val="Level1"/>
        <w:ind w:left="0"/>
        <w:rPr>
          <w:rFonts w:ascii="Times New Roman" w:hAnsi="Times New Roman"/>
        </w:rPr>
      </w:pPr>
    </w:p>
    <w:p w14:paraId="00C6C10A" w14:textId="3A843D72" w:rsidR="000B2AB7" w:rsidRDefault="000B2AB7" w:rsidP="004F5950">
      <w:pPr>
        <w:pStyle w:val="Level1"/>
        <w:numPr>
          <w:ilvl w:val="0"/>
          <w:numId w:val="57"/>
        </w:numPr>
        <w:rPr>
          <w:rFonts w:ascii="Times New Roman" w:hAnsi="Times New Roman"/>
        </w:rPr>
      </w:pPr>
      <w:r>
        <w:rPr>
          <w:rFonts w:ascii="Times New Roman" w:hAnsi="Times New Roman"/>
          <w:b/>
          <w:bCs/>
        </w:rPr>
        <w:t>Paying Respondents</w:t>
      </w:r>
    </w:p>
    <w:p w14:paraId="5C1E3662" w14:textId="77777777" w:rsidR="004F5950" w:rsidRDefault="004F5950" w:rsidP="004F5950">
      <w:pPr>
        <w:pStyle w:val="BodyTextIndent3"/>
        <w:numPr>
          <w:ilvl w:val="0"/>
          <w:numId w:val="0"/>
        </w:numPr>
      </w:pPr>
    </w:p>
    <w:p w14:paraId="616D3E52" w14:textId="3D03F6C2" w:rsidR="000B2AB7" w:rsidRDefault="000B2AB7" w:rsidP="004F5950">
      <w:pPr>
        <w:pStyle w:val="BodyTextIndent3"/>
        <w:numPr>
          <w:ilvl w:val="0"/>
          <w:numId w:val="0"/>
        </w:numPr>
        <w:ind w:firstLine="720"/>
      </w:pPr>
      <w:r>
        <w:t>The AHS does not give respondents payments or gifts.</w:t>
      </w:r>
    </w:p>
    <w:p w14:paraId="657CC7CE" w14:textId="77777777" w:rsidR="004F5950" w:rsidRDefault="004F5950" w:rsidP="004F5950">
      <w:pPr>
        <w:pStyle w:val="Level1"/>
        <w:ind w:left="0"/>
        <w:rPr>
          <w:rFonts w:ascii="Times New Roman" w:hAnsi="Times New Roman"/>
        </w:rPr>
      </w:pPr>
    </w:p>
    <w:p w14:paraId="15F317F0" w14:textId="72AB625B" w:rsidR="000B2AB7" w:rsidRDefault="000B2AB7" w:rsidP="004F5950">
      <w:pPr>
        <w:pStyle w:val="Level1"/>
        <w:numPr>
          <w:ilvl w:val="0"/>
          <w:numId w:val="57"/>
        </w:numPr>
        <w:rPr>
          <w:rFonts w:ascii="Times New Roman" w:hAnsi="Times New Roman"/>
        </w:rPr>
      </w:pPr>
      <w:r>
        <w:rPr>
          <w:rFonts w:ascii="Times New Roman" w:hAnsi="Times New Roman"/>
          <w:b/>
          <w:bCs/>
        </w:rPr>
        <w:t>Assurance of Confidentiality</w:t>
      </w:r>
    </w:p>
    <w:p w14:paraId="29EA1DF1" w14:textId="77777777" w:rsidR="000B2AB7" w:rsidRDefault="000B2AB7" w:rsidP="002977DE">
      <w:pPr>
        <w:ind w:left="333"/>
      </w:pPr>
    </w:p>
    <w:p w14:paraId="158B7288" w14:textId="77777777" w:rsidR="000B2AB7" w:rsidRDefault="000B2AB7" w:rsidP="004F5950">
      <w:pPr>
        <w:pStyle w:val="BodyTextIndent3"/>
        <w:numPr>
          <w:ilvl w:val="0"/>
          <w:numId w:val="0"/>
        </w:numPr>
        <w:ind w:left="720"/>
      </w:pPr>
      <w:r>
        <w:t xml:space="preserve">The Census Bureau collects these data in compliance with the Privacy Act of 1974 and OMB Circular A-108.  The Census Bureau will send each sample address a letter </w:t>
      </w:r>
      <w:r w:rsidR="009E4EC4">
        <w:t>(AHS</w:t>
      </w:r>
      <w:r w:rsidR="00CD7147">
        <w:t>-26/</w:t>
      </w:r>
      <w:r w:rsidR="009E4EC4">
        <w:t>66</w:t>
      </w:r>
      <w:r w:rsidR="00CD7147">
        <w:t>(L)</w:t>
      </w:r>
      <w:r w:rsidR="009E4EC4">
        <w:t xml:space="preserve">) </w:t>
      </w:r>
      <w:r>
        <w:t xml:space="preserve">in advance of the interview containing the information required by this act.  </w:t>
      </w:r>
    </w:p>
    <w:p w14:paraId="21B585ED" w14:textId="77777777" w:rsidR="000B2AB7" w:rsidRDefault="000B2AB7" w:rsidP="004F5950"/>
    <w:p w14:paraId="4BDFA99E" w14:textId="77777777" w:rsidR="000B2AB7" w:rsidRPr="000D2EDB" w:rsidRDefault="000B2AB7" w:rsidP="004F5950">
      <w:pPr>
        <w:pStyle w:val="BodyTextIndent3"/>
        <w:numPr>
          <w:ilvl w:val="0"/>
          <w:numId w:val="0"/>
        </w:numPr>
        <w:ind w:left="720"/>
      </w:pPr>
      <w:r w:rsidRPr="000D2EDB">
        <w:t xml:space="preserve">The Advance Letter informs the respondents of the voluntary nature of this survey and states that there are no penalties for failure to answer any question.  The letter explains why the information is being collected, how it will be used, and that it will take approximately </w:t>
      </w:r>
      <w:r w:rsidR="00AB041D" w:rsidRPr="000D2EDB">
        <w:t xml:space="preserve">40 </w:t>
      </w:r>
      <w:r w:rsidRPr="000D2EDB">
        <w:t>minutes to complete the interview.  The letter displays the OMB control number and date of expiration.</w:t>
      </w:r>
    </w:p>
    <w:p w14:paraId="5E7AE80A" w14:textId="77777777" w:rsidR="000B2AB7" w:rsidRPr="000D2EDB" w:rsidRDefault="000B2AB7" w:rsidP="004F5950">
      <w:pPr>
        <w:pStyle w:val="BodyTextIndent3"/>
        <w:numPr>
          <w:ilvl w:val="0"/>
          <w:numId w:val="0"/>
        </w:numPr>
        <w:ind w:left="720"/>
      </w:pPr>
    </w:p>
    <w:p w14:paraId="2C24B913" w14:textId="455254E9" w:rsidR="000B2AB7" w:rsidRPr="000D2EDB" w:rsidRDefault="000B2AB7" w:rsidP="004F5950">
      <w:pPr>
        <w:pStyle w:val="BodyTextIndent3"/>
        <w:numPr>
          <w:ilvl w:val="0"/>
          <w:numId w:val="0"/>
        </w:numPr>
        <w:ind w:left="720"/>
      </w:pPr>
      <w:r w:rsidRPr="000D2EDB">
        <w:t>As part of the introduction for personal-visit households, the Census Bureau FRs will ask the respondents if they received the Advance Letter.  If not, the FRs will give the letter to the respondents and allow them sufficient time to read the contents.   We also display the toll-free phone number of the regional office for which the FR works as a way for the respondent to authenticate her/his employment with the Census Bureau.</w:t>
      </w:r>
      <w:r w:rsidR="0029682C" w:rsidRPr="000D2EDB">
        <w:t xml:space="preserve">  For interviews conducted by telephone, FRs will read to the respondents a condensed version of the advance letter that includes the information required by the Privacy Act.</w:t>
      </w:r>
    </w:p>
    <w:p w14:paraId="17DCE7E5" w14:textId="77777777" w:rsidR="000B2AB7" w:rsidRPr="000D2EDB" w:rsidRDefault="000B2AB7" w:rsidP="004F5950">
      <w:pPr>
        <w:pStyle w:val="BodyTextIndent3"/>
        <w:numPr>
          <w:ilvl w:val="0"/>
          <w:numId w:val="0"/>
        </w:numPr>
        <w:ind w:left="720"/>
      </w:pPr>
    </w:p>
    <w:p w14:paraId="10B8F571" w14:textId="77777777" w:rsidR="000B2AB7" w:rsidRPr="000D2EDB" w:rsidRDefault="000B2AB7" w:rsidP="004F5950">
      <w:pPr>
        <w:pStyle w:val="BodyTextIndent3"/>
        <w:numPr>
          <w:ilvl w:val="0"/>
          <w:numId w:val="0"/>
        </w:numPr>
        <w:ind w:left="720"/>
      </w:pPr>
      <w:r w:rsidRPr="000D2EDB">
        <w:t>After the interview is completed, the FRs will give the respondents a "Thank You" Letter (AHS</w:t>
      </w:r>
      <w:r w:rsidR="00CD7147" w:rsidRPr="000D2EDB">
        <w:t>-</w:t>
      </w:r>
      <w:r w:rsidRPr="000D2EDB">
        <w:t xml:space="preserve">28/68(L)).  Both the Advance Letter and the Thank You </w:t>
      </w:r>
      <w:r w:rsidR="00CD7147" w:rsidRPr="000D2EDB">
        <w:t xml:space="preserve">Letter </w:t>
      </w:r>
      <w:r w:rsidRPr="000D2EDB">
        <w:t>state that all information respondents give to the Census Bureau employees is held in strict confidence by Title 13, United States Code.  Each FR has taken an oath to this effect and is subject to a jail term, fine, or both, if he/she discloses any information given him/her.</w:t>
      </w:r>
    </w:p>
    <w:p w14:paraId="22AC9AD6" w14:textId="77777777" w:rsidR="000B2AB7" w:rsidRPr="000D2EDB" w:rsidRDefault="000B2AB7" w:rsidP="004F5950">
      <w:pPr>
        <w:pStyle w:val="BodyTextIndent3"/>
        <w:numPr>
          <w:ilvl w:val="0"/>
          <w:numId w:val="0"/>
        </w:numPr>
        <w:ind w:left="720"/>
      </w:pPr>
    </w:p>
    <w:p w14:paraId="52BCD2B7" w14:textId="77777777" w:rsidR="000B2AB7" w:rsidRPr="000D2EDB" w:rsidRDefault="000B2AB7" w:rsidP="004F5950">
      <w:pPr>
        <w:pStyle w:val="BodyTextIndent3"/>
        <w:numPr>
          <w:ilvl w:val="0"/>
          <w:numId w:val="0"/>
        </w:numPr>
        <w:ind w:left="720"/>
      </w:pPr>
      <w:r w:rsidRPr="000D2EDB">
        <w:lastRenderedPageBreak/>
        <w:t xml:space="preserve">The data collected under this agreement are confidential under Title 13, U.S.C., Section 9.  Should </w:t>
      </w:r>
      <w:r w:rsidR="008C6429" w:rsidRPr="000D2EDB">
        <w:t>HUD</w:t>
      </w:r>
      <w:r w:rsidRPr="000D2EDB">
        <w:t xml:space="preserve">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clearance and they must take Title 13 Awareness Training.</w:t>
      </w:r>
    </w:p>
    <w:p w14:paraId="30ECA18E" w14:textId="77777777" w:rsidR="000B2AB7" w:rsidRPr="000D2EDB" w:rsidRDefault="000B2AB7" w:rsidP="004F5950"/>
    <w:p w14:paraId="00FE8DB8" w14:textId="77777777" w:rsidR="000B2AB7" w:rsidRPr="000D2EDB" w:rsidRDefault="000B2AB7" w:rsidP="004F5950">
      <w:pPr>
        <w:pStyle w:val="BodyTextIndent3"/>
        <w:numPr>
          <w:ilvl w:val="0"/>
          <w:numId w:val="0"/>
        </w:numPr>
        <w:ind w:left="720"/>
      </w:pPr>
      <w:r w:rsidRPr="000D2EDB">
        <w:t xml:space="preserve">Any access to Title 13 data at </w:t>
      </w:r>
      <w:r w:rsidR="008C6429" w:rsidRPr="000D2EDB">
        <w:t>HUD</w:t>
      </w:r>
      <w:r w:rsidRPr="000D2EDB">
        <w:t xml:space="preserve"> is subject to prior approval by the Census Bureau's Data Stewardship Executive Policy Committee upon assurance that the HUD facility and information technology security meet Census Bureau requirements.</w:t>
      </w:r>
    </w:p>
    <w:p w14:paraId="01740FC2" w14:textId="77777777" w:rsidR="004F5950" w:rsidRDefault="004F5950" w:rsidP="004F5950">
      <w:pPr>
        <w:pStyle w:val="Level1"/>
        <w:keepLines/>
        <w:spacing w:after="80"/>
        <w:ind w:left="0"/>
        <w:rPr>
          <w:rFonts w:ascii="Times New Roman" w:hAnsi="Times New Roman"/>
        </w:rPr>
      </w:pPr>
    </w:p>
    <w:p w14:paraId="3EFCD2E2" w14:textId="5CD1D902" w:rsidR="00D045FB" w:rsidRPr="00D045FB" w:rsidRDefault="000B2AB7" w:rsidP="004F5950">
      <w:pPr>
        <w:pStyle w:val="Level1"/>
        <w:keepLines/>
        <w:numPr>
          <w:ilvl w:val="0"/>
          <w:numId w:val="57"/>
        </w:numPr>
        <w:spacing w:after="80"/>
        <w:rPr>
          <w:rFonts w:ascii="Times New Roman" w:hAnsi="Times New Roman"/>
        </w:rPr>
      </w:pPr>
      <w:r w:rsidRPr="002D5DC1">
        <w:rPr>
          <w:rFonts w:ascii="Times New Roman" w:hAnsi="Times New Roman"/>
          <w:b/>
          <w:bCs/>
        </w:rPr>
        <w:t>Justification for Sensitive Questions</w:t>
      </w:r>
      <w:r w:rsidR="00D045FB">
        <w:rPr>
          <w:rFonts w:ascii="Times New Roman" w:hAnsi="Times New Roman"/>
          <w:b/>
          <w:bCs/>
        </w:rPr>
        <w:t xml:space="preserve"> –</w:t>
      </w:r>
    </w:p>
    <w:p w14:paraId="64B9C125" w14:textId="49D8CD2C" w:rsidR="002D5DC1" w:rsidRPr="002D5DC1" w:rsidRDefault="002D5DC1" w:rsidP="00A0470B">
      <w:pPr>
        <w:pStyle w:val="Level1"/>
        <w:keepLines/>
        <w:spacing w:after="80"/>
        <w:rPr>
          <w:rFonts w:ascii="Times New Roman" w:hAnsi="Times New Roman"/>
        </w:rPr>
      </w:pPr>
      <w:r w:rsidRPr="002D5DC1">
        <w:rPr>
          <w:rFonts w:ascii="Times New Roman" w:hAnsi="Times New Roman"/>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748A9FB" w14:textId="77777777" w:rsidR="000B2AB7" w:rsidRPr="000D2EDB" w:rsidRDefault="000B2AB7" w:rsidP="00A0470B">
      <w:pPr>
        <w:numPr>
          <w:ilvl w:val="12"/>
          <w:numId w:val="0"/>
        </w:numPr>
      </w:pPr>
    </w:p>
    <w:p w14:paraId="59ADB19D" w14:textId="77777777" w:rsidR="000B2AB7" w:rsidRPr="000D2EDB" w:rsidRDefault="000B2AB7" w:rsidP="00A0470B">
      <w:pPr>
        <w:pStyle w:val="BodyTextIndent3"/>
        <w:ind w:left="720"/>
      </w:pPr>
      <w:r w:rsidRPr="000D2EDB">
        <w:t>The survey does not include any questions of a sensitive nature.</w:t>
      </w:r>
    </w:p>
    <w:p w14:paraId="2DA5D7E2" w14:textId="77777777" w:rsidR="00A0470B" w:rsidRDefault="00A0470B" w:rsidP="00A0470B">
      <w:pPr>
        <w:pStyle w:val="Level1"/>
        <w:ind w:left="0"/>
        <w:rPr>
          <w:rFonts w:ascii="Times New Roman" w:hAnsi="Times New Roman"/>
          <w:b/>
        </w:rPr>
      </w:pPr>
    </w:p>
    <w:p w14:paraId="11929D79" w14:textId="0486C603" w:rsidR="000B2AB7" w:rsidRPr="005A6A4A" w:rsidRDefault="000B2AB7" w:rsidP="00A0470B">
      <w:pPr>
        <w:pStyle w:val="Level1"/>
        <w:numPr>
          <w:ilvl w:val="0"/>
          <w:numId w:val="57"/>
        </w:numPr>
        <w:rPr>
          <w:rFonts w:ascii="Times New Roman" w:hAnsi="Times New Roman"/>
          <w:b/>
        </w:rPr>
      </w:pPr>
      <w:r w:rsidRPr="000D2EDB">
        <w:rPr>
          <w:rFonts w:ascii="Times New Roman" w:hAnsi="Times New Roman"/>
          <w:b/>
        </w:rPr>
        <w:t xml:space="preserve">Estimate of Hour Burden </w:t>
      </w:r>
    </w:p>
    <w:p w14:paraId="40AFE507" w14:textId="77777777" w:rsidR="000B2AB7" w:rsidRPr="005A6A4A" w:rsidRDefault="000B2AB7" w:rsidP="002977DE">
      <w:pPr>
        <w:numPr>
          <w:ilvl w:val="12"/>
          <w:numId w:val="0"/>
        </w:numPr>
        <w:ind w:left="333"/>
        <w:rPr>
          <w:b/>
          <w:color w:val="FF0000"/>
        </w:rPr>
      </w:pPr>
    </w:p>
    <w:p w14:paraId="131F61F3" w14:textId="3D9F0659" w:rsidR="000D2EDB" w:rsidRPr="00281C7A" w:rsidRDefault="000D2EDB" w:rsidP="00A0470B">
      <w:pPr>
        <w:pStyle w:val="BodyTextIndent3"/>
        <w:ind w:left="720"/>
      </w:pPr>
      <w:r w:rsidRPr="00281C7A">
        <w:t xml:space="preserve">We estimate the respondent burden hours to be </w:t>
      </w:r>
      <w:r>
        <w:t xml:space="preserve">about </w:t>
      </w:r>
      <w:r w:rsidR="00BD5B56">
        <w:t xml:space="preserve">rounded </w:t>
      </w:r>
      <w:r w:rsidR="003374F1">
        <w:t>6</w:t>
      </w:r>
      <w:r w:rsidR="00BD5B56">
        <w:t>2</w:t>
      </w:r>
      <w:r w:rsidR="003374F1">
        <w:t>,</w:t>
      </w:r>
      <w:r w:rsidR="00BD5B56">
        <w:t>524</w:t>
      </w:r>
      <w:r>
        <w:t xml:space="preserve"> hours</w:t>
      </w:r>
      <w:r w:rsidRPr="00281C7A">
        <w:t xml:space="preserve">. </w:t>
      </w:r>
      <w:r w:rsidR="00E5505E">
        <w:t xml:space="preserve"> Please refer to the table on the following page</w:t>
      </w:r>
      <w:r w:rsidRPr="00281C7A">
        <w:t xml:space="preserve"> for more detailed information.</w:t>
      </w:r>
    </w:p>
    <w:p w14:paraId="291F6589" w14:textId="28405EF7" w:rsidR="00FE056F" w:rsidRDefault="00FE056F" w:rsidP="002977DE">
      <w:pPr>
        <w:pStyle w:val="BodyTextIndent3"/>
        <w:ind w:left="1413"/>
        <w:rPr>
          <w:b/>
          <w:color w:val="FF0000"/>
        </w:rPr>
      </w:pPr>
    </w:p>
    <w:tbl>
      <w:tblPr>
        <w:tblW w:w="9260" w:type="dxa"/>
        <w:tblInd w:w="602" w:type="dxa"/>
        <w:tblCellMar>
          <w:left w:w="0" w:type="dxa"/>
          <w:right w:w="0" w:type="dxa"/>
        </w:tblCellMar>
        <w:tblLook w:val="04A0" w:firstRow="1" w:lastRow="0" w:firstColumn="1" w:lastColumn="0" w:noHBand="0" w:noVBand="1"/>
      </w:tblPr>
      <w:tblGrid>
        <w:gridCol w:w="1630"/>
        <w:gridCol w:w="1306"/>
        <w:gridCol w:w="1127"/>
        <w:gridCol w:w="1094"/>
        <w:gridCol w:w="1017"/>
        <w:gridCol w:w="861"/>
        <w:gridCol w:w="1017"/>
        <w:gridCol w:w="1208"/>
      </w:tblGrid>
      <w:tr w:rsidR="0063650E" w:rsidRPr="0063650E" w14:paraId="1AAB9734" w14:textId="77777777" w:rsidTr="00A0470B">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B1E5A" w14:textId="77777777" w:rsidR="0063650E" w:rsidRPr="0063650E" w:rsidRDefault="0063650E" w:rsidP="0063650E">
            <w:pPr>
              <w:overflowPunct w:val="0"/>
              <w:autoSpaceDE w:val="0"/>
              <w:autoSpaceDN w:val="0"/>
              <w:jc w:val="center"/>
              <w:rPr>
                <w:rFonts w:eastAsia="Calibri"/>
                <w:b/>
                <w:bCs/>
                <w:color w:val="000000"/>
                <w:sz w:val="20"/>
                <w:szCs w:val="20"/>
              </w:rPr>
            </w:pPr>
            <w:r w:rsidRPr="0063650E">
              <w:rPr>
                <w:rFonts w:eastAsia="Calibri"/>
                <w:b/>
                <w:bCs/>
                <w:color w:val="000000"/>
                <w:sz w:val="20"/>
                <w:szCs w:val="20"/>
              </w:rPr>
              <w:t>Information Collection</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9835A4" w14:textId="77777777" w:rsidR="0063650E" w:rsidRPr="0063650E" w:rsidRDefault="0063650E" w:rsidP="0063650E">
            <w:pPr>
              <w:overflowPunct w:val="0"/>
              <w:autoSpaceDE w:val="0"/>
              <w:autoSpaceDN w:val="0"/>
              <w:jc w:val="center"/>
              <w:rPr>
                <w:rFonts w:eastAsia="Calibri"/>
                <w:b/>
                <w:bCs/>
                <w:color w:val="000000"/>
                <w:sz w:val="20"/>
                <w:szCs w:val="20"/>
              </w:rPr>
            </w:pPr>
            <w:r w:rsidRPr="0063650E">
              <w:rPr>
                <w:rFonts w:eastAsia="Calibri"/>
                <w:b/>
                <w:bCs/>
                <w:color w:val="000000"/>
                <w:sz w:val="20"/>
                <w:szCs w:val="20"/>
              </w:rPr>
              <w:t>Number of Respondents</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EB156" w14:textId="77777777" w:rsidR="0063650E" w:rsidRPr="0063650E" w:rsidRDefault="0063650E" w:rsidP="0063650E">
            <w:pPr>
              <w:overflowPunct w:val="0"/>
              <w:autoSpaceDE w:val="0"/>
              <w:autoSpaceDN w:val="0"/>
              <w:jc w:val="center"/>
              <w:rPr>
                <w:rFonts w:eastAsia="Calibri"/>
                <w:b/>
                <w:bCs/>
                <w:color w:val="000000"/>
                <w:sz w:val="20"/>
                <w:szCs w:val="20"/>
              </w:rPr>
            </w:pPr>
            <w:r w:rsidRPr="0063650E">
              <w:rPr>
                <w:rFonts w:eastAsia="Calibri"/>
                <w:b/>
                <w:bCs/>
                <w:color w:val="000000"/>
                <w:sz w:val="20"/>
                <w:szCs w:val="20"/>
              </w:rPr>
              <w:t>Frequency of Response</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62B7F" w14:textId="77777777" w:rsidR="0063650E" w:rsidRPr="0063650E" w:rsidRDefault="0063650E" w:rsidP="0063650E">
            <w:pPr>
              <w:jc w:val="center"/>
              <w:rPr>
                <w:rFonts w:eastAsia="Calibri"/>
                <w:b/>
                <w:bCs/>
                <w:color w:val="000000"/>
                <w:sz w:val="20"/>
                <w:szCs w:val="20"/>
              </w:rPr>
            </w:pPr>
            <w:r w:rsidRPr="0063650E">
              <w:rPr>
                <w:rFonts w:eastAsia="Calibri"/>
                <w:b/>
                <w:bCs/>
                <w:color w:val="000000"/>
                <w:sz w:val="20"/>
                <w:szCs w:val="20"/>
              </w:rPr>
              <w:t>Responses</w:t>
            </w:r>
          </w:p>
          <w:p w14:paraId="6AEF9F9E" w14:textId="77777777" w:rsidR="0063650E" w:rsidRPr="0063650E" w:rsidRDefault="0063650E" w:rsidP="0063650E">
            <w:pPr>
              <w:overflowPunct w:val="0"/>
              <w:autoSpaceDE w:val="0"/>
              <w:autoSpaceDN w:val="0"/>
              <w:jc w:val="center"/>
              <w:rPr>
                <w:rFonts w:eastAsia="Calibri"/>
                <w:b/>
                <w:bCs/>
                <w:color w:val="000000"/>
                <w:sz w:val="20"/>
                <w:szCs w:val="20"/>
              </w:rPr>
            </w:pPr>
            <w:r w:rsidRPr="0063650E">
              <w:rPr>
                <w:rFonts w:eastAsia="Calibri"/>
                <w:b/>
                <w:bCs/>
                <w:color w:val="000000"/>
                <w:sz w:val="20"/>
                <w:szCs w:val="20"/>
              </w:rPr>
              <w:t>Per Annum</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B739A" w14:textId="77777777" w:rsidR="0063650E" w:rsidRPr="0063650E" w:rsidRDefault="0063650E" w:rsidP="0063650E">
            <w:pPr>
              <w:overflowPunct w:val="0"/>
              <w:autoSpaceDE w:val="0"/>
              <w:autoSpaceDN w:val="0"/>
              <w:jc w:val="center"/>
              <w:rPr>
                <w:rFonts w:eastAsia="Calibri"/>
                <w:b/>
                <w:bCs/>
                <w:color w:val="000000"/>
                <w:sz w:val="20"/>
                <w:szCs w:val="20"/>
              </w:rPr>
            </w:pPr>
            <w:r w:rsidRPr="0063650E">
              <w:rPr>
                <w:rFonts w:eastAsia="Calibri"/>
                <w:b/>
                <w:bCs/>
                <w:color w:val="000000"/>
                <w:sz w:val="20"/>
                <w:szCs w:val="20"/>
              </w:rPr>
              <w:t>Burden Hour Per Response</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E9084" w14:textId="77777777" w:rsidR="0063650E" w:rsidRPr="0063650E" w:rsidRDefault="0063650E" w:rsidP="0063650E">
            <w:pPr>
              <w:overflowPunct w:val="0"/>
              <w:autoSpaceDE w:val="0"/>
              <w:autoSpaceDN w:val="0"/>
              <w:jc w:val="center"/>
              <w:rPr>
                <w:rFonts w:eastAsia="Calibri"/>
                <w:b/>
                <w:bCs/>
                <w:color w:val="000000"/>
                <w:sz w:val="20"/>
                <w:szCs w:val="20"/>
              </w:rPr>
            </w:pPr>
            <w:r w:rsidRPr="0063650E">
              <w:rPr>
                <w:rFonts w:eastAsia="Calibri"/>
                <w:b/>
                <w:bCs/>
                <w:color w:val="000000"/>
                <w:sz w:val="20"/>
                <w:szCs w:val="20"/>
              </w:rPr>
              <w:t>Annual Burden Hours</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9B1349" w14:textId="77777777" w:rsidR="0063650E" w:rsidRPr="0063650E" w:rsidRDefault="0063650E" w:rsidP="0063650E">
            <w:pPr>
              <w:overflowPunct w:val="0"/>
              <w:autoSpaceDE w:val="0"/>
              <w:autoSpaceDN w:val="0"/>
              <w:jc w:val="center"/>
              <w:rPr>
                <w:rFonts w:eastAsia="Calibri"/>
                <w:b/>
                <w:bCs/>
                <w:color w:val="000000"/>
                <w:sz w:val="20"/>
                <w:szCs w:val="20"/>
              </w:rPr>
            </w:pPr>
            <w:r w:rsidRPr="0063650E">
              <w:rPr>
                <w:rFonts w:eastAsia="Calibri"/>
                <w:b/>
                <w:bCs/>
                <w:color w:val="000000"/>
                <w:sz w:val="20"/>
                <w:szCs w:val="20"/>
              </w:rPr>
              <w:t>Hourly Cost Per Response</w:t>
            </w:r>
          </w:p>
        </w:tc>
        <w:tc>
          <w:tcPr>
            <w:tcW w:w="1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3FB09C" w14:textId="77777777" w:rsidR="0063650E" w:rsidRPr="0063650E" w:rsidRDefault="0063650E" w:rsidP="0063650E">
            <w:pPr>
              <w:jc w:val="center"/>
              <w:rPr>
                <w:rFonts w:eastAsia="Calibri"/>
                <w:b/>
                <w:bCs/>
                <w:color w:val="000000"/>
                <w:sz w:val="20"/>
                <w:szCs w:val="20"/>
              </w:rPr>
            </w:pPr>
            <w:r w:rsidRPr="0063650E">
              <w:rPr>
                <w:rFonts w:eastAsia="Calibri"/>
                <w:b/>
                <w:bCs/>
                <w:color w:val="000000"/>
                <w:sz w:val="20"/>
                <w:szCs w:val="20"/>
              </w:rPr>
              <w:t>Annual Cost</w:t>
            </w:r>
          </w:p>
          <w:p w14:paraId="12672964" w14:textId="77777777" w:rsidR="0063650E" w:rsidRPr="0063650E" w:rsidRDefault="0063650E" w:rsidP="0063650E">
            <w:pPr>
              <w:overflowPunct w:val="0"/>
              <w:autoSpaceDE w:val="0"/>
              <w:autoSpaceDN w:val="0"/>
              <w:jc w:val="center"/>
              <w:rPr>
                <w:rFonts w:eastAsia="Calibri"/>
                <w:b/>
                <w:bCs/>
                <w:color w:val="000000"/>
                <w:sz w:val="20"/>
                <w:szCs w:val="20"/>
              </w:rPr>
            </w:pPr>
          </w:p>
        </w:tc>
      </w:tr>
      <w:tr w:rsidR="0063650E" w:rsidRPr="0063650E" w14:paraId="6D13DC79" w14:textId="77777777" w:rsidTr="00A0470B">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4705F" w14:textId="1DEE58FC" w:rsidR="0063650E" w:rsidRPr="0063650E" w:rsidRDefault="00A000DB" w:rsidP="0063650E">
            <w:pPr>
              <w:overflowPunct w:val="0"/>
              <w:autoSpaceDE w:val="0"/>
              <w:autoSpaceDN w:val="0"/>
              <w:adjustRightInd w:val="0"/>
              <w:textAlignment w:val="baseline"/>
              <w:rPr>
                <w:sz w:val="20"/>
                <w:szCs w:val="20"/>
              </w:rPr>
            </w:pPr>
            <w:r>
              <w:rPr>
                <w:sz w:val="20"/>
                <w:szCs w:val="20"/>
              </w:rPr>
              <w:t>Occupied Interviews</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47E7B51E" w14:textId="67E349F0" w:rsidR="0063650E" w:rsidRPr="0063650E" w:rsidRDefault="00A000DB" w:rsidP="00447671">
            <w:pPr>
              <w:overflowPunct w:val="0"/>
              <w:autoSpaceDE w:val="0"/>
              <w:autoSpaceDN w:val="0"/>
              <w:adjustRightInd w:val="0"/>
              <w:jc w:val="right"/>
              <w:textAlignment w:val="baseline"/>
              <w:rPr>
                <w:sz w:val="20"/>
                <w:szCs w:val="20"/>
              </w:rPr>
            </w:pPr>
            <w:r>
              <w:rPr>
                <w:sz w:val="20"/>
                <w:szCs w:val="20"/>
              </w:rPr>
              <w:t>86,392</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F1C1A1D" w14:textId="2CE48BFA" w:rsidR="0063650E" w:rsidRPr="0063650E" w:rsidRDefault="00A000DB" w:rsidP="00447671">
            <w:pPr>
              <w:overflowPunct w:val="0"/>
              <w:autoSpaceDE w:val="0"/>
              <w:autoSpaceDN w:val="0"/>
              <w:adjustRightInd w:val="0"/>
              <w:jc w:val="right"/>
              <w:textAlignment w:val="baseline"/>
              <w:rPr>
                <w:sz w:val="20"/>
                <w:szCs w:val="20"/>
              </w:rPr>
            </w:pPr>
            <w:r>
              <w:rPr>
                <w:sz w:val="20"/>
                <w:szCs w:val="20"/>
              </w:rPr>
              <w:t>once</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142298B0" w14:textId="2A2248C6" w:rsidR="0063650E" w:rsidRPr="0063650E" w:rsidRDefault="00A000DB" w:rsidP="00447671">
            <w:pPr>
              <w:overflowPunct w:val="0"/>
              <w:autoSpaceDE w:val="0"/>
              <w:autoSpaceDN w:val="0"/>
              <w:adjustRightInd w:val="0"/>
              <w:jc w:val="right"/>
              <w:textAlignment w:val="baseline"/>
              <w:rPr>
                <w:sz w:val="20"/>
                <w:szCs w:val="20"/>
              </w:rPr>
            </w:pPr>
            <w:r>
              <w:rPr>
                <w:sz w:val="20"/>
                <w:szCs w:val="20"/>
              </w:rPr>
              <w:t>once</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E485CBA" w14:textId="1906CCCE" w:rsidR="0063650E" w:rsidRPr="0063650E" w:rsidRDefault="00A000DB" w:rsidP="00447671">
            <w:pPr>
              <w:overflowPunct w:val="0"/>
              <w:autoSpaceDE w:val="0"/>
              <w:autoSpaceDN w:val="0"/>
              <w:adjustRightInd w:val="0"/>
              <w:jc w:val="right"/>
              <w:textAlignment w:val="baseline"/>
              <w:rPr>
                <w:sz w:val="20"/>
                <w:szCs w:val="20"/>
              </w:rPr>
            </w:pPr>
            <w:r>
              <w:rPr>
                <w:sz w:val="20"/>
                <w:szCs w:val="20"/>
              </w:rPr>
              <w:t>.66</w:t>
            </w:r>
          </w:p>
        </w:tc>
        <w:tc>
          <w:tcPr>
            <w:tcW w:w="861" w:type="dxa"/>
            <w:tcBorders>
              <w:top w:val="nil"/>
              <w:left w:val="nil"/>
              <w:bottom w:val="single" w:sz="8" w:space="0" w:color="auto"/>
              <w:right w:val="single" w:sz="8" w:space="0" w:color="auto"/>
            </w:tcBorders>
            <w:tcMar>
              <w:top w:w="0" w:type="dxa"/>
              <w:left w:w="108" w:type="dxa"/>
              <w:bottom w:w="0" w:type="dxa"/>
              <w:right w:w="108" w:type="dxa"/>
            </w:tcMar>
          </w:tcPr>
          <w:p w14:paraId="0919F54F" w14:textId="05D1A7E0" w:rsidR="0063650E" w:rsidRPr="0063650E" w:rsidRDefault="00A000DB" w:rsidP="00DF368A">
            <w:pPr>
              <w:overflowPunct w:val="0"/>
              <w:autoSpaceDE w:val="0"/>
              <w:autoSpaceDN w:val="0"/>
              <w:adjustRightInd w:val="0"/>
              <w:jc w:val="right"/>
              <w:textAlignment w:val="baseline"/>
              <w:rPr>
                <w:sz w:val="20"/>
                <w:szCs w:val="20"/>
              </w:rPr>
            </w:pPr>
            <w:r>
              <w:rPr>
                <w:sz w:val="20"/>
                <w:szCs w:val="20"/>
              </w:rPr>
              <w:t>57,</w:t>
            </w:r>
            <w:r w:rsidR="00DF368A">
              <w:rPr>
                <w:sz w:val="20"/>
                <w:szCs w:val="20"/>
              </w:rPr>
              <w:t>019</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43E491D8" w14:textId="11D7A475" w:rsidR="0063650E" w:rsidRPr="0063650E" w:rsidRDefault="00237F06" w:rsidP="00447671">
            <w:pPr>
              <w:overflowPunct w:val="0"/>
              <w:autoSpaceDE w:val="0"/>
              <w:autoSpaceDN w:val="0"/>
              <w:adjustRightInd w:val="0"/>
              <w:jc w:val="right"/>
              <w:textAlignment w:val="baseline"/>
              <w:rPr>
                <w:sz w:val="20"/>
                <w:szCs w:val="20"/>
              </w:rPr>
            </w:pPr>
            <w:r>
              <w:rPr>
                <w:sz w:val="20"/>
                <w:szCs w:val="20"/>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14:paraId="32BBE383" w14:textId="36FF0F07" w:rsidR="0063650E" w:rsidRPr="0063650E" w:rsidRDefault="00A000DB" w:rsidP="00447671">
            <w:pPr>
              <w:overflowPunct w:val="0"/>
              <w:autoSpaceDE w:val="0"/>
              <w:autoSpaceDN w:val="0"/>
              <w:adjustRightInd w:val="0"/>
              <w:jc w:val="right"/>
              <w:textAlignment w:val="baseline"/>
              <w:rPr>
                <w:sz w:val="20"/>
                <w:szCs w:val="20"/>
              </w:rPr>
            </w:pPr>
            <w:r>
              <w:rPr>
                <w:sz w:val="20"/>
                <w:szCs w:val="20"/>
              </w:rPr>
              <w:t>$0</w:t>
            </w:r>
          </w:p>
        </w:tc>
      </w:tr>
      <w:tr w:rsidR="00237F06" w:rsidRPr="0063650E" w14:paraId="6D50B2F2" w14:textId="77777777" w:rsidTr="00A0470B">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4C4418" w14:textId="0A8243EB" w:rsidR="00237F06" w:rsidRDefault="00237F06" w:rsidP="00237F06">
            <w:pPr>
              <w:overflowPunct w:val="0"/>
              <w:autoSpaceDE w:val="0"/>
              <w:autoSpaceDN w:val="0"/>
              <w:adjustRightInd w:val="0"/>
              <w:textAlignment w:val="baseline"/>
              <w:rPr>
                <w:sz w:val="20"/>
                <w:szCs w:val="20"/>
              </w:rPr>
            </w:pPr>
            <w:r>
              <w:rPr>
                <w:sz w:val="20"/>
                <w:szCs w:val="20"/>
              </w:rPr>
              <w:t>Vacant Interviews</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5FDD13F9" w14:textId="22552D9D" w:rsidR="00237F06" w:rsidRDefault="00237F06" w:rsidP="00447671">
            <w:pPr>
              <w:overflowPunct w:val="0"/>
              <w:autoSpaceDE w:val="0"/>
              <w:autoSpaceDN w:val="0"/>
              <w:adjustRightInd w:val="0"/>
              <w:jc w:val="right"/>
              <w:textAlignment w:val="baseline"/>
              <w:rPr>
                <w:sz w:val="20"/>
                <w:szCs w:val="20"/>
              </w:rPr>
            </w:pPr>
            <w:r>
              <w:rPr>
                <w:sz w:val="20"/>
                <w:szCs w:val="20"/>
              </w:rPr>
              <w:t>12,325</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F542DB2" w14:textId="7E977537"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1B69D145" w14:textId="4D554EBD"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458E021B" w14:textId="59BD2D70" w:rsidR="00237F06" w:rsidRDefault="00237F06" w:rsidP="00447671">
            <w:pPr>
              <w:overflowPunct w:val="0"/>
              <w:autoSpaceDE w:val="0"/>
              <w:autoSpaceDN w:val="0"/>
              <w:adjustRightInd w:val="0"/>
              <w:jc w:val="right"/>
              <w:textAlignment w:val="baseline"/>
              <w:rPr>
                <w:sz w:val="20"/>
                <w:szCs w:val="20"/>
              </w:rPr>
            </w:pPr>
            <w:r>
              <w:rPr>
                <w:sz w:val="20"/>
                <w:szCs w:val="20"/>
              </w:rPr>
              <w:t>.33</w:t>
            </w:r>
          </w:p>
        </w:tc>
        <w:tc>
          <w:tcPr>
            <w:tcW w:w="861" w:type="dxa"/>
            <w:tcBorders>
              <w:top w:val="nil"/>
              <w:left w:val="nil"/>
              <w:bottom w:val="single" w:sz="8" w:space="0" w:color="auto"/>
              <w:right w:val="single" w:sz="8" w:space="0" w:color="auto"/>
            </w:tcBorders>
            <w:tcMar>
              <w:top w:w="0" w:type="dxa"/>
              <w:left w:w="108" w:type="dxa"/>
              <w:bottom w:w="0" w:type="dxa"/>
              <w:right w:w="108" w:type="dxa"/>
            </w:tcMar>
          </w:tcPr>
          <w:p w14:paraId="73F3AEEE" w14:textId="087616C0" w:rsidR="00237F06" w:rsidRDefault="00237F06" w:rsidP="00DF368A">
            <w:pPr>
              <w:overflowPunct w:val="0"/>
              <w:autoSpaceDE w:val="0"/>
              <w:autoSpaceDN w:val="0"/>
              <w:adjustRightInd w:val="0"/>
              <w:jc w:val="right"/>
              <w:textAlignment w:val="baseline"/>
              <w:rPr>
                <w:sz w:val="20"/>
                <w:szCs w:val="20"/>
              </w:rPr>
            </w:pPr>
            <w:r>
              <w:rPr>
                <w:sz w:val="20"/>
                <w:szCs w:val="20"/>
              </w:rPr>
              <w:t>4,</w:t>
            </w:r>
            <w:r w:rsidR="00DF368A">
              <w:rPr>
                <w:sz w:val="20"/>
                <w:szCs w:val="20"/>
              </w:rPr>
              <w:t>067</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668ADA98" w14:textId="118C3292" w:rsidR="00237F06" w:rsidRDefault="00237F06" w:rsidP="00447671">
            <w:pPr>
              <w:overflowPunct w:val="0"/>
              <w:autoSpaceDE w:val="0"/>
              <w:autoSpaceDN w:val="0"/>
              <w:adjustRightInd w:val="0"/>
              <w:jc w:val="right"/>
              <w:textAlignment w:val="baseline"/>
              <w:rPr>
                <w:sz w:val="20"/>
                <w:szCs w:val="20"/>
              </w:rPr>
            </w:pPr>
            <w:r w:rsidRPr="00242E29">
              <w:rPr>
                <w:sz w:val="20"/>
                <w:szCs w:val="20"/>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14:paraId="77F0D60D" w14:textId="6470E2F1" w:rsidR="00237F06" w:rsidRDefault="00237F06" w:rsidP="00447671">
            <w:pPr>
              <w:overflowPunct w:val="0"/>
              <w:autoSpaceDE w:val="0"/>
              <w:autoSpaceDN w:val="0"/>
              <w:adjustRightInd w:val="0"/>
              <w:jc w:val="right"/>
              <w:textAlignment w:val="baseline"/>
              <w:rPr>
                <w:sz w:val="20"/>
                <w:szCs w:val="20"/>
              </w:rPr>
            </w:pPr>
            <w:r>
              <w:rPr>
                <w:sz w:val="20"/>
                <w:szCs w:val="20"/>
              </w:rPr>
              <w:t>$0</w:t>
            </w:r>
          </w:p>
        </w:tc>
      </w:tr>
      <w:tr w:rsidR="00237F06" w:rsidRPr="0063650E" w14:paraId="3B86A405" w14:textId="77777777" w:rsidTr="00A0470B">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F0A57" w14:textId="0B092211" w:rsidR="00237F06" w:rsidRDefault="00237F06" w:rsidP="00237F06">
            <w:pPr>
              <w:overflowPunct w:val="0"/>
              <w:autoSpaceDE w:val="0"/>
              <w:autoSpaceDN w:val="0"/>
              <w:adjustRightInd w:val="0"/>
              <w:textAlignment w:val="baseline"/>
              <w:rPr>
                <w:sz w:val="20"/>
                <w:szCs w:val="20"/>
              </w:rPr>
            </w:pPr>
            <w:r>
              <w:rPr>
                <w:sz w:val="20"/>
                <w:szCs w:val="20"/>
              </w:rPr>
              <w:t>Non-interviews</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429CA092" w14:textId="4C21BA0D" w:rsidR="00237F06" w:rsidRDefault="00237F06" w:rsidP="00447671">
            <w:pPr>
              <w:overflowPunct w:val="0"/>
              <w:autoSpaceDE w:val="0"/>
              <w:autoSpaceDN w:val="0"/>
              <w:adjustRightInd w:val="0"/>
              <w:jc w:val="right"/>
              <w:textAlignment w:val="baseline"/>
              <w:rPr>
                <w:sz w:val="20"/>
                <w:szCs w:val="20"/>
              </w:rPr>
            </w:pPr>
            <w:r>
              <w:rPr>
                <w:sz w:val="20"/>
                <w:szCs w:val="20"/>
              </w:rPr>
              <w:t>17,399</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0DC8C959" w14:textId="70E6A59A"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6AE119AC" w14:textId="10D980EA"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58A2BA1E" w14:textId="404BDAD8" w:rsidR="00237F06" w:rsidRDefault="00237F06" w:rsidP="00447671">
            <w:pPr>
              <w:overflowPunct w:val="0"/>
              <w:autoSpaceDE w:val="0"/>
              <w:autoSpaceDN w:val="0"/>
              <w:adjustRightInd w:val="0"/>
              <w:jc w:val="right"/>
              <w:textAlignment w:val="baseline"/>
              <w:rPr>
                <w:sz w:val="20"/>
                <w:szCs w:val="20"/>
              </w:rPr>
            </w:pPr>
            <w:r>
              <w:rPr>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tcPr>
          <w:p w14:paraId="75CAFA9F" w14:textId="1356E7AB" w:rsidR="00237F06" w:rsidRDefault="00237F06" w:rsidP="00447671">
            <w:pPr>
              <w:overflowPunct w:val="0"/>
              <w:autoSpaceDE w:val="0"/>
              <w:autoSpaceDN w:val="0"/>
              <w:adjustRightInd w:val="0"/>
              <w:jc w:val="right"/>
              <w:textAlignment w:val="baseline"/>
              <w:rPr>
                <w:sz w:val="20"/>
                <w:szCs w:val="20"/>
              </w:rPr>
            </w:pPr>
            <w:r>
              <w:rPr>
                <w:sz w:val="20"/>
                <w:szCs w:val="20"/>
              </w:rPr>
              <w:t>0</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6FD8AEB" w14:textId="3168BFD0" w:rsidR="00237F06" w:rsidRDefault="00237F06" w:rsidP="00447671">
            <w:pPr>
              <w:overflowPunct w:val="0"/>
              <w:autoSpaceDE w:val="0"/>
              <w:autoSpaceDN w:val="0"/>
              <w:adjustRightInd w:val="0"/>
              <w:jc w:val="right"/>
              <w:textAlignment w:val="baseline"/>
              <w:rPr>
                <w:sz w:val="20"/>
                <w:szCs w:val="20"/>
              </w:rPr>
            </w:pPr>
            <w:r w:rsidRPr="00242E29">
              <w:rPr>
                <w:sz w:val="20"/>
                <w:szCs w:val="20"/>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14:paraId="47C7153D" w14:textId="7E187919" w:rsidR="00237F06" w:rsidRDefault="00237F06" w:rsidP="00447671">
            <w:pPr>
              <w:overflowPunct w:val="0"/>
              <w:autoSpaceDE w:val="0"/>
              <w:autoSpaceDN w:val="0"/>
              <w:adjustRightInd w:val="0"/>
              <w:jc w:val="right"/>
              <w:textAlignment w:val="baseline"/>
              <w:rPr>
                <w:sz w:val="20"/>
                <w:szCs w:val="20"/>
              </w:rPr>
            </w:pPr>
            <w:r>
              <w:rPr>
                <w:sz w:val="20"/>
                <w:szCs w:val="20"/>
              </w:rPr>
              <w:t>$0</w:t>
            </w:r>
          </w:p>
        </w:tc>
      </w:tr>
      <w:tr w:rsidR="00237F06" w:rsidRPr="0063650E" w14:paraId="26B0136F" w14:textId="77777777" w:rsidTr="00A0470B">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A0ACFB" w14:textId="2F91CB9A" w:rsidR="00237F06" w:rsidRDefault="00237F06" w:rsidP="00237F06">
            <w:pPr>
              <w:overflowPunct w:val="0"/>
              <w:autoSpaceDE w:val="0"/>
              <w:autoSpaceDN w:val="0"/>
              <w:adjustRightInd w:val="0"/>
              <w:textAlignment w:val="baseline"/>
              <w:rPr>
                <w:sz w:val="20"/>
                <w:szCs w:val="20"/>
              </w:rPr>
            </w:pPr>
            <w:r>
              <w:rPr>
                <w:sz w:val="20"/>
                <w:szCs w:val="20"/>
              </w:rPr>
              <w:t>Ineligible</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C18DB6B" w14:textId="5EA8FBC9" w:rsidR="00237F06" w:rsidRDefault="00237F06" w:rsidP="00447671">
            <w:pPr>
              <w:overflowPunct w:val="0"/>
              <w:autoSpaceDE w:val="0"/>
              <w:autoSpaceDN w:val="0"/>
              <w:adjustRightInd w:val="0"/>
              <w:jc w:val="right"/>
              <w:textAlignment w:val="baseline"/>
              <w:rPr>
                <w:sz w:val="20"/>
                <w:szCs w:val="20"/>
              </w:rPr>
            </w:pPr>
            <w:r>
              <w:rPr>
                <w:sz w:val="20"/>
                <w:szCs w:val="20"/>
              </w:rPr>
              <w:t>4,723</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60A68796" w14:textId="38564649"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6FAC7F19" w14:textId="1768A03D"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4794DAB7" w14:textId="5E80AE11" w:rsidR="00237F06" w:rsidRDefault="00237F06" w:rsidP="00447671">
            <w:pPr>
              <w:overflowPunct w:val="0"/>
              <w:autoSpaceDE w:val="0"/>
              <w:autoSpaceDN w:val="0"/>
              <w:adjustRightInd w:val="0"/>
              <w:jc w:val="right"/>
              <w:textAlignment w:val="baseline"/>
              <w:rPr>
                <w:sz w:val="20"/>
                <w:szCs w:val="20"/>
              </w:rPr>
            </w:pPr>
            <w:r>
              <w:rPr>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tcPr>
          <w:p w14:paraId="34978967" w14:textId="03B9CC8D" w:rsidR="00237F06" w:rsidRDefault="00237F06" w:rsidP="00447671">
            <w:pPr>
              <w:overflowPunct w:val="0"/>
              <w:autoSpaceDE w:val="0"/>
              <w:autoSpaceDN w:val="0"/>
              <w:adjustRightInd w:val="0"/>
              <w:jc w:val="right"/>
              <w:textAlignment w:val="baseline"/>
              <w:rPr>
                <w:sz w:val="20"/>
                <w:szCs w:val="20"/>
              </w:rPr>
            </w:pPr>
            <w:r>
              <w:rPr>
                <w:sz w:val="20"/>
                <w:szCs w:val="20"/>
              </w:rPr>
              <w:t>0</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347F15FA" w14:textId="21952610" w:rsidR="00237F06" w:rsidRDefault="00237F06" w:rsidP="00447671">
            <w:pPr>
              <w:overflowPunct w:val="0"/>
              <w:autoSpaceDE w:val="0"/>
              <w:autoSpaceDN w:val="0"/>
              <w:adjustRightInd w:val="0"/>
              <w:jc w:val="right"/>
              <w:textAlignment w:val="baseline"/>
              <w:rPr>
                <w:sz w:val="20"/>
                <w:szCs w:val="20"/>
              </w:rPr>
            </w:pPr>
            <w:r w:rsidRPr="00242E29">
              <w:rPr>
                <w:sz w:val="20"/>
                <w:szCs w:val="20"/>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14:paraId="0A7ADE55" w14:textId="740D068C" w:rsidR="00237F06" w:rsidRDefault="00237F06" w:rsidP="00447671">
            <w:pPr>
              <w:overflowPunct w:val="0"/>
              <w:autoSpaceDE w:val="0"/>
              <w:autoSpaceDN w:val="0"/>
              <w:adjustRightInd w:val="0"/>
              <w:jc w:val="right"/>
              <w:textAlignment w:val="baseline"/>
              <w:rPr>
                <w:sz w:val="20"/>
                <w:szCs w:val="20"/>
              </w:rPr>
            </w:pPr>
            <w:r>
              <w:rPr>
                <w:sz w:val="20"/>
                <w:szCs w:val="20"/>
              </w:rPr>
              <w:t>$0</w:t>
            </w:r>
          </w:p>
        </w:tc>
      </w:tr>
      <w:tr w:rsidR="00237F06" w:rsidRPr="0063650E" w14:paraId="0A3721C7" w14:textId="77777777" w:rsidTr="00A0470B">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D76547" w14:textId="7BC0EFDD" w:rsidR="00237F06" w:rsidRDefault="00237F06" w:rsidP="00237F06">
            <w:pPr>
              <w:overflowPunct w:val="0"/>
              <w:autoSpaceDE w:val="0"/>
              <w:autoSpaceDN w:val="0"/>
              <w:adjustRightInd w:val="0"/>
              <w:textAlignment w:val="baseline"/>
              <w:rPr>
                <w:sz w:val="20"/>
                <w:szCs w:val="20"/>
              </w:rPr>
            </w:pPr>
            <w:proofErr w:type="spellStart"/>
            <w:r>
              <w:rPr>
                <w:sz w:val="20"/>
                <w:szCs w:val="20"/>
              </w:rPr>
              <w:t>Reinterviews</w:t>
            </w:r>
            <w:proofErr w:type="spellEnd"/>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2255384D" w14:textId="54554D5A" w:rsidR="00237F06" w:rsidRDefault="00237F06" w:rsidP="00447671">
            <w:pPr>
              <w:overflowPunct w:val="0"/>
              <w:autoSpaceDE w:val="0"/>
              <w:autoSpaceDN w:val="0"/>
              <w:adjustRightInd w:val="0"/>
              <w:jc w:val="right"/>
              <w:textAlignment w:val="baseline"/>
              <w:rPr>
                <w:sz w:val="20"/>
                <w:szCs w:val="20"/>
              </w:rPr>
            </w:pPr>
            <w:r>
              <w:rPr>
                <w:sz w:val="20"/>
                <w:szCs w:val="20"/>
              </w:rPr>
              <w:t>8,458</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A5D9DD7" w14:textId="59005038"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347D1FF7" w14:textId="7C1251A0" w:rsidR="00237F06" w:rsidRDefault="00237F06" w:rsidP="00447671">
            <w:pPr>
              <w:overflowPunct w:val="0"/>
              <w:autoSpaceDE w:val="0"/>
              <w:autoSpaceDN w:val="0"/>
              <w:adjustRightInd w:val="0"/>
              <w:jc w:val="right"/>
              <w:textAlignment w:val="baseline"/>
              <w:rPr>
                <w:sz w:val="20"/>
                <w:szCs w:val="20"/>
              </w:rPr>
            </w:pPr>
            <w:r>
              <w:rPr>
                <w:sz w:val="20"/>
                <w:szCs w:val="20"/>
              </w:rPr>
              <w:t>once</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3F401EEC" w14:textId="70835DAF" w:rsidR="00237F06" w:rsidRDefault="00237F06" w:rsidP="00447671">
            <w:pPr>
              <w:overflowPunct w:val="0"/>
              <w:autoSpaceDE w:val="0"/>
              <w:autoSpaceDN w:val="0"/>
              <w:adjustRightInd w:val="0"/>
              <w:jc w:val="right"/>
              <w:textAlignment w:val="baseline"/>
              <w:rPr>
                <w:sz w:val="20"/>
                <w:szCs w:val="20"/>
              </w:rPr>
            </w:pPr>
            <w:r>
              <w:rPr>
                <w:sz w:val="20"/>
                <w:szCs w:val="20"/>
              </w:rPr>
              <w:t>.17</w:t>
            </w:r>
          </w:p>
        </w:tc>
        <w:tc>
          <w:tcPr>
            <w:tcW w:w="861" w:type="dxa"/>
            <w:tcBorders>
              <w:top w:val="nil"/>
              <w:left w:val="nil"/>
              <w:bottom w:val="single" w:sz="8" w:space="0" w:color="auto"/>
              <w:right w:val="single" w:sz="8" w:space="0" w:color="auto"/>
            </w:tcBorders>
            <w:tcMar>
              <w:top w:w="0" w:type="dxa"/>
              <w:left w:w="108" w:type="dxa"/>
              <w:bottom w:w="0" w:type="dxa"/>
              <w:right w:w="108" w:type="dxa"/>
            </w:tcMar>
          </w:tcPr>
          <w:p w14:paraId="19EF158F" w14:textId="0577960D" w:rsidR="00237F06" w:rsidRDefault="00DF368A" w:rsidP="00447671">
            <w:pPr>
              <w:overflowPunct w:val="0"/>
              <w:autoSpaceDE w:val="0"/>
              <w:autoSpaceDN w:val="0"/>
              <w:adjustRightInd w:val="0"/>
              <w:jc w:val="right"/>
              <w:textAlignment w:val="baseline"/>
              <w:rPr>
                <w:sz w:val="20"/>
                <w:szCs w:val="20"/>
              </w:rPr>
            </w:pPr>
            <w:r>
              <w:rPr>
                <w:sz w:val="20"/>
                <w:szCs w:val="20"/>
              </w:rPr>
              <w:t>1,438</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41ACFEB" w14:textId="02BD9032" w:rsidR="00237F06" w:rsidRDefault="00237F06" w:rsidP="00447671">
            <w:pPr>
              <w:overflowPunct w:val="0"/>
              <w:autoSpaceDE w:val="0"/>
              <w:autoSpaceDN w:val="0"/>
              <w:adjustRightInd w:val="0"/>
              <w:jc w:val="right"/>
              <w:textAlignment w:val="baseline"/>
              <w:rPr>
                <w:sz w:val="20"/>
                <w:szCs w:val="20"/>
              </w:rPr>
            </w:pPr>
            <w:r w:rsidRPr="00242E29">
              <w:rPr>
                <w:sz w:val="20"/>
                <w:szCs w:val="20"/>
              </w:rPr>
              <w:t>$0</w:t>
            </w: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14:paraId="13A709FE" w14:textId="6A9ED1EA" w:rsidR="00237F06" w:rsidRDefault="00237F06" w:rsidP="00447671">
            <w:pPr>
              <w:overflowPunct w:val="0"/>
              <w:autoSpaceDE w:val="0"/>
              <w:autoSpaceDN w:val="0"/>
              <w:adjustRightInd w:val="0"/>
              <w:jc w:val="right"/>
              <w:textAlignment w:val="baseline"/>
              <w:rPr>
                <w:sz w:val="20"/>
                <w:szCs w:val="20"/>
              </w:rPr>
            </w:pPr>
            <w:r>
              <w:rPr>
                <w:sz w:val="20"/>
                <w:szCs w:val="20"/>
              </w:rPr>
              <w:t>$0</w:t>
            </w:r>
          </w:p>
        </w:tc>
      </w:tr>
      <w:tr w:rsidR="0063650E" w:rsidRPr="0063650E" w14:paraId="4485AA04" w14:textId="77777777" w:rsidTr="00A0470B">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DFD87" w14:textId="77777777" w:rsidR="0063650E" w:rsidRPr="0063650E" w:rsidRDefault="0063650E" w:rsidP="0063650E">
            <w:pPr>
              <w:overflowPunct w:val="0"/>
              <w:autoSpaceDE w:val="0"/>
              <w:autoSpaceDN w:val="0"/>
              <w:adjustRightInd w:val="0"/>
              <w:textAlignment w:val="baseline"/>
              <w:rPr>
                <w:b/>
                <w:bCs/>
                <w:color w:val="000000"/>
                <w:sz w:val="20"/>
                <w:szCs w:val="20"/>
              </w:rPr>
            </w:pPr>
            <w:r w:rsidRPr="0063650E">
              <w:rPr>
                <w:b/>
                <w:bCs/>
                <w:color w:val="000000"/>
                <w:sz w:val="20"/>
                <w:szCs w:val="20"/>
              </w:rPr>
              <w:t>Total</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03F3E95B" w14:textId="76259B04" w:rsidR="0063650E" w:rsidRPr="0063650E" w:rsidRDefault="00237F06" w:rsidP="00DF368A">
            <w:pPr>
              <w:overflowPunct w:val="0"/>
              <w:autoSpaceDE w:val="0"/>
              <w:autoSpaceDN w:val="0"/>
              <w:adjustRightInd w:val="0"/>
              <w:jc w:val="right"/>
              <w:textAlignment w:val="baseline"/>
              <w:rPr>
                <w:b/>
                <w:bCs/>
                <w:color w:val="000000"/>
                <w:sz w:val="20"/>
                <w:szCs w:val="20"/>
              </w:rPr>
            </w:pPr>
            <w:r>
              <w:rPr>
                <w:b/>
                <w:bCs/>
                <w:color w:val="000000"/>
                <w:sz w:val="20"/>
                <w:szCs w:val="20"/>
              </w:rPr>
              <w:t>12</w:t>
            </w:r>
            <w:r w:rsidR="00DF368A">
              <w:rPr>
                <w:b/>
                <w:bCs/>
                <w:color w:val="000000"/>
                <w:sz w:val="20"/>
                <w:szCs w:val="20"/>
              </w:rPr>
              <w:t>9,297</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F4BFC36" w14:textId="27B28E48" w:rsidR="0063650E" w:rsidRPr="0063650E" w:rsidRDefault="0063650E" w:rsidP="00447671">
            <w:pPr>
              <w:overflowPunct w:val="0"/>
              <w:autoSpaceDE w:val="0"/>
              <w:autoSpaceDN w:val="0"/>
              <w:adjustRightInd w:val="0"/>
              <w:jc w:val="right"/>
              <w:textAlignment w:val="baseline"/>
              <w:rPr>
                <w:rFonts w:eastAsia="Calibri"/>
                <w:b/>
                <w:bCs/>
                <w:color w:val="000000"/>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61176747" w14:textId="268DC45B" w:rsidR="0063650E" w:rsidRPr="0063650E" w:rsidRDefault="0063650E" w:rsidP="00447671">
            <w:pPr>
              <w:overflowPunct w:val="0"/>
              <w:autoSpaceDE w:val="0"/>
              <w:autoSpaceDN w:val="0"/>
              <w:adjustRightInd w:val="0"/>
              <w:jc w:val="right"/>
              <w:textAlignment w:val="baseline"/>
              <w:rPr>
                <w:rFonts w:eastAsia="Calibri"/>
                <w:b/>
                <w:bCs/>
                <w:color w:val="000000"/>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59E1E974" w14:textId="3A032ACD" w:rsidR="0063650E" w:rsidRPr="0063650E" w:rsidRDefault="0063650E" w:rsidP="00447671">
            <w:pPr>
              <w:overflowPunct w:val="0"/>
              <w:autoSpaceDE w:val="0"/>
              <w:autoSpaceDN w:val="0"/>
              <w:adjustRightInd w:val="0"/>
              <w:jc w:val="right"/>
              <w:textAlignment w:val="baseline"/>
              <w:rPr>
                <w:rFonts w:eastAsia="Calibri"/>
                <w:b/>
                <w:bCs/>
                <w:color w:val="000000"/>
                <w:sz w:val="20"/>
                <w:szCs w:val="20"/>
              </w:rPr>
            </w:pPr>
          </w:p>
        </w:tc>
        <w:tc>
          <w:tcPr>
            <w:tcW w:w="861" w:type="dxa"/>
            <w:tcBorders>
              <w:top w:val="nil"/>
              <w:left w:val="nil"/>
              <w:bottom w:val="single" w:sz="8" w:space="0" w:color="auto"/>
              <w:right w:val="single" w:sz="8" w:space="0" w:color="auto"/>
            </w:tcBorders>
            <w:tcMar>
              <w:top w:w="0" w:type="dxa"/>
              <w:left w:w="108" w:type="dxa"/>
              <w:bottom w:w="0" w:type="dxa"/>
              <w:right w:w="108" w:type="dxa"/>
            </w:tcMar>
          </w:tcPr>
          <w:p w14:paraId="4AC5FF1A" w14:textId="0A8146C1" w:rsidR="0063650E" w:rsidRPr="0063650E" w:rsidRDefault="00237F06" w:rsidP="00DF368A">
            <w:pPr>
              <w:overflowPunct w:val="0"/>
              <w:autoSpaceDE w:val="0"/>
              <w:autoSpaceDN w:val="0"/>
              <w:adjustRightInd w:val="0"/>
              <w:jc w:val="right"/>
              <w:textAlignment w:val="baseline"/>
              <w:rPr>
                <w:rFonts w:eastAsia="Calibri"/>
                <w:b/>
                <w:bCs/>
                <w:color w:val="000000"/>
                <w:sz w:val="20"/>
                <w:szCs w:val="20"/>
              </w:rPr>
            </w:pPr>
            <w:r>
              <w:rPr>
                <w:rFonts w:eastAsia="Calibri"/>
                <w:b/>
                <w:bCs/>
                <w:color w:val="000000"/>
                <w:sz w:val="20"/>
                <w:szCs w:val="20"/>
              </w:rPr>
              <w:t>6</w:t>
            </w:r>
            <w:r w:rsidR="00DF368A">
              <w:rPr>
                <w:rFonts w:eastAsia="Calibri"/>
                <w:b/>
                <w:bCs/>
                <w:color w:val="000000"/>
                <w:sz w:val="20"/>
                <w:szCs w:val="20"/>
              </w:rPr>
              <w:t>2</w:t>
            </w:r>
            <w:r>
              <w:rPr>
                <w:rFonts w:eastAsia="Calibri"/>
                <w:b/>
                <w:bCs/>
                <w:color w:val="000000"/>
                <w:sz w:val="20"/>
                <w:szCs w:val="20"/>
              </w:rPr>
              <w:t>,</w:t>
            </w:r>
            <w:r w:rsidR="00DF368A">
              <w:rPr>
                <w:rFonts w:eastAsia="Calibri"/>
                <w:b/>
                <w:bCs/>
                <w:color w:val="000000"/>
                <w:sz w:val="20"/>
                <w:szCs w:val="20"/>
              </w:rPr>
              <w:t>524</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8D85ADE" w14:textId="6EF9234B" w:rsidR="0063650E" w:rsidRPr="0063650E" w:rsidRDefault="0063650E" w:rsidP="00447671">
            <w:pPr>
              <w:overflowPunct w:val="0"/>
              <w:autoSpaceDE w:val="0"/>
              <w:autoSpaceDN w:val="0"/>
              <w:adjustRightInd w:val="0"/>
              <w:jc w:val="right"/>
              <w:textAlignment w:val="baseline"/>
              <w:rPr>
                <w:rFonts w:eastAsia="Calibri"/>
                <w:b/>
                <w:bCs/>
                <w:color w:val="000000"/>
                <w:sz w:val="20"/>
                <w:szCs w:val="20"/>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14:paraId="0F22C8FF" w14:textId="62589E94" w:rsidR="0063650E" w:rsidRPr="0063650E" w:rsidRDefault="00237F06" w:rsidP="00447671">
            <w:pPr>
              <w:overflowPunct w:val="0"/>
              <w:autoSpaceDE w:val="0"/>
              <w:autoSpaceDN w:val="0"/>
              <w:adjustRightInd w:val="0"/>
              <w:jc w:val="right"/>
              <w:textAlignment w:val="baseline"/>
              <w:rPr>
                <w:rFonts w:eastAsia="Calibri"/>
                <w:b/>
                <w:bCs/>
                <w:color w:val="000000"/>
                <w:sz w:val="20"/>
                <w:szCs w:val="20"/>
              </w:rPr>
            </w:pPr>
            <w:r>
              <w:rPr>
                <w:rFonts w:eastAsia="Calibri"/>
                <w:b/>
                <w:bCs/>
                <w:color w:val="000000"/>
                <w:sz w:val="20"/>
                <w:szCs w:val="20"/>
              </w:rPr>
              <w:t>$0</w:t>
            </w:r>
          </w:p>
        </w:tc>
      </w:tr>
    </w:tbl>
    <w:p w14:paraId="3486FEAE" w14:textId="77777777" w:rsidR="00E650A0" w:rsidRPr="005A6A4A" w:rsidRDefault="00E650A0" w:rsidP="002977DE">
      <w:pPr>
        <w:pStyle w:val="BodyTextIndent3"/>
        <w:ind w:left="1413"/>
        <w:rPr>
          <w:b/>
          <w:color w:val="FF0000"/>
        </w:rPr>
      </w:pPr>
    </w:p>
    <w:p w14:paraId="0E86660A" w14:textId="142755D6" w:rsidR="000B2AB7" w:rsidRDefault="000B2AB7" w:rsidP="00A0470B">
      <w:pPr>
        <w:pStyle w:val="Level1"/>
        <w:numPr>
          <w:ilvl w:val="0"/>
          <w:numId w:val="57"/>
        </w:numPr>
        <w:rPr>
          <w:rFonts w:ascii="Times New Roman" w:hAnsi="Times New Roman"/>
        </w:rPr>
      </w:pPr>
      <w:r>
        <w:rPr>
          <w:rFonts w:ascii="Times New Roman" w:hAnsi="Times New Roman"/>
          <w:b/>
          <w:bCs/>
        </w:rPr>
        <w:t>Estimate of Cost Burden</w:t>
      </w:r>
    </w:p>
    <w:p w14:paraId="55053D96" w14:textId="77777777" w:rsidR="000B2AB7" w:rsidRDefault="000B2AB7" w:rsidP="002977DE">
      <w:pPr>
        <w:ind w:left="333"/>
      </w:pPr>
    </w:p>
    <w:p w14:paraId="451886EC" w14:textId="661BF5AB" w:rsidR="000B2AB7" w:rsidRDefault="008A6187" w:rsidP="00A0470B">
      <w:pPr>
        <w:pStyle w:val="BodyTextIndent3"/>
        <w:ind w:left="720"/>
      </w:pPr>
      <w:r>
        <w:t xml:space="preserve">HUD assumes </w:t>
      </w:r>
      <w:r w:rsidR="000E1934">
        <w:t xml:space="preserve">a wage rate of $7.25 per hour reflects the level of expertise required to answer the AHS question. This wage rate is equivalent to the Federal minimum wage.  Using this wage rate, the </w:t>
      </w:r>
      <w:r w:rsidR="000B2AB7">
        <w:t>annualized cost estimate to respondents for burden hours is $</w:t>
      </w:r>
      <w:r w:rsidR="000E1934">
        <w:t>453,299</w:t>
      </w:r>
      <w:r w:rsidR="000B2AB7">
        <w:t>.</w:t>
      </w:r>
    </w:p>
    <w:p w14:paraId="59AC8BF8" w14:textId="77777777" w:rsidR="00A0470B" w:rsidRDefault="00A0470B" w:rsidP="00A0470B">
      <w:pPr>
        <w:pStyle w:val="BodyTextIndent3"/>
        <w:ind w:left="720"/>
      </w:pPr>
    </w:p>
    <w:p w14:paraId="7936A79D" w14:textId="1484ACA5" w:rsidR="000B2AB7" w:rsidRDefault="000B2AB7" w:rsidP="00A0470B">
      <w:pPr>
        <w:pStyle w:val="Level1"/>
        <w:numPr>
          <w:ilvl w:val="0"/>
          <w:numId w:val="57"/>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lastRenderedPageBreak/>
        <w:t>Cost to Federal Government</w:t>
      </w:r>
    </w:p>
    <w:p w14:paraId="772705B6" w14:textId="77777777" w:rsidR="00A0470B" w:rsidRDefault="00A0470B" w:rsidP="00A0470B">
      <w:pPr>
        <w:pStyle w:val="Level1"/>
        <w:autoSpaceDE/>
        <w:autoSpaceDN/>
        <w:adjustRightInd/>
        <w:ind w:left="0"/>
        <w:rPr>
          <w:rFonts w:ascii="Times New Roman" w:hAnsi="Times New Roman"/>
        </w:rPr>
      </w:pPr>
    </w:p>
    <w:p w14:paraId="7D976AAD" w14:textId="59002F64" w:rsidR="005F731A" w:rsidRDefault="00570D68" w:rsidP="00A0470B">
      <w:pPr>
        <w:pStyle w:val="Level1"/>
        <w:autoSpaceDE/>
        <w:autoSpaceDN/>
        <w:adjustRightInd/>
        <w:rPr>
          <w:rFonts w:ascii="Times New Roman" w:hAnsi="Times New Roman"/>
        </w:rPr>
      </w:pPr>
      <w:r w:rsidRPr="00570D68">
        <w:rPr>
          <w:rFonts w:ascii="Times New Roman" w:hAnsi="Times New Roman"/>
        </w:rPr>
        <w:t xml:space="preserve">HUD estimates the </w:t>
      </w:r>
      <w:r w:rsidR="00FF03F6">
        <w:rPr>
          <w:rFonts w:ascii="Times New Roman" w:hAnsi="Times New Roman"/>
        </w:rPr>
        <w:t>2-year survey cycle</w:t>
      </w:r>
      <w:r w:rsidRPr="00570D68">
        <w:rPr>
          <w:rFonts w:ascii="Times New Roman" w:hAnsi="Times New Roman"/>
        </w:rPr>
        <w:t xml:space="preserve"> costs to the government for the </w:t>
      </w:r>
      <w:r w:rsidR="00A02D4D">
        <w:rPr>
          <w:rFonts w:ascii="Times New Roman" w:hAnsi="Times New Roman"/>
        </w:rPr>
        <w:t>2017</w:t>
      </w:r>
      <w:r w:rsidRPr="00570D68">
        <w:rPr>
          <w:rFonts w:ascii="Times New Roman" w:hAnsi="Times New Roman"/>
        </w:rPr>
        <w:t xml:space="preserve"> AHS</w:t>
      </w:r>
      <w:r>
        <w:rPr>
          <w:rFonts w:ascii="Times New Roman" w:hAnsi="Times New Roman"/>
        </w:rPr>
        <w:t xml:space="preserve">, including </w:t>
      </w:r>
      <w:r w:rsidR="003C118E">
        <w:rPr>
          <w:rFonts w:ascii="Times New Roman" w:hAnsi="Times New Roman"/>
        </w:rPr>
        <w:t>1</w:t>
      </w:r>
      <w:r w:rsidR="00984085">
        <w:rPr>
          <w:rFonts w:ascii="Times New Roman" w:hAnsi="Times New Roman"/>
        </w:rPr>
        <w:t>0</w:t>
      </w:r>
      <w:r>
        <w:rPr>
          <w:rFonts w:ascii="Times New Roman" w:hAnsi="Times New Roman"/>
        </w:rPr>
        <w:t xml:space="preserve"> metropolitan areas,</w:t>
      </w:r>
      <w:r w:rsidRPr="00570D68">
        <w:rPr>
          <w:rFonts w:ascii="Times New Roman" w:hAnsi="Times New Roman"/>
        </w:rPr>
        <w:t xml:space="preserve"> to be </w:t>
      </w:r>
      <w:r w:rsidR="00FF03F6">
        <w:rPr>
          <w:rFonts w:ascii="Times New Roman" w:hAnsi="Times New Roman"/>
        </w:rPr>
        <w:t>$</w:t>
      </w:r>
      <w:r w:rsidR="00653462">
        <w:rPr>
          <w:rFonts w:ascii="Times New Roman" w:hAnsi="Times New Roman"/>
        </w:rPr>
        <w:t>6</w:t>
      </w:r>
      <w:r w:rsidR="0005229A">
        <w:rPr>
          <w:rFonts w:ascii="Times New Roman" w:hAnsi="Times New Roman"/>
        </w:rPr>
        <w:t>3.6</w:t>
      </w:r>
      <w:r w:rsidR="00653462">
        <w:rPr>
          <w:rFonts w:ascii="Times New Roman" w:hAnsi="Times New Roman"/>
        </w:rPr>
        <w:t xml:space="preserve"> </w:t>
      </w:r>
      <w:r w:rsidR="00FF03F6" w:rsidRPr="00B51F1F">
        <w:rPr>
          <w:rFonts w:ascii="Times New Roman" w:hAnsi="Times New Roman"/>
        </w:rPr>
        <w:t>million</w:t>
      </w:r>
      <w:r w:rsidR="00FF03F6">
        <w:rPr>
          <w:rFonts w:ascii="Times New Roman" w:hAnsi="Times New Roman"/>
        </w:rPr>
        <w:t>.</w:t>
      </w:r>
      <w:r w:rsidR="003B6CDB">
        <w:rPr>
          <w:rFonts w:ascii="Times New Roman" w:hAnsi="Times New Roman"/>
        </w:rPr>
        <w:t xml:space="preserve"> </w:t>
      </w:r>
    </w:p>
    <w:p w14:paraId="401B69B3" w14:textId="77777777" w:rsidR="005F731A" w:rsidRDefault="005F731A" w:rsidP="00570D68">
      <w:pPr>
        <w:pStyle w:val="Level1"/>
        <w:autoSpaceDE/>
        <w:autoSpaceDN/>
        <w:adjustRightInd/>
        <w:ind w:left="1413"/>
        <w:rPr>
          <w:rFonts w:ascii="Times New Roman" w:hAnsi="Times New Roman"/>
        </w:rPr>
      </w:pPr>
    </w:p>
    <w:tbl>
      <w:tblPr>
        <w:tblStyle w:val="TableGrid"/>
        <w:tblW w:w="9090" w:type="dxa"/>
        <w:tblInd w:w="607" w:type="dxa"/>
        <w:tblLook w:val="04A0" w:firstRow="1" w:lastRow="0" w:firstColumn="1" w:lastColumn="0" w:noHBand="0" w:noVBand="1"/>
      </w:tblPr>
      <w:tblGrid>
        <w:gridCol w:w="1980"/>
        <w:gridCol w:w="2700"/>
        <w:gridCol w:w="2160"/>
        <w:gridCol w:w="2250"/>
      </w:tblGrid>
      <w:tr w:rsidR="005F731A" w:rsidRPr="00DF4B0D" w14:paraId="40807E82" w14:textId="77777777" w:rsidTr="00A0470B">
        <w:tc>
          <w:tcPr>
            <w:tcW w:w="1980" w:type="dxa"/>
          </w:tcPr>
          <w:p w14:paraId="10F6A170" w14:textId="77777777" w:rsidR="005F731A" w:rsidRPr="00DF4B0D" w:rsidRDefault="005F731A" w:rsidP="00D045FB">
            <w:pPr>
              <w:pStyle w:val="Level1"/>
              <w:autoSpaceDE/>
              <w:autoSpaceDN/>
              <w:adjustRightInd/>
              <w:ind w:left="0"/>
              <w:jc w:val="center"/>
              <w:rPr>
                <w:rFonts w:ascii="Times New Roman" w:hAnsi="Times New Roman"/>
                <w:b/>
                <w:sz w:val="20"/>
                <w:szCs w:val="20"/>
              </w:rPr>
            </w:pPr>
            <w:r w:rsidRPr="00DF4B0D">
              <w:rPr>
                <w:rFonts w:ascii="Times New Roman" w:hAnsi="Times New Roman"/>
                <w:b/>
                <w:sz w:val="20"/>
                <w:szCs w:val="20"/>
              </w:rPr>
              <w:t>Cost Items</w:t>
            </w:r>
          </w:p>
        </w:tc>
        <w:tc>
          <w:tcPr>
            <w:tcW w:w="2700" w:type="dxa"/>
          </w:tcPr>
          <w:p w14:paraId="609C00F4" w14:textId="77777777" w:rsidR="005F731A" w:rsidRPr="00DF4B0D" w:rsidRDefault="005F731A" w:rsidP="00D045FB">
            <w:pPr>
              <w:pStyle w:val="Level1"/>
              <w:autoSpaceDE/>
              <w:autoSpaceDN/>
              <w:adjustRightInd/>
              <w:ind w:left="0"/>
              <w:jc w:val="right"/>
              <w:rPr>
                <w:rFonts w:ascii="Times New Roman" w:hAnsi="Times New Roman"/>
                <w:b/>
                <w:sz w:val="20"/>
                <w:szCs w:val="20"/>
              </w:rPr>
            </w:pPr>
            <w:r w:rsidRPr="00DF4B0D">
              <w:rPr>
                <w:rFonts w:ascii="Times New Roman" w:hAnsi="Times New Roman"/>
                <w:b/>
                <w:sz w:val="20"/>
                <w:szCs w:val="20"/>
              </w:rPr>
              <w:t>FY 2016</w:t>
            </w:r>
          </w:p>
        </w:tc>
        <w:tc>
          <w:tcPr>
            <w:tcW w:w="2160" w:type="dxa"/>
          </w:tcPr>
          <w:p w14:paraId="5BDD847A" w14:textId="77777777" w:rsidR="005F731A" w:rsidRPr="00DF4B0D" w:rsidRDefault="005F731A" w:rsidP="00D045FB">
            <w:pPr>
              <w:pStyle w:val="Level1"/>
              <w:autoSpaceDE/>
              <w:autoSpaceDN/>
              <w:adjustRightInd/>
              <w:ind w:left="0"/>
              <w:jc w:val="right"/>
              <w:rPr>
                <w:rFonts w:ascii="Times New Roman" w:hAnsi="Times New Roman"/>
                <w:b/>
                <w:sz w:val="20"/>
                <w:szCs w:val="20"/>
              </w:rPr>
            </w:pPr>
            <w:r w:rsidRPr="00DF4B0D">
              <w:rPr>
                <w:rFonts w:ascii="Times New Roman" w:hAnsi="Times New Roman"/>
                <w:b/>
                <w:sz w:val="20"/>
                <w:szCs w:val="20"/>
              </w:rPr>
              <w:t>FY2017</w:t>
            </w:r>
          </w:p>
        </w:tc>
        <w:tc>
          <w:tcPr>
            <w:tcW w:w="2250" w:type="dxa"/>
          </w:tcPr>
          <w:p w14:paraId="5C30357A" w14:textId="6FBD29A9" w:rsidR="005F731A" w:rsidRPr="00DF4B0D" w:rsidRDefault="005F731A" w:rsidP="00D045FB">
            <w:pPr>
              <w:pStyle w:val="Level1"/>
              <w:autoSpaceDE/>
              <w:autoSpaceDN/>
              <w:adjustRightInd/>
              <w:ind w:left="0"/>
              <w:jc w:val="right"/>
              <w:rPr>
                <w:rFonts w:ascii="Times New Roman" w:hAnsi="Times New Roman"/>
                <w:b/>
                <w:sz w:val="20"/>
                <w:szCs w:val="20"/>
              </w:rPr>
            </w:pPr>
            <w:r w:rsidRPr="00DF4B0D">
              <w:rPr>
                <w:rFonts w:ascii="Times New Roman" w:hAnsi="Times New Roman"/>
                <w:b/>
                <w:sz w:val="20"/>
                <w:szCs w:val="20"/>
              </w:rPr>
              <w:t>Total</w:t>
            </w:r>
          </w:p>
        </w:tc>
      </w:tr>
      <w:tr w:rsidR="005F731A" w:rsidRPr="00DF4B0D" w14:paraId="65B542D0" w14:textId="77777777" w:rsidTr="00A0470B">
        <w:tc>
          <w:tcPr>
            <w:tcW w:w="1980" w:type="dxa"/>
          </w:tcPr>
          <w:p w14:paraId="1C821E5D" w14:textId="505E5510" w:rsidR="005F731A" w:rsidRPr="00DF4B0D" w:rsidRDefault="005F731A" w:rsidP="00AD6F65">
            <w:pPr>
              <w:pStyle w:val="Level1"/>
              <w:autoSpaceDE/>
              <w:autoSpaceDN/>
              <w:adjustRightInd/>
              <w:ind w:left="0"/>
              <w:rPr>
                <w:rFonts w:ascii="Times New Roman" w:hAnsi="Times New Roman"/>
                <w:sz w:val="20"/>
                <w:szCs w:val="20"/>
              </w:rPr>
            </w:pPr>
            <w:r w:rsidRPr="00DF4B0D">
              <w:rPr>
                <w:rFonts w:ascii="Times New Roman" w:hAnsi="Times New Roman"/>
                <w:sz w:val="20"/>
                <w:szCs w:val="20"/>
              </w:rPr>
              <w:t>Professional Staff</w:t>
            </w:r>
          </w:p>
        </w:tc>
        <w:tc>
          <w:tcPr>
            <w:tcW w:w="2700" w:type="dxa"/>
          </w:tcPr>
          <w:p w14:paraId="46D3A728" w14:textId="77777777" w:rsidR="005F731A" w:rsidRPr="00DF4B0D" w:rsidRDefault="005F731A" w:rsidP="00AD6F65">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$11,000,000</w:t>
            </w:r>
          </w:p>
        </w:tc>
        <w:tc>
          <w:tcPr>
            <w:tcW w:w="2160" w:type="dxa"/>
          </w:tcPr>
          <w:p w14:paraId="40C08D69" w14:textId="77777777" w:rsidR="005F731A" w:rsidRPr="00DF4B0D" w:rsidRDefault="005F731A" w:rsidP="00AD6F65">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$11,000,000</w:t>
            </w:r>
          </w:p>
        </w:tc>
        <w:tc>
          <w:tcPr>
            <w:tcW w:w="2250" w:type="dxa"/>
          </w:tcPr>
          <w:p w14:paraId="35FDD3DB" w14:textId="66CEB523" w:rsidR="005F731A" w:rsidRPr="00DF4B0D" w:rsidRDefault="005F731A" w:rsidP="00AD6F65">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$22,000,000</w:t>
            </w:r>
          </w:p>
        </w:tc>
      </w:tr>
      <w:tr w:rsidR="005F731A" w:rsidRPr="00DF4B0D" w14:paraId="314312BB" w14:textId="77777777" w:rsidTr="00A0470B">
        <w:tc>
          <w:tcPr>
            <w:tcW w:w="1980" w:type="dxa"/>
          </w:tcPr>
          <w:p w14:paraId="75D0FFA0" w14:textId="77777777" w:rsidR="005F731A" w:rsidRPr="00DF4B0D" w:rsidRDefault="005F731A" w:rsidP="005F731A">
            <w:pPr>
              <w:pStyle w:val="Level1"/>
              <w:autoSpaceDE/>
              <w:autoSpaceDN/>
              <w:adjustRightInd/>
              <w:ind w:left="0"/>
              <w:rPr>
                <w:rFonts w:ascii="Times New Roman" w:hAnsi="Times New Roman"/>
                <w:sz w:val="20"/>
                <w:szCs w:val="20"/>
              </w:rPr>
            </w:pPr>
            <w:r w:rsidRPr="00DF4B0D">
              <w:rPr>
                <w:rFonts w:ascii="Times New Roman" w:hAnsi="Times New Roman"/>
                <w:sz w:val="20"/>
                <w:szCs w:val="20"/>
              </w:rPr>
              <w:t>Field Data Collection</w:t>
            </w:r>
          </w:p>
        </w:tc>
        <w:tc>
          <w:tcPr>
            <w:tcW w:w="2700" w:type="dxa"/>
          </w:tcPr>
          <w:p w14:paraId="6DEB83B3" w14:textId="77777777" w:rsidR="005F731A" w:rsidRPr="00DF4B0D" w:rsidRDefault="005F731A" w:rsidP="005F731A">
            <w:pPr>
              <w:pStyle w:val="Level1"/>
              <w:autoSpaceDE/>
              <w:autoSpaceDN/>
              <w:adjustRightInd/>
              <w:ind w:left="0"/>
              <w:jc w:val="right"/>
              <w:rPr>
                <w:rFonts w:ascii="Times New Roman" w:hAnsi="Times New Roman"/>
                <w:sz w:val="20"/>
                <w:szCs w:val="20"/>
              </w:rPr>
            </w:pPr>
          </w:p>
        </w:tc>
        <w:tc>
          <w:tcPr>
            <w:tcW w:w="2160" w:type="dxa"/>
          </w:tcPr>
          <w:p w14:paraId="7F285D7D" w14:textId="62B50C2B" w:rsidR="005F731A" w:rsidRPr="00DF4B0D" w:rsidRDefault="005F731A" w:rsidP="005F731A">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$40,72,4720</w:t>
            </w:r>
          </w:p>
        </w:tc>
        <w:tc>
          <w:tcPr>
            <w:tcW w:w="2250" w:type="dxa"/>
          </w:tcPr>
          <w:p w14:paraId="4A97812A" w14:textId="291B86FB" w:rsidR="005F731A" w:rsidRPr="00DF4B0D" w:rsidRDefault="005F731A" w:rsidP="005F731A">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$40,72,4720</w:t>
            </w:r>
          </w:p>
        </w:tc>
      </w:tr>
      <w:tr w:rsidR="005F731A" w:rsidRPr="00DF4B0D" w14:paraId="2AE1B145" w14:textId="77777777" w:rsidTr="00A0470B">
        <w:tc>
          <w:tcPr>
            <w:tcW w:w="1980" w:type="dxa"/>
          </w:tcPr>
          <w:p w14:paraId="75326E0A" w14:textId="748B04BC" w:rsidR="005F731A" w:rsidRPr="00DF4B0D" w:rsidRDefault="005F731A" w:rsidP="005F731A">
            <w:pPr>
              <w:pStyle w:val="Level1"/>
              <w:autoSpaceDE/>
              <w:autoSpaceDN/>
              <w:adjustRightInd/>
              <w:ind w:left="0"/>
              <w:rPr>
                <w:rFonts w:ascii="Times New Roman" w:hAnsi="Times New Roman"/>
                <w:sz w:val="20"/>
                <w:szCs w:val="20"/>
              </w:rPr>
            </w:pPr>
            <w:r w:rsidRPr="00DF4B0D">
              <w:rPr>
                <w:rFonts w:ascii="Times New Roman" w:hAnsi="Times New Roman"/>
                <w:sz w:val="20"/>
                <w:szCs w:val="20"/>
              </w:rPr>
              <w:t>Technology</w:t>
            </w:r>
          </w:p>
        </w:tc>
        <w:tc>
          <w:tcPr>
            <w:tcW w:w="2700" w:type="dxa"/>
          </w:tcPr>
          <w:p w14:paraId="2AB47B3B" w14:textId="77777777" w:rsidR="005F731A" w:rsidRPr="00DF4B0D" w:rsidRDefault="005F731A" w:rsidP="005F731A">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$0</w:t>
            </w:r>
          </w:p>
        </w:tc>
        <w:tc>
          <w:tcPr>
            <w:tcW w:w="2160" w:type="dxa"/>
          </w:tcPr>
          <w:p w14:paraId="68E85B2D" w14:textId="77777777" w:rsidR="005F731A" w:rsidRPr="00DF4B0D" w:rsidRDefault="005F731A" w:rsidP="005F731A">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$866,000</w:t>
            </w:r>
          </w:p>
        </w:tc>
        <w:tc>
          <w:tcPr>
            <w:tcW w:w="2250" w:type="dxa"/>
          </w:tcPr>
          <w:p w14:paraId="34FEB7E6" w14:textId="2016094D" w:rsidR="005F731A" w:rsidRPr="00DF4B0D" w:rsidRDefault="005F731A" w:rsidP="005F731A">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$866,000</w:t>
            </w:r>
          </w:p>
        </w:tc>
      </w:tr>
      <w:tr w:rsidR="005F731A" w:rsidRPr="00DF4B0D" w14:paraId="423891D9" w14:textId="77777777" w:rsidTr="00A0470B">
        <w:tc>
          <w:tcPr>
            <w:tcW w:w="1980" w:type="dxa"/>
          </w:tcPr>
          <w:p w14:paraId="298657B1" w14:textId="20D08AFD" w:rsidR="005F731A" w:rsidRPr="00DF4B0D" w:rsidRDefault="005F731A" w:rsidP="00DF4B0D">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TOTAL</w:t>
            </w:r>
          </w:p>
        </w:tc>
        <w:tc>
          <w:tcPr>
            <w:tcW w:w="2700" w:type="dxa"/>
          </w:tcPr>
          <w:p w14:paraId="21DEEEC7" w14:textId="2ED2826A" w:rsidR="005F731A" w:rsidRPr="00DF4B0D" w:rsidRDefault="005F731A" w:rsidP="00AD6F65">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$11,000,000</w:t>
            </w:r>
          </w:p>
        </w:tc>
        <w:tc>
          <w:tcPr>
            <w:tcW w:w="2160" w:type="dxa"/>
          </w:tcPr>
          <w:p w14:paraId="007B1B18" w14:textId="3AE9EBE2" w:rsidR="005F731A" w:rsidRPr="00DF4B0D" w:rsidRDefault="005F731A" w:rsidP="003C0DCE">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$52,590,720</w:t>
            </w:r>
          </w:p>
        </w:tc>
        <w:tc>
          <w:tcPr>
            <w:tcW w:w="2250" w:type="dxa"/>
          </w:tcPr>
          <w:p w14:paraId="0DCB102F" w14:textId="335CD4DE" w:rsidR="005F731A" w:rsidRPr="00DF4B0D" w:rsidRDefault="005F731A" w:rsidP="00AD6F65">
            <w:pPr>
              <w:pStyle w:val="Level1"/>
              <w:autoSpaceDE/>
              <w:autoSpaceDN/>
              <w:adjustRightInd/>
              <w:ind w:left="0"/>
              <w:jc w:val="right"/>
              <w:rPr>
                <w:rFonts w:ascii="Times New Roman" w:hAnsi="Times New Roman"/>
                <w:sz w:val="20"/>
                <w:szCs w:val="20"/>
              </w:rPr>
            </w:pPr>
            <w:r w:rsidRPr="00DF4B0D">
              <w:rPr>
                <w:rFonts w:ascii="Times New Roman" w:hAnsi="Times New Roman"/>
                <w:sz w:val="20"/>
                <w:szCs w:val="20"/>
              </w:rPr>
              <w:t>$63,590,720</w:t>
            </w:r>
          </w:p>
        </w:tc>
      </w:tr>
    </w:tbl>
    <w:p w14:paraId="2ED5497E" w14:textId="77777777" w:rsidR="00A0470B" w:rsidRDefault="00A0470B" w:rsidP="00A0470B">
      <w:pPr>
        <w:pStyle w:val="Level1"/>
        <w:autoSpaceDE/>
        <w:autoSpaceDN/>
        <w:adjustRightInd/>
        <w:ind w:left="0"/>
        <w:rPr>
          <w:rFonts w:ascii="Times New Roman" w:hAnsi="Times New Roman"/>
        </w:rPr>
      </w:pPr>
    </w:p>
    <w:p w14:paraId="014B8354" w14:textId="63F45106" w:rsidR="000B2AB7" w:rsidRDefault="000B2AB7" w:rsidP="00A0470B">
      <w:pPr>
        <w:pStyle w:val="Level1"/>
        <w:autoSpaceDE/>
        <w:autoSpaceDN/>
        <w:adjustRightInd/>
        <w:ind w:left="567"/>
        <w:rPr>
          <w:rFonts w:ascii="Times New Roman" w:hAnsi="Times New Roman"/>
        </w:rPr>
      </w:pPr>
      <w:r>
        <w:rPr>
          <w:rFonts w:ascii="Times New Roman" w:hAnsi="Times New Roman"/>
        </w:rPr>
        <w:t>The figure</w:t>
      </w:r>
      <w:r w:rsidR="005F731A">
        <w:rPr>
          <w:rFonts w:ascii="Times New Roman" w:hAnsi="Times New Roman"/>
        </w:rPr>
        <w:t>s above are</w:t>
      </w:r>
      <w:r>
        <w:rPr>
          <w:rFonts w:ascii="Times New Roman" w:hAnsi="Times New Roman"/>
        </w:rPr>
        <w:t xml:space="preserve"> based on the following factors.</w:t>
      </w:r>
    </w:p>
    <w:p w14:paraId="48F9DCB8" w14:textId="77777777" w:rsidR="000B2AB7" w:rsidRDefault="000B2AB7" w:rsidP="00A0470B">
      <w:pPr>
        <w:pStyle w:val="Level1"/>
        <w:numPr>
          <w:ilvl w:val="12"/>
          <w:numId w:val="0"/>
        </w:numPr>
        <w:autoSpaceDE/>
        <w:autoSpaceDN/>
        <w:adjustRightInd/>
        <w:ind w:left="729"/>
        <w:rPr>
          <w:rFonts w:ascii="Times New Roman" w:hAnsi="Times New Roman"/>
        </w:rPr>
      </w:pPr>
      <w:r>
        <w:rPr>
          <w:rFonts w:ascii="Times New Roman" w:hAnsi="Times New Roman"/>
        </w:rPr>
        <w:t xml:space="preserve"> </w:t>
      </w:r>
    </w:p>
    <w:p w14:paraId="34956952" w14:textId="7C9411B8" w:rsidR="000B2AB7" w:rsidRDefault="005F731A" w:rsidP="00A0470B">
      <w:pPr>
        <w:pStyle w:val="Level1"/>
        <w:numPr>
          <w:ilvl w:val="0"/>
          <w:numId w:val="5"/>
        </w:numPr>
        <w:tabs>
          <w:tab w:val="clear" w:pos="1800"/>
        </w:tabs>
        <w:autoSpaceDE/>
        <w:autoSpaceDN/>
        <w:adjustRightInd/>
        <w:ind w:left="1116"/>
        <w:rPr>
          <w:rFonts w:ascii="Times New Roman" w:hAnsi="Times New Roman"/>
        </w:rPr>
      </w:pPr>
      <w:r>
        <w:rPr>
          <w:rFonts w:ascii="Times New Roman" w:hAnsi="Times New Roman"/>
        </w:rPr>
        <w:t>For professional staff, the estimates are based on actual money spent in FY 2016 and budgeted “not-to-exceed” amounts for FY 2017. Professional staff include survey methodologists, statisticians, computer programmers and other IT support, communications specialists and managers.</w:t>
      </w:r>
    </w:p>
    <w:p w14:paraId="62F631FF" w14:textId="77777777" w:rsidR="000B2AB7" w:rsidRDefault="000B2AB7" w:rsidP="00A0470B">
      <w:pPr>
        <w:pStyle w:val="Level1"/>
        <w:autoSpaceDE/>
        <w:autoSpaceDN/>
        <w:adjustRightInd/>
        <w:ind w:left="1089"/>
        <w:rPr>
          <w:rFonts w:ascii="Times New Roman" w:hAnsi="Times New Roman"/>
        </w:rPr>
      </w:pPr>
    </w:p>
    <w:p w14:paraId="19E90138" w14:textId="4F6F1277" w:rsidR="000B2AB7" w:rsidRDefault="005F731A" w:rsidP="00A0470B">
      <w:pPr>
        <w:pStyle w:val="Level1"/>
        <w:numPr>
          <w:ilvl w:val="0"/>
          <w:numId w:val="5"/>
        </w:numPr>
        <w:tabs>
          <w:tab w:val="clear" w:pos="1800"/>
        </w:tabs>
        <w:autoSpaceDE/>
        <w:autoSpaceDN/>
        <w:adjustRightInd/>
        <w:ind w:left="1116"/>
        <w:rPr>
          <w:rFonts w:ascii="Times New Roman" w:hAnsi="Times New Roman"/>
        </w:rPr>
      </w:pPr>
      <w:r>
        <w:rPr>
          <w:rFonts w:ascii="Times New Roman" w:hAnsi="Times New Roman"/>
        </w:rPr>
        <w:t>For field data collection, projected costs reflect “not-to-exceed” amounts. The projected costs are</w:t>
      </w:r>
      <w:r w:rsidR="003C0DCE">
        <w:rPr>
          <w:rFonts w:ascii="Times New Roman" w:hAnsi="Times New Roman"/>
        </w:rPr>
        <w:t xml:space="preserve"> provided by the Census Bureau’s </w:t>
      </w:r>
      <w:r>
        <w:rPr>
          <w:rFonts w:ascii="Times New Roman" w:hAnsi="Times New Roman"/>
        </w:rPr>
        <w:t xml:space="preserve">field case management cost projection </w:t>
      </w:r>
      <w:r w:rsidR="003C0DCE">
        <w:rPr>
          <w:rFonts w:ascii="Times New Roman" w:hAnsi="Times New Roman"/>
        </w:rPr>
        <w:t>model</w:t>
      </w:r>
      <w:r>
        <w:rPr>
          <w:rFonts w:ascii="Times New Roman" w:hAnsi="Times New Roman"/>
        </w:rPr>
        <w:t>. The cost project</w:t>
      </w:r>
      <w:r w:rsidR="003C0DCE">
        <w:rPr>
          <w:rFonts w:ascii="Times New Roman" w:hAnsi="Times New Roman"/>
        </w:rPr>
        <w:t xml:space="preserve">ion model </w:t>
      </w:r>
      <w:r>
        <w:rPr>
          <w:rFonts w:ascii="Times New Roman" w:hAnsi="Times New Roman"/>
        </w:rPr>
        <w:t>uses information on costs from prior surveys</w:t>
      </w:r>
      <w:r w:rsidR="003C0DCE">
        <w:rPr>
          <w:rFonts w:ascii="Times New Roman" w:hAnsi="Times New Roman"/>
        </w:rPr>
        <w:t xml:space="preserve"> (including, but not limited to, the AHS)</w:t>
      </w:r>
      <w:r>
        <w:rPr>
          <w:rFonts w:ascii="Times New Roman" w:hAnsi="Times New Roman"/>
        </w:rPr>
        <w:t xml:space="preserve">, specifications for the current </w:t>
      </w:r>
      <w:r w:rsidR="003C0DCE">
        <w:rPr>
          <w:rFonts w:ascii="Times New Roman" w:hAnsi="Times New Roman"/>
        </w:rPr>
        <w:t>AHS</w:t>
      </w:r>
      <w:r>
        <w:rPr>
          <w:rFonts w:ascii="Times New Roman" w:hAnsi="Times New Roman"/>
        </w:rPr>
        <w:t xml:space="preserve">, and </w:t>
      </w:r>
      <w:r w:rsidR="003C0DCE">
        <w:rPr>
          <w:rFonts w:ascii="Times New Roman" w:hAnsi="Times New Roman"/>
        </w:rPr>
        <w:t xml:space="preserve">current </w:t>
      </w:r>
      <w:r>
        <w:rPr>
          <w:rFonts w:ascii="Times New Roman" w:hAnsi="Times New Roman"/>
        </w:rPr>
        <w:t>local and regional labor rates.</w:t>
      </w:r>
    </w:p>
    <w:p w14:paraId="1AE0854E" w14:textId="77777777" w:rsidR="000B2AB7" w:rsidRDefault="000B2AB7" w:rsidP="00A0470B">
      <w:pPr>
        <w:pStyle w:val="Level1"/>
        <w:autoSpaceDE/>
        <w:autoSpaceDN/>
        <w:adjustRightInd/>
        <w:ind w:left="0"/>
        <w:rPr>
          <w:rFonts w:ascii="Times New Roman" w:hAnsi="Times New Roman"/>
        </w:rPr>
      </w:pPr>
    </w:p>
    <w:p w14:paraId="3266D183" w14:textId="07A84608" w:rsidR="000B2AB7" w:rsidRDefault="005F731A" w:rsidP="00A0470B">
      <w:pPr>
        <w:pStyle w:val="Level1"/>
        <w:numPr>
          <w:ilvl w:val="0"/>
          <w:numId w:val="5"/>
        </w:numPr>
        <w:tabs>
          <w:tab w:val="clear" w:pos="1800"/>
        </w:tabs>
        <w:autoSpaceDE/>
        <w:autoSpaceDN/>
        <w:adjustRightInd/>
        <w:ind w:left="1116"/>
        <w:rPr>
          <w:rFonts w:ascii="Times New Roman" w:hAnsi="Times New Roman"/>
        </w:rPr>
      </w:pPr>
      <w:r>
        <w:rPr>
          <w:rFonts w:ascii="Times New Roman" w:hAnsi="Times New Roman"/>
        </w:rPr>
        <w:t xml:space="preserve">Technology costs include purchase and maintenance of laptops. This estimate is provided by </w:t>
      </w:r>
      <w:r w:rsidR="003C0DCE">
        <w:rPr>
          <w:rFonts w:ascii="Times New Roman" w:hAnsi="Times New Roman"/>
        </w:rPr>
        <w:t xml:space="preserve">the </w:t>
      </w:r>
      <w:r>
        <w:rPr>
          <w:rFonts w:ascii="Times New Roman" w:hAnsi="Times New Roman"/>
        </w:rPr>
        <w:t>Census</w:t>
      </w:r>
      <w:r w:rsidR="003C0DCE">
        <w:rPr>
          <w:rFonts w:ascii="Times New Roman" w:hAnsi="Times New Roman"/>
        </w:rPr>
        <w:t xml:space="preserve"> Bureau</w:t>
      </w:r>
      <w:r>
        <w:rPr>
          <w:rFonts w:ascii="Times New Roman" w:hAnsi="Times New Roman"/>
        </w:rPr>
        <w:t xml:space="preserve"> and reflect</w:t>
      </w:r>
      <w:r w:rsidR="003C0DCE">
        <w:rPr>
          <w:rFonts w:ascii="Times New Roman" w:hAnsi="Times New Roman"/>
        </w:rPr>
        <w:t>s</w:t>
      </w:r>
      <w:r>
        <w:rPr>
          <w:rFonts w:ascii="Times New Roman" w:hAnsi="Times New Roman"/>
        </w:rPr>
        <w:t xml:space="preserve"> </w:t>
      </w:r>
      <w:r w:rsidR="003C0DCE">
        <w:rPr>
          <w:rFonts w:ascii="Times New Roman" w:hAnsi="Times New Roman"/>
        </w:rPr>
        <w:t>a cost-sharing portion of the Census Bureau’s</w:t>
      </w:r>
      <w:r>
        <w:rPr>
          <w:rFonts w:ascii="Times New Roman" w:hAnsi="Times New Roman"/>
        </w:rPr>
        <w:t xml:space="preserve"> </w:t>
      </w:r>
      <w:r w:rsidR="003C0DCE">
        <w:rPr>
          <w:rFonts w:ascii="Times New Roman" w:hAnsi="Times New Roman"/>
        </w:rPr>
        <w:t xml:space="preserve">annual </w:t>
      </w:r>
      <w:r>
        <w:rPr>
          <w:rFonts w:ascii="Times New Roman" w:hAnsi="Times New Roman"/>
        </w:rPr>
        <w:t xml:space="preserve">technology costs </w:t>
      </w:r>
      <w:r w:rsidR="003C0DCE">
        <w:rPr>
          <w:rFonts w:ascii="Times New Roman" w:hAnsi="Times New Roman"/>
        </w:rPr>
        <w:t>CAPI-based surveys. All surveys using CAPI share in the cost of technology.</w:t>
      </w:r>
    </w:p>
    <w:p w14:paraId="2D804FB4" w14:textId="77777777" w:rsidR="000B2AB7" w:rsidRDefault="000B2AB7" w:rsidP="002D5DC1">
      <w:pPr>
        <w:pStyle w:val="Level1"/>
        <w:autoSpaceDE/>
        <w:autoSpaceDN/>
        <w:adjustRightInd/>
        <w:rPr>
          <w:rFonts w:ascii="Times New Roman" w:hAnsi="Times New Roman"/>
        </w:rPr>
      </w:pPr>
    </w:p>
    <w:p w14:paraId="058FD2D7" w14:textId="50F8606B" w:rsidR="000B2AB7" w:rsidRPr="00DC7D9A" w:rsidRDefault="000B2AB7" w:rsidP="00A0470B">
      <w:pPr>
        <w:pStyle w:val="Level1"/>
        <w:numPr>
          <w:ilvl w:val="0"/>
          <w:numId w:val="57"/>
        </w:numPr>
        <w:rPr>
          <w:rFonts w:ascii="Times New Roman" w:hAnsi="Times New Roman"/>
        </w:rPr>
      </w:pPr>
      <w:r w:rsidRPr="00950C3F">
        <w:rPr>
          <w:rFonts w:ascii="Times New Roman" w:hAnsi="Times New Roman"/>
          <w:b/>
          <w:bCs/>
        </w:rPr>
        <w:t>Reason for Change in Burden</w:t>
      </w:r>
    </w:p>
    <w:p w14:paraId="799832BB" w14:textId="77777777" w:rsidR="00DC7D9A" w:rsidRPr="00582A27" w:rsidRDefault="00DC7D9A" w:rsidP="00DC7D9A">
      <w:pPr>
        <w:pStyle w:val="Level1"/>
        <w:tabs>
          <w:tab w:val="left" w:pos="432"/>
          <w:tab w:val="left" w:pos="720"/>
          <w:tab w:val="left" w:pos="864"/>
          <w:tab w:val="left" w:pos="1022"/>
          <w:tab w:val="left" w:pos="1296"/>
          <w:tab w:val="left" w:pos="1728"/>
          <w:tab w:val="left" w:pos="2160"/>
        </w:tabs>
        <w:ind w:left="1413"/>
        <w:rPr>
          <w:rFonts w:ascii="Times New Roman" w:hAnsi="Times New Roman"/>
        </w:rPr>
      </w:pPr>
    </w:p>
    <w:p w14:paraId="5EDF2BB7" w14:textId="22ABADD9" w:rsidR="00A76E39" w:rsidRDefault="00AF42EE" w:rsidP="00A0470B">
      <w:pPr>
        <w:pStyle w:val="BodyTextIndent3"/>
        <w:ind w:left="720"/>
      </w:pPr>
      <w:r>
        <w:t>We expect the respondent burden to</w:t>
      </w:r>
      <w:r w:rsidR="00984085">
        <w:t xml:space="preserve"> decrease</w:t>
      </w:r>
      <w:r>
        <w:t xml:space="preserve">, </w:t>
      </w:r>
      <w:r w:rsidR="00CC3F3F">
        <w:t xml:space="preserve">because the sample size in 2017 is </w:t>
      </w:r>
      <w:r w:rsidR="00984085">
        <w:t xml:space="preserve">smaller </w:t>
      </w:r>
      <w:r w:rsidR="00CC3F3F">
        <w:t>than in 2015.</w:t>
      </w:r>
    </w:p>
    <w:p w14:paraId="1C670853" w14:textId="77777777" w:rsidR="00754D4B" w:rsidRDefault="00754D4B" w:rsidP="00A0470B">
      <w:pPr>
        <w:pStyle w:val="BodyTextIndent3"/>
        <w:numPr>
          <w:ilvl w:val="0"/>
          <w:numId w:val="0"/>
        </w:numPr>
        <w:ind w:left="981" w:hanging="261"/>
      </w:pPr>
    </w:p>
    <w:p w14:paraId="749C5B45" w14:textId="65FCBF7B" w:rsidR="00CC3F3F" w:rsidRDefault="00CC3F3F" w:rsidP="00A0470B">
      <w:pPr>
        <w:pStyle w:val="BodyTextIndent3"/>
        <w:ind w:left="720"/>
      </w:pPr>
      <w:r>
        <w:t xml:space="preserve">The sample will be split into two groups. </w:t>
      </w:r>
      <w:r w:rsidRPr="0091571E">
        <w:t>Fifty percent of the sample will be asked the Commuting module.  The other 50 percent will be asked the Disaster Planning module.</w:t>
      </w:r>
      <w:r>
        <w:t xml:space="preserve">  This will maximize </w:t>
      </w:r>
      <w:r w:rsidRPr="00CC3F3F">
        <w:t>the number of rotating modules that can be included while not increasing overall response burden.</w:t>
      </w:r>
    </w:p>
    <w:p w14:paraId="57A8ED55" w14:textId="4F6EE598" w:rsidR="00CC3F3F" w:rsidRDefault="00CC3F3F" w:rsidP="0091571E">
      <w:pPr>
        <w:pStyle w:val="BodyTextIndent3"/>
        <w:ind w:left="1413"/>
      </w:pPr>
    </w:p>
    <w:p w14:paraId="4F21E28D" w14:textId="0C9BCC63" w:rsidR="000B2AB7" w:rsidRDefault="000B2AB7" w:rsidP="00A0470B">
      <w:pPr>
        <w:pStyle w:val="Level1"/>
        <w:numPr>
          <w:ilvl w:val="0"/>
          <w:numId w:val="57"/>
        </w:numPr>
        <w:rPr>
          <w:rFonts w:ascii="Times New Roman" w:hAnsi="Times New Roman"/>
        </w:rPr>
      </w:pPr>
      <w:r>
        <w:rPr>
          <w:rFonts w:ascii="Times New Roman" w:hAnsi="Times New Roman"/>
          <w:b/>
          <w:bCs/>
        </w:rPr>
        <w:t>Project Schedule</w:t>
      </w:r>
    </w:p>
    <w:p w14:paraId="61FD12D0" w14:textId="77777777" w:rsidR="000B2AB7" w:rsidRDefault="000B2AB7" w:rsidP="002977DE">
      <w:pPr>
        <w:pStyle w:val="BodyTextIndent3"/>
        <w:ind w:left="1053"/>
      </w:pPr>
    </w:p>
    <w:p w14:paraId="44C79C5D" w14:textId="41B807FB" w:rsidR="000B2AB7" w:rsidRPr="00B07327" w:rsidRDefault="000B2AB7" w:rsidP="00A0470B">
      <w:pPr>
        <w:pStyle w:val="BodyTextIndent3"/>
        <w:ind w:left="720"/>
      </w:pPr>
      <w:r>
        <w:t>The Census Bureau has scheduled the</w:t>
      </w:r>
      <w:r w:rsidR="00E91990">
        <w:t xml:space="preserve"> majority of </w:t>
      </w:r>
      <w:r w:rsidR="00A02D4D">
        <w:t>2017</w:t>
      </w:r>
      <w:r w:rsidR="00402799">
        <w:t xml:space="preserve"> </w:t>
      </w:r>
      <w:r>
        <w:t xml:space="preserve">field enumeration for the AHS survey to begin </w:t>
      </w:r>
      <w:r w:rsidR="0029682C">
        <w:t xml:space="preserve">May 1 and </w:t>
      </w:r>
      <w:r w:rsidR="00950408">
        <w:t xml:space="preserve">end </w:t>
      </w:r>
      <w:r w:rsidR="004E672C">
        <w:t>August 25</w:t>
      </w:r>
      <w:r w:rsidR="00AF75EA">
        <w:t>,</w:t>
      </w:r>
      <w:r w:rsidR="00751B40">
        <w:t xml:space="preserve"> </w:t>
      </w:r>
      <w:r w:rsidR="00A02D4D">
        <w:t>2017</w:t>
      </w:r>
      <w:r>
        <w:t>.</w:t>
      </w:r>
      <w:r w:rsidR="00EB63F5">
        <w:t xml:space="preserve"> The</w:t>
      </w:r>
      <w:r w:rsidR="00F54D33">
        <w:t xml:space="preserve"> entire</w:t>
      </w:r>
      <w:r w:rsidR="00EB63F5">
        <w:t xml:space="preserve"> </w:t>
      </w:r>
      <w:proofErr w:type="spellStart"/>
      <w:r w:rsidR="00EB63F5">
        <w:t>reinterview</w:t>
      </w:r>
      <w:proofErr w:type="spellEnd"/>
      <w:r w:rsidR="00EB63F5">
        <w:t xml:space="preserve"> data collection will </w:t>
      </w:r>
      <w:r w:rsidR="004A31FA">
        <w:t>span May</w:t>
      </w:r>
      <w:r w:rsidR="0029682C">
        <w:t xml:space="preserve"> </w:t>
      </w:r>
      <w:r w:rsidR="004E672C">
        <w:t>15</w:t>
      </w:r>
      <w:r w:rsidR="00AF75EA">
        <w:t xml:space="preserve"> through</w:t>
      </w:r>
      <w:r w:rsidR="00F54D33">
        <w:t xml:space="preserve"> </w:t>
      </w:r>
      <w:r w:rsidR="004E672C">
        <w:t>September 8</w:t>
      </w:r>
      <w:r w:rsidR="00BC4D89">
        <w:t xml:space="preserve">, </w:t>
      </w:r>
      <w:r w:rsidR="00A02D4D">
        <w:t>2017</w:t>
      </w:r>
      <w:r w:rsidR="00BC4D89">
        <w:t>.</w:t>
      </w:r>
      <w:r w:rsidR="00DC7D9A">
        <w:t xml:space="preserve">  </w:t>
      </w:r>
      <w:r w:rsidR="00402799" w:rsidRPr="00866C50">
        <w:t xml:space="preserve">The projected release date of the </w:t>
      </w:r>
      <w:r w:rsidR="00B019B2" w:rsidRPr="00866C50">
        <w:t xml:space="preserve">National </w:t>
      </w:r>
      <w:r w:rsidR="002F6E80">
        <w:t>and Metro</w:t>
      </w:r>
      <w:r w:rsidR="00A508BA">
        <w:t>politan</w:t>
      </w:r>
      <w:r w:rsidR="002F6E80">
        <w:t xml:space="preserve"> </w:t>
      </w:r>
      <w:r w:rsidR="00402799" w:rsidRPr="00866C50">
        <w:t>public use file</w:t>
      </w:r>
      <w:r w:rsidR="002F6E80">
        <w:t>s</w:t>
      </w:r>
      <w:r w:rsidR="00B019B2" w:rsidRPr="00866C50">
        <w:t xml:space="preserve"> (PUF</w:t>
      </w:r>
      <w:r w:rsidR="002F6E80">
        <w:t>s</w:t>
      </w:r>
      <w:r w:rsidR="00B019B2" w:rsidRPr="00866C50">
        <w:t>)</w:t>
      </w:r>
      <w:r w:rsidR="00402799" w:rsidRPr="00866C50">
        <w:t xml:space="preserve"> is</w:t>
      </w:r>
      <w:r w:rsidR="00AF75EA">
        <w:t xml:space="preserve"> </w:t>
      </w:r>
      <w:r w:rsidR="00F76B22">
        <w:t>summer 2018</w:t>
      </w:r>
      <w:r w:rsidR="00B019B2" w:rsidRPr="00866C50">
        <w:t>.</w:t>
      </w:r>
      <w:r w:rsidR="00402799">
        <w:t xml:space="preserve">  </w:t>
      </w:r>
      <w:r w:rsidR="001E6B2D">
        <w:t>When processing the data, t</w:t>
      </w:r>
      <w:r w:rsidR="00200F73">
        <w:t xml:space="preserve">he </w:t>
      </w:r>
      <w:r w:rsidR="00200F73">
        <w:lastRenderedPageBreak/>
        <w:t xml:space="preserve">Census Bureau </w:t>
      </w:r>
      <w:r w:rsidR="00200F73" w:rsidRPr="00C16E5F">
        <w:t>usually implements basic data edits to ensure consistency.  In</w:t>
      </w:r>
      <w:r w:rsidR="00200F73">
        <w:t xml:space="preserve"> </w:t>
      </w:r>
      <w:r w:rsidR="00200F73" w:rsidRPr="00C16E5F">
        <w:t>some cases, statistical models are used to allocate for missing values,</w:t>
      </w:r>
      <w:r w:rsidR="00200F73">
        <w:t xml:space="preserve"> </w:t>
      </w:r>
      <w:r w:rsidR="00200F73" w:rsidRPr="00C16E5F">
        <w:t>such as values for income, utility cost, etc.  Allocated values can be</w:t>
      </w:r>
      <w:r w:rsidR="00200F73">
        <w:t xml:space="preserve"> </w:t>
      </w:r>
      <w:r w:rsidR="00200F73" w:rsidRPr="00C16E5F">
        <w:t xml:space="preserve">identified by analysts with the help </w:t>
      </w:r>
      <w:r w:rsidR="00200F73" w:rsidRPr="00EF5A7D">
        <w:t>of variables that are included in the data set that tag such edits.  We also create new variables by collapsing</w:t>
      </w:r>
      <w:r w:rsidR="00200F73">
        <w:t xml:space="preserve"> </w:t>
      </w:r>
      <w:r w:rsidR="00200F73" w:rsidRPr="00C16E5F">
        <w:t>or combining questions in the survey.</w:t>
      </w:r>
      <w:r w:rsidR="00B07327">
        <w:t xml:space="preserve">  </w:t>
      </w:r>
      <w:r w:rsidR="00702554" w:rsidRPr="00B07327">
        <w:t xml:space="preserve">We </w:t>
      </w:r>
      <w:r w:rsidRPr="00B07327">
        <w:t xml:space="preserve">expect to reduce time slightly through continued streamlining and technological advances.  </w:t>
      </w:r>
    </w:p>
    <w:p w14:paraId="38C67DB8" w14:textId="77777777" w:rsidR="000B2AB7" w:rsidRPr="00B07327" w:rsidRDefault="000B2AB7" w:rsidP="00A0470B">
      <w:pPr>
        <w:numPr>
          <w:ilvl w:val="12"/>
          <w:numId w:val="0"/>
        </w:numPr>
        <w:ind w:left="540"/>
      </w:pPr>
    </w:p>
    <w:p w14:paraId="31D1BED5" w14:textId="5B8351A7" w:rsidR="000B2AB7" w:rsidRPr="00B07327" w:rsidRDefault="007B4167" w:rsidP="00A0470B">
      <w:pPr>
        <w:pStyle w:val="BodyTextIndent3"/>
        <w:ind w:left="720"/>
      </w:pPr>
      <w:r>
        <w:t>HUD and t</w:t>
      </w:r>
      <w:r w:rsidR="000B2AB7" w:rsidRPr="00B07327">
        <w:t>he Census Bureau will issue press releases and/or product announcements when releasing the PUF</w:t>
      </w:r>
      <w:r w:rsidR="00E74C93" w:rsidRPr="00B07327">
        <w:t>s</w:t>
      </w:r>
      <w:r w:rsidR="000B2AB7" w:rsidRPr="00B07327">
        <w:t xml:space="preserve">, as well as reports containing a summary of the data collected as agreed upon with </w:t>
      </w:r>
      <w:r w:rsidR="008C6429" w:rsidRPr="00B07327">
        <w:t>HUD</w:t>
      </w:r>
      <w:r w:rsidR="000B2AB7" w:rsidRPr="00B07327">
        <w:t xml:space="preserve">.  The summary </w:t>
      </w:r>
      <w:r>
        <w:t>tables</w:t>
      </w:r>
      <w:r w:rsidR="000B2AB7" w:rsidRPr="00B07327">
        <w:t xml:space="preserve"> will provide selected statistics at the national level involved.  The Department of Commerce or </w:t>
      </w:r>
      <w:r w:rsidR="008C6429" w:rsidRPr="00B07327">
        <w:t>HUD</w:t>
      </w:r>
      <w:r w:rsidR="000B2AB7" w:rsidRPr="00B07327">
        <w:t xml:space="preserve"> may release other publications.</w:t>
      </w:r>
      <w:r w:rsidR="00EB63F5" w:rsidRPr="00B07327">
        <w:t xml:space="preserve">  </w:t>
      </w:r>
      <w:r>
        <w:t>Custom</w:t>
      </w:r>
      <w:r w:rsidR="00EB63F5" w:rsidRPr="00B07327">
        <w:t xml:space="preserve"> tables </w:t>
      </w:r>
      <w:r>
        <w:t>will be made available</w:t>
      </w:r>
      <w:r w:rsidR="0019067F" w:rsidRPr="00B07327">
        <w:t xml:space="preserve"> through </w:t>
      </w:r>
      <w:r>
        <w:t>the AHS Table Creator</w:t>
      </w:r>
      <w:r w:rsidR="00EB63F5" w:rsidRPr="00B07327">
        <w:t>.</w:t>
      </w:r>
    </w:p>
    <w:p w14:paraId="5692B3B0" w14:textId="77777777" w:rsidR="000B2AB7" w:rsidRPr="00B07327" w:rsidRDefault="000B2AB7" w:rsidP="00A0470B">
      <w:pPr>
        <w:pStyle w:val="BodyTextIndent3"/>
        <w:ind w:left="1620"/>
      </w:pPr>
    </w:p>
    <w:p w14:paraId="4C575D5E" w14:textId="77777777" w:rsidR="00A02D40" w:rsidRPr="00B07327" w:rsidRDefault="00A02D40" w:rsidP="00A0470B">
      <w:pPr>
        <w:pStyle w:val="BodyTextIndent3"/>
        <w:ind w:left="720"/>
      </w:pPr>
      <w:r>
        <w:t>T</w:t>
      </w:r>
      <w:r w:rsidRPr="00A02D40">
        <w:t xml:space="preserve">he data being disseminated and released are not individually identifiable and will have been cleared for release/dissemination by the Census Bureau's Disclosure Review Board.  </w:t>
      </w:r>
    </w:p>
    <w:p w14:paraId="5AF5A540" w14:textId="77777777" w:rsidR="00A0470B" w:rsidRDefault="00A0470B" w:rsidP="00A0470B">
      <w:pPr>
        <w:pStyle w:val="Level1"/>
        <w:ind w:left="0"/>
        <w:rPr>
          <w:rFonts w:ascii="Times New Roman" w:hAnsi="Times New Roman"/>
        </w:rPr>
      </w:pPr>
    </w:p>
    <w:p w14:paraId="55045D9F" w14:textId="65F7A2F3" w:rsidR="000B2AB7" w:rsidRPr="00B07327" w:rsidRDefault="000B2AB7" w:rsidP="00A0470B">
      <w:pPr>
        <w:pStyle w:val="Level1"/>
        <w:numPr>
          <w:ilvl w:val="0"/>
          <w:numId w:val="57"/>
        </w:numPr>
        <w:rPr>
          <w:rFonts w:ascii="Times New Roman" w:hAnsi="Times New Roman"/>
          <w:b/>
        </w:rPr>
      </w:pPr>
      <w:r w:rsidRPr="00B07327">
        <w:rPr>
          <w:rFonts w:ascii="Times New Roman" w:hAnsi="Times New Roman"/>
          <w:b/>
          <w:bCs/>
        </w:rPr>
        <w:t>Request to Not Display Expiration Date</w:t>
      </w:r>
    </w:p>
    <w:p w14:paraId="719C025D" w14:textId="77777777" w:rsidR="00A0470B" w:rsidRDefault="00A0470B" w:rsidP="00A0470B">
      <w:pPr>
        <w:pStyle w:val="BodyTextIndent3"/>
        <w:ind w:left="0"/>
      </w:pPr>
    </w:p>
    <w:p w14:paraId="7FA7958C" w14:textId="757055E4" w:rsidR="000B2AB7" w:rsidRDefault="000B2AB7" w:rsidP="00A0470B">
      <w:pPr>
        <w:pStyle w:val="BodyTextIndent3"/>
        <w:ind w:left="720"/>
      </w:pPr>
      <w:r w:rsidRPr="00B07327">
        <w:t xml:space="preserve">The OMB number and expiration date </w:t>
      </w:r>
      <w:r w:rsidR="00D05C34">
        <w:t xml:space="preserve">will be </w:t>
      </w:r>
      <w:r w:rsidRPr="00B07327">
        <w:t>included on the AHS-26/66(L) Advance Letter.  Because the questionnaire is an automated instrument, the respondent will not see the OMB number and expiration date.</w:t>
      </w:r>
    </w:p>
    <w:p w14:paraId="5DD8276A" w14:textId="77777777" w:rsidR="00B450F7" w:rsidRDefault="00B450F7" w:rsidP="002977DE">
      <w:pPr>
        <w:pStyle w:val="BodyTextIndent3"/>
        <w:ind w:left="1413"/>
      </w:pPr>
    </w:p>
    <w:p w14:paraId="21EAB038" w14:textId="4916BAFB" w:rsidR="000B2AB7" w:rsidRPr="00B07327" w:rsidRDefault="000B2AB7" w:rsidP="00A0470B">
      <w:pPr>
        <w:pStyle w:val="Level1"/>
        <w:numPr>
          <w:ilvl w:val="0"/>
          <w:numId w:val="57"/>
        </w:numPr>
        <w:rPr>
          <w:rFonts w:ascii="Times New Roman" w:hAnsi="Times New Roman"/>
          <w:b/>
        </w:rPr>
      </w:pPr>
      <w:r w:rsidRPr="00B07327">
        <w:rPr>
          <w:rFonts w:ascii="Times New Roman" w:hAnsi="Times New Roman"/>
          <w:b/>
          <w:bCs/>
        </w:rPr>
        <w:t>Exceptions to the Certificate</w:t>
      </w:r>
    </w:p>
    <w:p w14:paraId="65112EDA" w14:textId="77777777" w:rsidR="00E1701B" w:rsidRDefault="00E1701B" w:rsidP="00E1701B">
      <w:pPr>
        <w:pStyle w:val="Level1"/>
        <w:numPr>
          <w:ilvl w:val="12"/>
          <w:numId w:val="0"/>
        </w:numPr>
        <w:autoSpaceDE/>
        <w:autoSpaceDN/>
        <w:adjustRightInd/>
        <w:rPr>
          <w:rFonts w:ascii="Times New Roman" w:hAnsi="Times New Roman"/>
        </w:rPr>
      </w:pPr>
    </w:p>
    <w:p w14:paraId="4859F620" w14:textId="5D4CC43D" w:rsidR="006A22D1" w:rsidRPr="00B07327" w:rsidRDefault="000B2AB7" w:rsidP="00A0470B">
      <w:pPr>
        <w:pStyle w:val="Level1"/>
        <w:numPr>
          <w:ilvl w:val="12"/>
          <w:numId w:val="0"/>
        </w:numPr>
        <w:autoSpaceDE/>
        <w:autoSpaceDN/>
        <w:adjustRightInd/>
        <w:ind w:left="720"/>
        <w:rPr>
          <w:rFonts w:ascii="Times New Roman" w:hAnsi="Times New Roman"/>
        </w:rPr>
      </w:pPr>
      <w:r w:rsidRPr="00B07327">
        <w:rPr>
          <w:rFonts w:ascii="Times New Roman" w:hAnsi="Times New Roman"/>
        </w:rPr>
        <w:t>There are no exceptions.</w:t>
      </w:r>
    </w:p>
    <w:p w14:paraId="3E4401BE" w14:textId="77777777" w:rsidR="00B07327" w:rsidRPr="005A53AB" w:rsidRDefault="00B07327" w:rsidP="00E1701B">
      <w:pPr>
        <w:pStyle w:val="Level1"/>
        <w:numPr>
          <w:ilvl w:val="12"/>
          <w:numId w:val="0"/>
        </w:numPr>
        <w:autoSpaceDE/>
        <w:autoSpaceDN/>
        <w:adjustRightInd/>
        <w:ind w:left="1440" w:firstLine="27"/>
        <w:rPr>
          <w:rFonts w:ascii="Times New Roman" w:hAnsi="Times New Roman"/>
          <w:b/>
          <w:color w:val="FF0000"/>
        </w:rPr>
      </w:pPr>
    </w:p>
    <w:p w14:paraId="10430FEF" w14:textId="77777777" w:rsidR="00B22246" w:rsidRDefault="00B22246" w:rsidP="00B22246">
      <w:pPr>
        <w:ind w:left="333"/>
        <w:jc w:val="center"/>
        <w:rPr>
          <w:b/>
          <w:bCs/>
        </w:rPr>
      </w:pPr>
    </w:p>
    <w:p w14:paraId="77C6F02E" w14:textId="77777777" w:rsidR="00B22246" w:rsidRDefault="00B22246" w:rsidP="00B22246">
      <w:pPr>
        <w:ind w:left="333"/>
        <w:jc w:val="center"/>
        <w:rPr>
          <w:b/>
          <w:bCs/>
        </w:rPr>
      </w:pPr>
    </w:p>
    <w:p w14:paraId="25F902EF" w14:textId="77777777" w:rsidR="00B22246" w:rsidRDefault="00B22246" w:rsidP="00B22246">
      <w:pPr>
        <w:ind w:left="333"/>
        <w:jc w:val="center"/>
        <w:rPr>
          <w:b/>
          <w:bCs/>
        </w:rPr>
      </w:pPr>
    </w:p>
    <w:p w14:paraId="08A8991C" w14:textId="54F5D7B2" w:rsidR="00B22246" w:rsidRDefault="00B22246" w:rsidP="00B22246">
      <w:pPr>
        <w:ind w:left="333"/>
        <w:jc w:val="center"/>
        <w:rPr>
          <w:b/>
          <w:bCs/>
        </w:rPr>
      </w:pPr>
    </w:p>
    <w:p w14:paraId="7660B163" w14:textId="77777777" w:rsidR="003E5405" w:rsidRDefault="003E5405" w:rsidP="00B22246">
      <w:pPr>
        <w:ind w:left="333"/>
        <w:jc w:val="center"/>
        <w:rPr>
          <w:b/>
          <w:bCs/>
        </w:rPr>
      </w:pPr>
    </w:p>
    <w:p w14:paraId="47068E81" w14:textId="77777777" w:rsidR="00B22246" w:rsidRDefault="00B22246" w:rsidP="00B22246">
      <w:pPr>
        <w:ind w:left="333"/>
        <w:jc w:val="center"/>
        <w:rPr>
          <w:b/>
          <w:bCs/>
        </w:rPr>
      </w:pPr>
    </w:p>
    <w:p w14:paraId="6195C1B4" w14:textId="77777777" w:rsidR="00B22246" w:rsidRDefault="00B22246" w:rsidP="00B22246">
      <w:pPr>
        <w:ind w:left="333"/>
        <w:jc w:val="center"/>
        <w:rPr>
          <w:b/>
          <w:bCs/>
        </w:rPr>
      </w:pPr>
    </w:p>
    <w:p w14:paraId="4935043C" w14:textId="77777777" w:rsidR="00B22246" w:rsidRDefault="00B22246" w:rsidP="00B22246">
      <w:pPr>
        <w:ind w:left="333"/>
        <w:jc w:val="center"/>
        <w:rPr>
          <w:b/>
          <w:bCs/>
        </w:rPr>
      </w:pPr>
    </w:p>
    <w:p w14:paraId="11F05694" w14:textId="77777777" w:rsidR="00B22246" w:rsidRDefault="00B22246" w:rsidP="00B22246">
      <w:pPr>
        <w:ind w:left="333"/>
        <w:jc w:val="center"/>
        <w:rPr>
          <w:b/>
          <w:bCs/>
        </w:rPr>
      </w:pPr>
    </w:p>
    <w:p w14:paraId="4C362B01" w14:textId="16B894E8" w:rsidR="00B22246" w:rsidRDefault="00B22246" w:rsidP="00B22246">
      <w:pPr>
        <w:ind w:left="333"/>
        <w:jc w:val="center"/>
        <w:rPr>
          <w:b/>
          <w:bCs/>
        </w:rPr>
      </w:pPr>
    </w:p>
    <w:p w14:paraId="423556E2" w14:textId="73692078" w:rsidR="00447671" w:rsidRDefault="00447671" w:rsidP="00B22246">
      <w:pPr>
        <w:ind w:left="333"/>
        <w:jc w:val="center"/>
        <w:rPr>
          <w:b/>
          <w:bCs/>
        </w:rPr>
      </w:pPr>
    </w:p>
    <w:p w14:paraId="230F83AC" w14:textId="380C4EEC" w:rsidR="00447671" w:rsidRDefault="00447671" w:rsidP="00B22246">
      <w:pPr>
        <w:ind w:left="333"/>
        <w:jc w:val="center"/>
        <w:rPr>
          <w:b/>
          <w:bCs/>
        </w:rPr>
      </w:pPr>
    </w:p>
    <w:p w14:paraId="4B3C89A4" w14:textId="7C32EEAC" w:rsidR="003E5405" w:rsidRDefault="003E5405" w:rsidP="00B22246">
      <w:pPr>
        <w:ind w:left="333"/>
        <w:jc w:val="center"/>
        <w:rPr>
          <w:b/>
          <w:bCs/>
        </w:rPr>
      </w:pPr>
    </w:p>
    <w:p w14:paraId="48FB2D07" w14:textId="36AB52D9" w:rsidR="003E5405" w:rsidRDefault="003E5405" w:rsidP="00B22246">
      <w:pPr>
        <w:ind w:left="333"/>
        <w:jc w:val="center"/>
        <w:rPr>
          <w:b/>
          <w:bCs/>
        </w:rPr>
      </w:pPr>
    </w:p>
    <w:p w14:paraId="65962DB0" w14:textId="552F0869" w:rsidR="003E5405" w:rsidRDefault="003E5405" w:rsidP="00B22246">
      <w:pPr>
        <w:ind w:left="333"/>
        <w:jc w:val="center"/>
        <w:rPr>
          <w:b/>
          <w:bCs/>
        </w:rPr>
      </w:pPr>
    </w:p>
    <w:p w14:paraId="0862942B" w14:textId="6AD24DFF" w:rsidR="003E5405" w:rsidRDefault="003E5405" w:rsidP="00B22246">
      <w:pPr>
        <w:ind w:left="333"/>
        <w:jc w:val="center"/>
        <w:rPr>
          <w:b/>
          <w:bCs/>
        </w:rPr>
      </w:pPr>
    </w:p>
    <w:p w14:paraId="26030863" w14:textId="77777777" w:rsidR="00A0470B" w:rsidRDefault="00A0470B" w:rsidP="00B22246">
      <w:pPr>
        <w:ind w:left="333"/>
        <w:jc w:val="center"/>
        <w:rPr>
          <w:b/>
          <w:bCs/>
        </w:rPr>
      </w:pPr>
    </w:p>
    <w:p w14:paraId="0A226461" w14:textId="77777777" w:rsidR="00A0470B" w:rsidRDefault="00A0470B" w:rsidP="00B22246">
      <w:pPr>
        <w:ind w:left="333"/>
        <w:jc w:val="center"/>
        <w:rPr>
          <w:b/>
          <w:bCs/>
        </w:rPr>
      </w:pPr>
    </w:p>
    <w:p w14:paraId="5E152D9C" w14:textId="7DC1AD4D" w:rsidR="00B22246" w:rsidRDefault="00B22246" w:rsidP="00B22246">
      <w:pPr>
        <w:ind w:left="333"/>
        <w:jc w:val="center"/>
        <w:rPr>
          <w:b/>
          <w:bCs/>
        </w:rPr>
      </w:pPr>
      <w:r w:rsidRPr="00B84818">
        <w:rPr>
          <w:b/>
          <w:bCs/>
        </w:rPr>
        <w:lastRenderedPageBreak/>
        <w:t>SUPPORTING STATEMENT</w:t>
      </w:r>
    </w:p>
    <w:p w14:paraId="704DE5C1" w14:textId="77777777" w:rsidR="00B22246" w:rsidRPr="007115B8" w:rsidRDefault="00B22246" w:rsidP="00B22246">
      <w:pPr>
        <w:rPr>
          <w:b/>
          <w:bCs/>
        </w:rPr>
      </w:pPr>
    </w:p>
    <w:p w14:paraId="77740556" w14:textId="77777777" w:rsidR="00B22246" w:rsidRPr="007115B8" w:rsidRDefault="00B22246" w:rsidP="00B22246">
      <w:pPr>
        <w:ind w:left="333"/>
        <w:rPr>
          <w:b/>
        </w:rPr>
      </w:pPr>
      <w:r w:rsidRPr="007115B8">
        <w:rPr>
          <w:b/>
          <w:bCs/>
        </w:rPr>
        <w:t xml:space="preserve">B.  </w:t>
      </w:r>
      <w:r w:rsidRPr="007115B8">
        <w:rPr>
          <w:b/>
          <w:bCs/>
          <w:u w:val="single"/>
        </w:rPr>
        <w:t>Collection of Information Employing Statistical Methods</w:t>
      </w:r>
    </w:p>
    <w:p w14:paraId="0697C801" w14:textId="77777777" w:rsidR="00E1701B" w:rsidRDefault="00E1701B" w:rsidP="00E1701B">
      <w:pPr>
        <w:pStyle w:val="Level1"/>
        <w:ind w:left="0"/>
        <w:rPr>
          <w:rFonts w:ascii="Times New Roman" w:hAnsi="Times New Roman"/>
          <w:b/>
          <w:bCs/>
        </w:rPr>
      </w:pPr>
    </w:p>
    <w:p w14:paraId="7611E167" w14:textId="19BA6101" w:rsidR="00B22246" w:rsidRPr="007115B8" w:rsidRDefault="00E1701B" w:rsidP="00E1701B">
      <w:pPr>
        <w:pStyle w:val="Level1"/>
        <w:numPr>
          <w:ilvl w:val="3"/>
          <w:numId w:val="30"/>
        </w:numPr>
        <w:ind w:left="1080"/>
        <w:rPr>
          <w:rFonts w:ascii="Times New Roman" w:hAnsi="Times New Roman"/>
          <w:b/>
          <w:bCs/>
        </w:rPr>
      </w:pPr>
      <w:r>
        <w:rPr>
          <w:rFonts w:ascii="Times New Roman" w:hAnsi="Times New Roman"/>
          <w:b/>
          <w:bCs/>
        </w:rPr>
        <w:t>U</w:t>
      </w:r>
      <w:r w:rsidR="00B22246" w:rsidRPr="007115B8">
        <w:rPr>
          <w:rFonts w:ascii="Times New Roman" w:hAnsi="Times New Roman"/>
          <w:b/>
          <w:bCs/>
        </w:rPr>
        <w:t>niverse and Respondent Selection</w:t>
      </w:r>
    </w:p>
    <w:p w14:paraId="27011F0F" w14:textId="2ABD6509" w:rsidR="00B22246" w:rsidRDefault="00B22246" w:rsidP="00E1701B">
      <w:pPr>
        <w:pStyle w:val="NormalWeb"/>
        <w:ind w:left="1080"/>
      </w:pPr>
      <w:r>
        <w:t>The 2017 AHS sample will consist of 1</w:t>
      </w:r>
      <w:r w:rsidR="00984085">
        <w:t>20,828</w:t>
      </w:r>
      <w:r>
        <w:t xml:space="preserve"> sample </w:t>
      </w:r>
      <w:r w:rsidR="00035AAC">
        <w:t xml:space="preserve">housing </w:t>
      </w:r>
      <w:r>
        <w:t xml:space="preserve">units.  The table below describes the different parts of the sample. </w:t>
      </w:r>
    </w:p>
    <w:tbl>
      <w:tblPr>
        <w:tblStyle w:val="TableGrid"/>
        <w:tblW w:w="0" w:type="auto"/>
        <w:jc w:val="center"/>
        <w:tblLook w:val="04A0" w:firstRow="1" w:lastRow="0" w:firstColumn="1" w:lastColumn="0" w:noHBand="0" w:noVBand="1"/>
      </w:tblPr>
      <w:tblGrid>
        <w:gridCol w:w="6475"/>
        <w:gridCol w:w="2700"/>
      </w:tblGrid>
      <w:tr w:rsidR="003A5BD7" w:rsidRPr="00DF4B0D" w14:paraId="3F4ABCEF" w14:textId="77777777" w:rsidTr="00DF4B0D">
        <w:trPr>
          <w:jc w:val="center"/>
        </w:trPr>
        <w:tc>
          <w:tcPr>
            <w:tcW w:w="6475" w:type="dxa"/>
          </w:tcPr>
          <w:p w14:paraId="63F79F2B" w14:textId="5DCFA71A" w:rsidR="003A5BD7" w:rsidRPr="00DF4B0D" w:rsidRDefault="003A5BD7" w:rsidP="00B22246">
            <w:pPr>
              <w:rPr>
                <w:b/>
                <w:sz w:val="20"/>
                <w:szCs w:val="20"/>
              </w:rPr>
            </w:pPr>
            <w:r w:rsidRPr="00DF4B0D">
              <w:rPr>
                <w:b/>
                <w:sz w:val="20"/>
                <w:szCs w:val="20"/>
              </w:rPr>
              <w:t>Sample Part</w:t>
            </w:r>
            <w:r w:rsidR="00035AAC" w:rsidRPr="00DF4B0D">
              <w:rPr>
                <w:b/>
                <w:sz w:val="20"/>
                <w:szCs w:val="20"/>
              </w:rPr>
              <w:t xml:space="preserve"> Description</w:t>
            </w:r>
          </w:p>
        </w:tc>
        <w:tc>
          <w:tcPr>
            <w:tcW w:w="2700" w:type="dxa"/>
          </w:tcPr>
          <w:p w14:paraId="2DA21D4C" w14:textId="5E189157" w:rsidR="003A5BD7" w:rsidRPr="00DF4B0D" w:rsidRDefault="00035AAC" w:rsidP="00035AAC">
            <w:pPr>
              <w:jc w:val="right"/>
              <w:rPr>
                <w:b/>
                <w:sz w:val="20"/>
                <w:szCs w:val="20"/>
              </w:rPr>
            </w:pPr>
            <w:r w:rsidRPr="00DF4B0D">
              <w:rPr>
                <w:b/>
                <w:sz w:val="20"/>
                <w:szCs w:val="20"/>
              </w:rPr>
              <w:t xml:space="preserve">Exact </w:t>
            </w:r>
            <w:r w:rsidR="003A5BD7" w:rsidRPr="00DF4B0D">
              <w:rPr>
                <w:b/>
                <w:sz w:val="20"/>
                <w:szCs w:val="20"/>
              </w:rPr>
              <w:t>Sample Size</w:t>
            </w:r>
            <w:r w:rsidRPr="00DF4B0D">
              <w:rPr>
                <w:b/>
                <w:sz w:val="20"/>
                <w:szCs w:val="20"/>
              </w:rPr>
              <w:t xml:space="preserve"> (number of housing units</w:t>
            </w:r>
          </w:p>
        </w:tc>
      </w:tr>
      <w:tr w:rsidR="00B22246" w:rsidRPr="00DF4B0D" w14:paraId="6A279E01" w14:textId="77777777" w:rsidTr="00DF4B0D">
        <w:trPr>
          <w:jc w:val="center"/>
        </w:trPr>
        <w:tc>
          <w:tcPr>
            <w:tcW w:w="6475" w:type="dxa"/>
          </w:tcPr>
          <w:p w14:paraId="711158D7" w14:textId="77777777" w:rsidR="00B22246" w:rsidRPr="00DF4B0D" w:rsidRDefault="00B22246" w:rsidP="00B22246">
            <w:pPr>
              <w:rPr>
                <w:sz w:val="20"/>
                <w:szCs w:val="20"/>
              </w:rPr>
            </w:pPr>
            <w:r w:rsidRPr="00DF4B0D">
              <w:rPr>
                <w:sz w:val="20"/>
                <w:szCs w:val="20"/>
              </w:rPr>
              <w:t xml:space="preserve">National cases representative of the U.S. </w:t>
            </w:r>
          </w:p>
        </w:tc>
        <w:tc>
          <w:tcPr>
            <w:tcW w:w="2700" w:type="dxa"/>
          </w:tcPr>
          <w:p w14:paraId="418A1A81" w14:textId="77777777" w:rsidR="00B22246" w:rsidRPr="00DF4B0D" w:rsidRDefault="00B22246" w:rsidP="00B22246">
            <w:pPr>
              <w:jc w:val="right"/>
              <w:rPr>
                <w:sz w:val="20"/>
                <w:szCs w:val="20"/>
              </w:rPr>
            </w:pPr>
            <w:r w:rsidRPr="00DF4B0D">
              <w:rPr>
                <w:sz w:val="20"/>
                <w:szCs w:val="20"/>
              </w:rPr>
              <w:t>34,392</w:t>
            </w:r>
          </w:p>
        </w:tc>
      </w:tr>
      <w:tr w:rsidR="00B22246" w:rsidRPr="00DF4B0D" w14:paraId="1E38A45F" w14:textId="77777777" w:rsidTr="00DF4B0D">
        <w:trPr>
          <w:jc w:val="center"/>
        </w:trPr>
        <w:tc>
          <w:tcPr>
            <w:tcW w:w="6475" w:type="dxa"/>
          </w:tcPr>
          <w:p w14:paraId="58FBBA23" w14:textId="1DED23F2" w:rsidR="00B22246" w:rsidRPr="00DF4B0D" w:rsidRDefault="00B22246" w:rsidP="00035AAC">
            <w:pPr>
              <w:rPr>
                <w:sz w:val="20"/>
                <w:szCs w:val="20"/>
              </w:rPr>
            </w:pPr>
            <w:r w:rsidRPr="00DF4B0D">
              <w:rPr>
                <w:sz w:val="20"/>
                <w:szCs w:val="20"/>
              </w:rPr>
              <w:t xml:space="preserve">Top 15 metro oversample </w:t>
            </w:r>
            <w:r w:rsidR="003C2B78" w:rsidRPr="00DF4B0D">
              <w:rPr>
                <w:sz w:val="20"/>
                <w:szCs w:val="20"/>
              </w:rPr>
              <w:t>that include approximately 3,0</w:t>
            </w:r>
            <w:r w:rsidR="00035AAC" w:rsidRPr="00DF4B0D">
              <w:rPr>
                <w:sz w:val="20"/>
                <w:szCs w:val="20"/>
              </w:rPr>
              <w:t>00</w:t>
            </w:r>
            <w:r w:rsidR="003C2B78" w:rsidRPr="00DF4B0D">
              <w:rPr>
                <w:sz w:val="20"/>
                <w:szCs w:val="20"/>
              </w:rPr>
              <w:t xml:space="preserve"> units each</w:t>
            </w:r>
            <w:r w:rsidR="00035AAC" w:rsidRPr="00DF4B0D">
              <w:rPr>
                <w:sz w:val="20"/>
                <w:szCs w:val="20"/>
              </w:rPr>
              <w:t>. Some metros will have a bit less than 3,000 housing units while some will have a bit more than 3,000 housing units</w:t>
            </w:r>
          </w:p>
        </w:tc>
        <w:tc>
          <w:tcPr>
            <w:tcW w:w="2700" w:type="dxa"/>
          </w:tcPr>
          <w:p w14:paraId="4C20B7D1" w14:textId="77777777" w:rsidR="00B22246" w:rsidRPr="00DF4B0D" w:rsidRDefault="00B22246" w:rsidP="00B22246">
            <w:pPr>
              <w:jc w:val="right"/>
              <w:rPr>
                <w:sz w:val="20"/>
                <w:szCs w:val="20"/>
              </w:rPr>
            </w:pPr>
            <w:r w:rsidRPr="00DF4B0D">
              <w:rPr>
                <w:sz w:val="20"/>
                <w:szCs w:val="20"/>
              </w:rPr>
              <w:t>45,285</w:t>
            </w:r>
          </w:p>
        </w:tc>
      </w:tr>
      <w:tr w:rsidR="00B22246" w:rsidRPr="00DF4B0D" w14:paraId="69939703" w14:textId="77777777" w:rsidTr="00DF4B0D">
        <w:trPr>
          <w:trHeight w:val="530"/>
          <w:jc w:val="center"/>
        </w:trPr>
        <w:tc>
          <w:tcPr>
            <w:tcW w:w="6475" w:type="dxa"/>
          </w:tcPr>
          <w:p w14:paraId="7E068303" w14:textId="77777777" w:rsidR="00B22246" w:rsidRPr="00DF4B0D" w:rsidRDefault="00B22246" w:rsidP="00B22246">
            <w:pPr>
              <w:rPr>
                <w:sz w:val="20"/>
                <w:szCs w:val="20"/>
              </w:rPr>
            </w:pPr>
            <w:r w:rsidRPr="00DF4B0D">
              <w:rPr>
                <w:sz w:val="20"/>
                <w:szCs w:val="20"/>
              </w:rPr>
              <w:t xml:space="preserve">Subsidized-renter oversample </w:t>
            </w:r>
          </w:p>
        </w:tc>
        <w:tc>
          <w:tcPr>
            <w:tcW w:w="2700" w:type="dxa"/>
          </w:tcPr>
          <w:p w14:paraId="5ADCF443" w14:textId="77777777" w:rsidR="00B22246" w:rsidRPr="00DF4B0D" w:rsidRDefault="00B22246" w:rsidP="00B22246">
            <w:pPr>
              <w:jc w:val="right"/>
              <w:rPr>
                <w:sz w:val="20"/>
                <w:szCs w:val="20"/>
              </w:rPr>
            </w:pPr>
            <w:r w:rsidRPr="00DF4B0D">
              <w:rPr>
                <w:sz w:val="20"/>
                <w:szCs w:val="20"/>
              </w:rPr>
              <w:t>5,202</w:t>
            </w:r>
          </w:p>
        </w:tc>
      </w:tr>
      <w:tr w:rsidR="00B22246" w:rsidRPr="00DF4B0D" w14:paraId="1B62DCA6" w14:textId="77777777" w:rsidTr="00DF4B0D">
        <w:trPr>
          <w:jc w:val="center"/>
        </w:trPr>
        <w:tc>
          <w:tcPr>
            <w:tcW w:w="6475" w:type="dxa"/>
          </w:tcPr>
          <w:p w14:paraId="5E1544C6" w14:textId="77777777" w:rsidR="00B22246" w:rsidRPr="00DF4B0D" w:rsidRDefault="00B22246" w:rsidP="00B22246">
            <w:pPr>
              <w:rPr>
                <w:sz w:val="20"/>
                <w:szCs w:val="20"/>
              </w:rPr>
            </w:pPr>
            <w:r w:rsidRPr="00DF4B0D">
              <w:rPr>
                <w:sz w:val="20"/>
                <w:szCs w:val="20"/>
              </w:rPr>
              <w:t xml:space="preserve">Bridge sample </w:t>
            </w:r>
          </w:p>
        </w:tc>
        <w:tc>
          <w:tcPr>
            <w:tcW w:w="2700" w:type="dxa"/>
          </w:tcPr>
          <w:p w14:paraId="70FC5557" w14:textId="3CF7C2C0" w:rsidR="00B22246" w:rsidRPr="00DF4B0D" w:rsidRDefault="00984085" w:rsidP="00B22246">
            <w:pPr>
              <w:jc w:val="right"/>
              <w:rPr>
                <w:sz w:val="20"/>
                <w:szCs w:val="20"/>
              </w:rPr>
            </w:pPr>
            <w:r w:rsidRPr="00DF4B0D">
              <w:rPr>
                <w:sz w:val="20"/>
                <w:szCs w:val="20"/>
              </w:rPr>
              <w:t>5,956</w:t>
            </w:r>
          </w:p>
        </w:tc>
      </w:tr>
      <w:tr w:rsidR="00B22246" w:rsidRPr="00DF4B0D" w14:paraId="4A7D4945" w14:textId="77777777" w:rsidTr="00DF4B0D">
        <w:trPr>
          <w:jc w:val="center"/>
        </w:trPr>
        <w:tc>
          <w:tcPr>
            <w:tcW w:w="6475" w:type="dxa"/>
          </w:tcPr>
          <w:p w14:paraId="0D3049F5" w14:textId="1DC4B62D" w:rsidR="00B22246" w:rsidRPr="00DF4B0D" w:rsidRDefault="00B22246" w:rsidP="00B22246">
            <w:pPr>
              <w:rPr>
                <w:sz w:val="20"/>
                <w:szCs w:val="20"/>
              </w:rPr>
            </w:pPr>
            <w:r w:rsidRPr="00DF4B0D">
              <w:rPr>
                <w:sz w:val="20"/>
                <w:szCs w:val="20"/>
              </w:rPr>
              <w:t>1</w:t>
            </w:r>
            <w:r w:rsidR="00984085" w:rsidRPr="00DF4B0D">
              <w:rPr>
                <w:sz w:val="20"/>
                <w:szCs w:val="20"/>
              </w:rPr>
              <w:t>0</w:t>
            </w:r>
            <w:r w:rsidRPr="00DF4B0D">
              <w:rPr>
                <w:sz w:val="20"/>
                <w:szCs w:val="20"/>
              </w:rPr>
              <w:t xml:space="preserve"> metropolitan areas that include approximately 3,000 units each</w:t>
            </w:r>
            <w:r w:rsidR="00035AAC" w:rsidRPr="00DF4B0D">
              <w:rPr>
                <w:sz w:val="20"/>
                <w:szCs w:val="20"/>
              </w:rPr>
              <w:t>. Some metros will have a bit less than 3,000 housing units while some will have a bit more than 3,000 housing units</w:t>
            </w:r>
          </w:p>
        </w:tc>
        <w:tc>
          <w:tcPr>
            <w:tcW w:w="2700" w:type="dxa"/>
          </w:tcPr>
          <w:p w14:paraId="1091F554" w14:textId="0A1EA1AC" w:rsidR="00B22246" w:rsidRPr="00DF4B0D" w:rsidRDefault="00984085" w:rsidP="00B22246">
            <w:pPr>
              <w:jc w:val="right"/>
              <w:rPr>
                <w:sz w:val="20"/>
                <w:szCs w:val="20"/>
              </w:rPr>
            </w:pPr>
            <w:r w:rsidRPr="00DF4B0D">
              <w:rPr>
                <w:sz w:val="20"/>
                <w:szCs w:val="20"/>
              </w:rPr>
              <w:t>29,993</w:t>
            </w:r>
          </w:p>
        </w:tc>
      </w:tr>
      <w:tr w:rsidR="00B22246" w:rsidRPr="00DF4B0D" w14:paraId="18B4EDE6" w14:textId="77777777" w:rsidTr="00DF4B0D">
        <w:trPr>
          <w:trHeight w:val="260"/>
          <w:jc w:val="center"/>
        </w:trPr>
        <w:tc>
          <w:tcPr>
            <w:tcW w:w="6475" w:type="dxa"/>
            <w:shd w:val="clear" w:color="auto" w:fill="D9D9D9" w:themeFill="background1" w:themeFillShade="D9"/>
          </w:tcPr>
          <w:p w14:paraId="4370A6EB" w14:textId="77777777" w:rsidR="00B22246" w:rsidRPr="00DF4B0D" w:rsidRDefault="00B22246" w:rsidP="00B22246">
            <w:pPr>
              <w:rPr>
                <w:sz w:val="20"/>
                <w:szCs w:val="20"/>
              </w:rPr>
            </w:pPr>
            <w:r w:rsidRPr="00DF4B0D">
              <w:rPr>
                <w:sz w:val="20"/>
                <w:szCs w:val="20"/>
              </w:rPr>
              <w:t>TOTAL</w:t>
            </w:r>
          </w:p>
        </w:tc>
        <w:tc>
          <w:tcPr>
            <w:tcW w:w="2700" w:type="dxa"/>
            <w:shd w:val="clear" w:color="auto" w:fill="D9D9D9" w:themeFill="background1" w:themeFillShade="D9"/>
          </w:tcPr>
          <w:p w14:paraId="53C070D1" w14:textId="542CFF34" w:rsidR="00B22246" w:rsidRPr="00DF4B0D" w:rsidRDefault="00984085" w:rsidP="00984085">
            <w:pPr>
              <w:jc w:val="right"/>
              <w:rPr>
                <w:color w:val="FF0000"/>
                <w:sz w:val="20"/>
                <w:szCs w:val="20"/>
              </w:rPr>
            </w:pPr>
            <w:r w:rsidRPr="00DF4B0D">
              <w:rPr>
                <w:sz w:val="20"/>
                <w:szCs w:val="20"/>
              </w:rPr>
              <w:t>120,828</w:t>
            </w:r>
          </w:p>
        </w:tc>
      </w:tr>
    </w:tbl>
    <w:p w14:paraId="5820AE4E" w14:textId="77777777" w:rsidR="00E1701B" w:rsidRDefault="00E1701B" w:rsidP="00E1701B">
      <w:pPr>
        <w:pStyle w:val="Level1"/>
        <w:tabs>
          <w:tab w:val="left" w:pos="1053"/>
        </w:tabs>
        <w:autoSpaceDE/>
        <w:autoSpaceDN/>
        <w:adjustRightInd/>
        <w:ind w:left="0"/>
        <w:rPr>
          <w:rFonts w:ascii="Times New Roman" w:hAnsi="Times New Roman"/>
        </w:rPr>
      </w:pPr>
      <w:r>
        <w:rPr>
          <w:rFonts w:ascii="Times New Roman" w:hAnsi="Times New Roman"/>
        </w:rPr>
        <w:t xml:space="preserve">   </w:t>
      </w:r>
      <w:r w:rsidR="00B22246" w:rsidRPr="007115B8">
        <w:rPr>
          <w:rFonts w:ascii="Times New Roman" w:hAnsi="Times New Roman"/>
        </w:rPr>
        <w:t>Please refer to the attached 2017 AHS Sample Design and Weighting document for detailed</w:t>
      </w:r>
    </w:p>
    <w:p w14:paraId="0E167793" w14:textId="1429CA5F" w:rsidR="00B22246" w:rsidRPr="007115B8" w:rsidRDefault="00E1701B" w:rsidP="00E1701B">
      <w:pPr>
        <w:pStyle w:val="Level1"/>
        <w:tabs>
          <w:tab w:val="left" w:pos="1053"/>
        </w:tabs>
        <w:autoSpaceDE/>
        <w:autoSpaceDN/>
        <w:adjustRightInd/>
        <w:ind w:left="0"/>
        <w:rPr>
          <w:rFonts w:ascii="Times New Roman" w:hAnsi="Times New Roman"/>
        </w:rPr>
      </w:pPr>
      <w:r>
        <w:rPr>
          <w:rFonts w:ascii="Times New Roman" w:hAnsi="Times New Roman"/>
        </w:rPr>
        <w:t xml:space="preserve">   </w:t>
      </w:r>
      <w:r w:rsidR="00B22246" w:rsidRPr="007115B8">
        <w:rPr>
          <w:rFonts w:ascii="Times New Roman" w:hAnsi="Times New Roman"/>
        </w:rPr>
        <w:t>statistical methodology.</w:t>
      </w:r>
    </w:p>
    <w:p w14:paraId="0EF60CE2" w14:textId="77777777" w:rsidR="00B22246" w:rsidRDefault="00B22246" w:rsidP="00B22246">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14:paraId="105902B6" w14:textId="6E23831E" w:rsidR="00B22246" w:rsidRDefault="00B22246" w:rsidP="00E1701B">
      <w:pPr>
        <w:pStyle w:val="Level1"/>
        <w:ind w:left="1080" w:hanging="360"/>
        <w:rPr>
          <w:rFonts w:ascii="Times New Roman" w:hAnsi="Times New Roman"/>
          <w:b/>
          <w:bCs/>
        </w:rPr>
      </w:pPr>
      <w:r>
        <w:rPr>
          <w:rFonts w:ascii="Times New Roman" w:hAnsi="Times New Roman"/>
          <w:b/>
          <w:bCs/>
        </w:rPr>
        <w:t>2.</w:t>
      </w:r>
      <w:r>
        <w:rPr>
          <w:rFonts w:ascii="Times New Roman" w:hAnsi="Times New Roman"/>
          <w:b/>
          <w:bCs/>
        </w:rPr>
        <w:tab/>
        <w:t>Procedures for Collecting Information</w:t>
      </w:r>
    </w:p>
    <w:p w14:paraId="41C9B3F8" w14:textId="77777777" w:rsidR="00B22246" w:rsidRDefault="00B22246" w:rsidP="00B22246">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14:paraId="1D6FC63E" w14:textId="77777777" w:rsidR="00E1701B" w:rsidRDefault="00B22246" w:rsidP="00E1701B">
      <w:pPr>
        <w:ind w:left="1080"/>
        <w:rPr>
          <w:rFonts w:eastAsiaTheme="minorHAnsi"/>
          <w:color w:val="000000"/>
        </w:rPr>
      </w:pPr>
      <w:r>
        <w:rPr>
          <w:rFonts w:eastAsiaTheme="minorHAnsi"/>
          <w:color w:val="000000"/>
        </w:rPr>
        <w:t>We expect that a majority of interviews will be conducted through personal visit.  However, we will conduct a phone match to retrieve phone numbers that match the sample addresses and attempt to collect the data by telephone interview, when possible.</w:t>
      </w:r>
    </w:p>
    <w:p w14:paraId="162A79B6" w14:textId="77777777" w:rsidR="00E1701B" w:rsidRDefault="00E1701B" w:rsidP="00E1701B">
      <w:pPr>
        <w:rPr>
          <w:rFonts w:eastAsiaTheme="minorHAnsi"/>
          <w:color w:val="000000"/>
        </w:rPr>
      </w:pPr>
    </w:p>
    <w:p w14:paraId="6A320E95" w14:textId="5EBB57DA" w:rsidR="00B22246" w:rsidRPr="00E1701B" w:rsidRDefault="00B22246" w:rsidP="00E1701B">
      <w:pPr>
        <w:pStyle w:val="ListParagraph"/>
        <w:numPr>
          <w:ilvl w:val="0"/>
          <w:numId w:val="59"/>
        </w:numPr>
        <w:rPr>
          <w:b/>
          <w:bCs/>
        </w:rPr>
      </w:pPr>
      <w:r w:rsidRPr="00E1701B">
        <w:rPr>
          <w:b/>
          <w:bCs/>
        </w:rPr>
        <w:t>Methods to Maximize Response</w:t>
      </w:r>
    </w:p>
    <w:p w14:paraId="1D664AA4" w14:textId="77777777" w:rsidR="00B22246" w:rsidRDefault="00B22246" w:rsidP="00B22246">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14:paraId="784A2741" w14:textId="30B2DAAF" w:rsidR="00B22246" w:rsidRDefault="00B22246" w:rsidP="00B22246">
      <w:pPr>
        <w:pStyle w:val="Level1"/>
        <w:numPr>
          <w:ilvl w:val="12"/>
          <w:numId w:val="0"/>
        </w:numPr>
        <w:tabs>
          <w:tab w:val="left" w:pos="1053"/>
        </w:tabs>
        <w:autoSpaceDE/>
        <w:autoSpaceDN/>
        <w:adjustRightInd/>
        <w:ind w:left="1053"/>
        <w:rPr>
          <w:rFonts w:ascii="Times New Roman" w:hAnsi="Times New Roman"/>
        </w:rPr>
      </w:pPr>
      <w:r w:rsidRPr="001A79C0">
        <w:rPr>
          <w:rFonts w:ascii="Times New Roman" w:hAnsi="Times New Roman"/>
        </w:rPr>
        <w:t xml:space="preserve">Based on the </w:t>
      </w:r>
      <w:r w:rsidR="001A79C0">
        <w:rPr>
          <w:rFonts w:ascii="Times New Roman" w:hAnsi="Times New Roman"/>
        </w:rPr>
        <w:t>84.36</w:t>
      </w:r>
      <w:r w:rsidRPr="001A79C0">
        <w:rPr>
          <w:rFonts w:ascii="Times New Roman" w:hAnsi="Times New Roman"/>
        </w:rPr>
        <w:t xml:space="preserve"> percent weighted response rate of the 2015 AHS (</w:t>
      </w:r>
      <w:r w:rsidR="003969CB" w:rsidRPr="001A79C0">
        <w:rPr>
          <w:rFonts w:ascii="Times New Roman" w:hAnsi="Times New Roman"/>
        </w:rPr>
        <w:t>84.69</w:t>
      </w:r>
      <w:r w:rsidRPr="001A79C0">
        <w:rPr>
          <w:rFonts w:ascii="Times New Roman" w:hAnsi="Times New Roman"/>
        </w:rPr>
        <w:t xml:space="preserve"> percent unweighted),</w:t>
      </w:r>
      <w:r w:rsidRPr="001A79C0">
        <w:rPr>
          <w:rFonts w:ascii="Times New Roman" w:hAnsi="Times New Roman"/>
          <w:b/>
          <w:color w:val="FF0000"/>
        </w:rPr>
        <w:t xml:space="preserve"> </w:t>
      </w:r>
      <w:r w:rsidRPr="001A79C0">
        <w:rPr>
          <w:rFonts w:ascii="Times New Roman" w:hAnsi="Times New Roman"/>
        </w:rPr>
        <w:t>the Census Bureau</w:t>
      </w:r>
      <w:r>
        <w:rPr>
          <w:rFonts w:ascii="Times New Roman" w:hAnsi="Times New Roman"/>
        </w:rPr>
        <w:t xml:space="preserve"> expects the 2017 AHS response rate to be 84 percent.  If an occupant is reluctant to participate, the FR informs the regional office staff, who sends a follow-up letter explaining the survey in greater detail and urging the occupant's cooperation.  A Census Bureau FR or his/her supervisor will contact the occupant again.</w:t>
      </w:r>
    </w:p>
    <w:p w14:paraId="61A13C58" w14:textId="77777777" w:rsidR="003E5405" w:rsidRDefault="003E5405" w:rsidP="00B22246">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14:paraId="1936317E" w14:textId="55CC4045" w:rsidR="00B22246" w:rsidRDefault="00B22246" w:rsidP="00616D94">
      <w:pPr>
        <w:pStyle w:val="Level1"/>
        <w:numPr>
          <w:ilvl w:val="0"/>
          <w:numId w:val="59"/>
        </w:numPr>
        <w:rPr>
          <w:rFonts w:ascii="Times New Roman" w:hAnsi="Times New Roman"/>
          <w:b/>
          <w:bCs/>
        </w:rPr>
      </w:pPr>
      <w:r>
        <w:rPr>
          <w:rFonts w:ascii="Times New Roman" w:hAnsi="Times New Roman"/>
          <w:b/>
          <w:bCs/>
        </w:rPr>
        <w:t>Testing Procedures</w:t>
      </w:r>
    </w:p>
    <w:p w14:paraId="4F157402" w14:textId="77777777" w:rsidR="00B22246" w:rsidRDefault="00B22246" w:rsidP="00B22246">
      <w:pPr>
        <w:numPr>
          <w:ilvl w:val="12"/>
          <w:numId w:val="0"/>
        </w:numPr>
        <w:tabs>
          <w:tab w:val="left" w:pos="432"/>
          <w:tab w:val="left" w:pos="720"/>
          <w:tab w:val="left" w:pos="1296"/>
          <w:tab w:val="left" w:pos="1728"/>
          <w:tab w:val="left" w:pos="2160"/>
        </w:tabs>
      </w:pPr>
    </w:p>
    <w:p w14:paraId="05104447" w14:textId="77777777" w:rsidR="00B22246" w:rsidRDefault="00B22246" w:rsidP="00616D94">
      <w:pPr>
        <w:pStyle w:val="BodyTextIndent3"/>
      </w:pPr>
      <w:r>
        <w:t>The Census Bureau conducted a test of the interview forms and procedures in September 1983 and again in 1994 and 1995.  Based on the results of the tests, HUD made modifications and changes.</w:t>
      </w:r>
    </w:p>
    <w:p w14:paraId="5C17F936" w14:textId="77777777" w:rsidR="00B22246" w:rsidRDefault="00B22246" w:rsidP="00B22246">
      <w:pPr>
        <w:pStyle w:val="BodyTextIndent3"/>
        <w:tabs>
          <w:tab w:val="left" w:pos="432"/>
          <w:tab w:val="left" w:pos="864"/>
          <w:tab w:val="left" w:pos="1296"/>
          <w:tab w:val="left" w:pos="1728"/>
          <w:tab w:val="left" w:pos="2160"/>
        </w:tabs>
      </w:pPr>
    </w:p>
    <w:p w14:paraId="1EC066E8" w14:textId="77777777" w:rsidR="00B22246" w:rsidRDefault="00B22246" w:rsidP="00B22246">
      <w:pPr>
        <w:pStyle w:val="BodyTextIndent3"/>
        <w:tabs>
          <w:tab w:val="left" w:pos="432"/>
          <w:tab w:val="left" w:pos="864"/>
          <w:tab w:val="left" w:pos="1296"/>
          <w:tab w:val="left" w:pos="1728"/>
          <w:tab w:val="left" w:pos="2160"/>
        </w:tabs>
      </w:pPr>
      <w:r>
        <w:lastRenderedPageBreak/>
        <w:t>In 2004, HUD and the Census Bureau conducted a major review of the survey questions for neighborhood quality, income, utility costs, and renter subsidies, making changes to each to improve the quality of this information.  In October 2004, we tested these changes in a live hot house test held in Pittsburgh, Pennsylvania.</w:t>
      </w:r>
    </w:p>
    <w:p w14:paraId="5638A766" w14:textId="77777777" w:rsidR="00B22246" w:rsidRDefault="00B22246" w:rsidP="00B22246">
      <w:pPr>
        <w:pStyle w:val="BodyTextIndent3"/>
        <w:tabs>
          <w:tab w:val="left" w:pos="432"/>
          <w:tab w:val="left" w:pos="864"/>
          <w:tab w:val="left" w:pos="1296"/>
          <w:tab w:val="left" w:pos="1728"/>
          <w:tab w:val="left" w:pos="2160"/>
        </w:tabs>
      </w:pPr>
    </w:p>
    <w:p w14:paraId="567ADB14" w14:textId="77777777" w:rsidR="00B22246" w:rsidRDefault="00B22246" w:rsidP="00B22246">
      <w:pPr>
        <w:pStyle w:val="BodyTextIndent3"/>
        <w:tabs>
          <w:tab w:val="left" w:pos="432"/>
          <w:tab w:val="left" w:pos="864"/>
          <w:tab w:val="left" w:pos="1296"/>
          <w:tab w:val="left" w:pos="1728"/>
          <w:tab w:val="left" w:pos="2160"/>
        </w:tabs>
      </w:pPr>
      <w:r>
        <w:t>In 2010, questions in the updated Mortgage module were cognitively tested by the Center for Survey Measurement (CSM) at the Census Bureau.  We determined that more work needed to be done on the module, so we reverted to the 2009 AHS version and flow of questions where the 2011 version fell short.</w:t>
      </w:r>
    </w:p>
    <w:p w14:paraId="4233851A" w14:textId="77777777" w:rsidR="00B22246" w:rsidRDefault="00B22246" w:rsidP="00B22246">
      <w:pPr>
        <w:pStyle w:val="BodyTextIndent3"/>
        <w:tabs>
          <w:tab w:val="left" w:pos="432"/>
          <w:tab w:val="left" w:pos="864"/>
          <w:tab w:val="left" w:pos="1296"/>
          <w:tab w:val="left" w:pos="1728"/>
          <w:tab w:val="left" w:pos="2160"/>
        </w:tabs>
      </w:pPr>
    </w:p>
    <w:p w14:paraId="4D86136E" w14:textId="77777777" w:rsidR="00B22246" w:rsidRDefault="00B22246" w:rsidP="00B22246">
      <w:pPr>
        <w:pStyle w:val="BodyTextIndent3"/>
        <w:tabs>
          <w:tab w:val="left" w:pos="432"/>
          <w:tab w:val="left" w:pos="864"/>
          <w:tab w:val="left" w:pos="1296"/>
          <w:tab w:val="left" w:pos="1728"/>
          <w:tab w:val="left" w:pos="2160"/>
        </w:tabs>
      </w:pPr>
      <w:r>
        <w:t>In 2014, HUD and the Census Bureau conducted an exhaustive review of the core questionnaire content.  We revised questions, changed the order, and eliminated some questions based on nonresponse rates and respondent burden.  Because of these changes, questions in some of the core modules, e.g., Breakdown, Neighborhood Quality, Equipment, Home Improvement, Recent Movers, Income, and Mortgage, needed to be tested</w:t>
      </w:r>
      <w:r w:rsidRPr="005B1189">
        <w:t xml:space="preserve"> </w:t>
      </w:r>
      <w:r>
        <w:t xml:space="preserve">for implementation in the 2017 questionnaire. </w:t>
      </w:r>
    </w:p>
    <w:p w14:paraId="2BA44CC3" w14:textId="77777777" w:rsidR="00B22246" w:rsidRDefault="00B22246" w:rsidP="00B22246">
      <w:pPr>
        <w:pStyle w:val="BodyTextIndent3"/>
        <w:tabs>
          <w:tab w:val="left" w:pos="432"/>
          <w:tab w:val="left" w:pos="864"/>
          <w:tab w:val="left" w:pos="1296"/>
          <w:tab w:val="left" w:pos="1728"/>
          <w:tab w:val="left" w:pos="2160"/>
        </w:tabs>
      </w:pPr>
    </w:p>
    <w:p w14:paraId="59219A99" w14:textId="77777777" w:rsidR="00B22246" w:rsidRDefault="00B22246" w:rsidP="00B22246">
      <w:pPr>
        <w:pStyle w:val="BodyTextIndent3"/>
        <w:tabs>
          <w:tab w:val="left" w:pos="432"/>
          <w:tab w:val="left" w:pos="864"/>
          <w:tab w:val="left" w:pos="1296"/>
          <w:tab w:val="left" w:pos="1728"/>
          <w:tab w:val="left" w:pos="2160"/>
        </w:tabs>
      </w:pPr>
      <w:r>
        <w:t>In 2016, along with minor revisions to the core content, questions in the new rotating topical modules, Commuting, Disaster Planning and Evictions, were cognitively reviewed by CSM.  The Census Bureau and HUD reviewed and discussed all of CSM’s recommendations.</w:t>
      </w:r>
    </w:p>
    <w:p w14:paraId="77584ECA" w14:textId="1DAEF87D" w:rsidR="00B22246" w:rsidRDefault="00B22246" w:rsidP="00616D94">
      <w:pPr>
        <w:pStyle w:val="Level1"/>
        <w:keepNext/>
        <w:spacing w:before="240"/>
        <w:ind w:left="1080" w:hanging="360"/>
        <w:rPr>
          <w:rFonts w:ascii="Times New Roman" w:hAnsi="Times New Roman"/>
          <w:b/>
          <w:bCs/>
        </w:rPr>
      </w:pPr>
      <w:r>
        <w:rPr>
          <w:rFonts w:ascii="Times New Roman" w:hAnsi="Times New Roman"/>
          <w:b/>
          <w:bCs/>
        </w:rPr>
        <w:t>5.</w:t>
      </w:r>
      <w:r>
        <w:rPr>
          <w:rFonts w:ascii="Times New Roman" w:hAnsi="Times New Roman"/>
          <w:b/>
          <w:bCs/>
        </w:rPr>
        <w:tab/>
        <w:t>Contacts for Statistical Aspects and Data Collection</w:t>
      </w:r>
    </w:p>
    <w:p w14:paraId="11D39EBC" w14:textId="77777777" w:rsidR="00B22246" w:rsidRDefault="00B22246" w:rsidP="00616D94">
      <w:pPr>
        <w:pStyle w:val="BodyTextIndent3"/>
        <w:spacing w:before="240"/>
      </w:pPr>
      <w:r>
        <w:t>HUD consulted the following individuals on the statistical data collection and analysis operation:</w:t>
      </w:r>
    </w:p>
    <w:p w14:paraId="7E7D55CE" w14:textId="77777777" w:rsidR="00B22246" w:rsidRDefault="00B22246" w:rsidP="00B22246">
      <w:pPr>
        <w:pStyle w:val="BodyTextIndent3"/>
        <w:tabs>
          <w:tab w:val="left" w:pos="432"/>
          <w:tab w:val="left" w:pos="720"/>
          <w:tab w:val="left" w:pos="1080"/>
          <w:tab w:val="left" w:pos="1296"/>
          <w:tab w:val="left" w:pos="1728"/>
          <w:tab w:val="left" w:pos="2160"/>
        </w:tabs>
        <w:ind w:left="0"/>
      </w:pPr>
    </w:p>
    <w:p w14:paraId="2951B2ED" w14:textId="77777777" w:rsidR="00B22246" w:rsidRDefault="00B22246" w:rsidP="00B22246">
      <w:pPr>
        <w:pStyle w:val="BodyTextIndent3"/>
        <w:tabs>
          <w:tab w:val="left" w:pos="432"/>
          <w:tab w:val="left" w:pos="720"/>
          <w:tab w:val="left" w:pos="1080"/>
          <w:tab w:val="left" w:pos="1296"/>
          <w:tab w:val="left" w:pos="1728"/>
          <w:tab w:val="left" w:pos="2160"/>
        </w:tabs>
      </w:pPr>
      <w:r>
        <w:t>Tamara Cole</w:t>
      </w:r>
    </w:p>
    <w:p w14:paraId="3E4A07F0" w14:textId="77777777" w:rsidR="00B22246" w:rsidRDefault="00B22246" w:rsidP="00B22246">
      <w:pPr>
        <w:pStyle w:val="BodyTextIndent3"/>
        <w:tabs>
          <w:tab w:val="left" w:pos="432"/>
          <w:tab w:val="left" w:pos="720"/>
          <w:tab w:val="left" w:pos="1080"/>
          <w:tab w:val="left" w:pos="1296"/>
          <w:tab w:val="left" w:pos="1728"/>
          <w:tab w:val="left" w:pos="2160"/>
        </w:tabs>
      </w:pPr>
      <w:r>
        <w:t>Associate Directorate for Demographic Programs</w:t>
      </w:r>
    </w:p>
    <w:p w14:paraId="391F53DC" w14:textId="77777777" w:rsidR="00B22246" w:rsidRDefault="00B22246" w:rsidP="00B22246">
      <w:pPr>
        <w:pStyle w:val="BodyTextIndent3"/>
        <w:tabs>
          <w:tab w:val="left" w:pos="432"/>
          <w:tab w:val="left" w:pos="720"/>
          <w:tab w:val="left" w:pos="1080"/>
          <w:tab w:val="left" w:pos="1296"/>
          <w:tab w:val="left" w:pos="1728"/>
          <w:tab w:val="left" w:pos="2160"/>
        </w:tabs>
      </w:pPr>
      <w:r>
        <w:t>U.S. Census Bureau</w:t>
      </w:r>
    </w:p>
    <w:p w14:paraId="01E0F851" w14:textId="77777777" w:rsidR="00B22246" w:rsidRDefault="00B22246" w:rsidP="00B22246">
      <w:pPr>
        <w:pStyle w:val="BodyTextIndent3"/>
        <w:tabs>
          <w:tab w:val="left" w:pos="432"/>
          <w:tab w:val="left" w:pos="720"/>
          <w:tab w:val="left" w:pos="1080"/>
          <w:tab w:val="left" w:pos="1296"/>
          <w:tab w:val="left" w:pos="1728"/>
          <w:tab w:val="left" w:pos="2160"/>
        </w:tabs>
      </w:pPr>
      <w:r>
        <w:t>(301) 763-4665</w:t>
      </w:r>
    </w:p>
    <w:p w14:paraId="2EA2E34A" w14:textId="77777777" w:rsidR="00B22246" w:rsidRDefault="00B22246" w:rsidP="00B22246">
      <w:pPr>
        <w:pStyle w:val="BodyTextIndent3"/>
        <w:tabs>
          <w:tab w:val="left" w:pos="432"/>
          <w:tab w:val="left" w:pos="720"/>
          <w:tab w:val="left" w:pos="1080"/>
          <w:tab w:val="left" w:pos="1296"/>
          <w:tab w:val="left" w:pos="1728"/>
          <w:tab w:val="left" w:pos="2160"/>
        </w:tabs>
      </w:pPr>
      <w:r>
        <w:t>Statistical Design, Analysis, and Collection</w:t>
      </w:r>
    </w:p>
    <w:p w14:paraId="39F659A3" w14:textId="77777777" w:rsidR="00B22246" w:rsidRDefault="00B22246" w:rsidP="00B22246">
      <w:pPr>
        <w:pStyle w:val="BodyTextIndent3"/>
        <w:tabs>
          <w:tab w:val="left" w:pos="432"/>
          <w:tab w:val="left" w:pos="720"/>
          <w:tab w:val="left" w:pos="1080"/>
          <w:tab w:val="left" w:pos="1296"/>
          <w:tab w:val="left" w:pos="1728"/>
          <w:tab w:val="left" w:pos="2160"/>
        </w:tabs>
      </w:pPr>
    </w:p>
    <w:p w14:paraId="3AD9A532" w14:textId="77777777" w:rsidR="00B22246" w:rsidRDefault="00B22246" w:rsidP="00B22246">
      <w:pPr>
        <w:pStyle w:val="BodyTextIndent3"/>
        <w:tabs>
          <w:tab w:val="left" w:pos="432"/>
          <w:tab w:val="left" w:pos="720"/>
          <w:tab w:val="left" w:pos="1080"/>
          <w:tab w:val="left" w:pos="1296"/>
          <w:tab w:val="left" w:pos="1728"/>
          <w:tab w:val="left" w:pos="2160"/>
        </w:tabs>
      </w:pPr>
      <w:r>
        <w:t>Stephen Ash</w:t>
      </w:r>
    </w:p>
    <w:p w14:paraId="4AA346FB" w14:textId="77777777" w:rsidR="00B22246" w:rsidRDefault="00B22246" w:rsidP="00B22246">
      <w:pPr>
        <w:pStyle w:val="BodyTextIndent3"/>
        <w:tabs>
          <w:tab w:val="left" w:pos="432"/>
          <w:tab w:val="left" w:pos="720"/>
          <w:tab w:val="left" w:pos="1080"/>
          <w:tab w:val="left" w:pos="1296"/>
          <w:tab w:val="left" w:pos="1728"/>
          <w:tab w:val="left" w:pos="2160"/>
        </w:tabs>
      </w:pPr>
      <w:r>
        <w:t>Demographic Statistical Methods Division</w:t>
      </w:r>
    </w:p>
    <w:p w14:paraId="74E6E086" w14:textId="77777777" w:rsidR="00B22246" w:rsidRDefault="00B22246" w:rsidP="00B22246">
      <w:pPr>
        <w:pStyle w:val="BodyTextIndent3"/>
        <w:tabs>
          <w:tab w:val="left" w:pos="432"/>
          <w:tab w:val="left" w:pos="720"/>
          <w:tab w:val="left" w:pos="1080"/>
          <w:tab w:val="left" w:pos="1296"/>
          <w:tab w:val="left" w:pos="1728"/>
          <w:tab w:val="left" w:pos="2160"/>
        </w:tabs>
      </w:pPr>
      <w:r>
        <w:t>U.S. Census Bureau</w:t>
      </w:r>
    </w:p>
    <w:p w14:paraId="5840709C" w14:textId="77777777" w:rsidR="00B22246" w:rsidRDefault="00B22246" w:rsidP="00B22246">
      <w:pPr>
        <w:pStyle w:val="BodyTextIndent3"/>
        <w:tabs>
          <w:tab w:val="left" w:pos="432"/>
          <w:tab w:val="left" w:pos="720"/>
          <w:tab w:val="left" w:pos="1080"/>
          <w:tab w:val="left" w:pos="1296"/>
          <w:tab w:val="left" w:pos="1728"/>
          <w:tab w:val="left" w:pos="2160"/>
        </w:tabs>
      </w:pPr>
      <w:r>
        <w:t>(301) 763-4294</w:t>
      </w:r>
    </w:p>
    <w:p w14:paraId="3B2CFB25" w14:textId="77777777" w:rsidR="00B22246" w:rsidRDefault="00B22246" w:rsidP="00B22246">
      <w:pPr>
        <w:pStyle w:val="BodyTextIndent3"/>
        <w:tabs>
          <w:tab w:val="left" w:pos="432"/>
          <w:tab w:val="left" w:pos="720"/>
          <w:tab w:val="left" w:pos="1080"/>
          <w:tab w:val="left" w:pos="1296"/>
          <w:tab w:val="left" w:pos="1728"/>
          <w:tab w:val="left" w:pos="2160"/>
        </w:tabs>
      </w:pPr>
      <w:r>
        <w:t>Statistical Design</w:t>
      </w:r>
    </w:p>
    <w:p w14:paraId="667A06D1" w14:textId="77777777" w:rsidR="00DF4B0D" w:rsidRDefault="00DF4B0D" w:rsidP="00B22246">
      <w:pPr>
        <w:numPr>
          <w:ilvl w:val="12"/>
          <w:numId w:val="0"/>
        </w:numPr>
        <w:ind w:left="720"/>
      </w:pPr>
    </w:p>
    <w:p w14:paraId="5788122B" w14:textId="50C9BD8F" w:rsidR="00DC0535" w:rsidRDefault="00B22246" w:rsidP="00B22246">
      <w:pPr>
        <w:numPr>
          <w:ilvl w:val="12"/>
          <w:numId w:val="0"/>
        </w:numPr>
        <w:ind w:left="720"/>
        <w:rPr>
          <w:b/>
          <w:bCs/>
          <w:color w:val="FF0000"/>
        </w:rPr>
      </w:pPr>
      <w:r>
        <w:t>Attachments</w:t>
      </w:r>
    </w:p>
    <w:sectPr w:rsidR="00DC0535" w:rsidSect="00DF4B0D">
      <w:headerReference w:type="even" r:id="rId12"/>
      <w:headerReference w:type="default" r:id="rId13"/>
      <w:type w:val="continuous"/>
      <w:pgSz w:w="12240" w:h="15840"/>
      <w:pgMar w:top="1440" w:right="1152" w:bottom="1440" w:left="144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F58B" w14:textId="77777777" w:rsidR="0071461E" w:rsidRDefault="0071461E">
      <w:r>
        <w:separator/>
      </w:r>
    </w:p>
  </w:endnote>
  <w:endnote w:type="continuationSeparator" w:id="0">
    <w:p w14:paraId="756E47F8" w14:textId="77777777" w:rsidR="0071461E" w:rsidRDefault="0071461E">
      <w:r>
        <w:continuationSeparator/>
      </w:r>
    </w:p>
  </w:endnote>
  <w:endnote w:type="continuationNotice" w:id="1">
    <w:p w14:paraId="026C3A5E" w14:textId="77777777" w:rsidR="0071461E" w:rsidRDefault="00714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043A" w14:textId="77777777" w:rsidR="0071461E" w:rsidRDefault="0071461E">
      <w:r>
        <w:separator/>
      </w:r>
    </w:p>
  </w:footnote>
  <w:footnote w:type="continuationSeparator" w:id="0">
    <w:p w14:paraId="089E13DA" w14:textId="77777777" w:rsidR="0071461E" w:rsidRDefault="0071461E">
      <w:r>
        <w:continuationSeparator/>
      </w:r>
    </w:p>
  </w:footnote>
  <w:footnote w:type="continuationNotice" w:id="1">
    <w:p w14:paraId="5C7A407D" w14:textId="77777777" w:rsidR="0071461E" w:rsidRDefault="00714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7E96" w14:textId="77777777" w:rsidR="00AE4BBE" w:rsidRDefault="00AE4B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21324" w14:textId="77777777" w:rsidR="00AE4BBE" w:rsidRDefault="00AE4B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451C" w14:textId="5EE37D18" w:rsidR="00AE4BBE" w:rsidRDefault="00AE4B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470B">
      <w:rPr>
        <w:rStyle w:val="PageNumber"/>
        <w:noProof/>
      </w:rPr>
      <w:t>16</w:t>
    </w:r>
    <w:r>
      <w:rPr>
        <w:rStyle w:val="PageNumber"/>
      </w:rPr>
      <w:fldChar w:fldCharType="end"/>
    </w:r>
  </w:p>
  <w:p w14:paraId="167B13DF" w14:textId="77777777" w:rsidR="00AE4BBE" w:rsidRDefault="00AE4BBE">
    <w:pPr>
      <w:framePr w:wrap="notBeside" w:hAnchor="text" w:xAlign="right"/>
      <w:ind w:right="360"/>
    </w:pPr>
  </w:p>
  <w:p w14:paraId="0AB61D8B" w14:textId="77777777" w:rsidR="00AE4BBE" w:rsidRDefault="00AE4B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0C78DA"/>
    <w:lvl w:ilvl="0">
      <w:numFmt w:val="decimal"/>
      <w:lvlText w:val="*"/>
      <w:lvlJc w:val="left"/>
    </w:lvl>
  </w:abstractNum>
  <w:abstractNum w:abstractNumId="1" w15:restartNumberingAfterBreak="0">
    <w:nsid w:val="006C5A4A"/>
    <w:multiLevelType w:val="hybridMultilevel"/>
    <w:tmpl w:val="75AA62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F4754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C54634"/>
    <w:multiLevelType w:val="hybridMultilevel"/>
    <w:tmpl w:val="E94A653E"/>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4" w15:restartNumberingAfterBreak="0">
    <w:nsid w:val="154C32EF"/>
    <w:multiLevelType w:val="hybridMultilevel"/>
    <w:tmpl w:val="51E0964C"/>
    <w:lvl w:ilvl="0" w:tplc="52BC5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7C0B"/>
    <w:multiLevelType w:val="hybridMultilevel"/>
    <w:tmpl w:val="E4DA3D3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6" w15:restartNumberingAfterBreak="0">
    <w:nsid w:val="15FD4111"/>
    <w:multiLevelType w:val="hybridMultilevel"/>
    <w:tmpl w:val="58FAF080"/>
    <w:lvl w:ilvl="0" w:tplc="77381D92">
      <w:start w:val="1"/>
      <w:numFmt w:val="decimal"/>
      <w:lvlText w:val="%1."/>
      <w:lvlJc w:val="left"/>
      <w:pPr>
        <w:tabs>
          <w:tab w:val="num" w:pos="1350"/>
        </w:tabs>
        <w:ind w:left="1350" w:hanging="360"/>
      </w:pPr>
      <w:rPr>
        <w:rFonts w:hint="default"/>
        <w:b/>
      </w:rPr>
    </w:lvl>
    <w:lvl w:ilvl="1" w:tplc="0409001B">
      <w:start w:val="1"/>
      <w:numFmt w:val="lowerRoman"/>
      <w:lvlText w:val="%2."/>
      <w:lvlJc w:val="righ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293A4B"/>
    <w:multiLevelType w:val="hybridMultilevel"/>
    <w:tmpl w:val="48984C7C"/>
    <w:lvl w:ilvl="0" w:tplc="5D88948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2E037D"/>
    <w:multiLevelType w:val="hybridMultilevel"/>
    <w:tmpl w:val="089A59D2"/>
    <w:lvl w:ilvl="0" w:tplc="04090019">
      <w:start w:val="1"/>
      <w:numFmt w:val="lowerLetter"/>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1CD26017"/>
    <w:multiLevelType w:val="hybridMultilevel"/>
    <w:tmpl w:val="1B56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63206"/>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07742F"/>
    <w:multiLevelType w:val="hybridMultilevel"/>
    <w:tmpl w:val="B90EE724"/>
    <w:lvl w:ilvl="0" w:tplc="04090019">
      <w:start w:val="1"/>
      <w:numFmt w:val="lowerLetter"/>
      <w:lvlText w:val="%1."/>
      <w:lvlJc w:val="left"/>
      <w:pPr>
        <w:tabs>
          <w:tab w:val="num" w:pos="1382"/>
        </w:tabs>
        <w:ind w:left="1382" w:hanging="360"/>
      </w:pPr>
    </w:lvl>
    <w:lvl w:ilvl="1" w:tplc="04090019">
      <w:start w:val="1"/>
      <w:numFmt w:val="lowerLetter"/>
      <w:lvlText w:val="%2."/>
      <w:lvlJc w:val="left"/>
      <w:pPr>
        <w:tabs>
          <w:tab w:val="num" w:pos="2102"/>
        </w:tabs>
        <w:ind w:left="2102" w:hanging="360"/>
      </w:pPr>
    </w:lvl>
    <w:lvl w:ilvl="2" w:tplc="0409001B" w:tentative="1">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12" w15:restartNumberingAfterBreak="0">
    <w:nsid w:val="1FA35A25"/>
    <w:multiLevelType w:val="hybridMultilevel"/>
    <w:tmpl w:val="0240B4E2"/>
    <w:lvl w:ilvl="0" w:tplc="04090019">
      <w:start w:val="1"/>
      <w:numFmt w:val="lowerLetter"/>
      <w:lvlText w:val="%1."/>
      <w:lvlJc w:val="left"/>
      <w:pPr>
        <w:ind w:left="1728" w:hanging="360"/>
      </w:pPr>
    </w:lvl>
    <w:lvl w:ilvl="1" w:tplc="0409000F">
      <w:start w:val="1"/>
      <w:numFmt w:val="decimal"/>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3" w15:restartNumberingAfterBreak="0">
    <w:nsid w:val="1FFE02FA"/>
    <w:multiLevelType w:val="hybridMultilevel"/>
    <w:tmpl w:val="ACBAFCE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B2179A"/>
    <w:multiLevelType w:val="hybridMultilevel"/>
    <w:tmpl w:val="6C3EE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7E1793"/>
    <w:multiLevelType w:val="hybridMultilevel"/>
    <w:tmpl w:val="515CCAE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B84417"/>
    <w:multiLevelType w:val="hybridMultilevel"/>
    <w:tmpl w:val="4DEA928A"/>
    <w:lvl w:ilvl="0" w:tplc="6B2A9C58">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7" w15:restartNumberingAfterBreak="0">
    <w:nsid w:val="29AD1BCB"/>
    <w:multiLevelType w:val="hybridMultilevel"/>
    <w:tmpl w:val="C9BCB30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2AB77668"/>
    <w:multiLevelType w:val="hybridMultilevel"/>
    <w:tmpl w:val="6C3EE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614F0A"/>
    <w:multiLevelType w:val="hybridMultilevel"/>
    <w:tmpl w:val="D30ACABC"/>
    <w:lvl w:ilvl="0" w:tplc="7C18228A">
      <w:start w:val="1"/>
      <w:numFmt w:val="lowerLetter"/>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0" w15:restartNumberingAfterBreak="0">
    <w:nsid w:val="35442456"/>
    <w:multiLevelType w:val="hybridMultilevel"/>
    <w:tmpl w:val="4DB486C8"/>
    <w:lvl w:ilvl="0" w:tplc="0409001B">
      <w:start w:val="1"/>
      <w:numFmt w:val="lowerRoman"/>
      <w:lvlText w:val="%1."/>
      <w:lvlJc w:val="righ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21" w15:restartNumberingAfterBreak="0">
    <w:nsid w:val="386538F9"/>
    <w:multiLevelType w:val="hybridMultilevel"/>
    <w:tmpl w:val="FEC67C80"/>
    <w:lvl w:ilvl="0" w:tplc="577241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B29A9"/>
    <w:multiLevelType w:val="hybridMultilevel"/>
    <w:tmpl w:val="365E11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1884622"/>
    <w:multiLevelType w:val="hybridMultilevel"/>
    <w:tmpl w:val="770C62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C619C6"/>
    <w:multiLevelType w:val="hybridMultilevel"/>
    <w:tmpl w:val="3B34C814"/>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6" w15:restartNumberingAfterBreak="0">
    <w:nsid w:val="4346243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CB7576"/>
    <w:multiLevelType w:val="hybridMultilevel"/>
    <w:tmpl w:val="C07AB2D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667D37"/>
    <w:multiLevelType w:val="hybridMultilevel"/>
    <w:tmpl w:val="48B246B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4B97357D"/>
    <w:multiLevelType w:val="hybridMultilevel"/>
    <w:tmpl w:val="7AD0FCD4"/>
    <w:lvl w:ilvl="0" w:tplc="0409000F">
      <w:start w:val="1"/>
      <w:numFmt w:val="decimal"/>
      <w:lvlText w:val="%1."/>
      <w:lvlJc w:val="left"/>
      <w:pPr>
        <w:ind w:left="2061" w:hanging="360"/>
      </w:p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4C3B276B"/>
    <w:multiLevelType w:val="hybridMultilevel"/>
    <w:tmpl w:val="E1669E4C"/>
    <w:lvl w:ilvl="0" w:tplc="526084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0F6FA0"/>
    <w:multiLevelType w:val="hybridMultilevel"/>
    <w:tmpl w:val="4844EE9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25005B7"/>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4255886"/>
    <w:multiLevelType w:val="hybridMultilevel"/>
    <w:tmpl w:val="519E731C"/>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783EA7"/>
    <w:multiLevelType w:val="hybridMultilevel"/>
    <w:tmpl w:val="CEBA4C32"/>
    <w:lvl w:ilvl="0" w:tplc="ABCC5ACA">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5" w15:restartNumberingAfterBreak="0">
    <w:nsid w:val="54D7136E"/>
    <w:multiLevelType w:val="hybridMultilevel"/>
    <w:tmpl w:val="151C3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5EB6FE3"/>
    <w:multiLevelType w:val="hybridMultilevel"/>
    <w:tmpl w:val="3FC6EC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8EF18DB"/>
    <w:multiLevelType w:val="hybridMultilevel"/>
    <w:tmpl w:val="7C60C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9666CDA"/>
    <w:multiLevelType w:val="hybridMultilevel"/>
    <w:tmpl w:val="4B42930A"/>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15:restartNumberingAfterBreak="0">
    <w:nsid w:val="59F31902"/>
    <w:multiLevelType w:val="hybridMultilevel"/>
    <w:tmpl w:val="4964170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40" w15:restartNumberingAfterBreak="0">
    <w:nsid w:val="5BE6548E"/>
    <w:multiLevelType w:val="hybridMultilevel"/>
    <w:tmpl w:val="1876D79E"/>
    <w:lvl w:ilvl="0" w:tplc="77381D92">
      <w:start w:val="1"/>
      <w:numFmt w:val="decimal"/>
      <w:lvlText w:val="%1."/>
      <w:lvlJc w:val="left"/>
      <w:pPr>
        <w:tabs>
          <w:tab w:val="num" w:pos="1080"/>
        </w:tabs>
        <w:ind w:left="1080" w:hanging="360"/>
      </w:pPr>
      <w:rPr>
        <w:rFonts w:hint="default"/>
        <w:b/>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C0E3EFD"/>
    <w:multiLevelType w:val="hybridMultilevel"/>
    <w:tmpl w:val="4A88DACE"/>
    <w:lvl w:ilvl="0" w:tplc="0409000F">
      <w:start w:val="1"/>
      <w:numFmt w:val="decimal"/>
      <w:lvlText w:val="%1."/>
      <w:lvlJc w:val="left"/>
      <w:pPr>
        <w:ind w:left="2511" w:hanging="360"/>
      </w:pPr>
    </w:lvl>
    <w:lvl w:ilvl="1" w:tplc="0409000F">
      <w:start w:val="1"/>
      <w:numFmt w:val="decimal"/>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42" w15:restartNumberingAfterBreak="0">
    <w:nsid w:val="5D68179A"/>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3377319"/>
    <w:multiLevelType w:val="hybridMultilevel"/>
    <w:tmpl w:val="C89472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38357FA"/>
    <w:multiLevelType w:val="hybridMultilevel"/>
    <w:tmpl w:val="4440BB46"/>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45" w15:restartNumberingAfterBreak="0">
    <w:nsid w:val="68137C53"/>
    <w:multiLevelType w:val="hybridMultilevel"/>
    <w:tmpl w:val="6E7AA16C"/>
    <w:lvl w:ilvl="0" w:tplc="2096958A">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46" w15:restartNumberingAfterBreak="0">
    <w:nsid w:val="68A84401"/>
    <w:multiLevelType w:val="hybridMultilevel"/>
    <w:tmpl w:val="E5BE2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3362A"/>
    <w:multiLevelType w:val="hybridMultilevel"/>
    <w:tmpl w:val="3330239C"/>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A1F67FE"/>
    <w:multiLevelType w:val="hybridMultilevel"/>
    <w:tmpl w:val="0A8AA1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6A6911E0"/>
    <w:multiLevelType w:val="hybridMultilevel"/>
    <w:tmpl w:val="A17240B0"/>
    <w:lvl w:ilvl="0" w:tplc="33DC0496">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0" w15:restartNumberingAfterBreak="0">
    <w:nsid w:val="6B020947"/>
    <w:multiLevelType w:val="hybridMultilevel"/>
    <w:tmpl w:val="312CAB38"/>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51" w15:restartNumberingAfterBreak="0">
    <w:nsid w:val="71B15845"/>
    <w:multiLevelType w:val="hybridMultilevel"/>
    <w:tmpl w:val="44CA76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22D7421"/>
    <w:multiLevelType w:val="hybridMultilevel"/>
    <w:tmpl w:val="F09652EE"/>
    <w:lvl w:ilvl="0" w:tplc="E3DA9D4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AF4C7B"/>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64225A8"/>
    <w:multiLevelType w:val="hybridMultilevel"/>
    <w:tmpl w:val="F0C0B83A"/>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55" w15:restartNumberingAfterBreak="0">
    <w:nsid w:val="78F81036"/>
    <w:multiLevelType w:val="hybridMultilevel"/>
    <w:tmpl w:val="529CB24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A3D5B2B"/>
    <w:multiLevelType w:val="hybridMultilevel"/>
    <w:tmpl w:val="7AD0FC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B327D69"/>
    <w:multiLevelType w:val="hybridMultilevel"/>
    <w:tmpl w:val="0E9CD7B4"/>
    <w:lvl w:ilvl="0" w:tplc="0409000F">
      <w:start w:val="1"/>
      <w:numFmt w:val="decimal"/>
      <w:lvlText w:val="%1."/>
      <w:lvlJc w:val="left"/>
      <w:pPr>
        <w:ind w:left="2034" w:hanging="360"/>
      </w:p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num w:numId="1">
    <w:abstractNumId w:val="6"/>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11"/>
  </w:num>
  <w:num w:numId="4">
    <w:abstractNumId w:val="54"/>
  </w:num>
  <w:num w:numId="5">
    <w:abstractNumId w:val="23"/>
  </w:num>
  <w:num w:numId="6">
    <w:abstractNumId w:val="44"/>
  </w:num>
  <w:num w:numId="7">
    <w:abstractNumId w:val="14"/>
  </w:num>
  <w:num w:numId="8">
    <w:abstractNumId w:val="13"/>
  </w:num>
  <w:num w:numId="9">
    <w:abstractNumId w:val="37"/>
  </w:num>
  <w:num w:numId="10">
    <w:abstractNumId w:val="24"/>
  </w:num>
  <w:num w:numId="11">
    <w:abstractNumId w:val="30"/>
  </w:num>
  <w:num w:numId="12">
    <w:abstractNumId w:val="36"/>
  </w:num>
  <w:num w:numId="13">
    <w:abstractNumId w:val="4"/>
  </w:num>
  <w:num w:numId="14">
    <w:abstractNumId w:val="1"/>
  </w:num>
  <w:num w:numId="15">
    <w:abstractNumId w:val="19"/>
  </w:num>
  <w:num w:numId="16">
    <w:abstractNumId w:val="2"/>
  </w:num>
  <w:num w:numId="17">
    <w:abstractNumId w:val="10"/>
  </w:num>
  <w:num w:numId="18">
    <w:abstractNumId w:val="20"/>
  </w:num>
  <w:num w:numId="19">
    <w:abstractNumId w:val="51"/>
  </w:num>
  <w:num w:numId="20">
    <w:abstractNumId w:val="49"/>
  </w:num>
  <w:num w:numId="21">
    <w:abstractNumId w:val="34"/>
  </w:num>
  <w:num w:numId="22">
    <w:abstractNumId w:val="26"/>
  </w:num>
  <w:num w:numId="23">
    <w:abstractNumId w:val="42"/>
  </w:num>
  <w:num w:numId="24">
    <w:abstractNumId w:val="32"/>
  </w:num>
  <w:num w:numId="25">
    <w:abstractNumId w:val="53"/>
  </w:num>
  <w:num w:numId="26">
    <w:abstractNumId w:val="47"/>
  </w:num>
  <w:num w:numId="27">
    <w:abstractNumId w:val="55"/>
  </w:num>
  <w:num w:numId="28">
    <w:abstractNumId w:val="25"/>
  </w:num>
  <w:num w:numId="29">
    <w:abstractNumId w:val="43"/>
  </w:num>
  <w:num w:numId="30">
    <w:abstractNumId w:val="48"/>
  </w:num>
  <w:num w:numId="31">
    <w:abstractNumId w:val="40"/>
  </w:num>
  <w:num w:numId="32">
    <w:abstractNumId w:val="28"/>
  </w:num>
  <w:num w:numId="33">
    <w:abstractNumId w:val="31"/>
  </w:num>
  <w:num w:numId="34">
    <w:abstractNumId w:val="56"/>
  </w:num>
  <w:num w:numId="35">
    <w:abstractNumId w:val="15"/>
  </w:num>
  <w:num w:numId="36">
    <w:abstractNumId w:val="8"/>
  </w:num>
  <w:num w:numId="37">
    <w:abstractNumId w:val="12"/>
  </w:num>
  <w:num w:numId="38">
    <w:abstractNumId w:val="41"/>
  </w:num>
  <w:num w:numId="39">
    <w:abstractNumId w:val="52"/>
  </w:num>
  <w:num w:numId="40">
    <w:abstractNumId w:val="50"/>
  </w:num>
  <w:num w:numId="41">
    <w:abstractNumId w:val="17"/>
  </w:num>
  <w:num w:numId="42">
    <w:abstractNumId w:val="3"/>
  </w:num>
  <w:num w:numId="43">
    <w:abstractNumId w:val="39"/>
  </w:num>
  <w:num w:numId="44">
    <w:abstractNumId w:val="5"/>
  </w:num>
  <w:num w:numId="45">
    <w:abstractNumId w:val="45"/>
  </w:num>
  <w:num w:numId="46">
    <w:abstractNumId w:val="16"/>
  </w:num>
  <w:num w:numId="47">
    <w:abstractNumId w:val="18"/>
  </w:num>
  <w:num w:numId="48">
    <w:abstractNumId w:val="35"/>
  </w:num>
  <w:num w:numId="49">
    <w:abstractNumId w:val="38"/>
  </w:num>
  <w:num w:numId="50">
    <w:abstractNumId w:val="27"/>
  </w:num>
  <w:num w:numId="51">
    <w:abstractNumId w:val="7"/>
  </w:num>
  <w:num w:numId="52">
    <w:abstractNumId w:val="29"/>
  </w:num>
  <w:num w:numId="53">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54">
    <w:abstractNumId w:val="9"/>
  </w:num>
  <w:num w:numId="55">
    <w:abstractNumId w:val="22"/>
  </w:num>
  <w:num w:numId="56">
    <w:abstractNumId w:val="46"/>
  </w:num>
  <w:num w:numId="57">
    <w:abstractNumId w:val="21"/>
  </w:num>
  <w:num w:numId="58">
    <w:abstractNumId w:val="57"/>
  </w:num>
  <w:num w:numId="5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0"/>
  <w:activeWritingStyle w:appName="MSWord" w:lang="en-CA" w:vendorID="64" w:dllVersion="131078" w:nlCheck="1" w:checkStyle="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38f4a9f-4a97-4b70-8bf0-299b7a6101f2"/>
    <w:docVar w:name="_AMO_XmlVersion" w:val="Empty"/>
  </w:docVars>
  <w:rsids>
    <w:rsidRoot w:val="003963D9"/>
    <w:rsid w:val="00003FF1"/>
    <w:rsid w:val="000136CB"/>
    <w:rsid w:val="0001397C"/>
    <w:rsid w:val="0002413F"/>
    <w:rsid w:val="000262C7"/>
    <w:rsid w:val="00026494"/>
    <w:rsid w:val="00031573"/>
    <w:rsid w:val="0003191C"/>
    <w:rsid w:val="00031F86"/>
    <w:rsid w:val="00033F83"/>
    <w:rsid w:val="0003501B"/>
    <w:rsid w:val="000359C8"/>
    <w:rsid w:val="00035AAC"/>
    <w:rsid w:val="00041E4E"/>
    <w:rsid w:val="00042F1D"/>
    <w:rsid w:val="000461B4"/>
    <w:rsid w:val="0004788B"/>
    <w:rsid w:val="000504E0"/>
    <w:rsid w:val="0005229A"/>
    <w:rsid w:val="0005304D"/>
    <w:rsid w:val="000562D0"/>
    <w:rsid w:val="0005657A"/>
    <w:rsid w:val="00056A70"/>
    <w:rsid w:val="00060123"/>
    <w:rsid w:val="00060177"/>
    <w:rsid w:val="000607D3"/>
    <w:rsid w:val="00060842"/>
    <w:rsid w:val="000618A1"/>
    <w:rsid w:val="00061F6F"/>
    <w:rsid w:val="0006627A"/>
    <w:rsid w:val="000664BF"/>
    <w:rsid w:val="0007143C"/>
    <w:rsid w:val="00073CD4"/>
    <w:rsid w:val="00084A34"/>
    <w:rsid w:val="00086A20"/>
    <w:rsid w:val="00094323"/>
    <w:rsid w:val="00094B49"/>
    <w:rsid w:val="000952EB"/>
    <w:rsid w:val="00096DCA"/>
    <w:rsid w:val="000A07D1"/>
    <w:rsid w:val="000A2524"/>
    <w:rsid w:val="000A3B0D"/>
    <w:rsid w:val="000A592D"/>
    <w:rsid w:val="000B0B8A"/>
    <w:rsid w:val="000B2AB7"/>
    <w:rsid w:val="000B3210"/>
    <w:rsid w:val="000B53AC"/>
    <w:rsid w:val="000B64A4"/>
    <w:rsid w:val="000B6804"/>
    <w:rsid w:val="000B6908"/>
    <w:rsid w:val="000B7DDF"/>
    <w:rsid w:val="000B7EDF"/>
    <w:rsid w:val="000C1083"/>
    <w:rsid w:val="000C38C8"/>
    <w:rsid w:val="000C4B9C"/>
    <w:rsid w:val="000C4FD5"/>
    <w:rsid w:val="000C684D"/>
    <w:rsid w:val="000C6904"/>
    <w:rsid w:val="000D20AD"/>
    <w:rsid w:val="000D219E"/>
    <w:rsid w:val="000D2551"/>
    <w:rsid w:val="000D2EDB"/>
    <w:rsid w:val="000D5C79"/>
    <w:rsid w:val="000D6B2D"/>
    <w:rsid w:val="000D74FB"/>
    <w:rsid w:val="000E128D"/>
    <w:rsid w:val="000E1934"/>
    <w:rsid w:val="000F2B7F"/>
    <w:rsid w:val="000F7598"/>
    <w:rsid w:val="000F7840"/>
    <w:rsid w:val="001016CF"/>
    <w:rsid w:val="001024FD"/>
    <w:rsid w:val="00102C72"/>
    <w:rsid w:val="00104BB6"/>
    <w:rsid w:val="00107113"/>
    <w:rsid w:val="0010762A"/>
    <w:rsid w:val="00111C3C"/>
    <w:rsid w:val="001136C0"/>
    <w:rsid w:val="001141E0"/>
    <w:rsid w:val="0011491A"/>
    <w:rsid w:val="00114C22"/>
    <w:rsid w:val="001161A4"/>
    <w:rsid w:val="00116FD7"/>
    <w:rsid w:val="00121CA8"/>
    <w:rsid w:val="00122453"/>
    <w:rsid w:val="0012289D"/>
    <w:rsid w:val="00126420"/>
    <w:rsid w:val="001326C4"/>
    <w:rsid w:val="00132D01"/>
    <w:rsid w:val="00135868"/>
    <w:rsid w:val="00140D73"/>
    <w:rsid w:val="001430E4"/>
    <w:rsid w:val="00144927"/>
    <w:rsid w:val="00153171"/>
    <w:rsid w:val="0016075F"/>
    <w:rsid w:val="00161554"/>
    <w:rsid w:val="001620C6"/>
    <w:rsid w:val="001621C7"/>
    <w:rsid w:val="00163329"/>
    <w:rsid w:val="00164D35"/>
    <w:rsid w:val="00166437"/>
    <w:rsid w:val="00170186"/>
    <w:rsid w:val="00170FF0"/>
    <w:rsid w:val="001727A4"/>
    <w:rsid w:val="00172AA8"/>
    <w:rsid w:val="00176B54"/>
    <w:rsid w:val="001775EC"/>
    <w:rsid w:val="001804D8"/>
    <w:rsid w:val="001830CD"/>
    <w:rsid w:val="00184CCF"/>
    <w:rsid w:val="001879E0"/>
    <w:rsid w:val="0019067F"/>
    <w:rsid w:val="001940B5"/>
    <w:rsid w:val="001954B3"/>
    <w:rsid w:val="00196953"/>
    <w:rsid w:val="00196F31"/>
    <w:rsid w:val="001A1FFF"/>
    <w:rsid w:val="001A45FE"/>
    <w:rsid w:val="001A60E3"/>
    <w:rsid w:val="001A79C0"/>
    <w:rsid w:val="001A7A7B"/>
    <w:rsid w:val="001B0AA6"/>
    <w:rsid w:val="001B668F"/>
    <w:rsid w:val="001C30A2"/>
    <w:rsid w:val="001C549C"/>
    <w:rsid w:val="001C6468"/>
    <w:rsid w:val="001D3F00"/>
    <w:rsid w:val="001E1348"/>
    <w:rsid w:val="001E2D41"/>
    <w:rsid w:val="001E6B2D"/>
    <w:rsid w:val="001F1401"/>
    <w:rsid w:val="001F1481"/>
    <w:rsid w:val="001F158B"/>
    <w:rsid w:val="001F2A21"/>
    <w:rsid w:val="001F4A8E"/>
    <w:rsid w:val="001F7BDD"/>
    <w:rsid w:val="00200F73"/>
    <w:rsid w:val="00201BED"/>
    <w:rsid w:val="00202AB3"/>
    <w:rsid w:val="0020395C"/>
    <w:rsid w:val="0020487C"/>
    <w:rsid w:val="00204962"/>
    <w:rsid w:val="0020520A"/>
    <w:rsid w:val="00206114"/>
    <w:rsid w:val="00211830"/>
    <w:rsid w:val="00212F9A"/>
    <w:rsid w:val="00213C8D"/>
    <w:rsid w:val="00215CC8"/>
    <w:rsid w:val="00220594"/>
    <w:rsid w:val="0022192F"/>
    <w:rsid w:val="00222AC4"/>
    <w:rsid w:val="00226448"/>
    <w:rsid w:val="002272FF"/>
    <w:rsid w:val="00231090"/>
    <w:rsid w:val="00233FDF"/>
    <w:rsid w:val="002340EF"/>
    <w:rsid w:val="00237F06"/>
    <w:rsid w:val="00241F02"/>
    <w:rsid w:val="002448FC"/>
    <w:rsid w:val="0024595F"/>
    <w:rsid w:val="00253B0C"/>
    <w:rsid w:val="00264521"/>
    <w:rsid w:val="00265D47"/>
    <w:rsid w:val="0027208C"/>
    <w:rsid w:val="00274CDF"/>
    <w:rsid w:val="0027628A"/>
    <w:rsid w:val="00282D5F"/>
    <w:rsid w:val="002873D9"/>
    <w:rsid w:val="00287C35"/>
    <w:rsid w:val="00287E29"/>
    <w:rsid w:val="00292A88"/>
    <w:rsid w:val="0029353D"/>
    <w:rsid w:val="0029471E"/>
    <w:rsid w:val="00295FBF"/>
    <w:rsid w:val="002964E3"/>
    <w:rsid w:val="0029682C"/>
    <w:rsid w:val="00296A1A"/>
    <w:rsid w:val="00297577"/>
    <w:rsid w:val="002977DE"/>
    <w:rsid w:val="002A1DF3"/>
    <w:rsid w:val="002A3733"/>
    <w:rsid w:val="002B0E0C"/>
    <w:rsid w:val="002B230A"/>
    <w:rsid w:val="002B508A"/>
    <w:rsid w:val="002B5CF6"/>
    <w:rsid w:val="002C242A"/>
    <w:rsid w:val="002C3EC9"/>
    <w:rsid w:val="002C7ED9"/>
    <w:rsid w:val="002D0C3C"/>
    <w:rsid w:val="002D3097"/>
    <w:rsid w:val="002D4F6D"/>
    <w:rsid w:val="002D5DC1"/>
    <w:rsid w:val="002D67A7"/>
    <w:rsid w:val="002D6B52"/>
    <w:rsid w:val="002D73BA"/>
    <w:rsid w:val="002E0269"/>
    <w:rsid w:val="002E31C6"/>
    <w:rsid w:val="002E6728"/>
    <w:rsid w:val="002F135E"/>
    <w:rsid w:val="002F5638"/>
    <w:rsid w:val="002F6E80"/>
    <w:rsid w:val="00301B90"/>
    <w:rsid w:val="00310983"/>
    <w:rsid w:val="00312FEF"/>
    <w:rsid w:val="0031581E"/>
    <w:rsid w:val="00321A0B"/>
    <w:rsid w:val="00322299"/>
    <w:rsid w:val="003261D3"/>
    <w:rsid w:val="003264BC"/>
    <w:rsid w:val="00327CF5"/>
    <w:rsid w:val="003307E1"/>
    <w:rsid w:val="00330E5D"/>
    <w:rsid w:val="003315E6"/>
    <w:rsid w:val="00331DFB"/>
    <w:rsid w:val="00332D5C"/>
    <w:rsid w:val="003363A4"/>
    <w:rsid w:val="00336F25"/>
    <w:rsid w:val="003374F1"/>
    <w:rsid w:val="00341DBB"/>
    <w:rsid w:val="00343169"/>
    <w:rsid w:val="00346721"/>
    <w:rsid w:val="00346D6E"/>
    <w:rsid w:val="00350FAB"/>
    <w:rsid w:val="0035438D"/>
    <w:rsid w:val="00354394"/>
    <w:rsid w:val="003549F2"/>
    <w:rsid w:val="00355F7C"/>
    <w:rsid w:val="00357EB0"/>
    <w:rsid w:val="00364927"/>
    <w:rsid w:val="00365186"/>
    <w:rsid w:val="0036669A"/>
    <w:rsid w:val="00366C4C"/>
    <w:rsid w:val="00367B24"/>
    <w:rsid w:val="00371C42"/>
    <w:rsid w:val="00374371"/>
    <w:rsid w:val="003753D0"/>
    <w:rsid w:val="00375915"/>
    <w:rsid w:val="003812D5"/>
    <w:rsid w:val="003835C1"/>
    <w:rsid w:val="00383742"/>
    <w:rsid w:val="00384A36"/>
    <w:rsid w:val="00386300"/>
    <w:rsid w:val="0038689F"/>
    <w:rsid w:val="00386AB3"/>
    <w:rsid w:val="0038748E"/>
    <w:rsid w:val="00390A2F"/>
    <w:rsid w:val="00394408"/>
    <w:rsid w:val="003963D9"/>
    <w:rsid w:val="003969CB"/>
    <w:rsid w:val="00396B1B"/>
    <w:rsid w:val="003A1247"/>
    <w:rsid w:val="003A2B62"/>
    <w:rsid w:val="003A2F3D"/>
    <w:rsid w:val="003A3A24"/>
    <w:rsid w:val="003A5BD7"/>
    <w:rsid w:val="003A5CB5"/>
    <w:rsid w:val="003A7BBA"/>
    <w:rsid w:val="003A7FF8"/>
    <w:rsid w:val="003B1844"/>
    <w:rsid w:val="003B2654"/>
    <w:rsid w:val="003B2746"/>
    <w:rsid w:val="003B34C2"/>
    <w:rsid w:val="003B3F1D"/>
    <w:rsid w:val="003B410B"/>
    <w:rsid w:val="003B4DEE"/>
    <w:rsid w:val="003B5868"/>
    <w:rsid w:val="003B6CDB"/>
    <w:rsid w:val="003C0552"/>
    <w:rsid w:val="003C0DCE"/>
    <w:rsid w:val="003C118E"/>
    <w:rsid w:val="003C2B78"/>
    <w:rsid w:val="003C3B79"/>
    <w:rsid w:val="003C3DEE"/>
    <w:rsid w:val="003C3EF8"/>
    <w:rsid w:val="003C42A0"/>
    <w:rsid w:val="003C6324"/>
    <w:rsid w:val="003C7F09"/>
    <w:rsid w:val="003D0D36"/>
    <w:rsid w:val="003D1F59"/>
    <w:rsid w:val="003D2BDF"/>
    <w:rsid w:val="003D33C0"/>
    <w:rsid w:val="003D4FDB"/>
    <w:rsid w:val="003D6916"/>
    <w:rsid w:val="003D755D"/>
    <w:rsid w:val="003E5405"/>
    <w:rsid w:val="003E5A34"/>
    <w:rsid w:val="003F04D1"/>
    <w:rsid w:val="003F0975"/>
    <w:rsid w:val="003F150D"/>
    <w:rsid w:val="0040089D"/>
    <w:rsid w:val="00402618"/>
    <w:rsid w:val="00402799"/>
    <w:rsid w:val="00403A2C"/>
    <w:rsid w:val="0041035A"/>
    <w:rsid w:val="00411559"/>
    <w:rsid w:val="0041232A"/>
    <w:rsid w:val="00412B20"/>
    <w:rsid w:val="0042002F"/>
    <w:rsid w:val="00421BA6"/>
    <w:rsid w:val="00423181"/>
    <w:rsid w:val="00427CC0"/>
    <w:rsid w:val="0043279B"/>
    <w:rsid w:val="004361BD"/>
    <w:rsid w:val="0044035A"/>
    <w:rsid w:val="0044048D"/>
    <w:rsid w:val="004420BD"/>
    <w:rsid w:val="004432B0"/>
    <w:rsid w:val="0044522B"/>
    <w:rsid w:val="004459E3"/>
    <w:rsid w:val="00447671"/>
    <w:rsid w:val="004476E4"/>
    <w:rsid w:val="00447A0B"/>
    <w:rsid w:val="00450352"/>
    <w:rsid w:val="00450DB7"/>
    <w:rsid w:val="00450E7E"/>
    <w:rsid w:val="00454D7D"/>
    <w:rsid w:val="00455739"/>
    <w:rsid w:val="0045692E"/>
    <w:rsid w:val="0045799B"/>
    <w:rsid w:val="00461248"/>
    <w:rsid w:val="00463659"/>
    <w:rsid w:val="00466243"/>
    <w:rsid w:val="00466524"/>
    <w:rsid w:val="00466572"/>
    <w:rsid w:val="00470F51"/>
    <w:rsid w:val="00472B82"/>
    <w:rsid w:val="00475B3F"/>
    <w:rsid w:val="00476121"/>
    <w:rsid w:val="00484D72"/>
    <w:rsid w:val="0048641A"/>
    <w:rsid w:val="00486F3F"/>
    <w:rsid w:val="00492830"/>
    <w:rsid w:val="004929F5"/>
    <w:rsid w:val="00496B3B"/>
    <w:rsid w:val="004A31FA"/>
    <w:rsid w:val="004A4C03"/>
    <w:rsid w:val="004B1094"/>
    <w:rsid w:val="004B1459"/>
    <w:rsid w:val="004B5B9A"/>
    <w:rsid w:val="004B791A"/>
    <w:rsid w:val="004C103B"/>
    <w:rsid w:val="004C2428"/>
    <w:rsid w:val="004C47C5"/>
    <w:rsid w:val="004C5AC3"/>
    <w:rsid w:val="004C75B1"/>
    <w:rsid w:val="004D1567"/>
    <w:rsid w:val="004D163E"/>
    <w:rsid w:val="004D2633"/>
    <w:rsid w:val="004D263B"/>
    <w:rsid w:val="004D2D4F"/>
    <w:rsid w:val="004D3591"/>
    <w:rsid w:val="004D7070"/>
    <w:rsid w:val="004E1093"/>
    <w:rsid w:val="004E1F76"/>
    <w:rsid w:val="004E2B1F"/>
    <w:rsid w:val="004E4A15"/>
    <w:rsid w:val="004E617C"/>
    <w:rsid w:val="004E672C"/>
    <w:rsid w:val="004F2B1E"/>
    <w:rsid w:val="004F4C67"/>
    <w:rsid w:val="004F5950"/>
    <w:rsid w:val="004F6AA0"/>
    <w:rsid w:val="00500B38"/>
    <w:rsid w:val="00505F03"/>
    <w:rsid w:val="00506E7D"/>
    <w:rsid w:val="00511332"/>
    <w:rsid w:val="00514B0D"/>
    <w:rsid w:val="00514E97"/>
    <w:rsid w:val="00516AEB"/>
    <w:rsid w:val="0051761D"/>
    <w:rsid w:val="00520430"/>
    <w:rsid w:val="00520571"/>
    <w:rsid w:val="00523146"/>
    <w:rsid w:val="00523E12"/>
    <w:rsid w:val="00524040"/>
    <w:rsid w:val="005308BA"/>
    <w:rsid w:val="005323A0"/>
    <w:rsid w:val="00534A46"/>
    <w:rsid w:val="0053746E"/>
    <w:rsid w:val="005457A6"/>
    <w:rsid w:val="00546230"/>
    <w:rsid w:val="005462C7"/>
    <w:rsid w:val="005472AF"/>
    <w:rsid w:val="00551A24"/>
    <w:rsid w:val="00555AC1"/>
    <w:rsid w:val="0055623E"/>
    <w:rsid w:val="00562BFB"/>
    <w:rsid w:val="00565DFF"/>
    <w:rsid w:val="00566EA2"/>
    <w:rsid w:val="00567999"/>
    <w:rsid w:val="00570D68"/>
    <w:rsid w:val="005714A8"/>
    <w:rsid w:val="00572280"/>
    <w:rsid w:val="00574072"/>
    <w:rsid w:val="0058085A"/>
    <w:rsid w:val="00582A27"/>
    <w:rsid w:val="00586426"/>
    <w:rsid w:val="00593B6A"/>
    <w:rsid w:val="00597772"/>
    <w:rsid w:val="005A0FB2"/>
    <w:rsid w:val="005A132F"/>
    <w:rsid w:val="005A1599"/>
    <w:rsid w:val="005A53AB"/>
    <w:rsid w:val="005A6A4A"/>
    <w:rsid w:val="005A72FF"/>
    <w:rsid w:val="005A7B78"/>
    <w:rsid w:val="005B0A4D"/>
    <w:rsid w:val="005B1189"/>
    <w:rsid w:val="005B1873"/>
    <w:rsid w:val="005B1ABA"/>
    <w:rsid w:val="005B2F6F"/>
    <w:rsid w:val="005C374D"/>
    <w:rsid w:val="005C5370"/>
    <w:rsid w:val="005E0C63"/>
    <w:rsid w:val="005E12E5"/>
    <w:rsid w:val="005E3DC1"/>
    <w:rsid w:val="005E7860"/>
    <w:rsid w:val="005F34D2"/>
    <w:rsid w:val="005F450E"/>
    <w:rsid w:val="005F731A"/>
    <w:rsid w:val="0060098C"/>
    <w:rsid w:val="00602281"/>
    <w:rsid w:val="00602B01"/>
    <w:rsid w:val="00604F52"/>
    <w:rsid w:val="00606211"/>
    <w:rsid w:val="0060670A"/>
    <w:rsid w:val="006073F2"/>
    <w:rsid w:val="00607903"/>
    <w:rsid w:val="006102A4"/>
    <w:rsid w:val="00612092"/>
    <w:rsid w:val="00612B64"/>
    <w:rsid w:val="00612BE5"/>
    <w:rsid w:val="00613901"/>
    <w:rsid w:val="00614A90"/>
    <w:rsid w:val="00615AE7"/>
    <w:rsid w:val="00616D94"/>
    <w:rsid w:val="00617494"/>
    <w:rsid w:val="00620A21"/>
    <w:rsid w:val="0062110C"/>
    <w:rsid w:val="00623ADD"/>
    <w:rsid w:val="0062443E"/>
    <w:rsid w:val="00627D91"/>
    <w:rsid w:val="0063089D"/>
    <w:rsid w:val="00630BBC"/>
    <w:rsid w:val="00631BF7"/>
    <w:rsid w:val="006330B0"/>
    <w:rsid w:val="0063330A"/>
    <w:rsid w:val="00635B2E"/>
    <w:rsid w:val="0063650E"/>
    <w:rsid w:val="00641E2F"/>
    <w:rsid w:val="006432BC"/>
    <w:rsid w:val="006436A8"/>
    <w:rsid w:val="00644011"/>
    <w:rsid w:val="006443BE"/>
    <w:rsid w:val="00647A04"/>
    <w:rsid w:val="00650E94"/>
    <w:rsid w:val="00652B49"/>
    <w:rsid w:val="00653462"/>
    <w:rsid w:val="00653A3D"/>
    <w:rsid w:val="00655606"/>
    <w:rsid w:val="00655BA0"/>
    <w:rsid w:val="00656B47"/>
    <w:rsid w:val="00656D68"/>
    <w:rsid w:val="00657241"/>
    <w:rsid w:val="0065799D"/>
    <w:rsid w:val="00661471"/>
    <w:rsid w:val="00663A34"/>
    <w:rsid w:val="00663ED8"/>
    <w:rsid w:val="00667212"/>
    <w:rsid w:val="00674871"/>
    <w:rsid w:val="0067699F"/>
    <w:rsid w:val="00677B13"/>
    <w:rsid w:val="00682636"/>
    <w:rsid w:val="0068425F"/>
    <w:rsid w:val="006847BB"/>
    <w:rsid w:val="00691553"/>
    <w:rsid w:val="006918CE"/>
    <w:rsid w:val="0069433C"/>
    <w:rsid w:val="00694BB4"/>
    <w:rsid w:val="00694C92"/>
    <w:rsid w:val="00696A06"/>
    <w:rsid w:val="00696B18"/>
    <w:rsid w:val="00696B4B"/>
    <w:rsid w:val="006A22D1"/>
    <w:rsid w:val="006A24C8"/>
    <w:rsid w:val="006A3886"/>
    <w:rsid w:val="006A5D95"/>
    <w:rsid w:val="006B438B"/>
    <w:rsid w:val="006C0CE6"/>
    <w:rsid w:val="006C1B02"/>
    <w:rsid w:val="006D15BF"/>
    <w:rsid w:val="006D310C"/>
    <w:rsid w:val="006D6D5A"/>
    <w:rsid w:val="006D700A"/>
    <w:rsid w:val="006D725E"/>
    <w:rsid w:val="006E1A69"/>
    <w:rsid w:val="006E1AA2"/>
    <w:rsid w:val="006E25B6"/>
    <w:rsid w:val="006E31AC"/>
    <w:rsid w:val="006E3CE5"/>
    <w:rsid w:val="006E7EA3"/>
    <w:rsid w:val="006F1AC1"/>
    <w:rsid w:val="006F37DE"/>
    <w:rsid w:val="006F3EC6"/>
    <w:rsid w:val="006F47D9"/>
    <w:rsid w:val="006F4FB5"/>
    <w:rsid w:val="006F61FD"/>
    <w:rsid w:val="006F6729"/>
    <w:rsid w:val="006F6FC8"/>
    <w:rsid w:val="006F7801"/>
    <w:rsid w:val="0070016F"/>
    <w:rsid w:val="00702554"/>
    <w:rsid w:val="007058BC"/>
    <w:rsid w:val="00705EB6"/>
    <w:rsid w:val="007077DC"/>
    <w:rsid w:val="00710429"/>
    <w:rsid w:val="00712F3F"/>
    <w:rsid w:val="0071461E"/>
    <w:rsid w:val="0071673A"/>
    <w:rsid w:val="00717760"/>
    <w:rsid w:val="00717CA3"/>
    <w:rsid w:val="00717F1A"/>
    <w:rsid w:val="007208B7"/>
    <w:rsid w:val="00725CF3"/>
    <w:rsid w:val="007270EB"/>
    <w:rsid w:val="007271C1"/>
    <w:rsid w:val="0073096A"/>
    <w:rsid w:val="00731443"/>
    <w:rsid w:val="007342C7"/>
    <w:rsid w:val="00735BB0"/>
    <w:rsid w:val="00736908"/>
    <w:rsid w:val="00741E3D"/>
    <w:rsid w:val="00743309"/>
    <w:rsid w:val="007457C8"/>
    <w:rsid w:val="00747232"/>
    <w:rsid w:val="00750D6C"/>
    <w:rsid w:val="00751B40"/>
    <w:rsid w:val="0075231F"/>
    <w:rsid w:val="00753458"/>
    <w:rsid w:val="0075386C"/>
    <w:rsid w:val="00754D4B"/>
    <w:rsid w:val="00756EDB"/>
    <w:rsid w:val="00761071"/>
    <w:rsid w:val="00764887"/>
    <w:rsid w:val="00765E64"/>
    <w:rsid w:val="00766BEF"/>
    <w:rsid w:val="00767C47"/>
    <w:rsid w:val="00767D32"/>
    <w:rsid w:val="007717C1"/>
    <w:rsid w:val="0077251A"/>
    <w:rsid w:val="00773787"/>
    <w:rsid w:val="00773B62"/>
    <w:rsid w:val="0077509A"/>
    <w:rsid w:val="00776800"/>
    <w:rsid w:val="00776A83"/>
    <w:rsid w:val="00781E24"/>
    <w:rsid w:val="007826D2"/>
    <w:rsid w:val="00783CA5"/>
    <w:rsid w:val="00783DC5"/>
    <w:rsid w:val="007865C5"/>
    <w:rsid w:val="00790768"/>
    <w:rsid w:val="00796103"/>
    <w:rsid w:val="00796CB3"/>
    <w:rsid w:val="00797276"/>
    <w:rsid w:val="007A2AB0"/>
    <w:rsid w:val="007A4859"/>
    <w:rsid w:val="007A4892"/>
    <w:rsid w:val="007A5741"/>
    <w:rsid w:val="007A6278"/>
    <w:rsid w:val="007A654B"/>
    <w:rsid w:val="007A7F77"/>
    <w:rsid w:val="007B06B0"/>
    <w:rsid w:val="007B1A2F"/>
    <w:rsid w:val="007B283E"/>
    <w:rsid w:val="007B3C15"/>
    <w:rsid w:val="007B3D17"/>
    <w:rsid w:val="007B4167"/>
    <w:rsid w:val="007B5C65"/>
    <w:rsid w:val="007B7327"/>
    <w:rsid w:val="007C00DC"/>
    <w:rsid w:val="007C047A"/>
    <w:rsid w:val="007C1AFB"/>
    <w:rsid w:val="007C5E5C"/>
    <w:rsid w:val="007D2A7B"/>
    <w:rsid w:val="007D2D70"/>
    <w:rsid w:val="007D31C2"/>
    <w:rsid w:val="007D3B4A"/>
    <w:rsid w:val="007D416E"/>
    <w:rsid w:val="007E0080"/>
    <w:rsid w:val="007E4652"/>
    <w:rsid w:val="007E6293"/>
    <w:rsid w:val="007E7282"/>
    <w:rsid w:val="007F0F7C"/>
    <w:rsid w:val="007F2AA3"/>
    <w:rsid w:val="007F303C"/>
    <w:rsid w:val="007F38BC"/>
    <w:rsid w:val="007F4CD8"/>
    <w:rsid w:val="007F72DD"/>
    <w:rsid w:val="00800081"/>
    <w:rsid w:val="008003EA"/>
    <w:rsid w:val="0080722F"/>
    <w:rsid w:val="00810005"/>
    <w:rsid w:val="00811266"/>
    <w:rsid w:val="00813152"/>
    <w:rsid w:val="00814AC3"/>
    <w:rsid w:val="00823D48"/>
    <w:rsid w:val="008263E8"/>
    <w:rsid w:val="00830238"/>
    <w:rsid w:val="00830301"/>
    <w:rsid w:val="00830C57"/>
    <w:rsid w:val="00830C61"/>
    <w:rsid w:val="008326D0"/>
    <w:rsid w:val="00834983"/>
    <w:rsid w:val="008425A8"/>
    <w:rsid w:val="00842FD6"/>
    <w:rsid w:val="00847F08"/>
    <w:rsid w:val="00853209"/>
    <w:rsid w:val="00856D33"/>
    <w:rsid w:val="00857306"/>
    <w:rsid w:val="008600B3"/>
    <w:rsid w:val="00862460"/>
    <w:rsid w:val="00863819"/>
    <w:rsid w:val="00863D85"/>
    <w:rsid w:val="00865EBE"/>
    <w:rsid w:val="00866C50"/>
    <w:rsid w:val="0087369A"/>
    <w:rsid w:val="0087414E"/>
    <w:rsid w:val="00875075"/>
    <w:rsid w:val="00875F87"/>
    <w:rsid w:val="0088035B"/>
    <w:rsid w:val="00880E7F"/>
    <w:rsid w:val="00883766"/>
    <w:rsid w:val="00884C6A"/>
    <w:rsid w:val="0088518D"/>
    <w:rsid w:val="00885590"/>
    <w:rsid w:val="008923DF"/>
    <w:rsid w:val="00896EEE"/>
    <w:rsid w:val="008A0223"/>
    <w:rsid w:val="008A2903"/>
    <w:rsid w:val="008A6187"/>
    <w:rsid w:val="008A68EE"/>
    <w:rsid w:val="008A6F41"/>
    <w:rsid w:val="008B033E"/>
    <w:rsid w:val="008B7E97"/>
    <w:rsid w:val="008C3B03"/>
    <w:rsid w:val="008C52E7"/>
    <w:rsid w:val="008C545B"/>
    <w:rsid w:val="008C6429"/>
    <w:rsid w:val="008C6A82"/>
    <w:rsid w:val="008D13F8"/>
    <w:rsid w:val="008D33C2"/>
    <w:rsid w:val="008D5C4E"/>
    <w:rsid w:val="008D6569"/>
    <w:rsid w:val="008D78F0"/>
    <w:rsid w:val="008E233A"/>
    <w:rsid w:val="008E3FB0"/>
    <w:rsid w:val="008F1347"/>
    <w:rsid w:val="008F1808"/>
    <w:rsid w:val="008F5761"/>
    <w:rsid w:val="008F6B98"/>
    <w:rsid w:val="008F75EE"/>
    <w:rsid w:val="00900D00"/>
    <w:rsid w:val="00902867"/>
    <w:rsid w:val="00903A30"/>
    <w:rsid w:val="00903CD1"/>
    <w:rsid w:val="00907E4D"/>
    <w:rsid w:val="00910C99"/>
    <w:rsid w:val="0091571E"/>
    <w:rsid w:val="009162CF"/>
    <w:rsid w:val="00916436"/>
    <w:rsid w:val="009168E1"/>
    <w:rsid w:val="00917954"/>
    <w:rsid w:val="00917B01"/>
    <w:rsid w:val="00917E74"/>
    <w:rsid w:val="009217DB"/>
    <w:rsid w:val="00924430"/>
    <w:rsid w:val="00925735"/>
    <w:rsid w:val="009303B0"/>
    <w:rsid w:val="0093207F"/>
    <w:rsid w:val="00934235"/>
    <w:rsid w:val="009344A5"/>
    <w:rsid w:val="00940EAE"/>
    <w:rsid w:val="0094467D"/>
    <w:rsid w:val="00944A77"/>
    <w:rsid w:val="00944E84"/>
    <w:rsid w:val="009455FD"/>
    <w:rsid w:val="00946684"/>
    <w:rsid w:val="00947B47"/>
    <w:rsid w:val="00947C29"/>
    <w:rsid w:val="00950408"/>
    <w:rsid w:val="0095090B"/>
    <w:rsid w:val="00950C3F"/>
    <w:rsid w:val="00951358"/>
    <w:rsid w:val="00951931"/>
    <w:rsid w:val="00954F55"/>
    <w:rsid w:val="0095549E"/>
    <w:rsid w:val="00956468"/>
    <w:rsid w:val="0095658F"/>
    <w:rsid w:val="0096190A"/>
    <w:rsid w:val="00962618"/>
    <w:rsid w:val="009640AF"/>
    <w:rsid w:val="00965F40"/>
    <w:rsid w:val="009664CF"/>
    <w:rsid w:val="009733D8"/>
    <w:rsid w:val="009739B2"/>
    <w:rsid w:val="00974076"/>
    <w:rsid w:val="00975378"/>
    <w:rsid w:val="00975620"/>
    <w:rsid w:val="0098059B"/>
    <w:rsid w:val="00983889"/>
    <w:rsid w:val="00984085"/>
    <w:rsid w:val="009844D6"/>
    <w:rsid w:val="0098733B"/>
    <w:rsid w:val="00987D64"/>
    <w:rsid w:val="00991874"/>
    <w:rsid w:val="009919E9"/>
    <w:rsid w:val="0099200D"/>
    <w:rsid w:val="00994EA1"/>
    <w:rsid w:val="009953CE"/>
    <w:rsid w:val="00996671"/>
    <w:rsid w:val="00997FE0"/>
    <w:rsid w:val="009A048E"/>
    <w:rsid w:val="009A0AB6"/>
    <w:rsid w:val="009A322D"/>
    <w:rsid w:val="009A4167"/>
    <w:rsid w:val="009A6210"/>
    <w:rsid w:val="009A6462"/>
    <w:rsid w:val="009A7D0F"/>
    <w:rsid w:val="009B2E04"/>
    <w:rsid w:val="009B4E60"/>
    <w:rsid w:val="009B6A16"/>
    <w:rsid w:val="009B7F81"/>
    <w:rsid w:val="009C089F"/>
    <w:rsid w:val="009C2ED4"/>
    <w:rsid w:val="009C3403"/>
    <w:rsid w:val="009C4AF8"/>
    <w:rsid w:val="009C5166"/>
    <w:rsid w:val="009C531F"/>
    <w:rsid w:val="009C5E4E"/>
    <w:rsid w:val="009C7405"/>
    <w:rsid w:val="009D2908"/>
    <w:rsid w:val="009D365F"/>
    <w:rsid w:val="009D386B"/>
    <w:rsid w:val="009D3BF2"/>
    <w:rsid w:val="009D5A2D"/>
    <w:rsid w:val="009D6D28"/>
    <w:rsid w:val="009D75E2"/>
    <w:rsid w:val="009E0B57"/>
    <w:rsid w:val="009E2D8C"/>
    <w:rsid w:val="009E3012"/>
    <w:rsid w:val="009E3F98"/>
    <w:rsid w:val="009E4522"/>
    <w:rsid w:val="009E4EC4"/>
    <w:rsid w:val="009E52DB"/>
    <w:rsid w:val="009E59BC"/>
    <w:rsid w:val="009E6D69"/>
    <w:rsid w:val="009F3790"/>
    <w:rsid w:val="009F74CC"/>
    <w:rsid w:val="009F75EC"/>
    <w:rsid w:val="00A000DB"/>
    <w:rsid w:val="00A00B1B"/>
    <w:rsid w:val="00A02D40"/>
    <w:rsid w:val="00A02D4D"/>
    <w:rsid w:val="00A040AE"/>
    <w:rsid w:val="00A0470B"/>
    <w:rsid w:val="00A10F9C"/>
    <w:rsid w:val="00A12103"/>
    <w:rsid w:val="00A1214D"/>
    <w:rsid w:val="00A13760"/>
    <w:rsid w:val="00A15DB9"/>
    <w:rsid w:val="00A20F5F"/>
    <w:rsid w:val="00A21D8C"/>
    <w:rsid w:val="00A31249"/>
    <w:rsid w:val="00A32DD9"/>
    <w:rsid w:val="00A35DD9"/>
    <w:rsid w:val="00A40AED"/>
    <w:rsid w:val="00A41956"/>
    <w:rsid w:val="00A420D4"/>
    <w:rsid w:val="00A42538"/>
    <w:rsid w:val="00A427B1"/>
    <w:rsid w:val="00A44218"/>
    <w:rsid w:val="00A44CCD"/>
    <w:rsid w:val="00A44FBE"/>
    <w:rsid w:val="00A508BA"/>
    <w:rsid w:val="00A51807"/>
    <w:rsid w:val="00A5191E"/>
    <w:rsid w:val="00A5578D"/>
    <w:rsid w:val="00A55850"/>
    <w:rsid w:val="00A6077B"/>
    <w:rsid w:val="00A614E8"/>
    <w:rsid w:val="00A63971"/>
    <w:rsid w:val="00A65323"/>
    <w:rsid w:val="00A66718"/>
    <w:rsid w:val="00A66A69"/>
    <w:rsid w:val="00A67F41"/>
    <w:rsid w:val="00A75003"/>
    <w:rsid w:val="00A750B4"/>
    <w:rsid w:val="00A76B85"/>
    <w:rsid w:val="00A76E39"/>
    <w:rsid w:val="00A80231"/>
    <w:rsid w:val="00A804DF"/>
    <w:rsid w:val="00A831DD"/>
    <w:rsid w:val="00A85880"/>
    <w:rsid w:val="00A9006E"/>
    <w:rsid w:val="00A95BBB"/>
    <w:rsid w:val="00A960DE"/>
    <w:rsid w:val="00A973E4"/>
    <w:rsid w:val="00AA079A"/>
    <w:rsid w:val="00AA0AEB"/>
    <w:rsid w:val="00AA402A"/>
    <w:rsid w:val="00AA4855"/>
    <w:rsid w:val="00AA4EC4"/>
    <w:rsid w:val="00AB041D"/>
    <w:rsid w:val="00AB0647"/>
    <w:rsid w:val="00AB0809"/>
    <w:rsid w:val="00AB0B5E"/>
    <w:rsid w:val="00AB1482"/>
    <w:rsid w:val="00AB2CB0"/>
    <w:rsid w:val="00AB7DA3"/>
    <w:rsid w:val="00AB7F8B"/>
    <w:rsid w:val="00AC0084"/>
    <w:rsid w:val="00AC169F"/>
    <w:rsid w:val="00AC249B"/>
    <w:rsid w:val="00AC33FB"/>
    <w:rsid w:val="00AC5067"/>
    <w:rsid w:val="00AC64EB"/>
    <w:rsid w:val="00AC6F3B"/>
    <w:rsid w:val="00AD042B"/>
    <w:rsid w:val="00AD064F"/>
    <w:rsid w:val="00AD065F"/>
    <w:rsid w:val="00AD441A"/>
    <w:rsid w:val="00AD4695"/>
    <w:rsid w:val="00AD68FC"/>
    <w:rsid w:val="00AE1092"/>
    <w:rsid w:val="00AE20AF"/>
    <w:rsid w:val="00AE2864"/>
    <w:rsid w:val="00AE37C6"/>
    <w:rsid w:val="00AE4BBE"/>
    <w:rsid w:val="00AE506A"/>
    <w:rsid w:val="00AE6B11"/>
    <w:rsid w:val="00AE7B57"/>
    <w:rsid w:val="00AF42EE"/>
    <w:rsid w:val="00AF55EA"/>
    <w:rsid w:val="00AF6209"/>
    <w:rsid w:val="00AF6F7C"/>
    <w:rsid w:val="00AF75EA"/>
    <w:rsid w:val="00AF783C"/>
    <w:rsid w:val="00AF7B28"/>
    <w:rsid w:val="00B019B2"/>
    <w:rsid w:val="00B01C00"/>
    <w:rsid w:val="00B03271"/>
    <w:rsid w:val="00B07327"/>
    <w:rsid w:val="00B07470"/>
    <w:rsid w:val="00B111A7"/>
    <w:rsid w:val="00B1134D"/>
    <w:rsid w:val="00B120E8"/>
    <w:rsid w:val="00B13609"/>
    <w:rsid w:val="00B16767"/>
    <w:rsid w:val="00B17345"/>
    <w:rsid w:val="00B209A1"/>
    <w:rsid w:val="00B214ED"/>
    <w:rsid w:val="00B22246"/>
    <w:rsid w:val="00B25CBF"/>
    <w:rsid w:val="00B2619A"/>
    <w:rsid w:val="00B33DA5"/>
    <w:rsid w:val="00B351FE"/>
    <w:rsid w:val="00B374EB"/>
    <w:rsid w:val="00B40D54"/>
    <w:rsid w:val="00B42647"/>
    <w:rsid w:val="00B42D12"/>
    <w:rsid w:val="00B4383E"/>
    <w:rsid w:val="00B43B2C"/>
    <w:rsid w:val="00B43CCB"/>
    <w:rsid w:val="00B450F7"/>
    <w:rsid w:val="00B45E7E"/>
    <w:rsid w:val="00B47468"/>
    <w:rsid w:val="00B47BFC"/>
    <w:rsid w:val="00B51F1F"/>
    <w:rsid w:val="00B53CA7"/>
    <w:rsid w:val="00B55301"/>
    <w:rsid w:val="00B63410"/>
    <w:rsid w:val="00B67994"/>
    <w:rsid w:val="00B67BA3"/>
    <w:rsid w:val="00B716FC"/>
    <w:rsid w:val="00B73E57"/>
    <w:rsid w:val="00B7562B"/>
    <w:rsid w:val="00B803BF"/>
    <w:rsid w:val="00B83F20"/>
    <w:rsid w:val="00B840CC"/>
    <w:rsid w:val="00B84281"/>
    <w:rsid w:val="00B8429C"/>
    <w:rsid w:val="00B85A78"/>
    <w:rsid w:val="00B85C9F"/>
    <w:rsid w:val="00B862D1"/>
    <w:rsid w:val="00B87B0E"/>
    <w:rsid w:val="00B91F18"/>
    <w:rsid w:val="00B92CA4"/>
    <w:rsid w:val="00B94633"/>
    <w:rsid w:val="00B97651"/>
    <w:rsid w:val="00BA1317"/>
    <w:rsid w:val="00BA178E"/>
    <w:rsid w:val="00BA1E4A"/>
    <w:rsid w:val="00BA1EF4"/>
    <w:rsid w:val="00BA5D9F"/>
    <w:rsid w:val="00BB1F49"/>
    <w:rsid w:val="00BB35C1"/>
    <w:rsid w:val="00BB406A"/>
    <w:rsid w:val="00BB610A"/>
    <w:rsid w:val="00BC0FDB"/>
    <w:rsid w:val="00BC3581"/>
    <w:rsid w:val="00BC496D"/>
    <w:rsid w:val="00BC4D89"/>
    <w:rsid w:val="00BC6664"/>
    <w:rsid w:val="00BD1972"/>
    <w:rsid w:val="00BD42A7"/>
    <w:rsid w:val="00BD4D52"/>
    <w:rsid w:val="00BD5857"/>
    <w:rsid w:val="00BD5B56"/>
    <w:rsid w:val="00BD5DC2"/>
    <w:rsid w:val="00BE1959"/>
    <w:rsid w:val="00BE23AE"/>
    <w:rsid w:val="00BE71B8"/>
    <w:rsid w:val="00BE7771"/>
    <w:rsid w:val="00BE7CBA"/>
    <w:rsid w:val="00BF0088"/>
    <w:rsid w:val="00BF53CC"/>
    <w:rsid w:val="00C02265"/>
    <w:rsid w:val="00C02B16"/>
    <w:rsid w:val="00C03054"/>
    <w:rsid w:val="00C03E84"/>
    <w:rsid w:val="00C06CEC"/>
    <w:rsid w:val="00C10CC0"/>
    <w:rsid w:val="00C1512E"/>
    <w:rsid w:val="00C15ED2"/>
    <w:rsid w:val="00C16C29"/>
    <w:rsid w:val="00C20829"/>
    <w:rsid w:val="00C21FB8"/>
    <w:rsid w:val="00C30E53"/>
    <w:rsid w:val="00C319CB"/>
    <w:rsid w:val="00C3227A"/>
    <w:rsid w:val="00C33D30"/>
    <w:rsid w:val="00C369A8"/>
    <w:rsid w:val="00C37BB6"/>
    <w:rsid w:val="00C4033E"/>
    <w:rsid w:val="00C406A1"/>
    <w:rsid w:val="00C40B9D"/>
    <w:rsid w:val="00C43768"/>
    <w:rsid w:val="00C443E2"/>
    <w:rsid w:val="00C465F5"/>
    <w:rsid w:val="00C475AC"/>
    <w:rsid w:val="00C4761A"/>
    <w:rsid w:val="00C47B4B"/>
    <w:rsid w:val="00C5121A"/>
    <w:rsid w:val="00C52749"/>
    <w:rsid w:val="00C527A1"/>
    <w:rsid w:val="00C534B9"/>
    <w:rsid w:val="00C540A5"/>
    <w:rsid w:val="00C5475E"/>
    <w:rsid w:val="00C5707F"/>
    <w:rsid w:val="00C604DD"/>
    <w:rsid w:val="00C623A5"/>
    <w:rsid w:val="00C639A0"/>
    <w:rsid w:val="00C64A67"/>
    <w:rsid w:val="00C66DED"/>
    <w:rsid w:val="00C707CF"/>
    <w:rsid w:val="00C70EAE"/>
    <w:rsid w:val="00C7372C"/>
    <w:rsid w:val="00C73CDF"/>
    <w:rsid w:val="00C76E6F"/>
    <w:rsid w:val="00C77F3C"/>
    <w:rsid w:val="00C819F5"/>
    <w:rsid w:val="00C850AC"/>
    <w:rsid w:val="00C856CF"/>
    <w:rsid w:val="00C85C0F"/>
    <w:rsid w:val="00C870B1"/>
    <w:rsid w:val="00C87BBB"/>
    <w:rsid w:val="00C9078F"/>
    <w:rsid w:val="00C92026"/>
    <w:rsid w:val="00C94742"/>
    <w:rsid w:val="00C964DE"/>
    <w:rsid w:val="00C9726F"/>
    <w:rsid w:val="00CA0E24"/>
    <w:rsid w:val="00CA7ACD"/>
    <w:rsid w:val="00CB1CF4"/>
    <w:rsid w:val="00CB5E4F"/>
    <w:rsid w:val="00CB697F"/>
    <w:rsid w:val="00CB6A7F"/>
    <w:rsid w:val="00CC0383"/>
    <w:rsid w:val="00CC0DB2"/>
    <w:rsid w:val="00CC37A9"/>
    <w:rsid w:val="00CC3F3F"/>
    <w:rsid w:val="00CC617F"/>
    <w:rsid w:val="00CD0341"/>
    <w:rsid w:val="00CD244B"/>
    <w:rsid w:val="00CD3C68"/>
    <w:rsid w:val="00CD3EFF"/>
    <w:rsid w:val="00CD5CA3"/>
    <w:rsid w:val="00CD5D03"/>
    <w:rsid w:val="00CD5F8D"/>
    <w:rsid w:val="00CD6F1E"/>
    <w:rsid w:val="00CD7147"/>
    <w:rsid w:val="00CE0C97"/>
    <w:rsid w:val="00CE21D9"/>
    <w:rsid w:val="00CE2B14"/>
    <w:rsid w:val="00CE7517"/>
    <w:rsid w:val="00CF02DC"/>
    <w:rsid w:val="00CF0DE8"/>
    <w:rsid w:val="00CF11E3"/>
    <w:rsid w:val="00D033C4"/>
    <w:rsid w:val="00D03ED7"/>
    <w:rsid w:val="00D0412B"/>
    <w:rsid w:val="00D0457C"/>
    <w:rsid w:val="00D045FB"/>
    <w:rsid w:val="00D04B40"/>
    <w:rsid w:val="00D05C34"/>
    <w:rsid w:val="00D05E0F"/>
    <w:rsid w:val="00D05E62"/>
    <w:rsid w:val="00D10F51"/>
    <w:rsid w:val="00D12FCA"/>
    <w:rsid w:val="00D1514A"/>
    <w:rsid w:val="00D167F0"/>
    <w:rsid w:val="00D16EC3"/>
    <w:rsid w:val="00D21F74"/>
    <w:rsid w:val="00D22EB7"/>
    <w:rsid w:val="00D23DFD"/>
    <w:rsid w:val="00D27ABC"/>
    <w:rsid w:val="00D3119C"/>
    <w:rsid w:val="00D324EC"/>
    <w:rsid w:val="00D35AF0"/>
    <w:rsid w:val="00D35CD8"/>
    <w:rsid w:val="00D37901"/>
    <w:rsid w:val="00D41F95"/>
    <w:rsid w:val="00D43D3C"/>
    <w:rsid w:val="00D46182"/>
    <w:rsid w:val="00D47355"/>
    <w:rsid w:val="00D47E3C"/>
    <w:rsid w:val="00D5086B"/>
    <w:rsid w:val="00D50886"/>
    <w:rsid w:val="00D50C61"/>
    <w:rsid w:val="00D52C3D"/>
    <w:rsid w:val="00D575FD"/>
    <w:rsid w:val="00D626AA"/>
    <w:rsid w:val="00D645FB"/>
    <w:rsid w:val="00D66F2C"/>
    <w:rsid w:val="00D70977"/>
    <w:rsid w:val="00D71117"/>
    <w:rsid w:val="00D71330"/>
    <w:rsid w:val="00D726E9"/>
    <w:rsid w:val="00D81A05"/>
    <w:rsid w:val="00D81FEF"/>
    <w:rsid w:val="00D841D8"/>
    <w:rsid w:val="00D85C6D"/>
    <w:rsid w:val="00D87439"/>
    <w:rsid w:val="00D90221"/>
    <w:rsid w:val="00D9208C"/>
    <w:rsid w:val="00D93D85"/>
    <w:rsid w:val="00DA1B33"/>
    <w:rsid w:val="00DA3504"/>
    <w:rsid w:val="00DA49DB"/>
    <w:rsid w:val="00DA4A45"/>
    <w:rsid w:val="00DA4F93"/>
    <w:rsid w:val="00DA5873"/>
    <w:rsid w:val="00DA6144"/>
    <w:rsid w:val="00DB0B88"/>
    <w:rsid w:val="00DB1589"/>
    <w:rsid w:val="00DB7941"/>
    <w:rsid w:val="00DC0535"/>
    <w:rsid w:val="00DC1400"/>
    <w:rsid w:val="00DC1CEE"/>
    <w:rsid w:val="00DC28AA"/>
    <w:rsid w:val="00DC29D5"/>
    <w:rsid w:val="00DC5D0B"/>
    <w:rsid w:val="00DC7D9A"/>
    <w:rsid w:val="00DD1E93"/>
    <w:rsid w:val="00DD39E2"/>
    <w:rsid w:val="00DD50DB"/>
    <w:rsid w:val="00DD682A"/>
    <w:rsid w:val="00DD6E3F"/>
    <w:rsid w:val="00DD786B"/>
    <w:rsid w:val="00DE4599"/>
    <w:rsid w:val="00DE588B"/>
    <w:rsid w:val="00DE672B"/>
    <w:rsid w:val="00DE7081"/>
    <w:rsid w:val="00DF1423"/>
    <w:rsid w:val="00DF368A"/>
    <w:rsid w:val="00DF49D2"/>
    <w:rsid w:val="00DF4B0D"/>
    <w:rsid w:val="00DF4E3E"/>
    <w:rsid w:val="00DF61CA"/>
    <w:rsid w:val="00DF6E96"/>
    <w:rsid w:val="00DF7D72"/>
    <w:rsid w:val="00DF7DDF"/>
    <w:rsid w:val="00E0181E"/>
    <w:rsid w:val="00E030BF"/>
    <w:rsid w:val="00E03886"/>
    <w:rsid w:val="00E05777"/>
    <w:rsid w:val="00E05CEF"/>
    <w:rsid w:val="00E061B9"/>
    <w:rsid w:val="00E06ABA"/>
    <w:rsid w:val="00E1001F"/>
    <w:rsid w:val="00E124B1"/>
    <w:rsid w:val="00E13457"/>
    <w:rsid w:val="00E13F9E"/>
    <w:rsid w:val="00E1690B"/>
    <w:rsid w:val="00E1701B"/>
    <w:rsid w:val="00E17586"/>
    <w:rsid w:val="00E2453B"/>
    <w:rsid w:val="00E31473"/>
    <w:rsid w:val="00E3348A"/>
    <w:rsid w:val="00E357C0"/>
    <w:rsid w:val="00E36251"/>
    <w:rsid w:val="00E40F14"/>
    <w:rsid w:val="00E423EF"/>
    <w:rsid w:val="00E43D1A"/>
    <w:rsid w:val="00E4432F"/>
    <w:rsid w:val="00E45B00"/>
    <w:rsid w:val="00E45BB8"/>
    <w:rsid w:val="00E46784"/>
    <w:rsid w:val="00E46920"/>
    <w:rsid w:val="00E47511"/>
    <w:rsid w:val="00E5050A"/>
    <w:rsid w:val="00E5199F"/>
    <w:rsid w:val="00E52281"/>
    <w:rsid w:val="00E52310"/>
    <w:rsid w:val="00E5258D"/>
    <w:rsid w:val="00E53D5D"/>
    <w:rsid w:val="00E548A3"/>
    <w:rsid w:val="00E5505E"/>
    <w:rsid w:val="00E552E7"/>
    <w:rsid w:val="00E57DBD"/>
    <w:rsid w:val="00E57DFB"/>
    <w:rsid w:val="00E62043"/>
    <w:rsid w:val="00E62569"/>
    <w:rsid w:val="00E62D27"/>
    <w:rsid w:val="00E63437"/>
    <w:rsid w:val="00E64610"/>
    <w:rsid w:val="00E650A0"/>
    <w:rsid w:val="00E66A90"/>
    <w:rsid w:val="00E67CED"/>
    <w:rsid w:val="00E70253"/>
    <w:rsid w:val="00E70EB9"/>
    <w:rsid w:val="00E716F0"/>
    <w:rsid w:val="00E71F21"/>
    <w:rsid w:val="00E726B7"/>
    <w:rsid w:val="00E734C4"/>
    <w:rsid w:val="00E747AA"/>
    <w:rsid w:val="00E74C93"/>
    <w:rsid w:val="00E80BBB"/>
    <w:rsid w:val="00E81432"/>
    <w:rsid w:val="00E81D72"/>
    <w:rsid w:val="00E84DAE"/>
    <w:rsid w:val="00E870D4"/>
    <w:rsid w:val="00E872BF"/>
    <w:rsid w:val="00E90CAF"/>
    <w:rsid w:val="00E90E99"/>
    <w:rsid w:val="00E910CC"/>
    <w:rsid w:val="00E91990"/>
    <w:rsid w:val="00E920A2"/>
    <w:rsid w:val="00E92293"/>
    <w:rsid w:val="00E93708"/>
    <w:rsid w:val="00E979C8"/>
    <w:rsid w:val="00EA1550"/>
    <w:rsid w:val="00EA2B0D"/>
    <w:rsid w:val="00EA55A8"/>
    <w:rsid w:val="00EA6127"/>
    <w:rsid w:val="00EB63F5"/>
    <w:rsid w:val="00EC0FE7"/>
    <w:rsid w:val="00EC1FC1"/>
    <w:rsid w:val="00EC3281"/>
    <w:rsid w:val="00EC53FE"/>
    <w:rsid w:val="00EC6F05"/>
    <w:rsid w:val="00ED2D62"/>
    <w:rsid w:val="00ED3F8C"/>
    <w:rsid w:val="00ED450F"/>
    <w:rsid w:val="00ED4DEF"/>
    <w:rsid w:val="00EE0573"/>
    <w:rsid w:val="00EE0FDB"/>
    <w:rsid w:val="00EE21C2"/>
    <w:rsid w:val="00EF2804"/>
    <w:rsid w:val="00EF5A7D"/>
    <w:rsid w:val="00EF6C0F"/>
    <w:rsid w:val="00EF7EAA"/>
    <w:rsid w:val="00F02076"/>
    <w:rsid w:val="00F03515"/>
    <w:rsid w:val="00F05478"/>
    <w:rsid w:val="00F061A3"/>
    <w:rsid w:val="00F0621C"/>
    <w:rsid w:val="00F1092C"/>
    <w:rsid w:val="00F12DA8"/>
    <w:rsid w:val="00F13B55"/>
    <w:rsid w:val="00F144E1"/>
    <w:rsid w:val="00F162F0"/>
    <w:rsid w:val="00F25A13"/>
    <w:rsid w:val="00F2636C"/>
    <w:rsid w:val="00F27844"/>
    <w:rsid w:val="00F303B1"/>
    <w:rsid w:val="00F33EF6"/>
    <w:rsid w:val="00F3596E"/>
    <w:rsid w:val="00F35C68"/>
    <w:rsid w:val="00F3754C"/>
    <w:rsid w:val="00F40CD0"/>
    <w:rsid w:val="00F40EF9"/>
    <w:rsid w:val="00F43B47"/>
    <w:rsid w:val="00F45E89"/>
    <w:rsid w:val="00F4674F"/>
    <w:rsid w:val="00F479F2"/>
    <w:rsid w:val="00F50264"/>
    <w:rsid w:val="00F502EC"/>
    <w:rsid w:val="00F5134B"/>
    <w:rsid w:val="00F54D33"/>
    <w:rsid w:val="00F54F29"/>
    <w:rsid w:val="00F564D4"/>
    <w:rsid w:val="00F565C6"/>
    <w:rsid w:val="00F570F2"/>
    <w:rsid w:val="00F5764F"/>
    <w:rsid w:val="00F65983"/>
    <w:rsid w:val="00F70B4D"/>
    <w:rsid w:val="00F71103"/>
    <w:rsid w:val="00F71F97"/>
    <w:rsid w:val="00F76B22"/>
    <w:rsid w:val="00F7781C"/>
    <w:rsid w:val="00F80582"/>
    <w:rsid w:val="00F84D23"/>
    <w:rsid w:val="00F87851"/>
    <w:rsid w:val="00F87AB0"/>
    <w:rsid w:val="00F87BD4"/>
    <w:rsid w:val="00F9154C"/>
    <w:rsid w:val="00F91E50"/>
    <w:rsid w:val="00F97CE3"/>
    <w:rsid w:val="00FA0340"/>
    <w:rsid w:val="00FA2FA2"/>
    <w:rsid w:val="00FA6781"/>
    <w:rsid w:val="00FA6A60"/>
    <w:rsid w:val="00FB14B1"/>
    <w:rsid w:val="00FB5D24"/>
    <w:rsid w:val="00FB64C7"/>
    <w:rsid w:val="00FB6DC4"/>
    <w:rsid w:val="00FC034F"/>
    <w:rsid w:val="00FC21F8"/>
    <w:rsid w:val="00FC5349"/>
    <w:rsid w:val="00FC5578"/>
    <w:rsid w:val="00FC63AE"/>
    <w:rsid w:val="00FD119E"/>
    <w:rsid w:val="00FD23BE"/>
    <w:rsid w:val="00FD3147"/>
    <w:rsid w:val="00FD70DB"/>
    <w:rsid w:val="00FE056F"/>
    <w:rsid w:val="00FE1EB9"/>
    <w:rsid w:val="00FE342C"/>
    <w:rsid w:val="00FF03F6"/>
    <w:rsid w:val="00FF248A"/>
    <w:rsid w:val="00FF34FA"/>
    <w:rsid w:val="00FF37F6"/>
    <w:rsid w:val="00FF3AF0"/>
    <w:rsid w:val="00FF432B"/>
    <w:rsid w:val="00FF4D05"/>
    <w:rsid w:val="00FF6FDA"/>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71343"/>
  <w15:docId w15:val="{D91B2AA6-976F-4579-9F96-8D6BC274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link w:val="FooterChar"/>
    <w:uiPriority w:val="99"/>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 w:type="paragraph" w:customStyle="1" w:styleId="Default">
    <w:name w:val="Default"/>
    <w:rsid w:val="00630BB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85C0F"/>
    <w:rPr>
      <w:sz w:val="24"/>
      <w:szCs w:val="24"/>
    </w:rPr>
  </w:style>
  <w:style w:type="paragraph" w:styleId="NormalWeb">
    <w:name w:val="Normal (Web)"/>
    <w:basedOn w:val="Normal"/>
    <w:uiPriority w:val="99"/>
    <w:semiHidden/>
    <w:unhideWhenUsed/>
    <w:rsid w:val="00B222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4707">
      <w:bodyDiv w:val="1"/>
      <w:marLeft w:val="0"/>
      <w:marRight w:val="0"/>
      <w:marTop w:val="0"/>
      <w:marBottom w:val="0"/>
      <w:divBdr>
        <w:top w:val="none" w:sz="0" w:space="0" w:color="auto"/>
        <w:left w:val="none" w:sz="0" w:space="0" w:color="auto"/>
        <w:bottom w:val="none" w:sz="0" w:space="0" w:color="auto"/>
        <w:right w:val="none" w:sz="0" w:space="0" w:color="auto"/>
      </w:divBdr>
    </w:div>
    <w:div w:id="418405910">
      <w:bodyDiv w:val="1"/>
      <w:marLeft w:val="0"/>
      <w:marRight w:val="0"/>
      <w:marTop w:val="0"/>
      <w:marBottom w:val="0"/>
      <w:divBdr>
        <w:top w:val="none" w:sz="0" w:space="0" w:color="auto"/>
        <w:left w:val="none" w:sz="0" w:space="0" w:color="auto"/>
        <w:bottom w:val="none" w:sz="0" w:space="0" w:color="auto"/>
        <w:right w:val="none" w:sz="0" w:space="0" w:color="auto"/>
      </w:divBdr>
      <w:divsChild>
        <w:div w:id="976422362">
          <w:marLeft w:val="0"/>
          <w:marRight w:val="0"/>
          <w:marTop w:val="0"/>
          <w:marBottom w:val="0"/>
          <w:divBdr>
            <w:top w:val="none" w:sz="0" w:space="0" w:color="auto"/>
            <w:left w:val="none" w:sz="0" w:space="0" w:color="auto"/>
            <w:bottom w:val="none" w:sz="0" w:space="0" w:color="auto"/>
            <w:right w:val="none" w:sz="0" w:space="0" w:color="auto"/>
          </w:divBdr>
          <w:divsChild>
            <w:div w:id="1717657625">
              <w:marLeft w:val="0"/>
              <w:marRight w:val="0"/>
              <w:marTop w:val="0"/>
              <w:marBottom w:val="0"/>
              <w:divBdr>
                <w:top w:val="none" w:sz="0" w:space="0" w:color="auto"/>
                <w:left w:val="none" w:sz="0" w:space="0" w:color="auto"/>
                <w:bottom w:val="none" w:sz="0" w:space="0" w:color="auto"/>
                <w:right w:val="none" w:sz="0" w:space="0" w:color="auto"/>
              </w:divBdr>
              <w:divsChild>
                <w:div w:id="396248405">
                  <w:marLeft w:val="0"/>
                  <w:marRight w:val="0"/>
                  <w:marTop w:val="0"/>
                  <w:marBottom w:val="0"/>
                  <w:divBdr>
                    <w:top w:val="none" w:sz="0" w:space="0" w:color="auto"/>
                    <w:left w:val="none" w:sz="0" w:space="0" w:color="auto"/>
                    <w:bottom w:val="none" w:sz="0" w:space="0" w:color="auto"/>
                    <w:right w:val="none" w:sz="0" w:space="0" w:color="auto"/>
                  </w:divBdr>
                  <w:divsChild>
                    <w:div w:id="1109660454">
                      <w:marLeft w:val="0"/>
                      <w:marRight w:val="0"/>
                      <w:marTop w:val="0"/>
                      <w:marBottom w:val="0"/>
                      <w:divBdr>
                        <w:top w:val="none" w:sz="0" w:space="0" w:color="auto"/>
                        <w:left w:val="none" w:sz="0" w:space="0" w:color="auto"/>
                        <w:bottom w:val="none" w:sz="0" w:space="0" w:color="auto"/>
                        <w:right w:val="none" w:sz="0" w:space="0" w:color="auto"/>
                      </w:divBdr>
                      <w:divsChild>
                        <w:div w:id="1636717726">
                          <w:marLeft w:val="0"/>
                          <w:marRight w:val="0"/>
                          <w:marTop w:val="0"/>
                          <w:marBottom w:val="0"/>
                          <w:divBdr>
                            <w:top w:val="none" w:sz="0" w:space="0" w:color="auto"/>
                            <w:left w:val="none" w:sz="0" w:space="0" w:color="auto"/>
                            <w:bottom w:val="none" w:sz="0" w:space="0" w:color="auto"/>
                            <w:right w:val="none" w:sz="0" w:space="0" w:color="auto"/>
                          </w:divBdr>
                          <w:divsChild>
                            <w:div w:id="1341354441">
                              <w:marLeft w:val="0"/>
                              <w:marRight w:val="0"/>
                              <w:marTop w:val="0"/>
                              <w:marBottom w:val="0"/>
                              <w:divBdr>
                                <w:top w:val="none" w:sz="0" w:space="0" w:color="auto"/>
                                <w:left w:val="none" w:sz="0" w:space="0" w:color="auto"/>
                                <w:bottom w:val="none" w:sz="0" w:space="0" w:color="auto"/>
                                <w:right w:val="none" w:sz="0" w:space="0" w:color="auto"/>
                              </w:divBdr>
                              <w:divsChild>
                                <w:div w:id="2092576410">
                                  <w:marLeft w:val="0"/>
                                  <w:marRight w:val="0"/>
                                  <w:marTop w:val="0"/>
                                  <w:marBottom w:val="0"/>
                                  <w:divBdr>
                                    <w:top w:val="none" w:sz="0" w:space="0" w:color="auto"/>
                                    <w:left w:val="none" w:sz="0" w:space="0" w:color="auto"/>
                                    <w:bottom w:val="none" w:sz="0" w:space="0" w:color="auto"/>
                                    <w:right w:val="none" w:sz="0" w:space="0" w:color="auto"/>
                                  </w:divBdr>
                                  <w:divsChild>
                                    <w:div w:id="539973034">
                                      <w:marLeft w:val="0"/>
                                      <w:marRight w:val="0"/>
                                      <w:marTop w:val="0"/>
                                      <w:marBottom w:val="0"/>
                                      <w:divBdr>
                                        <w:top w:val="none" w:sz="0" w:space="0" w:color="auto"/>
                                        <w:left w:val="none" w:sz="0" w:space="0" w:color="auto"/>
                                        <w:bottom w:val="none" w:sz="0" w:space="0" w:color="auto"/>
                                        <w:right w:val="none" w:sz="0" w:space="0" w:color="auto"/>
                                      </w:divBdr>
                                      <w:divsChild>
                                        <w:div w:id="1296181395">
                                          <w:marLeft w:val="0"/>
                                          <w:marRight w:val="0"/>
                                          <w:marTop w:val="0"/>
                                          <w:marBottom w:val="0"/>
                                          <w:divBdr>
                                            <w:top w:val="none" w:sz="0" w:space="0" w:color="auto"/>
                                            <w:left w:val="none" w:sz="0" w:space="0" w:color="auto"/>
                                            <w:bottom w:val="none" w:sz="0" w:space="0" w:color="auto"/>
                                            <w:right w:val="none" w:sz="0" w:space="0" w:color="auto"/>
                                          </w:divBdr>
                                          <w:divsChild>
                                            <w:div w:id="1296838124">
                                              <w:marLeft w:val="0"/>
                                              <w:marRight w:val="0"/>
                                              <w:marTop w:val="0"/>
                                              <w:marBottom w:val="0"/>
                                              <w:divBdr>
                                                <w:top w:val="none" w:sz="0" w:space="0" w:color="auto"/>
                                                <w:left w:val="none" w:sz="0" w:space="0" w:color="auto"/>
                                                <w:bottom w:val="none" w:sz="0" w:space="0" w:color="auto"/>
                                                <w:right w:val="none" w:sz="0" w:space="0" w:color="auto"/>
                                              </w:divBdr>
                                              <w:divsChild>
                                                <w:div w:id="1456362073">
                                                  <w:marLeft w:val="0"/>
                                                  <w:marRight w:val="0"/>
                                                  <w:marTop w:val="0"/>
                                                  <w:marBottom w:val="0"/>
                                                  <w:divBdr>
                                                    <w:top w:val="none" w:sz="0" w:space="0" w:color="auto"/>
                                                    <w:left w:val="none" w:sz="0" w:space="0" w:color="auto"/>
                                                    <w:bottom w:val="none" w:sz="0" w:space="0" w:color="auto"/>
                                                    <w:right w:val="none" w:sz="0" w:space="0" w:color="auto"/>
                                                  </w:divBdr>
                                                  <w:divsChild>
                                                    <w:div w:id="2139257733">
                                                      <w:marLeft w:val="0"/>
                                                      <w:marRight w:val="0"/>
                                                      <w:marTop w:val="0"/>
                                                      <w:marBottom w:val="0"/>
                                                      <w:divBdr>
                                                        <w:top w:val="none" w:sz="0" w:space="0" w:color="auto"/>
                                                        <w:left w:val="none" w:sz="0" w:space="0" w:color="auto"/>
                                                        <w:bottom w:val="none" w:sz="0" w:space="0" w:color="auto"/>
                                                        <w:right w:val="none" w:sz="0" w:space="0" w:color="auto"/>
                                                      </w:divBdr>
                                                      <w:divsChild>
                                                        <w:div w:id="1872451593">
                                                          <w:marLeft w:val="0"/>
                                                          <w:marRight w:val="0"/>
                                                          <w:marTop w:val="0"/>
                                                          <w:marBottom w:val="0"/>
                                                          <w:divBdr>
                                                            <w:top w:val="none" w:sz="0" w:space="0" w:color="auto"/>
                                                            <w:left w:val="none" w:sz="0" w:space="0" w:color="auto"/>
                                                            <w:bottom w:val="none" w:sz="0" w:space="0" w:color="auto"/>
                                                            <w:right w:val="none" w:sz="0" w:space="0" w:color="auto"/>
                                                          </w:divBdr>
                                                          <w:divsChild>
                                                            <w:div w:id="435322672">
                                                              <w:marLeft w:val="0"/>
                                                              <w:marRight w:val="0"/>
                                                              <w:marTop w:val="0"/>
                                                              <w:marBottom w:val="0"/>
                                                              <w:divBdr>
                                                                <w:top w:val="none" w:sz="0" w:space="0" w:color="auto"/>
                                                                <w:left w:val="none" w:sz="0" w:space="0" w:color="auto"/>
                                                                <w:bottom w:val="none" w:sz="0" w:space="0" w:color="auto"/>
                                                                <w:right w:val="none" w:sz="0" w:space="0" w:color="auto"/>
                                                              </w:divBdr>
                                                              <w:divsChild>
                                                                <w:div w:id="161480868">
                                                                  <w:marLeft w:val="0"/>
                                                                  <w:marRight w:val="0"/>
                                                                  <w:marTop w:val="0"/>
                                                                  <w:marBottom w:val="0"/>
                                                                  <w:divBdr>
                                                                    <w:top w:val="none" w:sz="0" w:space="0" w:color="auto"/>
                                                                    <w:left w:val="none" w:sz="0" w:space="0" w:color="auto"/>
                                                                    <w:bottom w:val="none" w:sz="0" w:space="0" w:color="auto"/>
                                                                    <w:right w:val="none" w:sz="0" w:space="0" w:color="auto"/>
                                                                  </w:divBdr>
                                                                  <w:divsChild>
                                                                    <w:div w:id="1034503887">
                                                                      <w:marLeft w:val="0"/>
                                                                      <w:marRight w:val="0"/>
                                                                      <w:marTop w:val="0"/>
                                                                      <w:marBottom w:val="0"/>
                                                                      <w:divBdr>
                                                                        <w:top w:val="none" w:sz="0" w:space="0" w:color="auto"/>
                                                                        <w:left w:val="none" w:sz="0" w:space="0" w:color="auto"/>
                                                                        <w:bottom w:val="none" w:sz="0" w:space="0" w:color="auto"/>
                                                                        <w:right w:val="none" w:sz="0" w:space="0" w:color="auto"/>
                                                                      </w:divBdr>
                                                                      <w:divsChild>
                                                                        <w:div w:id="1814520954">
                                                                          <w:marLeft w:val="0"/>
                                                                          <w:marRight w:val="0"/>
                                                                          <w:marTop w:val="0"/>
                                                                          <w:marBottom w:val="0"/>
                                                                          <w:divBdr>
                                                                            <w:top w:val="none" w:sz="0" w:space="0" w:color="auto"/>
                                                                            <w:left w:val="none" w:sz="0" w:space="0" w:color="auto"/>
                                                                            <w:bottom w:val="none" w:sz="0" w:space="0" w:color="auto"/>
                                                                            <w:right w:val="none" w:sz="0" w:space="0" w:color="auto"/>
                                                                          </w:divBdr>
                                                                          <w:divsChild>
                                                                            <w:div w:id="182594015">
                                                                              <w:marLeft w:val="0"/>
                                                                              <w:marRight w:val="0"/>
                                                                              <w:marTop w:val="0"/>
                                                                              <w:marBottom w:val="0"/>
                                                                              <w:divBdr>
                                                                                <w:top w:val="none" w:sz="0" w:space="0" w:color="auto"/>
                                                                                <w:left w:val="none" w:sz="0" w:space="0" w:color="auto"/>
                                                                                <w:bottom w:val="none" w:sz="0" w:space="0" w:color="auto"/>
                                                                                <w:right w:val="none" w:sz="0" w:space="0" w:color="auto"/>
                                                                              </w:divBdr>
                                                                              <w:divsChild>
                                                                                <w:div w:id="1960643905">
                                                                                  <w:marLeft w:val="0"/>
                                                                                  <w:marRight w:val="0"/>
                                                                                  <w:marTop w:val="0"/>
                                                                                  <w:marBottom w:val="0"/>
                                                                                  <w:divBdr>
                                                                                    <w:top w:val="none" w:sz="0" w:space="0" w:color="auto"/>
                                                                                    <w:left w:val="none" w:sz="0" w:space="0" w:color="auto"/>
                                                                                    <w:bottom w:val="none" w:sz="0" w:space="0" w:color="auto"/>
                                                                                    <w:right w:val="none" w:sz="0" w:space="0" w:color="auto"/>
                                                                                  </w:divBdr>
                                                                                  <w:divsChild>
                                                                                    <w:div w:id="463161682">
                                                                                      <w:marLeft w:val="0"/>
                                                                                      <w:marRight w:val="0"/>
                                                                                      <w:marTop w:val="0"/>
                                                                                      <w:marBottom w:val="0"/>
                                                                                      <w:divBdr>
                                                                                        <w:top w:val="single" w:sz="6" w:space="0" w:color="A7B3BD"/>
                                                                                        <w:left w:val="none" w:sz="0" w:space="0" w:color="auto"/>
                                                                                        <w:bottom w:val="none" w:sz="0" w:space="0" w:color="auto"/>
                                                                                        <w:right w:val="none" w:sz="0" w:space="0" w:color="auto"/>
                                                                                      </w:divBdr>
                                                                                      <w:divsChild>
                                                                                        <w:div w:id="1513840772">
                                                                                          <w:marLeft w:val="0"/>
                                                                                          <w:marRight w:val="0"/>
                                                                                          <w:marTop w:val="0"/>
                                                                                          <w:marBottom w:val="0"/>
                                                                                          <w:divBdr>
                                                                                            <w:top w:val="none" w:sz="0" w:space="0" w:color="auto"/>
                                                                                            <w:left w:val="none" w:sz="0" w:space="0" w:color="auto"/>
                                                                                            <w:bottom w:val="none" w:sz="0" w:space="0" w:color="auto"/>
                                                                                            <w:right w:val="none" w:sz="0" w:space="0" w:color="auto"/>
                                                                                          </w:divBdr>
                                                                                        </w:div>
                                                                                        <w:div w:id="1407144890">
                                                                                          <w:marLeft w:val="0"/>
                                                                                          <w:marRight w:val="0"/>
                                                                                          <w:marTop w:val="0"/>
                                                                                          <w:marBottom w:val="0"/>
                                                                                          <w:divBdr>
                                                                                            <w:top w:val="none" w:sz="0" w:space="0" w:color="auto"/>
                                                                                            <w:left w:val="none" w:sz="0" w:space="0" w:color="auto"/>
                                                                                            <w:bottom w:val="none" w:sz="0" w:space="0" w:color="auto"/>
                                                                                            <w:right w:val="none" w:sz="0" w:space="0" w:color="auto"/>
                                                                                          </w:divBdr>
                                                                                        </w:div>
                                                                                        <w:div w:id="500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549067">
      <w:bodyDiv w:val="1"/>
      <w:marLeft w:val="0"/>
      <w:marRight w:val="0"/>
      <w:marTop w:val="0"/>
      <w:marBottom w:val="0"/>
      <w:divBdr>
        <w:top w:val="none" w:sz="0" w:space="0" w:color="auto"/>
        <w:left w:val="none" w:sz="0" w:space="0" w:color="auto"/>
        <w:bottom w:val="none" w:sz="0" w:space="0" w:color="auto"/>
        <w:right w:val="none" w:sz="0" w:space="0" w:color="auto"/>
      </w:divBdr>
      <w:divsChild>
        <w:div w:id="181558086">
          <w:marLeft w:val="0"/>
          <w:marRight w:val="0"/>
          <w:marTop w:val="0"/>
          <w:marBottom w:val="0"/>
          <w:divBdr>
            <w:top w:val="none" w:sz="0" w:space="0" w:color="auto"/>
            <w:left w:val="none" w:sz="0" w:space="0" w:color="auto"/>
            <w:bottom w:val="none" w:sz="0" w:space="0" w:color="auto"/>
            <w:right w:val="none" w:sz="0" w:space="0" w:color="auto"/>
          </w:divBdr>
          <w:divsChild>
            <w:div w:id="425924660">
              <w:marLeft w:val="0"/>
              <w:marRight w:val="0"/>
              <w:marTop w:val="0"/>
              <w:marBottom w:val="0"/>
              <w:divBdr>
                <w:top w:val="none" w:sz="0" w:space="0" w:color="auto"/>
                <w:left w:val="none" w:sz="0" w:space="0" w:color="auto"/>
                <w:bottom w:val="none" w:sz="0" w:space="0" w:color="auto"/>
                <w:right w:val="none" w:sz="0" w:space="0" w:color="auto"/>
              </w:divBdr>
              <w:divsChild>
                <w:div w:id="298077764">
                  <w:marLeft w:val="0"/>
                  <w:marRight w:val="0"/>
                  <w:marTop w:val="0"/>
                  <w:marBottom w:val="0"/>
                  <w:divBdr>
                    <w:top w:val="none" w:sz="0" w:space="0" w:color="auto"/>
                    <w:left w:val="none" w:sz="0" w:space="0" w:color="auto"/>
                    <w:bottom w:val="none" w:sz="0" w:space="0" w:color="auto"/>
                    <w:right w:val="none" w:sz="0" w:space="0" w:color="auto"/>
                  </w:divBdr>
                  <w:divsChild>
                    <w:div w:id="391269645">
                      <w:marLeft w:val="0"/>
                      <w:marRight w:val="0"/>
                      <w:marTop w:val="0"/>
                      <w:marBottom w:val="0"/>
                      <w:divBdr>
                        <w:top w:val="none" w:sz="0" w:space="0" w:color="auto"/>
                        <w:left w:val="none" w:sz="0" w:space="0" w:color="auto"/>
                        <w:bottom w:val="none" w:sz="0" w:space="0" w:color="auto"/>
                        <w:right w:val="none" w:sz="0" w:space="0" w:color="auto"/>
                      </w:divBdr>
                      <w:divsChild>
                        <w:div w:id="695927602">
                          <w:marLeft w:val="0"/>
                          <w:marRight w:val="0"/>
                          <w:marTop w:val="0"/>
                          <w:marBottom w:val="0"/>
                          <w:divBdr>
                            <w:top w:val="none" w:sz="0" w:space="0" w:color="auto"/>
                            <w:left w:val="none" w:sz="0" w:space="0" w:color="auto"/>
                            <w:bottom w:val="none" w:sz="0" w:space="0" w:color="auto"/>
                            <w:right w:val="none" w:sz="0" w:space="0" w:color="auto"/>
                          </w:divBdr>
                          <w:divsChild>
                            <w:div w:id="546064580">
                              <w:marLeft w:val="0"/>
                              <w:marRight w:val="0"/>
                              <w:marTop w:val="0"/>
                              <w:marBottom w:val="0"/>
                              <w:divBdr>
                                <w:top w:val="none" w:sz="0" w:space="0" w:color="auto"/>
                                <w:left w:val="none" w:sz="0" w:space="0" w:color="auto"/>
                                <w:bottom w:val="none" w:sz="0" w:space="0" w:color="auto"/>
                                <w:right w:val="none" w:sz="0" w:space="0" w:color="auto"/>
                              </w:divBdr>
                              <w:divsChild>
                                <w:div w:id="633019968">
                                  <w:marLeft w:val="0"/>
                                  <w:marRight w:val="0"/>
                                  <w:marTop w:val="0"/>
                                  <w:marBottom w:val="0"/>
                                  <w:divBdr>
                                    <w:top w:val="none" w:sz="0" w:space="0" w:color="auto"/>
                                    <w:left w:val="none" w:sz="0" w:space="0" w:color="auto"/>
                                    <w:bottom w:val="none" w:sz="0" w:space="0" w:color="auto"/>
                                    <w:right w:val="none" w:sz="0" w:space="0" w:color="auto"/>
                                  </w:divBdr>
                                  <w:divsChild>
                                    <w:div w:id="1534805238">
                                      <w:marLeft w:val="0"/>
                                      <w:marRight w:val="0"/>
                                      <w:marTop w:val="0"/>
                                      <w:marBottom w:val="0"/>
                                      <w:divBdr>
                                        <w:top w:val="none" w:sz="0" w:space="0" w:color="auto"/>
                                        <w:left w:val="none" w:sz="0" w:space="0" w:color="auto"/>
                                        <w:bottom w:val="none" w:sz="0" w:space="0" w:color="auto"/>
                                        <w:right w:val="none" w:sz="0" w:space="0" w:color="auto"/>
                                      </w:divBdr>
                                      <w:divsChild>
                                        <w:div w:id="1899048101">
                                          <w:marLeft w:val="0"/>
                                          <w:marRight w:val="0"/>
                                          <w:marTop w:val="0"/>
                                          <w:marBottom w:val="0"/>
                                          <w:divBdr>
                                            <w:top w:val="none" w:sz="0" w:space="0" w:color="auto"/>
                                            <w:left w:val="none" w:sz="0" w:space="0" w:color="auto"/>
                                            <w:bottom w:val="none" w:sz="0" w:space="0" w:color="auto"/>
                                            <w:right w:val="none" w:sz="0" w:space="0" w:color="auto"/>
                                          </w:divBdr>
                                          <w:divsChild>
                                            <w:div w:id="1457795919">
                                              <w:marLeft w:val="0"/>
                                              <w:marRight w:val="0"/>
                                              <w:marTop w:val="0"/>
                                              <w:marBottom w:val="0"/>
                                              <w:divBdr>
                                                <w:top w:val="none" w:sz="0" w:space="0" w:color="auto"/>
                                                <w:left w:val="none" w:sz="0" w:space="0" w:color="auto"/>
                                                <w:bottom w:val="none" w:sz="0" w:space="0" w:color="auto"/>
                                                <w:right w:val="none" w:sz="0" w:space="0" w:color="auto"/>
                                              </w:divBdr>
                                              <w:divsChild>
                                                <w:div w:id="1246769384">
                                                  <w:marLeft w:val="0"/>
                                                  <w:marRight w:val="0"/>
                                                  <w:marTop w:val="0"/>
                                                  <w:marBottom w:val="0"/>
                                                  <w:divBdr>
                                                    <w:top w:val="none" w:sz="0" w:space="0" w:color="auto"/>
                                                    <w:left w:val="none" w:sz="0" w:space="0" w:color="auto"/>
                                                    <w:bottom w:val="none" w:sz="0" w:space="0" w:color="auto"/>
                                                    <w:right w:val="none" w:sz="0" w:space="0" w:color="auto"/>
                                                  </w:divBdr>
                                                  <w:divsChild>
                                                    <w:div w:id="655494040">
                                                      <w:marLeft w:val="0"/>
                                                      <w:marRight w:val="0"/>
                                                      <w:marTop w:val="0"/>
                                                      <w:marBottom w:val="0"/>
                                                      <w:divBdr>
                                                        <w:top w:val="none" w:sz="0" w:space="0" w:color="auto"/>
                                                        <w:left w:val="none" w:sz="0" w:space="0" w:color="auto"/>
                                                        <w:bottom w:val="none" w:sz="0" w:space="0" w:color="auto"/>
                                                        <w:right w:val="none" w:sz="0" w:space="0" w:color="auto"/>
                                                      </w:divBdr>
                                                      <w:divsChild>
                                                        <w:div w:id="236404137">
                                                          <w:marLeft w:val="0"/>
                                                          <w:marRight w:val="0"/>
                                                          <w:marTop w:val="0"/>
                                                          <w:marBottom w:val="0"/>
                                                          <w:divBdr>
                                                            <w:top w:val="none" w:sz="0" w:space="0" w:color="auto"/>
                                                            <w:left w:val="none" w:sz="0" w:space="0" w:color="auto"/>
                                                            <w:bottom w:val="none" w:sz="0" w:space="0" w:color="auto"/>
                                                            <w:right w:val="none" w:sz="0" w:space="0" w:color="auto"/>
                                                          </w:divBdr>
                                                          <w:divsChild>
                                                            <w:div w:id="734624040">
                                                              <w:marLeft w:val="0"/>
                                                              <w:marRight w:val="0"/>
                                                              <w:marTop w:val="0"/>
                                                              <w:marBottom w:val="0"/>
                                                              <w:divBdr>
                                                                <w:top w:val="none" w:sz="0" w:space="0" w:color="auto"/>
                                                                <w:left w:val="none" w:sz="0" w:space="0" w:color="auto"/>
                                                                <w:bottom w:val="none" w:sz="0" w:space="0" w:color="auto"/>
                                                                <w:right w:val="none" w:sz="0" w:space="0" w:color="auto"/>
                                                              </w:divBdr>
                                                              <w:divsChild>
                                                                <w:div w:id="1961572624">
                                                                  <w:marLeft w:val="0"/>
                                                                  <w:marRight w:val="0"/>
                                                                  <w:marTop w:val="0"/>
                                                                  <w:marBottom w:val="0"/>
                                                                  <w:divBdr>
                                                                    <w:top w:val="none" w:sz="0" w:space="0" w:color="auto"/>
                                                                    <w:left w:val="none" w:sz="0" w:space="0" w:color="auto"/>
                                                                    <w:bottom w:val="none" w:sz="0" w:space="0" w:color="auto"/>
                                                                    <w:right w:val="none" w:sz="0" w:space="0" w:color="auto"/>
                                                                  </w:divBdr>
                                                                  <w:divsChild>
                                                                    <w:div w:id="995643631">
                                                                      <w:marLeft w:val="0"/>
                                                                      <w:marRight w:val="0"/>
                                                                      <w:marTop w:val="0"/>
                                                                      <w:marBottom w:val="0"/>
                                                                      <w:divBdr>
                                                                        <w:top w:val="none" w:sz="0" w:space="0" w:color="auto"/>
                                                                        <w:left w:val="none" w:sz="0" w:space="0" w:color="auto"/>
                                                                        <w:bottom w:val="none" w:sz="0" w:space="0" w:color="auto"/>
                                                                        <w:right w:val="none" w:sz="0" w:space="0" w:color="auto"/>
                                                                      </w:divBdr>
                                                                      <w:divsChild>
                                                                        <w:div w:id="876771431">
                                                                          <w:marLeft w:val="0"/>
                                                                          <w:marRight w:val="0"/>
                                                                          <w:marTop w:val="0"/>
                                                                          <w:marBottom w:val="0"/>
                                                                          <w:divBdr>
                                                                            <w:top w:val="none" w:sz="0" w:space="0" w:color="auto"/>
                                                                            <w:left w:val="none" w:sz="0" w:space="0" w:color="auto"/>
                                                                            <w:bottom w:val="none" w:sz="0" w:space="0" w:color="auto"/>
                                                                            <w:right w:val="none" w:sz="0" w:space="0" w:color="auto"/>
                                                                          </w:divBdr>
                                                                          <w:divsChild>
                                                                            <w:div w:id="363554568">
                                                                              <w:marLeft w:val="0"/>
                                                                              <w:marRight w:val="0"/>
                                                                              <w:marTop w:val="0"/>
                                                                              <w:marBottom w:val="0"/>
                                                                              <w:divBdr>
                                                                                <w:top w:val="none" w:sz="0" w:space="0" w:color="auto"/>
                                                                                <w:left w:val="none" w:sz="0" w:space="0" w:color="auto"/>
                                                                                <w:bottom w:val="none" w:sz="0" w:space="0" w:color="auto"/>
                                                                                <w:right w:val="none" w:sz="0" w:space="0" w:color="auto"/>
                                                                              </w:divBdr>
                                                                              <w:divsChild>
                                                                                <w:div w:id="97601428">
                                                                                  <w:marLeft w:val="0"/>
                                                                                  <w:marRight w:val="0"/>
                                                                                  <w:marTop w:val="0"/>
                                                                                  <w:marBottom w:val="0"/>
                                                                                  <w:divBdr>
                                                                                    <w:top w:val="none" w:sz="0" w:space="0" w:color="auto"/>
                                                                                    <w:left w:val="none" w:sz="0" w:space="0" w:color="auto"/>
                                                                                    <w:bottom w:val="none" w:sz="0" w:space="0" w:color="auto"/>
                                                                                    <w:right w:val="none" w:sz="0" w:space="0" w:color="auto"/>
                                                                                  </w:divBdr>
                                                                                  <w:divsChild>
                                                                                    <w:div w:id="1427536855">
                                                                                      <w:marLeft w:val="0"/>
                                                                                      <w:marRight w:val="0"/>
                                                                                      <w:marTop w:val="0"/>
                                                                                      <w:marBottom w:val="0"/>
                                                                                      <w:divBdr>
                                                                                        <w:top w:val="single" w:sz="6" w:space="0" w:color="A7B3BD"/>
                                                                                        <w:left w:val="none" w:sz="0" w:space="0" w:color="auto"/>
                                                                                        <w:bottom w:val="none" w:sz="0" w:space="0" w:color="auto"/>
                                                                                        <w:right w:val="none" w:sz="0" w:space="0" w:color="auto"/>
                                                                                      </w:divBdr>
                                                                                      <w:divsChild>
                                                                                        <w:div w:id="1849707985">
                                                                                          <w:marLeft w:val="0"/>
                                                                                          <w:marRight w:val="0"/>
                                                                                          <w:marTop w:val="0"/>
                                                                                          <w:marBottom w:val="0"/>
                                                                                          <w:divBdr>
                                                                                            <w:top w:val="none" w:sz="0" w:space="0" w:color="auto"/>
                                                                                            <w:left w:val="none" w:sz="0" w:space="0" w:color="auto"/>
                                                                                            <w:bottom w:val="none" w:sz="0" w:space="0" w:color="auto"/>
                                                                                            <w:right w:val="none" w:sz="0" w:space="0" w:color="auto"/>
                                                                                          </w:divBdr>
                                                                                        </w:div>
                                                                                        <w:div w:id="1838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832689">
      <w:bodyDiv w:val="1"/>
      <w:marLeft w:val="0"/>
      <w:marRight w:val="0"/>
      <w:marTop w:val="0"/>
      <w:marBottom w:val="0"/>
      <w:divBdr>
        <w:top w:val="none" w:sz="0" w:space="0" w:color="auto"/>
        <w:left w:val="none" w:sz="0" w:space="0" w:color="auto"/>
        <w:bottom w:val="none" w:sz="0" w:space="0" w:color="auto"/>
        <w:right w:val="none" w:sz="0" w:space="0" w:color="auto"/>
      </w:divBdr>
    </w:div>
    <w:div w:id="1184247538">
      <w:bodyDiv w:val="1"/>
      <w:marLeft w:val="0"/>
      <w:marRight w:val="0"/>
      <w:marTop w:val="0"/>
      <w:marBottom w:val="0"/>
      <w:divBdr>
        <w:top w:val="none" w:sz="0" w:space="0" w:color="auto"/>
        <w:left w:val="none" w:sz="0" w:space="0" w:color="auto"/>
        <w:bottom w:val="none" w:sz="0" w:space="0" w:color="auto"/>
        <w:right w:val="none" w:sz="0" w:space="0" w:color="auto"/>
      </w:divBdr>
      <w:divsChild>
        <w:div w:id="1782261381">
          <w:marLeft w:val="547"/>
          <w:marRight w:val="0"/>
          <w:marTop w:val="134"/>
          <w:marBottom w:val="0"/>
          <w:divBdr>
            <w:top w:val="none" w:sz="0" w:space="0" w:color="auto"/>
            <w:left w:val="none" w:sz="0" w:space="0" w:color="auto"/>
            <w:bottom w:val="none" w:sz="0" w:space="0" w:color="auto"/>
            <w:right w:val="none" w:sz="0" w:space="0" w:color="auto"/>
          </w:divBdr>
        </w:div>
        <w:div w:id="43679502">
          <w:marLeft w:val="1166"/>
          <w:marRight w:val="0"/>
          <w:marTop w:val="115"/>
          <w:marBottom w:val="0"/>
          <w:divBdr>
            <w:top w:val="none" w:sz="0" w:space="0" w:color="auto"/>
            <w:left w:val="none" w:sz="0" w:space="0" w:color="auto"/>
            <w:bottom w:val="none" w:sz="0" w:space="0" w:color="auto"/>
            <w:right w:val="none" w:sz="0" w:space="0" w:color="auto"/>
          </w:divBdr>
        </w:div>
        <w:div w:id="1075936534">
          <w:marLeft w:val="1166"/>
          <w:marRight w:val="0"/>
          <w:marTop w:val="115"/>
          <w:marBottom w:val="0"/>
          <w:divBdr>
            <w:top w:val="none" w:sz="0" w:space="0" w:color="auto"/>
            <w:left w:val="none" w:sz="0" w:space="0" w:color="auto"/>
            <w:bottom w:val="none" w:sz="0" w:space="0" w:color="auto"/>
            <w:right w:val="none" w:sz="0" w:space="0" w:color="auto"/>
          </w:divBdr>
        </w:div>
        <w:div w:id="1530752386">
          <w:marLeft w:val="1166"/>
          <w:marRight w:val="0"/>
          <w:marTop w:val="115"/>
          <w:marBottom w:val="0"/>
          <w:divBdr>
            <w:top w:val="none" w:sz="0" w:space="0" w:color="auto"/>
            <w:left w:val="none" w:sz="0" w:space="0" w:color="auto"/>
            <w:bottom w:val="none" w:sz="0" w:space="0" w:color="auto"/>
            <w:right w:val="none" w:sz="0" w:space="0" w:color="auto"/>
          </w:divBdr>
        </w:div>
        <w:div w:id="1164081409">
          <w:marLeft w:val="1166"/>
          <w:marRight w:val="0"/>
          <w:marTop w:val="115"/>
          <w:marBottom w:val="0"/>
          <w:divBdr>
            <w:top w:val="none" w:sz="0" w:space="0" w:color="auto"/>
            <w:left w:val="none" w:sz="0" w:space="0" w:color="auto"/>
            <w:bottom w:val="none" w:sz="0" w:space="0" w:color="auto"/>
            <w:right w:val="none" w:sz="0" w:space="0" w:color="auto"/>
          </w:divBdr>
        </w:div>
      </w:divsChild>
    </w:div>
    <w:div w:id="1349723038">
      <w:bodyDiv w:val="1"/>
      <w:marLeft w:val="0"/>
      <w:marRight w:val="0"/>
      <w:marTop w:val="0"/>
      <w:marBottom w:val="0"/>
      <w:divBdr>
        <w:top w:val="none" w:sz="0" w:space="0" w:color="auto"/>
        <w:left w:val="none" w:sz="0" w:space="0" w:color="auto"/>
        <w:bottom w:val="none" w:sz="0" w:space="0" w:color="auto"/>
        <w:right w:val="none" w:sz="0" w:space="0" w:color="auto"/>
      </w:divBdr>
      <w:divsChild>
        <w:div w:id="590747408">
          <w:marLeft w:val="0"/>
          <w:marRight w:val="0"/>
          <w:marTop w:val="0"/>
          <w:marBottom w:val="0"/>
          <w:divBdr>
            <w:top w:val="none" w:sz="0" w:space="0" w:color="auto"/>
            <w:left w:val="none" w:sz="0" w:space="0" w:color="auto"/>
            <w:bottom w:val="none" w:sz="0" w:space="0" w:color="auto"/>
            <w:right w:val="none" w:sz="0" w:space="0" w:color="auto"/>
          </w:divBdr>
          <w:divsChild>
            <w:div w:id="856696609">
              <w:marLeft w:val="0"/>
              <w:marRight w:val="0"/>
              <w:marTop w:val="0"/>
              <w:marBottom w:val="0"/>
              <w:divBdr>
                <w:top w:val="none" w:sz="0" w:space="0" w:color="auto"/>
                <w:left w:val="none" w:sz="0" w:space="0" w:color="auto"/>
                <w:bottom w:val="none" w:sz="0" w:space="0" w:color="auto"/>
                <w:right w:val="none" w:sz="0" w:space="0" w:color="auto"/>
              </w:divBdr>
              <w:divsChild>
                <w:div w:id="1046561718">
                  <w:marLeft w:val="0"/>
                  <w:marRight w:val="0"/>
                  <w:marTop w:val="0"/>
                  <w:marBottom w:val="0"/>
                  <w:divBdr>
                    <w:top w:val="none" w:sz="0" w:space="0" w:color="auto"/>
                    <w:left w:val="none" w:sz="0" w:space="0" w:color="auto"/>
                    <w:bottom w:val="none" w:sz="0" w:space="0" w:color="auto"/>
                    <w:right w:val="none" w:sz="0" w:space="0" w:color="auto"/>
                  </w:divBdr>
                  <w:divsChild>
                    <w:div w:id="961036754">
                      <w:marLeft w:val="0"/>
                      <w:marRight w:val="0"/>
                      <w:marTop w:val="0"/>
                      <w:marBottom w:val="0"/>
                      <w:divBdr>
                        <w:top w:val="none" w:sz="0" w:space="0" w:color="auto"/>
                        <w:left w:val="none" w:sz="0" w:space="0" w:color="auto"/>
                        <w:bottom w:val="none" w:sz="0" w:space="0" w:color="auto"/>
                        <w:right w:val="none" w:sz="0" w:space="0" w:color="auto"/>
                      </w:divBdr>
                      <w:divsChild>
                        <w:div w:id="710105829">
                          <w:marLeft w:val="0"/>
                          <w:marRight w:val="0"/>
                          <w:marTop w:val="0"/>
                          <w:marBottom w:val="0"/>
                          <w:divBdr>
                            <w:top w:val="none" w:sz="0" w:space="0" w:color="auto"/>
                            <w:left w:val="none" w:sz="0" w:space="0" w:color="auto"/>
                            <w:bottom w:val="none" w:sz="0" w:space="0" w:color="auto"/>
                            <w:right w:val="none" w:sz="0" w:space="0" w:color="auto"/>
                          </w:divBdr>
                          <w:divsChild>
                            <w:div w:id="1127891100">
                              <w:marLeft w:val="0"/>
                              <w:marRight w:val="0"/>
                              <w:marTop w:val="0"/>
                              <w:marBottom w:val="0"/>
                              <w:divBdr>
                                <w:top w:val="none" w:sz="0" w:space="0" w:color="auto"/>
                                <w:left w:val="none" w:sz="0" w:space="0" w:color="auto"/>
                                <w:bottom w:val="none" w:sz="0" w:space="0" w:color="auto"/>
                                <w:right w:val="none" w:sz="0" w:space="0" w:color="auto"/>
                              </w:divBdr>
                              <w:divsChild>
                                <w:div w:id="858814824">
                                  <w:marLeft w:val="0"/>
                                  <w:marRight w:val="0"/>
                                  <w:marTop w:val="0"/>
                                  <w:marBottom w:val="0"/>
                                  <w:divBdr>
                                    <w:top w:val="none" w:sz="0" w:space="0" w:color="auto"/>
                                    <w:left w:val="none" w:sz="0" w:space="0" w:color="auto"/>
                                    <w:bottom w:val="none" w:sz="0" w:space="0" w:color="auto"/>
                                    <w:right w:val="single" w:sz="6" w:space="0" w:color="E5E3E3"/>
                                  </w:divBdr>
                                </w:div>
                              </w:divsChild>
                            </w:div>
                          </w:divsChild>
                        </w:div>
                      </w:divsChild>
                    </w:div>
                  </w:divsChild>
                </w:div>
              </w:divsChild>
            </w:div>
          </w:divsChild>
        </w:div>
      </w:divsChild>
    </w:div>
    <w:div w:id="1484810536">
      <w:bodyDiv w:val="1"/>
      <w:marLeft w:val="0"/>
      <w:marRight w:val="0"/>
      <w:marTop w:val="0"/>
      <w:marBottom w:val="0"/>
      <w:divBdr>
        <w:top w:val="none" w:sz="0" w:space="0" w:color="auto"/>
        <w:left w:val="none" w:sz="0" w:space="0" w:color="auto"/>
        <w:bottom w:val="none" w:sz="0" w:space="0" w:color="auto"/>
        <w:right w:val="none" w:sz="0" w:space="0" w:color="auto"/>
      </w:divBdr>
    </w:div>
    <w:div w:id="18805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programs-surveys/ah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ma.gov/plan-prepare-mitig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sus.gov/prod/2012pubs/p60-242.pdf" TargetMode="External"/><Relationship Id="rId4" Type="http://schemas.openxmlformats.org/officeDocument/2006/relationships/settings" Target="settings.xml"/><Relationship Id="rId9" Type="http://schemas.openxmlformats.org/officeDocument/2006/relationships/hyperlink" Target="http://www.fema.gov/plan-prepare-mitig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B72E-86CA-414E-931B-8E4C62F4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5858</Words>
  <Characters>33084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38865</CharactersWithSpaces>
  <SharedDoc>false</SharedDoc>
  <HLinks>
    <vt:vector size="6" baseType="variant">
      <vt:variant>
        <vt:i4>2228343</vt:i4>
      </vt:variant>
      <vt:variant>
        <vt:i4>2</vt:i4>
      </vt:variant>
      <vt:variant>
        <vt:i4>0</vt:i4>
      </vt:variant>
      <vt:variant>
        <vt:i4>5</vt:i4>
      </vt:variant>
      <vt:variant>
        <vt:lpwstr>http://www.census.gov/hhes/www/housing/ahs/bib.html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Bureau of the Census</dc:creator>
  <cp:lastModifiedBy>Guido, Anna P</cp:lastModifiedBy>
  <cp:revision>2</cp:revision>
  <cp:lastPrinted>2017-03-08T14:30:00Z</cp:lastPrinted>
  <dcterms:created xsi:type="dcterms:W3CDTF">2017-03-09T14:11:00Z</dcterms:created>
  <dcterms:modified xsi:type="dcterms:W3CDTF">2017-03-09T14:11:00Z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