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463" w:rsidRPr="00E70463" w:rsidRDefault="00E70463" w:rsidP="00E70463">
      <w:pPr>
        <w:spacing w:after="0" w:line="240" w:lineRule="auto"/>
        <w:jc w:val="center"/>
        <w:rPr>
          <w:b/>
        </w:rPr>
      </w:pPr>
      <w:r w:rsidRPr="00E70463">
        <w:rPr>
          <w:b/>
        </w:rPr>
        <w:t>JUSTIFICATION FOR NONMATERIAL/NONSUBSTANTIVE CHANGE</w:t>
      </w:r>
    </w:p>
    <w:p w:rsidR="00E70463" w:rsidRDefault="00E70463" w:rsidP="00E70463">
      <w:pPr>
        <w:spacing w:after="0" w:line="240" w:lineRule="auto"/>
        <w:jc w:val="center"/>
        <w:rPr>
          <w:b/>
        </w:rPr>
      </w:pPr>
      <w:r w:rsidRPr="00E70463">
        <w:rPr>
          <w:b/>
        </w:rPr>
        <w:t xml:space="preserve">Response to Office Action and Voluntary Amendment Forms </w:t>
      </w:r>
    </w:p>
    <w:p w:rsidR="00E70463" w:rsidRPr="00E70463" w:rsidRDefault="00E70463" w:rsidP="00E70463">
      <w:pPr>
        <w:spacing w:after="0" w:line="240" w:lineRule="auto"/>
        <w:jc w:val="center"/>
      </w:pPr>
      <w:r>
        <w:rPr>
          <w:b/>
        </w:rPr>
        <w:t>OMB Control Number 0651-0050</w:t>
      </w:r>
    </w:p>
    <w:p w:rsidR="00E70463" w:rsidRPr="00E70463" w:rsidRDefault="00E70463" w:rsidP="00E70463">
      <w:pPr>
        <w:spacing w:after="0" w:line="240" w:lineRule="auto"/>
      </w:pPr>
    </w:p>
    <w:p w:rsidR="00E70463" w:rsidRPr="00E70463" w:rsidRDefault="00E70463" w:rsidP="00E70463">
      <w:pPr>
        <w:spacing w:after="0" w:line="240" w:lineRule="auto"/>
      </w:pPr>
      <w:r w:rsidRPr="00E70463">
        <w:rPr>
          <w:u w:val="single"/>
        </w:rPr>
        <w:t xml:space="preserve">Background </w:t>
      </w:r>
    </w:p>
    <w:p w:rsidR="00E70463" w:rsidRPr="00E70463" w:rsidRDefault="00E70463" w:rsidP="00E70463">
      <w:pPr>
        <w:spacing w:after="0" w:line="240" w:lineRule="auto"/>
      </w:pPr>
    </w:p>
    <w:p w:rsidR="00E70463" w:rsidRDefault="00E70463" w:rsidP="00E70463">
      <w:pPr>
        <w:spacing w:after="0" w:line="240" w:lineRule="auto"/>
      </w:pPr>
      <w:r w:rsidRPr="00E70463">
        <w:t>This collection of information is required by the Trademark Act, 15 U.S.C. § 1051 et seq., which provides for the Federal registration of trademarks, service marks, collective trademarks and service marks, collective membership marks, and certification marks.  Individuals and businesses that use such marks, or intend to use such marks, in interstate commerce may file an application to register their marks with the United States Patent and Trademark Office (USPTO).  In some cases, the USPTO issues Office Actions to applicants who have applied for a trademark application, requesting additional information that was not provided with the initial submission but is required before the issuance of a registration.  Also, the USPTO may determine that the mark is not entitled to registration, pursuant to one or more provisions of the Act.  In such cases, the USPTO may issue Office Actions advising applicants of the refusal to register the mark.  Applicants reply to these Office Actions by providing the required information and/or by putting forth legal arguments as to why the refusal of registration should be withdrawn.</w:t>
      </w:r>
    </w:p>
    <w:p w:rsidR="00E70463" w:rsidRPr="00E70463" w:rsidRDefault="00E70463" w:rsidP="00E70463">
      <w:pPr>
        <w:spacing w:after="0" w:line="240" w:lineRule="auto"/>
      </w:pPr>
    </w:p>
    <w:p w:rsidR="00E70463" w:rsidRPr="00E70463" w:rsidRDefault="00E70463" w:rsidP="00E70463">
      <w:pPr>
        <w:spacing w:after="0" w:line="240" w:lineRule="auto"/>
      </w:pPr>
      <w:r w:rsidRPr="00E70463">
        <w:t xml:space="preserve">The request is to </w:t>
      </w:r>
      <w:r w:rsidR="00722C6E">
        <w:t>include a</w:t>
      </w:r>
      <w:r>
        <w:t xml:space="preserve"> fee</w:t>
      </w:r>
      <w:r w:rsidRPr="00E70463">
        <w:t xml:space="preserve"> </w:t>
      </w:r>
      <w:r w:rsidR="00722C6E">
        <w:t>that was not previously counted in this collection. The fee (</w:t>
      </w:r>
      <w:r w:rsidR="0018226D" w:rsidRPr="0018226D">
        <w:t>Additional fee for application that does not meet TEAS Plus or TEAS RF filing requirements</w:t>
      </w:r>
      <w:r w:rsidR="00722C6E" w:rsidRPr="00722C6E">
        <w:t>, per Class</w:t>
      </w:r>
      <w:r w:rsidR="00722C6E">
        <w:t>), is</w:t>
      </w:r>
      <w:r w:rsidRPr="00E70463">
        <w:t xml:space="preserve"> affected by the rulemaking NPRM 0651-AD08. </w:t>
      </w:r>
      <w:r>
        <w:t xml:space="preserve"> The number of respondents</w:t>
      </w:r>
      <w:r w:rsidRPr="00E70463">
        <w:t xml:space="preserve"> </w:t>
      </w:r>
      <w:r>
        <w:t>is</w:t>
      </w:r>
      <w:r w:rsidRPr="00E70463">
        <w:t xml:space="preserve"> also changing due to agency discretion in conjunction with the rule.</w:t>
      </w:r>
    </w:p>
    <w:p w:rsidR="00E70463" w:rsidRPr="00E70463" w:rsidRDefault="00E70463" w:rsidP="00E70463">
      <w:pPr>
        <w:spacing w:after="0" w:line="240" w:lineRule="auto"/>
      </w:pPr>
    </w:p>
    <w:p w:rsidR="00E70463" w:rsidRPr="00E70463" w:rsidRDefault="007D48EF" w:rsidP="00E70463">
      <w:pPr>
        <w:spacing w:after="0" w:line="240" w:lineRule="auto"/>
        <w:rPr>
          <w:b/>
        </w:rPr>
      </w:pPr>
      <w:r>
        <w:rPr>
          <w:b/>
        </w:rPr>
        <w:t>Proposed Changes</w:t>
      </w:r>
    </w:p>
    <w:tbl>
      <w:tblPr>
        <w:tblStyle w:val="TableGrid"/>
        <w:tblW w:w="0" w:type="auto"/>
        <w:jc w:val="center"/>
        <w:tblLook w:val="04A0" w:firstRow="1" w:lastRow="0" w:firstColumn="1" w:lastColumn="0" w:noHBand="0" w:noVBand="1"/>
      </w:tblPr>
      <w:tblGrid>
        <w:gridCol w:w="3627"/>
        <w:gridCol w:w="2421"/>
        <w:gridCol w:w="1679"/>
        <w:gridCol w:w="1849"/>
      </w:tblGrid>
      <w:tr w:rsidR="00E70463" w:rsidRPr="00E70463" w:rsidTr="00D16468">
        <w:trPr>
          <w:jc w:val="center"/>
        </w:trPr>
        <w:tc>
          <w:tcPr>
            <w:tcW w:w="3627" w:type="dxa"/>
          </w:tcPr>
          <w:p w:rsidR="00E70463" w:rsidRPr="00E70463" w:rsidRDefault="00E70463" w:rsidP="00E70463">
            <w:pPr>
              <w:jc w:val="center"/>
              <w:rPr>
                <w:b/>
              </w:rPr>
            </w:pPr>
            <w:r w:rsidRPr="00E70463">
              <w:rPr>
                <w:b/>
              </w:rPr>
              <w:t>Item</w:t>
            </w:r>
          </w:p>
        </w:tc>
        <w:tc>
          <w:tcPr>
            <w:tcW w:w="2421" w:type="dxa"/>
          </w:tcPr>
          <w:p w:rsidR="00E70463" w:rsidRPr="00E70463" w:rsidRDefault="007D48EF" w:rsidP="00E70463">
            <w:pPr>
              <w:jc w:val="center"/>
              <w:rPr>
                <w:b/>
              </w:rPr>
            </w:pPr>
            <w:r>
              <w:rPr>
                <w:b/>
              </w:rPr>
              <w:t>Proposed Fee</w:t>
            </w:r>
          </w:p>
        </w:tc>
        <w:tc>
          <w:tcPr>
            <w:tcW w:w="1679" w:type="dxa"/>
          </w:tcPr>
          <w:p w:rsidR="00E70463" w:rsidRPr="00E70463" w:rsidRDefault="00E70463" w:rsidP="00E70463">
            <w:pPr>
              <w:jc w:val="center"/>
              <w:rPr>
                <w:b/>
              </w:rPr>
            </w:pPr>
            <w:r w:rsidRPr="00E70463">
              <w:rPr>
                <w:b/>
              </w:rPr>
              <w:t>Proposed Respondents</w:t>
            </w:r>
          </w:p>
        </w:tc>
        <w:tc>
          <w:tcPr>
            <w:tcW w:w="1849" w:type="dxa"/>
          </w:tcPr>
          <w:p w:rsidR="00E70463" w:rsidRPr="00E70463" w:rsidRDefault="007D48EF" w:rsidP="00E70463">
            <w:pPr>
              <w:jc w:val="center"/>
              <w:rPr>
                <w:b/>
              </w:rPr>
            </w:pPr>
            <w:r>
              <w:rPr>
                <w:b/>
              </w:rPr>
              <w:t>Proposed Cost Total</w:t>
            </w:r>
          </w:p>
        </w:tc>
      </w:tr>
      <w:tr w:rsidR="00E70463" w:rsidRPr="00E70463" w:rsidTr="00D16468">
        <w:trPr>
          <w:jc w:val="center"/>
        </w:trPr>
        <w:tc>
          <w:tcPr>
            <w:tcW w:w="3627" w:type="dxa"/>
          </w:tcPr>
          <w:p w:rsidR="00E70463" w:rsidRPr="00E70463" w:rsidRDefault="0018226D" w:rsidP="00E70463">
            <w:r w:rsidRPr="0018226D">
              <w:t>Additional fee for application that does not meet TEAS Plus or TEAS RF filing requirements</w:t>
            </w:r>
            <w:r>
              <w:t>,</w:t>
            </w:r>
            <w:r w:rsidRPr="0018226D">
              <w:t xml:space="preserve"> </w:t>
            </w:r>
            <w:r w:rsidR="00722C6E" w:rsidRPr="00722C6E">
              <w:t>per Class</w:t>
            </w:r>
          </w:p>
        </w:tc>
        <w:tc>
          <w:tcPr>
            <w:tcW w:w="2421" w:type="dxa"/>
          </w:tcPr>
          <w:p w:rsidR="00E70463" w:rsidRPr="00E70463" w:rsidRDefault="007D48EF" w:rsidP="00E70463">
            <w:pPr>
              <w:jc w:val="right"/>
            </w:pPr>
            <w:r>
              <w:t>$125</w:t>
            </w:r>
          </w:p>
        </w:tc>
        <w:tc>
          <w:tcPr>
            <w:tcW w:w="1679" w:type="dxa"/>
          </w:tcPr>
          <w:p w:rsidR="00E70463" w:rsidRPr="00E70463" w:rsidRDefault="00722C6E" w:rsidP="00E70463">
            <w:pPr>
              <w:jc w:val="right"/>
            </w:pPr>
            <w:r>
              <w:t>172</w:t>
            </w:r>
          </w:p>
        </w:tc>
        <w:tc>
          <w:tcPr>
            <w:tcW w:w="1849" w:type="dxa"/>
          </w:tcPr>
          <w:p w:rsidR="00E70463" w:rsidRPr="00E70463" w:rsidRDefault="007D48EF" w:rsidP="00E70463">
            <w:pPr>
              <w:jc w:val="right"/>
            </w:pPr>
            <w:r>
              <w:t>$21,500</w:t>
            </w:r>
          </w:p>
        </w:tc>
      </w:tr>
      <w:tr w:rsidR="00E70463" w:rsidRPr="00E70463" w:rsidTr="00D16468">
        <w:trPr>
          <w:jc w:val="center"/>
        </w:trPr>
        <w:tc>
          <w:tcPr>
            <w:tcW w:w="3627" w:type="dxa"/>
          </w:tcPr>
          <w:p w:rsidR="00E70463" w:rsidRPr="00E70463" w:rsidRDefault="00E70463" w:rsidP="00E70463">
            <w:pPr>
              <w:rPr>
                <w:b/>
              </w:rPr>
            </w:pPr>
            <w:r w:rsidRPr="00E70463">
              <w:rPr>
                <w:b/>
              </w:rPr>
              <w:t>Totals</w:t>
            </w:r>
          </w:p>
        </w:tc>
        <w:tc>
          <w:tcPr>
            <w:tcW w:w="2421" w:type="dxa"/>
          </w:tcPr>
          <w:p w:rsidR="00E70463" w:rsidRPr="00E70463" w:rsidRDefault="00E70463" w:rsidP="00E70463">
            <w:pPr>
              <w:jc w:val="right"/>
            </w:pPr>
            <w:r w:rsidRPr="00E70463">
              <w:t>---</w:t>
            </w:r>
          </w:p>
        </w:tc>
        <w:tc>
          <w:tcPr>
            <w:tcW w:w="1679" w:type="dxa"/>
          </w:tcPr>
          <w:p w:rsidR="00E70463" w:rsidRPr="00E70463" w:rsidRDefault="00E70463" w:rsidP="00E70463">
            <w:pPr>
              <w:jc w:val="right"/>
            </w:pPr>
            <w:r w:rsidRPr="00E70463">
              <w:t>---</w:t>
            </w:r>
          </w:p>
        </w:tc>
        <w:tc>
          <w:tcPr>
            <w:tcW w:w="1849" w:type="dxa"/>
          </w:tcPr>
          <w:p w:rsidR="00E70463" w:rsidRPr="00E70463" w:rsidRDefault="007D48EF" w:rsidP="00E70463">
            <w:pPr>
              <w:jc w:val="right"/>
              <w:rPr>
                <w:b/>
              </w:rPr>
            </w:pPr>
            <w:r>
              <w:rPr>
                <w:b/>
              </w:rPr>
              <w:t>---</w:t>
            </w:r>
          </w:p>
        </w:tc>
      </w:tr>
    </w:tbl>
    <w:p w:rsidR="008B718F" w:rsidRDefault="008B718F" w:rsidP="00E70463">
      <w:pPr>
        <w:spacing w:after="0" w:line="240" w:lineRule="auto"/>
        <w:rPr>
          <w:u w:val="single"/>
        </w:rPr>
      </w:pPr>
    </w:p>
    <w:p w:rsidR="00E70463" w:rsidRPr="00E70463" w:rsidRDefault="00E70463" w:rsidP="00E70463">
      <w:pPr>
        <w:spacing w:after="0" w:line="240" w:lineRule="auto"/>
      </w:pPr>
      <w:r w:rsidRPr="00E70463">
        <w:rPr>
          <w:u w:val="single"/>
        </w:rPr>
        <w:t>Summary of Changes</w:t>
      </w:r>
    </w:p>
    <w:p w:rsidR="00E70463" w:rsidRPr="00E70463" w:rsidRDefault="00E70463" w:rsidP="00E70463">
      <w:pPr>
        <w:spacing w:after="0" w:line="240" w:lineRule="auto"/>
      </w:pPr>
    </w:p>
    <w:p w:rsidR="00E70463" w:rsidRPr="00E70463" w:rsidRDefault="00E70463" w:rsidP="00E70463">
      <w:pPr>
        <w:spacing w:after="0" w:line="240" w:lineRule="auto"/>
      </w:pPr>
      <w:r w:rsidRPr="00E70463">
        <w:t>The addition of $</w:t>
      </w:r>
      <w:r w:rsidR="002C482A">
        <w:t>21,500</w:t>
      </w:r>
      <w:r w:rsidRPr="00E70463">
        <w:t xml:space="preserve"> in fees to collection 0651-00</w:t>
      </w:r>
      <w:r w:rsidR="002C482A">
        <w:t>50</w:t>
      </w:r>
      <w:r w:rsidRPr="00E70463">
        <w:t xml:space="preserve"> is to account for the changes following the rulemaking action NPRM 0651-AD08. </w:t>
      </w:r>
    </w:p>
    <w:p w:rsidR="00E70463" w:rsidRPr="00E70463" w:rsidRDefault="00E70463" w:rsidP="00E70463">
      <w:pPr>
        <w:spacing w:after="0" w:line="240" w:lineRule="auto"/>
      </w:pPr>
    </w:p>
    <w:p w:rsidR="00E70463" w:rsidRPr="00E70463" w:rsidRDefault="00E70463" w:rsidP="00E70463">
      <w:pPr>
        <w:spacing w:after="0" w:line="240" w:lineRule="auto"/>
      </w:pPr>
      <w:r w:rsidRPr="00E70463">
        <w:rPr>
          <w:u w:val="single"/>
        </w:rPr>
        <w:t>Changes in Burden</w:t>
      </w:r>
    </w:p>
    <w:p w:rsidR="00E70463" w:rsidRPr="00E70463" w:rsidRDefault="00E70463" w:rsidP="00E70463">
      <w:pPr>
        <w:spacing w:after="0" w:line="240" w:lineRule="auto"/>
      </w:pPr>
    </w:p>
    <w:tbl>
      <w:tblPr>
        <w:tblStyle w:val="TableGrid"/>
        <w:tblW w:w="0" w:type="auto"/>
        <w:tblLook w:val="04A0" w:firstRow="1" w:lastRow="0" w:firstColumn="1" w:lastColumn="0" w:noHBand="0" w:noVBand="1"/>
      </w:tblPr>
      <w:tblGrid>
        <w:gridCol w:w="3078"/>
        <w:gridCol w:w="2340"/>
        <w:gridCol w:w="2250"/>
        <w:gridCol w:w="1908"/>
      </w:tblGrid>
      <w:tr w:rsidR="00E70463" w:rsidRPr="00E70463" w:rsidTr="00D16468">
        <w:tc>
          <w:tcPr>
            <w:tcW w:w="3078" w:type="dxa"/>
          </w:tcPr>
          <w:p w:rsidR="00E70463" w:rsidRPr="00E70463" w:rsidRDefault="00E70463" w:rsidP="00E70463">
            <w:pPr>
              <w:jc w:val="center"/>
              <w:rPr>
                <w:b/>
              </w:rPr>
            </w:pPr>
            <w:r w:rsidRPr="00E70463">
              <w:rPr>
                <w:b/>
              </w:rPr>
              <w:t>Burden Type</w:t>
            </w:r>
          </w:p>
        </w:tc>
        <w:tc>
          <w:tcPr>
            <w:tcW w:w="2340" w:type="dxa"/>
          </w:tcPr>
          <w:p w:rsidR="00E70463" w:rsidRPr="00E70463" w:rsidRDefault="00E70463" w:rsidP="00E70463">
            <w:pPr>
              <w:jc w:val="center"/>
              <w:rPr>
                <w:b/>
              </w:rPr>
            </w:pPr>
            <w:r w:rsidRPr="00E70463">
              <w:rPr>
                <w:b/>
              </w:rPr>
              <w:t>Currently Approved</w:t>
            </w:r>
          </w:p>
        </w:tc>
        <w:tc>
          <w:tcPr>
            <w:tcW w:w="2250" w:type="dxa"/>
          </w:tcPr>
          <w:p w:rsidR="00E70463" w:rsidRPr="00E70463" w:rsidRDefault="00E70463" w:rsidP="00E70463">
            <w:pPr>
              <w:jc w:val="center"/>
              <w:rPr>
                <w:b/>
              </w:rPr>
            </w:pPr>
            <w:r w:rsidRPr="00E70463">
              <w:rPr>
                <w:b/>
              </w:rPr>
              <w:t>Proposed Change</w:t>
            </w:r>
          </w:p>
        </w:tc>
        <w:tc>
          <w:tcPr>
            <w:tcW w:w="1908" w:type="dxa"/>
          </w:tcPr>
          <w:p w:rsidR="00E70463" w:rsidRPr="00E70463" w:rsidRDefault="00E70463" w:rsidP="00E70463">
            <w:pPr>
              <w:jc w:val="center"/>
              <w:rPr>
                <w:b/>
              </w:rPr>
            </w:pPr>
            <w:r w:rsidRPr="00E70463">
              <w:rPr>
                <w:b/>
              </w:rPr>
              <w:t>New Estimate</w:t>
            </w:r>
          </w:p>
        </w:tc>
      </w:tr>
      <w:tr w:rsidR="007D48EF" w:rsidRPr="007D48EF" w:rsidTr="00D16468">
        <w:tc>
          <w:tcPr>
            <w:tcW w:w="3078" w:type="dxa"/>
          </w:tcPr>
          <w:p w:rsidR="00E70463" w:rsidRPr="00E70463" w:rsidRDefault="00E70463" w:rsidP="00E70463">
            <w:r w:rsidRPr="00E70463">
              <w:t>Respondents</w:t>
            </w:r>
          </w:p>
        </w:tc>
        <w:tc>
          <w:tcPr>
            <w:tcW w:w="2340" w:type="dxa"/>
          </w:tcPr>
          <w:p w:rsidR="00E70463" w:rsidRPr="007D48EF" w:rsidRDefault="00722C6E" w:rsidP="00E70463">
            <w:pPr>
              <w:jc w:val="right"/>
            </w:pPr>
            <w:r w:rsidRPr="007D48EF">
              <w:t>271,783</w:t>
            </w:r>
          </w:p>
        </w:tc>
        <w:tc>
          <w:tcPr>
            <w:tcW w:w="2250" w:type="dxa"/>
          </w:tcPr>
          <w:p w:rsidR="00E70463" w:rsidRPr="007D48EF" w:rsidRDefault="007D48EF" w:rsidP="00E70463">
            <w:pPr>
              <w:jc w:val="right"/>
            </w:pPr>
            <w:r w:rsidRPr="007D48EF">
              <w:t>0</w:t>
            </w:r>
          </w:p>
        </w:tc>
        <w:tc>
          <w:tcPr>
            <w:tcW w:w="1908" w:type="dxa"/>
          </w:tcPr>
          <w:p w:rsidR="00E70463" w:rsidRPr="007D48EF" w:rsidRDefault="007D48EF" w:rsidP="00E70463">
            <w:pPr>
              <w:jc w:val="right"/>
            </w:pPr>
            <w:r w:rsidRPr="007D48EF">
              <w:t>271,783</w:t>
            </w:r>
          </w:p>
        </w:tc>
      </w:tr>
      <w:tr w:rsidR="00E70463" w:rsidRPr="00E70463" w:rsidTr="00D16468">
        <w:tc>
          <w:tcPr>
            <w:tcW w:w="3078" w:type="dxa"/>
          </w:tcPr>
          <w:p w:rsidR="00E70463" w:rsidRPr="00E70463" w:rsidRDefault="00E70463" w:rsidP="00E70463">
            <w:r w:rsidRPr="00E70463">
              <w:t>Non-hour costs</w:t>
            </w:r>
          </w:p>
        </w:tc>
        <w:tc>
          <w:tcPr>
            <w:tcW w:w="2340" w:type="dxa"/>
          </w:tcPr>
          <w:p w:rsidR="00E70463" w:rsidRPr="00E70463" w:rsidRDefault="00E70463" w:rsidP="002C482A">
            <w:pPr>
              <w:jc w:val="right"/>
            </w:pPr>
            <w:r w:rsidRPr="00E70463">
              <w:t>$</w:t>
            </w:r>
            <w:r w:rsidR="002C482A">
              <w:t>313,181</w:t>
            </w:r>
          </w:p>
        </w:tc>
        <w:tc>
          <w:tcPr>
            <w:tcW w:w="2250" w:type="dxa"/>
          </w:tcPr>
          <w:p w:rsidR="00E70463" w:rsidRPr="00E70463" w:rsidRDefault="00E70463" w:rsidP="00573A85">
            <w:pPr>
              <w:jc w:val="right"/>
            </w:pPr>
            <w:r w:rsidRPr="00E70463">
              <w:t>$</w:t>
            </w:r>
            <w:r w:rsidR="00573A85">
              <w:t>21,500</w:t>
            </w:r>
          </w:p>
        </w:tc>
        <w:tc>
          <w:tcPr>
            <w:tcW w:w="1908" w:type="dxa"/>
          </w:tcPr>
          <w:p w:rsidR="00E70463" w:rsidRPr="00E70463" w:rsidRDefault="00E70463" w:rsidP="00573A85">
            <w:pPr>
              <w:jc w:val="right"/>
            </w:pPr>
            <w:r w:rsidRPr="00E70463">
              <w:t>$</w:t>
            </w:r>
            <w:r w:rsidR="00573A85">
              <w:t>334,681</w:t>
            </w:r>
          </w:p>
        </w:tc>
      </w:tr>
    </w:tbl>
    <w:p w:rsidR="00E70463" w:rsidRPr="00E70463" w:rsidRDefault="00E70463" w:rsidP="00E70463">
      <w:pPr>
        <w:spacing w:after="0" w:line="240" w:lineRule="auto"/>
      </w:pPr>
    </w:p>
    <w:p w:rsidR="00E70463" w:rsidRPr="00E70463" w:rsidRDefault="00E70463" w:rsidP="00E70463">
      <w:pPr>
        <w:spacing w:after="0" w:line="240" w:lineRule="auto"/>
      </w:pPr>
      <w:r w:rsidRPr="00E70463">
        <w:t>Consequently, this collection takes a net burden increase of $</w:t>
      </w:r>
      <w:r w:rsidR="00FD2148" w:rsidRPr="00FD2148">
        <w:t>21,500</w:t>
      </w:r>
      <w:r w:rsidR="00FD2148">
        <w:t xml:space="preserve"> </w:t>
      </w:r>
      <w:r w:rsidRPr="00E70463">
        <w:t>in annual (non-hour) costs as a program change.</w:t>
      </w:r>
    </w:p>
    <w:p w:rsidR="00E70463" w:rsidRPr="00E70463" w:rsidRDefault="00E70463" w:rsidP="00E70463">
      <w:pPr>
        <w:spacing w:after="0" w:line="240" w:lineRule="auto"/>
      </w:pPr>
    </w:p>
    <w:p w:rsidR="00E70463" w:rsidRPr="00E70463" w:rsidRDefault="00E70463" w:rsidP="00E70463">
      <w:pPr>
        <w:spacing w:after="0" w:line="240" w:lineRule="auto"/>
      </w:pPr>
      <w:r w:rsidRPr="00E70463">
        <w:t>The 0651-00</w:t>
      </w:r>
      <w:r w:rsidR="00573A85">
        <w:t>50</w:t>
      </w:r>
      <w:r w:rsidRPr="00E70463">
        <w:t xml:space="preserve"> revised total burden is as follows:</w:t>
      </w:r>
    </w:p>
    <w:p w:rsidR="00E70463" w:rsidRPr="00E70463" w:rsidRDefault="00E70463" w:rsidP="00E70463">
      <w:pPr>
        <w:spacing w:after="0" w:line="240" w:lineRule="auto"/>
      </w:pPr>
    </w:p>
    <w:p w:rsidR="00E70463" w:rsidRPr="00E70463" w:rsidRDefault="007D48EF" w:rsidP="00E70463">
      <w:pPr>
        <w:numPr>
          <w:ilvl w:val="0"/>
          <w:numId w:val="1"/>
        </w:numPr>
        <w:spacing w:after="0" w:line="240" w:lineRule="auto"/>
      </w:pPr>
      <w:r w:rsidRPr="007D48EF">
        <w:lastRenderedPageBreak/>
        <w:t>271,783</w:t>
      </w:r>
      <w:r>
        <w:t xml:space="preserve"> </w:t>
      </w:r>
      <w:bookmarkStart w:id="0" w:name="_GoBack"/>
      <w:bookmarkEnd w:id="0"/>
      <w:r w:rsidR="00E70463" w:rsidRPr="00E70463">
        <w:t>respondents</w:t>
      </w:r>
    </w:p>
    <w:p w:rsidR="00E70463" w:rsidRPr="00E70463" w:rsidRDefault="00E70463" w:rsidP="00E70463">
      <w:pPr>
        <w:numPr>
          <w:ilvl w:val="0"/>
          <w:numId w:val="1"/>
        </w:numPr>
        <w:spacing w:after="0" w:line="240" w:lineRule="auto"/>
      </w:pPr>
      <w:r w:rsidRPr="00E70463">
        <w:t>$</w:t>
      </w:r>
      <w:r w:rsidR="00573A85">
        <w:t>334,681</w:t>
      </w:r>
      <w:r w:rsidRPr="00E70463">
        <w:t xml:space="preserve"> in annual (non-hour) fees</w:t>
      </w:r>
    </w:p>
    <w:p w:rsidR="00E70463" w:rsidRPr="00E70463" w:rsidRDefault="00E70463" w:rsidP="00E70463">
      <w:pPr>
        <w:spacing w:after="0" w:line="240" w:lineRule="auto"/>
      </w:pPr>
    </w:p>
    <w:p w:rsidR="00E70463" w:rsidRPr="00E70463" w:rsidRDefault="00E70463" w:rsidP="00E70463">
      <w:pPr>
        <w:spacing w:after="0" w:line="240" w:lineRule="auto"/>
      </w:pPr>
    </w:p>
    <w:p w:rsidR="00400B38" w:rsidRDefault="007D48EF"/>
    <w:sectPr w:rsidR="00400B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24409"/>
    <w:multiLevelType w:val="hybridMultilevel"/>
    <w:tmpl w:val="B3C4F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463"/>
    <w:rsid w:val="000079AF"/>
    <w:rsid w:val="0011359D"/>
    <w:rsid w:val="0018226D"/>
    <w:rsid w:val="002C482A"/>
    <w:rsid w:val="003816C3"/>
    <w:rsid w:val="004635A6"/>
    <w:rsid w:val="005308B3"/>
    <w:rsid w:val="00573A85"/>
    <w:rsid w:val="005A1545"/>
    <w:rsid w:val="00664AE7"/>
    <w:rsid w:val="006C11E8"/>
    <w:rsid w:val="006F0FB9"/>
    <w:rsid w:val="00722C6E"/>
    <w:rsid w:val="007D48EF"/>
    <w:rsid w:val="00823519"/>
    <w:rsid w:val="00856318"/>
    <w:rsid w:val="008B718F"/>
    <w:rsid w:val="009028A0"/>
    <w:rsid w:val="009B78A1"/>
    <w:rsid w:val="00AF3F0D"/>
    <w:rsid w:val="00C247F5"/>
    <w:rsid w:val="00E70463"/>
    <w:rsid w:val="00F51C5F"/>
    <w:rsid w:val="00FD2148"/>
    <w:rsid w:val="00FF4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04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E70463"/>
    <w:rPr>
      <w:sz w:val="16"/>
      <w:szCs w:val="16"/>
    </w:rPr>
  </w:style>
  <w:style w:type="paragraph" w:styleId="CommentText">
    <w:name w:val="annotation text"/>
    <w:basedOn w:val="Normal"/>
    <w:link w:val="CommentTextChar"/>
    <w:semiHidden/>
    <w:rsid w:val="00E70463"/>
    <w:pPr>
      <w:spacing w:line="480" w:lineRule="auto"/>
      <w:ind w:firstLine="72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E70463"/>
    <w:rPr>
      <w:rFonts w:ascii="Times New Roman" w:eastAsia="Times New Roman" w:hAnsi="Times New Roman" w:cs="Times New Roman"/>
      <w:sz w:val="20"/>
      <w:szCs w:val="20"/>
    </w:rPr>
  </w:style>
  <w:style w:type="paragraph" w:styleId="NoSpacing">
    <w:name w:val="No Spacing"/>
    <w:uiPriority w:val="1"/>
    <w:qFormat/>
    <w:rsid w:val="00E70463"/>
    <w:pPr>
      <w:spacing w:after="0" w:line="240" w:lineRule="auto"/>
    </w:pPr>
  </w:style>
  <w:style w:type="paragraph" w:styleId="BalloonText">
    <w:name w:val="Balloon Text"/>
    <w:basedOn w:val="Normal"/>
    <w:link w:val="BalloonTextChar"/>
    <w:uiPriority w:val="99"/>
    <w:semiHidden/>
    <w:unhideWhenUsed/>
    <w:rsid w:val="00E704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46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70463"/>
    <w:pPr>
      <w:spacing w:line="240" w:lineRule="auto"/>
      <w:ind w:firstLine="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70463"/>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04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E70463"/>
    <w:rPr>
      <w:sz w:val="16"/>
      <w:szCs w:val="16"/>
    </w:rPr>
  </w:style>
  <w:style w:type="paragraph" w:styleId="CommentText">
    <w:name w:val="annotation text"/>
    <w:basedOn w:val="Normal"/>
    <w:link w:val="CommentTextChar"/>
    <w:semiHidden/>
    <w:rsid w:val="00E70463"/>
    <w:pPr>
      <w:spacing w:line="480" w:lineRule="auto"/>
      <w:ind w:firstLine="72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E70463"/>
    <w:rPr>
      <w:rFonts w:ascii="Times New Roman" w:eastAsia="Times New Roman" w:hAnsi="Times New Roman" w:cs="Times New Roman"/>
      <w:sz w:val="20"/>
      <w:szCs w:val="20"/>
    </w:rPr>
  </w:style>
  <w:style w:type="paragraph" w:styleId="NoSpacing">
    <w:name w:val="No Spacing"/>
    <w:uiPriority w:val="1"/>
    <w:qFormat/>
    <w:rsid w:val="00E70463"/>
    <w:pPr>
      <w:spacing w:after="0" w:line="240" w:lineRule="auto"/>
    </w:pPr>
  </w:style>
  <w:style w:type="paragraph" w:styleId="BalloonText">
    <w:name w:val="Balloon Text"/>
    <w:basedOn w:val="Normal"/>
    <w:link w:val="BalloonTextChar"/>
    <w:uiPriority w:val="99"/>
    <w:semiHidden/>
    <w:unhideWhenUsed/>
    <w:rsid w:val="00E704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46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70463"/>
    <w:pPr>
      <w:spacing w:line="240" w:lineRule="auto"/>
      <w:ind w:firstLine="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7046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35029">
      <w:bodyDiv w:val="1"/>
      <w:marLeft w:val="0"/>
      <w:marRight w:val="0"/>
      <w:marTop w:val="0"/>
      <w:marBottom w:val="0"/>
      <w:divBdr>
        <w:top w:val="none" w:sz="0" w:space="0" w:color="auto"/>
        <w:left w:val="none" w:sz="0" w:space="0" w:color="auto"/>
        <w:bottom w:val="none" w:sz="0" w:space="0" w:color="auto"/>
        <w:right w:val="none" w:sz="0" w:space="0" w:color="auto"/>
      </w:divBdr>
    </w:div>
    <w:div w:id="1300381719">
      <w:bodyDiv w:val="1"/>
      <w:marLeft w:val="0"/>
      <w:marRight w:val="0"/>
      <w:marTop w:val="0"/>
      <w:marBottom w:val="0"/>
      <w:divBdr>
        <w:top w:val="none" w:sz="0" w:space="0" w:color="auto"/>
        <w:left w:val="none" w:sz="0" w:space="0" w:color="auto"/>
        <w:bottom w:val="none" w:sz="0" w:space="0" w:color="auto"/>
        <w:right w:val="none" w:sz="0" w:space="0" w:color="auto"/>
      </w:divBdr>
    </w:div>
    <w:div w:id="1498620220">
      <w:bodyDiv w:val="1"/>
      <w:marLeft w:val="0"/>
      <w:marRight w:val="0"/>
      <w:marTop w:val="0"/>
      <w:marBottom w:val="0"/>
      <w:divBdr>
        <w:top w:val="none" w:sz="0" w:space="0" w:color="auto"/>
        <w:left w:val="none" w:sz="0" w:space="0" w:color="auto"/>
        <w:bottom w:val="none" w:sz="0" w:space="0" w:color="auto"/>
        <w:right w:val="none" w:sz="0" w:space="0" w:color="auto"/>
      </w:divBdr>
      <w:divsChild>
        <w:div w:id="584996142">
          <w:marLeft w:val="0"/>
          <w:marRight w:val="0"/>
          <w:marTop w:val="0"/>
          <w:marBottom w:val="0"/>
          <w:divBdr>
            <w:top w:val="none" w:sz="0" w:space="0" w:color="auto"/>
            <w:left w:val="none" w:sz="0" w:space="0" w:color="auto"/>
            <w:bottom w:val="none" w:sz="0" w:space="0" w:color="auto"/>
            <w:right w:val="none" w:sz="0" w:space="0" w:color="auto"/>
          </w:divBdr>
          <w:divsChild>
            <w:div w:id="1975672833">
              <w:marLeft w:val="0"/>
              <w:marRight w:val="0"/>
              <w:marTop w:val="0"/>
              <w:marBottom w:val="0"/>
              <w:divBdr>
                <w:top w:val="single" w:sz="6" w:space="11" w:color="FCFCFC"/>
                <w:left w:val="single" w:sz="6" w:space="11" w:color="ECECEC"/>
                <w:bottom w:val="single" w:sz="6" w:space="4" w:color="ECECEC"/>
                <w:right w:val="single" w:sz="6" w:space="11" w:color="ECECEC"/>
              </w:divBdr>
              <w:divsChild>
                <w:div w:id="139755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2597</TotalTime>
  <Pages>2</Pages>
  <Words>355</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Drew (AMBIT)</dc:creator>
  <cp:lastModifiedBy>Hall, Drew (AMBIT)</cp:lastModifiedBy>
  <cp:revision>16</cp:revision>
  <dcterms:created xsi:type="dcterms:W3CDTF">2016-05-23T18:37:00Z</dcterms:created>
  <dcterms:modified xsi:type="dcterms:W3CDTF">2016-10-19T13:54:00Z</dcterms:modified>
</cp:coreProperties>
</file>