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8E" w:rsidRPr="00EF5279" w:rsidRDefault="00CF2508" w:rsidP="00EF5279">
      <w:pPr>
        <w:pStyle w:val="Heading1"/>
      </w:pPr>
      <w:bookmarkStart w:id="0" w:name="_GoBack"/>
      <w:bookmarkEnd w:id="0"/>
      <w:r>
        <w:t>Financial Report Template</w:t>
      </w:r>
    </w:p>
    <w:p w:rsidR="00E258C8" w:rsidRDefault="00E258C8" w:rsidP="00C15AFC">
      <w:pPr>
        <w:pStyle w:val="Heading2"/>
      </w:pPr>
      <w:r>
        <w:t>Executive Summary</w:t>
      </w:r>
    </w:p>
    <w:p w:rsidR="00E258C8" w:rsidRDefault="00A146FF" w:rsidP="00A146FF">
      <w:pPr>
        <w:ind w:left="360"/>
      </w:pPr>
      <w:r>
        <w:t xml:space="preserve">The </w:t>
      </w:r>
      <w:r w:rsidRPr="00C15AFC">
        <w:rPr>
          <w:highlight w:val="lightGray"/>
        </w:rPr>
        <w:t>______</w:t>
      </w:r>
      <w:r>
        <w:t xml:space="preserve">, as amended, requires the Food and Drug Administration (FDA) to report annually on the financial aspects of its implementation. This report covers fiscal year (FY) </w:t>
      </w:r>
      <w:r w:rsidRPr="00C15AFC">
        <w:rPr>
          <w:highlight w:val="lightGray"/>
        </w:rPr>
        <w:t>20XX</w:t>
      </w:r>
      <w:r w:rsidR="002A5F47">
        <w:t>.</w:t>
      </w:r>
    </w:p>
    <w:p w:rsidR="00A146FF" w:rsidRDefault="00A146FF" w:rsidP="00A146FF">
      <w:pPr>
        <w:pStyle w:val="Bullet"/>
      </w:pPr>
      <w:r>
        <w:t xml:space="preserve">Summary of legal conditions that must be satisfied for FDA to collect and spend </w:t>
      </w:r>
      <w:r w:rsidRPr="00C15AFC">
        <w:rPr>
          <w:highlight w:val="lightGray"/>
        </w:rPr>
        <w:t>______</w:t>
      </w:r>
      <w:r>
        <w:t xml:space="preserve"> user fees</w:t>
      </w:r>
    </w:p>
    <w:p w:rsidR="00A146FF" w:rsidRDefault="00A146FF" w:rsidP="00A146FF">
      <w:pPr>
        <w:pStyle w:val="Bullet"/>
      </w:pPr>
      <w:r>
        <w:t>Summary of data presented in report (</w:t>
      </w:r>
      <w:r w:rsidR="00C6608F">
        <w:t>financial data, performance data, etc.</w:t>
      </w:r>
      <w:r>
        <w:t>)</w:t>
      </w:r>
    </w:p>
    <w:p w:rsidR="00091C9B" w:rsidRDefault="00091C9B" w:rsidP="002A5F47">
      <w:pPr>
        <w:pStyle w:val="Heading2"/>
        <w:numPr>
          <w:ilvl w:val="0"/>
          <w:numId w:val="26"/>
        </w:numPr>
        <w:ind w:left="540"/>
      </w:pPr>
      <w:r>
        <w:t>Management Discussion</w:t>
      </w:r>
    </w:p>
    <w:p w:rsidR="00AF394A" w:rsidRPr="00AF394A" w:rsidRDefault="00AF394A" w:rsidP="002A5F47">
      <w:pPr>
        <w:ind w:left="540"/>
      </w:pPr>
      <w:r w:rsidRPr="00E61A9B">
        <w:rPr>
          <w:rFonts w:asciiTheme="minorHAnsi" w:hAnsiTheme="minorHAnsi"/>
        </w:rPr>
        <w:t>The management</w:t>
      </w:r>
      <w:r w:rsidRPr="00471F61">
        <w:rPr>
          <w:rFonts w:asciiTheme="minorHAnsi" w:hAnsiTheme="minorHAnsi"/>
        </w:rPr>
        <w:t xml:space="preserve"> discussion provides the contextual background to familiarize the reader with the</w:t>
      </w:r>
      <w:r w:rsidR="00C6608F">
        <w:rPr>
          <w:rFonts w:asciiTheme="minorHAnsi" w:hAnsiTheme="minorHAnsi"/>
        </w:rPr>
        <w:t xml:space="preserve"> </w:t>
      </w:r>
      <w:r w:rsidR="00C6608F" w:rsidRPr="002A5F47">
        <w:rPr>
          <w:highlight w:val="lightGray"/>
        </w:rPr>
        <w:t>______</w:t>
      </w:r>
      <w:r w:rsidRPr="00471F61">
        <w:rPr>
          <w:rFonts w:asciiTheme="minorHAnsi" w:hAnsiTheme="minorHAnsi"/>
        </w:rPr>
        <w:t xml:space="preserve"> </w:t>
      </w:r>
      <w:r w:rsidR="00C6608F">
        <w:rPr>
          <w:rFonts w:asciiTheme="minorHAnsi" w:hAnsiTheme="minorHAnsi"/>
        </w:rPr>
        <w:t>program</w:t>
      </w:r>
      <w:r w:rsidRPr="00471F61">
        <w:rPr>
          <w:rFonts w:asciiTheme="minorHAnsi" w:hAnsiTheme="minorHAnsi"/>
        </w:rPr>
        <w:t>.</w:t>
      </w:r>
      <w:r>
        <w:rPr>
          <w:rFonts w:asciiTheme="minorHAnsi" w:hAnsiTheme="minorHAnsi"/>
        </w:rPr>
        <w:t xml:space="preserve"> </w:t>
      </w:r>
      <w:r w:rsidRPr="00471F61">
        <w:rPr>
          <w:rFonts w:asciiTheme="minorHAnsi" w:hAnsiTheme="minorHAnsi"/>
        </w:rPr>
        <w:t xml:space="preserve">The management discussion </w:t>
      </w:r>
      <w:r>
        <w:rPr>
          <w:rFonts w:asciiTheme="minorHAnsi" w:hAnsiTheme="minorHAnsi"/>
        </w:rPr>
        <w:t>will begin</w:t>
      </w:r>
      <w:r w:rsidRPr="00471F61">
        <w:rPr>
          <w:rFonts w:asciiTheme="minorHAnsi" w:hAnsiTheme="minorHAnsi"/>
        </w:rPr>
        <w:t xml:space="preserve"> with a high-level summary of the organization</w:t>
      </w:r>
      <w:r>
        <w:t xml:space="preserve"> (i.e., structure, operating environment, and strategies), followed by a review of the fiscal year’s performance and financial highlights. It </w:t>
      </w:r>
      <w:r w:rsidRPr="00471F61">
        <w:rPr>
          <w:rFonts w:asciiTheme="minorHAnsi" w:hAnsiTheme="minorHAnsi" w:cs="Times New Roman"/>
        </w:rPr>
        <w:t>provides stakeholders with a narrative behind the organizations financial statements.</w:t>
      </w:r>
    </w:p>
    <w:p w:rsidR="00C15AFC" w:rsidRDefault="00C15AFC" w:rsidP="002A5F47">
      <w:pPr>
        <w:pStyle w:val="Heading2"/>
        <w:numPr>
          <w:ilvl w:val="1"/>
          <w:numId w:val="26"/>
        </w:numPr>
        <w:ind w:left="900"/>
      </w:pPr>
      <w:r>
        <w:t>Background</w:t>
      </w:r>
    </w:p>
    <w:p w:rsidR="00AF394A" w:rsidRDefault="00AF394A" w:rsidP="002A5F47">
      <w:pPr>
        <w:pStyle w:val="Bullet"/>
        <w:ind w:left="1350"/>
      </w:pPr>
      <w:r>
        <w:t>Organization Chart</w:t>
      </w:r>
      <w:r w:rsidR="00C909DF">
        <w:t xml:space="preserve"> – Illustration the user fee program offices organization and where it fits into the greater FDA organizational structure</w:t>
      </w:r>
    </w:p>
    <w:p w:rsidR="000B6C99" w:rsidRDefault="00C15AFC" w:rsidP="002A5F47">
      <w:pPr>
        <w:pStyle w:val="Bullet"/>
        <w:ind w:left="1350"/>
      </w:pPr>
      <w:r>
        <w:t>User Fee Structure</w:t>
      </w:r>
      <w:r w:rsidR="00C909DF">
        <w:t xml:space="preserve"> – Existing language of types of user fees and how they are collected</w:t>
      </w:r>
    </w:p>
    <w:p w:rsidR="00091C9B" w:rsidRDefault="00C15AFC" w:rsidP="002A5F47">
      <w:pPr>
        <w:pStyle w:val="Bullet"/>
        <w:ind w:left="1350"/>
      </w:pPr>
      <w:r>
        <w:t>Authorization Act Review</w:t>
      </w:r>
      <w:r w:rsidR="00C909DF">
        <w:t xml:space="preserve"> – Review of authorization acts for the user fee program</w:t>
      </w:r>
    </w:p>
    <w:p w:rsidR="00426BE3" w:rsidRDefault="00426BE3" w:rsidP="002A5F47">
      <w:pPr>
        <w:pStyle w:val="Heading2"/>
        <w:numPr>
          <w:ilvl w:val="1"/>
          <w:numId w:val="26"/>
        </w:numPr>
        <w:ind w:left="900"/>
      </w:pPr>
      <w:r>
        <w:t>Legal Conditions</w:t>
      </w:r>
    </w:p>
    <w:p w:rsidR="00C6608F" w:rsidRDefault="00426BE3" w:rsidP="002A5F47">
      <w:pPr>
        <w:pStyle w:val="Bullet"/>
        <w:ind w:left="1350"/>
      </w:pPr>
      <w:r>
        <w:t xml:space="preserve">Review of </w:t>
      </w:r>
      <w:r w:rsidR="00C909DF">
        <w:t xml:space="preserve">specific </w:t>
      </w:r>
      <w:r w:rsidRPr="00C15AFC">
        <w:t>legal conditions that FDA must satisfy to collect and spend</w:t>
      </w:r>
      <w:r>
        <w:t xml:space="preserve"> </w:t>
      </w:r>
      <w:r w:rsidRPr="002A5F47">
        <w:rPr>
          <w:highlight w:val="lightGray"/>
        </w:rPr>
        <w:t>______</w:t>
      </w:r>
      <w:r w:rsidRPr="00C15AFC">
        <w:t xml:space="preserve"> user fees.</w:t>
      </w:r>
    </w:p>
    <w:tbl>
      <w:tblPr>
        <w:tblStyle w:val="BAHTableStyle1"/>
        <w:tblW w:w="8910" w:type="dxa"/>
        <w:tblInd w:w="540" w:type="dxa"/>
        <w:tblLook w:val="04A0" w:firstRow="1" w:lastRow="0" w:firstColumn="1" w:lastColumn="0" w:noHBand="0" w:noVBand="1"/>
      </w:tblPr>
      <w:tblGrid>
        <w:gridCol w:w="1980"/>
        <w:gridCol w:w="4770"/>
        <w:gridCol w:w="2160"/>
      </w:tblGrid>
      <w:tr w:rsidR="00C6608F" w:rsidTr="00C6608F">
        <w:trPr>
          <w:cnfStyle w:val="100000000000" w:firstRow="1" w:lastRow="0" w:firstColumn="0" w:lastColumn="0" w:oddVBand="0" w:evenVBand="0" w:oddHBand="0" w:evenHBand="0" w:firstRowFirstColumn="0" w:firstRowLastColumn="0" w:lastRowFirstColumn="0" w:lastRowLastColumn="0"/>
        </w:trPr>
        <w:tc>
          <w:tcPr>
            <w:tcW w:w="1980" w:type="dxa"/>
          </w:tcPr>
          <w:p w:rsidR="00C6608F" w:rsidRPr="00C6608F" w:rsidRDefault="00C6608F" w:rsidP="00C6608F">
            <w:pPr>
              <w:pStyle w:val="Bullet"/>
              <w:numPr>
                <w:ilvl w:val="0"/>
                <w:numId w:val="0"/>
              </w:numPr>
              <w:rPr>
                <w:b/>
                <w:color w:val="FFFFFF" w:themeColor="background1"/>
              </w:rPr>
            </w:pPr>
            <w:r w:rsidRPr="00C6608F">
              <w:rPr>
                <w:b/>
                <w:color w:val="FFFFFF" w:themeColor="background1"/>
              </w:rPr>
              <w:t>Legal Condition</w:t>
            </w:r>
          </w:p>
        </w:tc>
        <w:tc>
          <w:tcPr>
            <w:tcW w:w="4770" w:type="dxa"/>
          </w:tcPr>
          <w:p w:rsidR="00C6608F" w:rsidRPr="00C6608F" w:rsidRDefault="00C6608F" w:rsidP="00C6608F">
            <w:pPr>
              <w:pStyle w:val="Bullet"/>
              <w:numPr>
                <w:ilvl w:val="0"/>
                <w:numId w:val="0"/>
              </w:numPr>
              <w:rPr>
                <w:b/>
                <w:color w:val="FFFFFF" w:themeColor="background1"/>
              </w:rPr>
            </w:pPr>
            <w:r w:rsidRPr="00C6608F">
              <w:rPr>
                <w:b/>
                <w:color w:val="FFFFFF" w:themeColor="background1"/>
              </w:rPr>
              <w:t xml:space="preserve">Legal Condition Description </w:t>
            </w:r>
          </w:p>
        </w:tc>
        <w:tc>
          <w:tcPr>
            <w:tcW w:w="2160" w:type="dxa"/>
          </w:tcPr>
          <w:p w:rsidR="00C6608F" w:rsidRPr="00C6608F" w:rsidRDefault="00C6608F" w:rsidP="00C6608F">
            <w:pPr>
              <w:pStyle w:val="Bullet"/>
              <w:numPr>
                <w:ilvl w:val="0"/>
                <w:numId w:val="0"/>
              </w:numPr>
              <w:rPr>
                <w:b/>
                <w:color w:val="FFFFFF" w:themeColor="background1"/>
              </w:rPr>
            </w:pPr>
            <w:r w:rsidRPr="00C6608F">
              <w:rPr>
                <w:b/>
                <w:color w:val="FFFFFF" w:themeColor="background1"/>
              </w:rPr>
              <w:t>Statutory Requirement</w:t>
            </w:r>
          </w:p>
        </w:tc>
      </w:tr>
      <w:tr w:rsidR="00C6608F" w:rsidTr="00C6608F">
        <w:tc>
          <w:tcPr>
            <w:tcW w:w="1980" w:type="dxa"/>
          </w:tcPr>
          <w:p w:rsidR="00C6608F" w:rsidRDefault="00C6608F" w:rsidP="00C6608F">
            <w:pPr>
              <w:pStyle w:val="Bullet"/>
              <w:numPr>
                <w:ilvl w:val="0"/>
                <w:numId w:val="0"/>
              </w:numPr>
            </w:pPr>
            <w:r>
              <w:t>Legal Condition 1</w:t>
            </w:r>
          </w:p>
        </w:tc>
        <w:tc>
          <w:tcPr>
            <w:tcW w:w="4770" w:type="dxa"/>
          </w:tcPr>
          <w:p w:rsidR="00C6608F" w:rsidRDefault="00C6608F" w:rsidP="00C6608F">
            <w:pPr>
              <w:pStyle w:val="Bullet"/>
              <w:numPr>
                <w:ilvl w:val="0"/>
                <w:numId w:val="0"/>
              </w:numPr>
            </w:pPr>
            <w:r w:rsidRPr="00C6608F">
              <w:t>FDA’s</w:t>
            </w:r>
            <w:r>
              <w:t xml:space="preserve"> …</w:t>
            </w:r>
          </w:p>
        </w:tc>
        <w:tc>
          <w:tcPr>
            <w:tcW w:w="2160" w:type="dxa"/>
          </w:tcPr>
          <w:p w:rsidR="00C6608F" w:rsidRDefault="00C6608F" w:rsidP="00C6608F">
            <w:pPr>
              <w:pStyle w:val="Bullet"/>
              <w:numPr>
                <w:ilvl w:val="0"/>
                <w:numId w:val="0"/>
              </w:numPr>
              <w:jc w:val="center"/>
            </w:pPr>
            <w:r>
              <w:t xml:space="preserve">FDARA, </w:t>
            </w:r>
            <w:r w:rsidRPr="002A5F47">
              <w:rPr>
                <w:highlight w:val="lightGray"/>
              </w:rPr>
              <w:t>______</w:t>
            </w:r>
            <w:r>
              <w:t xml:space="preserve"> X</w:t>
            </w:r>
          </w:p>
        </w:tc>
      </w:tr>
      <w:tr w:rsidR="00C6608F" w:rsidTr="00C6608F">
        <w:tc>
          <w:tcPr>
            <w:tcW w:w="1980" w:type="dxa"/>
          </w:tcPr>
          <w:p w:rsidR="00C6608F" w:rsidRDefault="00C6608F" w:rsidP="00C6608F">
            <w:pPr>
              <w:pStyle w:val="Bullet"/>
              <w:numPr>
                <w:ilvl w:val="0"/>
                <w:numId w:val="0"/>
              </w:numPr>
            </w:pPr>
            <w:r>
              <w:t>Legal Condition 2</w:t>
            </w:r>
          </w:p>
        </w:tc>
        <w:tc>
          <w:tcPr>
            <w:tcW w:w="4770" w:type="dxa"/>
          </w:tcPr>
          <w:p w:rsidR="00C6608F" w:rsidRDefault="00C6608F" w:rsidP="00C6608F">
            <w:pPr>
              <w:pStyle w:val="Bullet"/>
              <w:numPr>
                <w:ilvl w:val="0"/>
                <w:numId w:val="0"/>
              </w:numPr>
            </w:pPr>
            <w:r>
              <w:t>…</w:t>
            </w:r>
          </w:p>
        </w:tc>
        <w:tc>
          <w:tcPr>
            <w:tcW w:w="2160" w:type="dxa"/>
          </w:tcPr>
          <w:p w:rsidR="00C6608F" w:rsidRDefault="00C6608F" w:rsidP="00C6608F">
            <w:pPr>
              <w:pStyle w:val="Bullet"/>
              <w:numPr>
                <w:ilvl w:val="0"/>
                <w:numId w:val="0"/>
              </w:numPr>
              <w:jc w:val="center"/>
            </w:pPr>
            <w:r>
              <w:t>…</w:t>
            </w:r>
          </w:p>
        </w:tc>
      </w:tr>
      <w:tr w:rsidR="00C6608F" w:rsidTr="00C6608F">
        <w:tc>
          <w:tcPr>
            <w:tcW w:w="1980" w:type="dxa"/>
          </w:tcPr>
          <w:p w:rsidR="00C6608F" w:rsidRDefault="00C6608F" w:rsidP="00C6608F">
            <w:pPr>
              <w:pStyle w:val="Bullet"/>
              <w:numPr>
                <w:ilvl w:val="0"/>
                <w:numId w:val="0"/>
              </w:numPr>
            </w:pPr>
            <w:r>
              <w:t>Legal Condition 3</w:t>
            </w:r>
          </w:p>
        </w:tc>
        <w:tc>
          <w:tcPr>
            <w:tcW w:w="4770" w:type="dxa"/>
          </w:tcPr>
          <w:p w:rsidR="00C6608F" w:rsidRDefault="00C6608F" w:rsidP="00C6608F">
            <w:pPr>
              <w:pStyle w:val="Bullet"/>
              <w:numPr>
                <w:ilvl w:val="0"/>
                <w:numId w:val="0"/>
              </w:numPr>
            </w:pPr>
            <w:r>
              <w:t>…</w:t>
            </w:r>
          </w:p>
        </w:tc>
        <w:tc>
          <w:tcPr>
            <w:tcW w:w="2160" w:type="dxa"/>
          </w:tcPr>
          <w:p w:rsidR="00C6608F" w:rsidRDefault="00C6608F" w:rsidP="00C6608F">
            <w:pPr>
              <w:pStyle w:val="Bullet"/>
              <w:numPr>
                <w:ilvl w:val="0"/>
                <w:numId w:val="0"/>
              </w:numPr>
              <w:jc w:val="center"/>
            </w:pPr>
            <w:r>
              <w:t>…</w:t>
            </w:r>
          </w:p>
        </w:tc>
      </w:tr>
    </w:tbl>
    <w:p w:rsidR="00091C9B" w:rsidRDefault="003B7F2B" w:rsidP="00D338B0">
      <w:pPr>
        <w:pStyle w:val="Heading2"/>
        <w:numPr>
          <w:ilvl w:val="1"/>
          <w:numId w:val="26"/>
        </w:numPr>
        <w:ind w:left="900"/>
      </w:pPr>
      <w:r>
        <w:t xml:space="preserve">Strategic </w:t>
      </w:r>
      <w:r w:rsidR="00C909DF">
        <w:t>Plan</w:t>
      </w:r>
    </w:p>
    <w:p w:rsidR="00D338B0" w:rsidRPr="00D338B0" w:rsidRDefault="00D338B0" w:rsidP="00D338B0">
      <w:pPr>
        <w:ind w:left="547"/>
        <w:rPr>
          <w:rFonts w:asciiTheme="minorHAnsi" w:hAnsiTheme="minorHAnsi"/>
        </w:rPr>
      </w:pPr>
      <w:r w:rsidRPr="00D338B0">
        <w:rPr>
          <w:rFonts w:asciiTheme="minorHAnsi" w:hAnsiTheme="minorHAnsi"/>
        </w:rPr>
        <w:t xml:space="preserve">Strategic planning is a forward-looking management practice to establish operational priorities and align resources in support of those priorities. Review of the organization strategic goals orients the readers to the financial position in accordance with organizational priorities. </w:t>
      </w:r>
    </w:p>
    <w:p w:rsidR="00C909DF" w:rsidRDefault="00C909DF" w:rsidP="00C909DF">
      <w:pPr>
        <w:pStyle w:val="Bullet"/>
        <w:ind w:left="1350"/>
      </w:pPr>
      <w:r>
        <w:t>Strategic Goal 1, 2…X – Definition of the FDA strategic goals for the program, specifically reviewing the goal, strategy to achieving it, and basis for that target</w:t>
      </w:r>
    </w:p>
    <w:p w:rsidR="00D338B0" w:rsidRPr="00D338B0" w:rsidRDefault="00C909DF" w:rsidP="007347A0">
      <w:pPr>
        <w:pStyle w:val="Bullet"/>
        <w:ind w:left="1350"/>
      </w:pPr>
      <w:r>
        <w:t>Forward Looking Strategy – Review of future program plans, such as modernization efforts and process changes to support the achievement of the program goals in the future</w:t>
      </w:r>
    </w:p>
    <w:p w:rsidR="00091C9B" w:rsidRDefault="003B7F2B" w:rsidP="00C909DF">
      <w:pPr>
        <w:pStyle w:val="Heading2"/>
        <w:numPr>
          <w:ilvl w:val="1"/>
          <w:numId w:val="26"/>
        </w:numPr>
        <w:ind w:left="900"/>
      </w:pPr>
      <w:r>
        <w:t>Performance Summary</w:t>
      </w:r>
    </w:p>
    <w:p w:rsidR="007347A0" w:rsidRPr="007347A0" w:rsidRDefault="007347A0" w:rsidP="007347A0">
      <w:pPr>
        <w:ind w:left="547"/>
        <w:rPr>
          <w:rFonts w:asciiTheme="minorHAnsi" w:hAnsiTheme="minorHAnsi"/>
        </w:rPr>
      </w:pPr>
      <w:r w:rsidRPr="007347A0">
        <w:rPr>
          <w:rFonts w:asciiTheme="minorHAnsi" w:hAnsiTheme="minorHAnsi"/>
        </w:rPr>
        <w:t xml:space="preserve">Annual performance summary highlights the organizations operational ability to achieve the strategic goals. The performance summary provides the basis for the need for </w:t>
      </w:r>
      <w:r>
        <w:rPr>
          <w:rFonts w:asciiTheme="minorHAnsi" w:hAnsiTheme="minorHAnsi"/>
        </w:rPr>
        <w:t>funding as well as the reviews the</w:t>
      </w:r>
      <w:r w:rsidRPr="007347A0">
        <w:rPr>
          <w:rFonts w:asciiTheme="minorHAnsi" w:hAnsiTheme="minorHAnsi"/>
        </w:rPr>
        <w:t xml:space="preserve"> impact funding had on the organization’s operations. Review of performance identifies success and shortfalls in the organization’s operations, and informs stakeholders as to challenges and external variables that impact the organization. Performance indicators help shape resource priorities and strategic plans.</w:t>
      </w:r>
    </w:p>
    <w:p w:rsidR="00C6608F" w:rsidRDefault="00C6608F" w:rsidP="007347A0">
      <w:pPr>
        <w:pStyle w:val="Bullet"/>
        <w:ind w:left="1350"/>
      </w:pPr>
      <w:r>
        <w:t>Reference to Performance Report for</w:t>
      </w:r>
      <w:r w:rsidR="007347A0">
        <w:t xml:space="preserve"> further detail on</w:t>
      </w:r>
      <w:r>
        <w:t xml:space="preserve"> program accomplishments</w:t>
      </w:r>
    </w:p>
    <w:p w:rsidR="007347A0" w:rsidRDefault="007347A0" w:rsidP="007347A0">
      <w:pPr>
        <w:pStyle w:val="Bullet"/>
        <w:ind w:left="1350"/>
      </w:pPr>
      <w:r>
        <w:t xml:space="preserve">Summary table of FY </w:t>
      </w:r>
      <w:r w:rsidRPr="007347A0">
        <w:rPr>
          <w:highlight w:val="lightGray"/>
        </w:rPr>
        <w:t>20XX</w:t>
      </w:r>
      <w:r>
        <w:t xml:space="preserve"> performance:</w:t>
      </w:r>
    </w:p>
    <w:tbl>
      <w:tblPr>
        <w:tblStyle w:val="BAHTableStyle1"/>
        <w:tblW w:w="9270" w:type="dxa"/>
        <w:tblInd w:w="540" w:type="dxa"/>
        <w:tblLook w:val="04A0" w:firstRow="1" w:lastRow="0" w:firstColumn="1" w:lastColumn="0" w:noHBand="0" w:noVBand="1"/>
      </w:tblPr>
      <w:tblGrid>
        <w:gridCol w:w="2340"/>
        <w:gridCol w:w="4770"/>
        <w:gridCol w:w="2160"/>
      </w:tblGrid>
      <w:tr w:rsidR="007347A0" w:rsidTr="007347A0">
        <w:trPr>
          <w:cnfStyle w:val="100000000000" w:firstRow="1" w:lastRow="0" w:firstColumn="0" w:lastColumn="0" w:oddVBand="0" w:evenVBand="0" w:oddHBand="0" w:evenHBand="0" w:firstRowFirstColumn="0" w:firstRowLastColumn="0" w:lastRowFirstColumn="0" w:lastRowLastColumn="0"/>
        </w:trPr>
        <w:tc>
          <w:tcPr>
            <w:tcW w:w="2340" w:type="dxa"/>
          </w:tcPr>
          <w:p w:rsidR="007347A0" w:rsidRPr="00C6608F" w:rsidRDefault="007347A0" w:rsidP="007347A0">
            <w:pPr>
              <w:pStyle w:val="Bullet"/>
              <w:keepNext/>
              <w:numPr>
                <w:ilvl w:val="0"/>
                <w:numId w:val="0"/>
              </w:numPr>
              <w:rPr>
                <w:b/>
                <w:color w:val="FFFFFF" w:themeColor="background1"/>
              </w:rPr>
            </w:pPr>
            <w:r>
              <w:rPr>
                <w:b/>
                <w:color w:val="FFFFFF" w:themeColor="background1"/>
              </w:rPr>
              <w:lastRenderedPageBreak/>
              <w:t>Performance Target</w:t>
            </w:r>
          </w:p>
        </w:tc>
        <w:tc>
          <w:tcPr>
            <w:tcW w:w="4770" w:type="dxa"/>
          </w:tcPr>
          <w:p w:rsidR="007347A0" w:rsidRPr="00C6608F" w:rsidRDefault="007347A0" w:rsidP="007347A0">
            <w:pPr>
              <w:pStyle w:val="Bullet"/>
              <w:keepNext/>
              <w:numPr>
                <w:ilvl w:val="0"/>
                <w:numId w:val="0"/>
              </w:numPr>
              <w:rPr>
                <w:b/>
                <w:color w:val="FFFFFF" w:themeColor="background1"/>
              </w:rPr>
            </w:pPr>
            <w:r>
              <w:rPr>
                <w:b/>
                <w:color w:val="FFFFFF" w:themeColor="background1"/>
              </w:rPr>
              <w:t xml:space="preserve">Performance </w:t>
            </w:r>
            <w:r w:rsidRPr="00C6608F">
              <w:rPr>
                <w:b/>
                <w:color w:val="FFFFFF" w:themeColor="background1"/>
              </w:rPr>
              <w:t xml:space="preserve">Description </w:t>
            </w:r>
          </w:p>
        </w:tc>
        <w:tc>
          <w:tcPr>
            <w:tcW w:w="2160" w:type="dxa"/>
          </w:tcPr>
          <w:p w:rsidR="007347A0" w:rsidRPr="00C6608F" w:rsidRDefault="007347A0" w:rsidP="007347A0">
            <w:pPr>
              <w:pStyle w:val="Bullet"/>
              <w:keepNext/>
              <w:numPr>
                <w:ilvl w:val="0"/>
                <w:numId w:val="0"/>
              </w:numPr>
              <w:rPr>
                <w:b/>
                <w:color w:val="FFFFFF" w:themeColor="background1"/>
              </w:rPr>
            </w:pPr>
            <w:r>
              <w:rPr>
                <w:b/>
                <w:color w:val="FFFFFF" w:themeColor="background1"/>
              </w:rPr>
              <w:t>Achievement (%)</w:t>
            </w:r>
          </w:p>
        </w:tc>
      </w:tr>
      <w:tr w:rsidR="007347A0" w:rsidTr="007347A0">
        <w:tc>
          <w:tcPr>
            <w:tcW w:w="2340" w:type="dxa"/>
          </w:tcPr>
          <w:p w:rsidR="007347A0" w:rsidRDefault="007347A0" w:rsidP="007347A0">
            <w:pPr>
              <w:pStyle w:val="Bullet"/>
              <w:keepNext/>
              <w:numPr>
                <w:ilvl w:val="0"/>
                <w:numId w:val="0"/>
              </w:numPr>
            </w:pPr>
            <w:r>
              <w:t>Performance Target 1</w:t>
            </w:r>
          </w:p>
        </w:tc>
        <w:tc>
          <w:tcPr>
            <w:tcW w:w="4770" w:type="dxa"/>
          </w:tcPr>
          <w:p w:rsidR="007347A0" w:rsidRDefault="007347A0" w:rsidP="007347A0">
            <w:pPr>
              <w:pStyle w:val="Bullet"/>
              <w:keepNext/>
              <w:numPr>
                <w:ilvl w:val="0"/>
                <w:numId w:val="0"/>
              </w:numPr>
            </w:pPr>
            <w:r w:rsidRPr="00C6608F">
              <w:t>FDA’s</w:t>
            </w:r>
            <w:r>
              <w:t xml:space="preserve"> …</w:t>
            </w:r>
          </w:p>
        </w:tc>
        <w:tc>
          <w:tcPr>
            <w:tcW w:w="2160" w:type="dxa"/>
          </w:tcPr>
          <w:p w:rsidR="007347A0" w:rsidRDefault="007347A0" w:rsidP="007347A0">
            <w:pPr>
              <w:pStyle w:val="Bullet"/>
              <w:keepNext/>
              <w:numPr>
                <w:ilvl w:val="0"/>
                <w:numId w:val="0"/>
              </w:numPr>
              <w:jc w:val="center"/>
            </w:pPr>
            <w:r>
              <w:t>100% Met</w:t>
            </w:r>
          </w:p>
        </w:tc>
      </w:tr>
      <w:tr w:rsidR="007347A0" w:rsidTr="007347A0">
        <w:tc>
          <w:tcPr>
            <w:tcW w:w="2340" w:type="dxa"/>
          </w:tcPr>
          <w:p w:rsidR="007347A0" w:rsidRDefault="007347A0" w:rsidP="007347A0">
            <w:pPr>
              <w:pStyle w:val="Bullet"/>
              <w:keepNext/>
              <w:numPr>
                <w:ilvl w:val="0"/>
                <w:numId w:val="0"/>
              </w:numPr>
            </w:pPr>
            <w:r>
              <w:t>Performance Target 2</w:t>
            </w:r>
          </w:p>
        </w:tc>
        <w:tc>
          <w:tcPr>
            <w:tcW w:w="4770" w:type="dxa"/>
          </w:tcPr>
          <w:p w:rsidR="007347A0" w:rsidRDefault="007347A0" w:rsidP="007347A0">
            <w:pPr>
              <w:pStyle w:val="Bullet"/>
              <w:keepNext/>
              <w:numPr>
                <w:ilvl w:val="0"/>
                <w:numId w:val="0"/>
              </w:numPr>
            </w:pPr>
            <w:r>
              <w:t>…</w:t>
            </w:r>
          </w:p>
        </w:tc>
        <w:tc>
          <w:tcPr>
            <w:tcW w:w="2160" w:type="dxa"/>
          </w:tcPr>
          <w:p w:rsidR="007347A0" w:rsidRDefault="007347A0" w:rsidP="007347A0">
            <w:pPr>
              <w:pStyle w:val="Bullet"/>
              <w:keepNext/>
              <w:numPr>
                <w:ilvl w:val="0"/>
                <w:numId w:val="0"/>
              </w:numPr>
              <w:jc w:val="center"/>
            </w:pPr>
            <w:r>
              <w:t>…</w:t>
            </w:r>
          </w:p>
        </w:tc>
      </w:tr>
      <w:tr w:rsidR="007347A0" w:rsidTr="007347A0">
        <w:tc>
          <w:tcPr>
            <w:tcW w:w="2340" w:type="dxa"/>
          </w:tcPr>
          <w:p w:rsidR="007347A0" w:rsidRDefault="007347A0" w:rsidP="007347A0">
            <w:pPr>
              <w:pStyle w:val="Bullet"/>
              <w:keepNext/>
              <w:numPr>
                <w:ilvl w:val="0"/>
                <w:numId w:val="0"/>
              </w:numPr>
            </w:pPr>
            <w:r>
              <w:t>Performance Target 3</w:t>
            </w:r>
          </w:p>
        </w:tc>
        <w:tc>
          <w:tcPr>
            <w:tcW w:w="4770" w:type="dxa"/>
          </w:tcPr>
          <w:p w:rsidR="007347A0" w:rsidRDefault="007347A0" w:rsidP="007347A0">
            <w:pPr>
              <w:pStyle w:val="Bullet"/>
              <w:keepNext/>
              <w:numPr>
                <w:ilvl w:val="0"/>
                <w:numId w:val="0"/>
              </w:numPr>
            </w:pPr>
            <w:r>
              <w:t>…</w:t>
            </w:r>
          </w:p>
        </w:tc>
        <w:tc>
          <w:tcPr>
            <w:tcW w:w="2160" w:type="dxa"/>
          </w:tcPr>
          <w:p w:rsidR="007347A0" w:rsidRDefault="007347A0" w:rsidP="007347A0">
            <w:pPr>
              <w:pStyle w:val="Bullet"/>
              <w:keepNext/>
              <w:numPr>
                <w:ilvl w:val="0"/>
                <w:numId w:val="0"/>
              </w:numPr>
              <w:jc w:val="center"/>
            </w:pPr>
            <w:r>
              <w:t>…</w:t>
            </w:r>
          </w:p>
        </w:tc>
      </w:tr>
    </w:tbl>
    <w:p w:rsidR="007347A0" w:rsidRDefault="007347A0" w:rsidP="007347A0">
      <w:pPr>
        <w:pStyle w:val="Heading2"/>
        <w:numPr>
          <w:ilvl w:val="1"/>
          <w:numId w:val="26"/>
        </w:numPr>
        <w:ind w:left="900"/>
      </w:pPr>
      <w:r>
        <w:t>FInancial Summary</w:t>
      </w:r>
    </w:p>
    <w:p w:rsidR="007347A0" w:rsidRDefault="007347A0" w:rsidP="0024716E">
      <w:pPr>
        <w:ind w:left="547"/>
        <w:rPr>
          <w:rFonts w:asciiTheme="minorHAnsi" w:hAnsiTheme="minorHAnsi"/>
        </w:rPr>
      </w:pPr>
      <w:r w:rsidRPr="0024716E">
        <w:rPr>
          <w:rFonts w:asciiTheme="minorHAnsi" w:hAnsiTheme="minorHAnsi"/>
        </w:rPr>
        <w:t>The financial summary will review the fiscal year highlights, to introduce the program financial position in a concise way.  The financial summary will tie the operation and finan</w:t>
      </w:r>
      <w:r w:rsidR="0024716E">
        <w:rPr>
          <w:rFonts w:asciiTheme="minorHAnsi" w:hAnsiTheme="minorHAnsi"/>
        </w:rPr>
        <w:t>cial performance together by</w:t>
      </w:r>
      <w:r w:rsidRPr="0024716E">
        <w:rPr>
          <w:rFonts w:asciiTheme="minorHAnsi" w:hAnsiTheme="minorHAnsi"/>
        </w:rPr>
        <w:t xml:space="preserve"> describing the fiscal year highlights in terms of operational activities and external impacts. The financial summary will incorporate graphical depictions of</w:t>
      </w:r>
      <w:r w:rsidR="0024716E" w:rsidRPr="0024716E">
        <w:rPr>
          <w:rFonts w:asciiTheme="minorHAnsi" w:hAnsiTheme="minorHAnsi"/>
        </w:rPr>
        <w:t xml:space="preserve"> the year, to support a better</w:t>
      </w:r>
      <w:r w:rsidRPr="0024716E">
        <w:rPr>
          <w:rFonts w:asciiTheme="minorHAnsi" w:hAnsiTheme="minorHAnsi"/>
        </w:rPr>
        <w:t xml:space="preserve"> understanding </w:t>
      </w:r>
      <w:r w:rsidR="0024716E" w:rsidRPr="0024716E">
        <w:rPr>
          <w:rFonts w:asciiTheme="minorHAnsi" w:hAnsiTheme="minorHAnsi"/>
        </w:rPr>
        <w:t xml:space="preserve">of </w:t>
      </w:r>
      <w:r w:rsidRPr="0024716E">
        <w:rPr>
          <w:rFonts w:asciiTheme="minorHAnsi" w:hAnsiTheme="minorHAnsi"/>
        </w:rPr>
        <w:t xml:space="preserve">the year financially. </w:t>
      </w:r>
    </w:p>
    <w:p w:rsidR="0024716E" w:rsidRPr="0024716E" w:rsidRDefault="0024716E" w:rsidP="0024716E">
      <w:pPr>
        <w:ind w:left="547"/>
        <w:jc w:val="center"/>
        <w:rPr>
          <w:rFonts w:asciiTheme="minorHAnsi" w:hAnsiTheme="minorHAnsi"/>
        </w:rPr>
      </w:pPr>
      <w:r>
        <w:rPr>
          <w:rFonts w:asciiTheme="minorHAnsi" w:hAnsiTheme="minorHAnsi"/>
          <w:noProof/>
          <w:lang w:eastAsia="en-US"/>
        </w:rPr>
        <w:drawing>
          <wp:inline distT="0" distB="0" distL="0" distR="0" wp14:anchorId="25BE7911" wp14:editId="173734F4">
            <wp:extent cx="4457700" cy="23526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608F" w:rsidRPr="00C6608F" w:rsidRDefault="00C6608F" w:rsidP="00C6608F"/>
    <w:p w:rsidR="003B7F2B" w:rsidRPr="003B7F2B" w:rsidRDefault="00C15AFC" w:rsidP="003B7F2B">
      <w:pPr>
        <w:pStyle w:val="Heading2"/>
        <w:numPr>
          <w:ilvl w:val="0"/>
          <w:numId w:val="26"/>
        </w:numPr>
      </w:pPr>
      <w:r>
        <w:t>FInancial Information</w:t>
      </w:r>
    </w:p>
    <w:p w:rsidR="003B7F2B" w:rsidRDefault="003B7F2B" w:rsidP="0024716E">
      <w:pPr>
        <w:pStyle w:val="Heading2"/>
        <w:numPr>
          <w:ilvl w:val="1"/>
          <w:numId w:val="26"/>
        </w:numPr>
        <w:ind w:left="900"/>
      </w:pPr>
      <w:r>
        <w:t>Financial Statements</w:t>
      </w:r>
    </w:p>
    <w:p w:rsidR="0024716E" w:rsidRDefault="0024716E" w:rsidP="0024716E">
      <w:pPr>
        <w:ind w:left="547"/>
        <w:rPr>
          <w:rFonts w:asciiTheme="minorHAnsi" w:hAnsiTheme="minorHAnsi"/>
        </w:rPr>
      </w:pPr>
      <w:r>
        <w:rPr>
          <w:rFonts w:asciiTheme="minorHAnsi" w:hAnsiTheme="minorHAnsi"/>
        </w:rPr>
        <w:t xml:space="preserve">Inclusion of a summarized, unaudited, form of program financial statements. </w:t>
      </w:r>
      <w:r w:rsidRPr="0024716E">
        <w:rPr>
          <w:rFonts w:asciiTheme="minorHAnsi" w:hAnsiTheme="minorHAnsi"/>
        </w:rPr>
        <w:t xml:space="preserve">The </w:t>
      </w:r>
      <w:r>
        <w:rPr>
          <w:rFonts w:asciiTheme="minorHAnsi" w:hAnsiTheme="minorHAnsi"/>
        </w:rPr>
        <w:t>inclusion of an abbreviated form of financial statement</w:t>
      </w:r>
      <w:r w:rsidRPr="0024716E">
        <w:rPr>
          <w:rFonts w:asciiTheme="minorHAnsi" w:hAnsiTheme="minorHAnsi"/>
        </w:rPr>
        <w:t xml:space="preserve"> </w:t>
      </w:r>
      <w:r>
        <w:rPr>
          <w:rFonts w:asciiTheme="minorHAnsi" w:hAnsiTheme="minorHAnsi"/>
        </w:rPr>
        <w:t xml:space="preserve">provides the </w:t>
      </w:r>
      <w:r w:rsidRPr="0024716E">
        <w:rPr>
          <w:rFonts w:asciiTheme="minorHAnsi" w:hAnsiTheme="minorHAnsi"/>
        </w:rPr>
        <w:t>overall financial position</w:t>
      </w:r>
      <w:r>
        <w:rPr>
          <w:rFonts w:asciiTheme="minorHAnsi" w:hAnsiTheme="minorHAnsi"/>
        </w:rPr>
        <w:t xml:space="preserve"> of the program in a standard format. The</w:t>
      </w:r>
      <w:r w:rsidRPr="0024716E">
        <w:rPr>
          <w:rFonts w:asciiTheme="minorHAnsi" w:hAnsiTheme="minorHAnsi"/>
        </w:rPr>
        <w:t xml:space="preserve"> inclusion of financial statements within the UF financial reports will foster assurance that financial management and reporting is being done properly by providing a summary of information in a familiar manner. </w:t>
      </w:r>
    </w:p>
    <w:p w:rsidR="0024716E" w:rsidRDefault="0024716E" w:rsidP="0024716E">
      <w:pPr>
        <w:pStyle w:val="Bullet"/>
        <w:ind w:left="1350"/>
      </w:pPr>
      <w:r>
        <w:t>Summary of Balance Sheet</w:t>
      </w:r>
    </w:p>
    <w:p w:rsidR="0024716E" w:rsidRDefault="0024716E" w:rsidP="0024716E">
      <w:pPr>
        <w:pStyle w:val="Bullet"/>
        <w:ind w:left="1350"/>
      </w:pPr>
      <w:r>
        <w:t>Summary of Statement of Net Cost</w:t>
      </w:r>
    </w:p>
    <w:p w:rsidR="0024716E" w:rsidRDefault="0024716E" w:rsidP="0024716E">
      <w:pPr>
        <w:pStyle w:val="Bullet"/>
        <w:ind w:left="1350"/>
      </w:pPr>
      <w:r>
        <w:t>Summary of Statement of Changes in Net Position</w:t>
      </w:r>
    </w:p>
    <w:p w:rsidR="0024716E" w:rsidRPr="0024716E" w:rsidRDefault="0024716E" w:rsidP="0024716E">
      <w:pPr>
        <w:pStyle w:val="Bullet"/>
        <w:ind w:left="1350"/>
      </w:pPr>
      <w:r>
        <w:t>Summary of Statement of Budgetary Resources</w:t>
      </w:r>
    </w:p>
    <w:p w:rsidR="003B7F2B" w:rsidRDefault="003B7F2B" w:rsidP="0024716E">
      <w:pPr>
        <w:pStyle w:val="Heading2"/>
        <w:numPr>
          <w:ilvl w:val="1"/>
          <w:numId w:val="26"/>
        </w:numPr>
        <w:ind w:left="900"/>
      </w:pPr>
      <w:r>
        <w:t>Financial Analysis</w:t>
      </w:r>
    </w:p>
    <w:p w:rsidR="00B002AD" w:rsidRDefault="00336404" w:rsidP="00336404">
      <w:pPr>
        <w:ind w:left="547"/>
        <w:rPr>
          <w:rFonts w:asciiTheme="minorHAnsi" w:hAnsiTheme="minorHAnsi"/>
        </w:rPr>
      </w:pPr>
      <w:r w:rsidRPr="00336404">
        <w:rPr>
          <w:rFonts w:asciiTheme="minorHAnsi" w:hAnsiTheme="minorHAnsi"/>
        </w:rPr>
        <w:t xml:space="preserve">Financial analysis provides the contextual evaluation of the financial data, explaining the implications of the financial position and setting stakeholders expectations for the past, present, and future performance of the organization. </w:t>
      </w:r>
      <w:r w:rsidR="00B002AD">
        <w:rPr>
          <w:rFonts w:asciiTheme="minorHAnsi" w:hAnsiTheme="minorHAnsi"/>
        </w:rPr>
        <w:t>The financial analysis will incorporate financial data presentation, in addition to explanatory narrative, in the forms of graphs and charts p</w:t>
      </w:r>
      <w:r w:rsidR="00B002AD">
        <w:t xml:space="preserve">rovides a greater understanding to the financial data and position in a concise and visual way. </w:t>
      </w:r>
      <w:r w:rsidR="00B002AD">
        <w:rPr>
          <w:rFonts w:asciiTheme="minorHAnsi" w:hAnsiTheme="minorHAnsi"/>
        </w:rPr>
        <w:t xml:space="preserve"> </w:t>
      </w:r>
    </w:p>
    <w:p w:rsidR="00A57FAB" w:rsidRDefault="00A57FAB" w:rsidP="00336404">
      <w:pPr>
        <w:ind w:left="547"/>
        <w:rPr>
          <w:rFonts w:asciiTheme="minorHAnsi" w:hAnsiTheme="minorHAnsi"/>
        </w:rPr>
      </w:pPr>
    </w:p>
    <w:p w:rsidR="00336404" w:rsidRPr="00336404" w:rsidRDefault="00336404" w:rsidP="00336404">
      <w:pPr>
        <w:ind w:left="547"/>
        <w:rPr>
          <w:rFonts w:asciiTheme="minorHAnsi" w:hAnsiTheme="minorHAnsi"/>
        </w:rPr>
      </w:pPr>
      <w:r>
        <w:rPr>
          <w:rFonts w:asciiTheme="minorHAnsi" w:hAnsiTheme="minorHAnsi"/>
        </w:rPr>
        <w:lastRenderedPageBreak/>
        <w:t>Within the financial analysis each major financial component</w:t>
      </w:r>
      <w:r w:rsidR="00B002AD">
        <w:rPr>
          <w:rFonts w:asciiTheme="minorHAnsi" w:hAnsiTheme="minorHAnsi"/>
        </w:rPr>
        <w:t xml:space="preserve"> will be reviewed, leveraging the existing financial report templates for key financial components and content. The major financial components included within that financial analysis are listed below:  </w:t>
      </w:r>
    </w:p>
    <w:p w:rsidR="00C15AFC" w:rsidRDefault="009C6C44" w:rsidP="003B7F2B">
      <w:pPr>
        <w:pStyle w:val="Bullet"/>
        <w:ind w:left="1710"/>
      </w:pPr>
      <w:r>
        <w:t>User Fee Collections</w:t>
      </w:r>
    </w:p>
    <w:p w:rsidR="009C6C44" w:rsidRDefault="009C6C44" w:rsidP="003B7F2B">
      <w:pPr>
        <w:pStyle w:val="Bullet"/>
        <w:ind w:left="1710"/>
      </w:pPr>
      <w:r>
        <w:t>User Fee Obligations</w:t>
      </w:r>
    </w:p>
    <w:p w:rsidR="009C6C44" w:rsidRDefault="009C6C44" w:rsidP="003B7F2B">
      <w:pPr>
        <w:pStyle w:val="Bullet"/>
        <w:ind w:left="1710"/>
      </w:pPr>
      <w:r>
        <w:t>Carryover Balances</w:t>
      </w:r>
    </w:p>
    <w:p w:rsidR="009C6C44" w:rsidRDefault="009C6C44" w:rsidP="003B7F2B">
      <w:pPr>
        <w:pStyle w:val="Bullet"/>
        <w:ind w:left="1710"/>
      </w:pPr>
      <w:r>
        <w:t>Collections Realized</w:t>
      </w:r>
    </w:p>
    <w:p w:rsidR="009C6C44" w:rsidRDefault="009C6C44" w:rsidP="003B7F2B">
      <w:pPr>
        <w:pStyle w:val="Bullet"/>
        <w:ind w:left="1710"/>
      </w:pPr>
      <w:r>
        <w:t>Reserves and Balance Available for Allocation</w:t>
      </w:r>
    </w:p>
    <w:p w:rsidR="009C6C44" w:rsidRDefault="009C6C44" w:rsidP="003B7F2B">
      <w:pPr>
        <w:pStyle w:val="Bullet"/>
        <w:ind w:left="1710"/>
      </w:pPr>
      <w:r>
        <w:t xml:space="preserve">Total </w:t>
      </w:r>
      <w:r w:rsidRPr="00C15AFC">
        <w:rPr>
          <w:highlight w:val="lightGray"/>
        </w:rPr>
        <w:t>______</w:t>
      </w:r>
      <w:r>
        <w:t xml:space="preserve"> Program Costs</w:t>
      </w:r>
    </w:p>
    <w:p w:rsidR="009C6C44" w:rsidRDefault="009C6C44" w:rsidP="003B7F2B">
      <w:pPr>
        <w:pStyle w:val="Bullet"/>
        <w:ind w:left="1710"/>
      </w:pPr>
      <w:r>
        <w:t>Full-Time Equivalent</w:t>
      </w:r>
    </w:p>
    <w:p w:rsidR="003B7F2B" w:rsidRDefault="003B7F2B" w:rsidP="003B7F2B">
      <w:pPr>
        <w:pStyle w:val="Heading2"/>
        <w:numPr>
          <w:ilvl w:val="0"/>
          <w:numId w:val="26"/>
        </w:numPr>
      </w:pPr>
      <w:r>
        <w:t>management Assurance</w:t>
      </w:r>
    </w:p>
    <w:p w:rsidR="00AF394A" w:rsidRDefault="00AF394A" w:rsidP="00B002AD">
      <w:pPr>
        <w:pStyle w:val="Heading2"/>
        <w:numPr>
          <w:ilvl w:val="1"/>
          <w:numId w:val="26"/>
        </w:numPr>
        <w:ind w:left="900"/>
      </w:pPr>
      <w:r>
        <w:t>Risks and Challenges</w:t>
      </w:r>
    </w:p>
    <w:p w:rsidR="00B002AD" w:rsidRPr="004140D5" w:rsidRDefault="00B002AD" w:rsidP="004140D5">
      <w:pPr>
        <w:ind w:left="547"/>
        <w:rPr>
          <w:rFonts w:asciiTheme="minorHAnsi" w:hAnsiTheme="minorHAnsi"/>
        </w:rPr>
      </w:pPr>
      <w:r w:rsidRPr="00B002AD">
        <w:rPr>
          <w:rFonts w:asciiTheme="minorHAnsi" w:hAnsiTheme="minorHAnsi"/>
        </w:rPr>
        <w:t>The review of challenges and risks identifies factors that could impact the organization’s operational and financial capability and explains to stakeholders the risk level associated with those factors in terms of exposure to loss and ability to accomplish the program directives and goals. The discussion of future programmatic challenges and risks educate the stakeholders on the financial and operational obstacles the program faces, as well as sets stakeholders expectations for what to expect in upcoming year(s).</w:t>
      </w:r>
      <w:r w:rsidR="004140D5" w:rsidRPr="004140D5">
        <w:t xml:space="preserve"> </w:t>
      </w:r>
      <w:r w:rsidR="004140D5">
        <w:t>Within this section the risks and challenges will be presented by explicitly identifying operational or programmatic difficulties that may be overlooked within the context of the financial position or performance review.</w:t>
      </w:r>
    </w:p>
    <w:p w:rsidR="003B7F2B" w:rsidRDefault="003B7F2B" w:rsidP="00B002AD">
      <w:pPr>
        <w:pStyle w:val="Heading2"/>
        <w:numPr>
          <w:ilvl w:val="1"/>
          <w:numId w:val="26"/>
        </w:numPr>
        <w:ind w:left="900"/>
      </w:pPr>
      <w:r>
        <w:t xml:space="preserve">Governance </w:t>
      </w:r>
    </w:p>
    <w:p w:rsidR="004140D5" w:rsidRPr="004140D5" w:rsidRDefault="004140D5" w:rsidP="004140D5">
      <w:pPr>
        <w:ind w:left="547"/>
        <w:rPr>
          <w:rFonts w:asciiTheme="minorHAnsi" w:hAnsiTheme="minorHAnsi"/>
        </w:rPr>
      </w:pPr>
      <w:r>
        <w:rPr>
          <w:rFonts w:asciiTheme="minorHAnsi" w:hAnsiTheme="minorHAnsi"/>
        </w:rPr>
        <w:t>This section will review the</w:t>
      </w:r>
      <w:r w:rsidRPr="004140D5">
        <w:rPr>
          <w:rFonts w:asciiTheme="minorHAnsi" w:hAnsiTheme="minorHAnsi"/>
        </w:rPr>
        <w:t xml:space="preserve"> management assurances and accountability</w:t>
      </w:r>
      <w:r>
        <w:rPr>
          <w:rFonts w:asciiTheme="minorHAnsi" w:hAnsiTheme="minorHAnsi"/>
        </w:rPr>
        <w:t xml:space="preserve"> measures to ensure that the FDA and the </w:t>
      </w:r>
      <w:r w:rsidRPr="004140D5">
        <w:rPr>
          <w:rFonts w:asciiTheme="minorHAnsi" w:hAnsiTheme="minorHAnsi"/>
          <w:highlight w:val="lightGray"/>
        </w:rPr>
        <w:t>_____</w:t>
      </w:r>
      <w:r>
        <w:rPr>
          <w:rFonts w:asciiTheme="minorHAnsi" w:hAnsiTheme="minorHAnsi"/>
        </w:rPr>
        <w:t xml:space="preserve"> program </w:t>
      </w:r>
      <w:r w:rsidRPr="004140D5">
        <w:rPr>
          <w:rFonts w:asciiTheme="minorHAnsi" w:hAnsiTheme="minorHAnsi"/>
        </w:rPr>
        <w:t>effectively manage risk, maintain internal control, ensure effective delivery of services and affirm responsible stewardship of resources. Publication of the internal controls, systems and processes demonstrates to stakeholders that the program is operationally secure and responsibly handling its resources. Providing accountability reviews within us</w:t>
      </w:r>
      <w:r>
        <w:rPr>
          <w:rFonts w:asciiTheme="minorHAnsi" w:hAnsiTheme="minorHAnsi"/>
        </w:rPr>
        <w:t xml:space="preserve">er fee program financial report </w:t>
      </w:r>
      <w:r w:rsidRPr="004140D5">
        <w:rPr>
          <w:rFonts w:asciiTheme="minorHAnsi" w:hAnsiTheme="minorHAnsi"/>
        </w:rPr>
        <w:t>provides assurance to Congress and the industry that resources are secure and the program is operationally compliant which will enhance operational and building stakeholder confidence.</w:t>
      </w:r>
    </w:p>
    <w:p w:rsidR="00C15AFC" w:rsidRDefault="009C6C44" w:rsidP="00B002AD">
      <w:pPr>
        <w:pStyle w:val="Heading2"/>
        <w:numPr>
          <w:ilvl w:val="0"/>
          <w:numId w:val="26"/>
        </w:numPr>
      </w:pPr>
      <w:r>
        <w:t>Appendices</w:t>
      </w:r>
    </w:p>
    <w:p w:rsidR="00B002AD" w:rsidRDefault="00B002AD" w:rsidP="00B002AD">
      <w:pPr>
        <w:pStyle w:val="Heading2"/>
        <w:numPr>
          <w:ilvl w:val="1"/>
          <w:numId w:val="26"/>
        </w:numPr>
        <w:ind w:left="900"/>
      </w:pPr>
      <w:r>
        <w:t>Appendix A</w:t>
      </w:r>
      <w:r w:rsidR="00996E32">
        <w:t xml:space="preserve">: </w:t>
      </w:r>
      <w:r w:rsidR="00996E32" w:rsidRPr="00996E32">
        <w:rPr>
          <w:rFonts w:asciiTheme="minorHAnsi" w:hAnsiTheme="minorHAnsi"/>
        </w:rPr>
        <w:t>Conditions for Assessment and Use of Fees</w:t>
      </w:r>
    </w:p>
    <w:p w:rsidR="00C15AFC" w:rsidRPr="00996E32" w:rsidRDefault="009C6C44" w:rsidP="00996E32">
      <w:pPr>
        <w:ind w:left="547"/>
        <w:rPr>
          <w:rFonts w:asciiTheme="minorHAnsi" w:hAnsiTheme="minorHAnsi"/>
        </w:rPr>
      </w:pPr>
      <w:r w:rsidRPr="00996E32">
        <w:rPr>
          <w:rFonts w:asciiTheme="minorHAnsi" w:hAnsiTheme="minorHAnsi"/>
        </w:rPr>
        <w:t xml:space="preserve"> </w:t>
      </w:r>
      <w:r w:rsidR="00B002AD" w:rsidRPr="00996E32">
        <w:rPr>
          <w:rFonts w:asciiTheme="minorHAnsi" w:hAnsiTheme="minorHAnsi"/>
        </w:rPr>
        <w:t>Further description of legal conditions and adjustment factors</w:t>
      </w:r>
    </w:p>
    <w:p w:rsidR="00B002AD" w:rsidRDefault="009C6C44" w:rsidP="00B002AD">
      <w:pPr>
        <w:pStyle w:val="Heading2"/>
        <w:numPr>
          <w:ilvl w:val="1"/>
          <w:numId w:val="26"/>
        </w:numPr>
        <w:ind w:left="900"/>
      </w:pPr>
      <w:r w:rsidRPr="00B002AD">
        <w:t>Appendix B:</w:t>
      </w:r>
      <w:r>
        <w:t xml:space="preserve"> </w:t>
      </w:r>
      <w:r w:rsidR="00996E32" w:rsidRPr="00996E32">
        <w:rPr>
          <w:rFonts w:asciiTheme="minorHAnsi" w:hAnsiTheme="minorHAnsi"/>
        </w:rPr>
        <w:t>Fees, Waivers, and Exemptions</w:t>
      </w:r>
    </w:p>
    <w:p w:rsidR="009C6C44" w:rsidRPr="00996E32" w:rsidRDefault="00B002AD" w:rsidP="00996E32">
      <w:pPr>
        <w:ind w:left="547"/>
        <w:rPr>
          <w:rFonts w:asciiTheme="minorHAnsi" w:hAnsiTheme="minorHAnsi"/>
        </w:rPr>
      </w:pPr>
      <w:r w:rsidRPr="00996E32">
        <w:rPr>
          <w:rFonts w:asciiTheme="minorHAnsi" w:hAnsiTheme="minorHAnsi"/>
        </w:rPr>
        <w:t>Explanation of fee categories and the set fee revenues for each category</w:t>
      </w:r>
    </w:p>
    <w:p w:rsidR="00B002AD" w:rsidRDefault="003B7F2B" w:rsidP="00996E32">
      <w:pPr>
        <w:pStyle w:val="Heading2"/>
        <w:numPr>
          <w:ilvl w:val="1"/>
          <w:numId w:val="26"/>
        </w:numPr>
        <w:ind w:left="900"/>
      </w:pPr>
      <w:r>
        <w:t xml:space="preserve">Appendix C: </w:t>
      </w:r>
      <w:r w:rsidR="00996E32" w:rsidRPr="00996E32">
        <w:rPr>
          <w:rFonts w:asciiTheme="minorHAnsi" w:hAnsiTheme="minorHAnsi"/>
        </w:rPr>
        <w:t>Financial Statement Notes</w:t>
      </w:r>
    </w:p>
    <w:p w:rsidR="003B7F2B" w:rsidRPr="00996E32" w:rsidRDefault="00B002AD" w:rsidP="00996E32">
      <w:pPr>
        <w:ind w:left="547"/>
        <w:rPr>
          <w:rFonts w:asciiTheme="minorHAnsi" w:hAnsiTheme="minorHAnsi"/>
        </w:rPr>
      </w:pPr>
      <w:r w:rsidRPr="00996E32">
        <w:rPr>
          <w:rFonts w:asciiTheme="minorHAnsi" w:hAnsiTheme="minorHAnsi"/>
        </w:rPr>
        <w:t>Detail on assumptions, concepts and accounts referenced within the financial statements and financial analysis</w:t>
      </w:r>
    </w:p>
    <w:p w:rsidR="00B002AD" w:rsidRDefault="003B7F2B" w:rsidP="00996E32">
      <w:pPr>
        <w:pStyle w:val="Heading2"/>
        <w:numPr>
          <w:ilvl w:val="1"/>
          <w:numId w:val="26"/>
        </w:numPr>
        <w:ind w:left="900"/>
      </w:pPr>
      <w:r>
        <w:t>Appendix D</w:t>
      </w:r>
      <w:r w:rsidR="009C6C44">
        <w:t xml:space="preserve">: </w:t>
      </w:r>
      <w:r w:rsidR="00996E32" w:rsidRPr="00996E32">
        <w:rPr>
          <w:rFonts w:asciiTheme="minorHAnsi" w:hAnsiTheme="minorHAnsi"/>
        </w:rPr>
        <w:t>Allowable and Excluded Costs for the</w:t>
      </w:r>
      <w:r w:rsidR="00996E32">
        <w:rPr>
          <w:rFonts w:asciiTheme="minorHAnsi" w:hAnsiTheme="minorHAnsi"/>
        </w:rPr>
        <w:t xml:space="preserve"> </w:t>
      </w:r>
      <w:r w:rsidR="00996E32" w:rsidRPr="00996E32">
        <w:rPr>
          <w:rFonts w:asciiTheme="minorHAnsi" w:hAnsiTheme="minorHAnsi"/>
        </w:rPr>
        <w:t>Program</w:t>
      </w:r>
    </w:p>
    <w:p w:rsidR="009C6C44" w:rsidRPr="00996E32" w:rsidRDefault="00B002AD" w:rsidP="00996E32">
      <w:pPr>
        <w:ind w:left="547"/>
        <w:rPr>
          <w:rFonts w:asciiTheme="minorHAnsi" w:hAnsiTheme="minorHAnsi"/>
        </w:rPr>
      </w:pPr>
      <w:r w:rsidRPr="00996E32">
        <w:rPr>
          <w:rFonts w:asciiTheme="minorHAnsi" w:hAnsiTheme="minorHAnsi"/>
        </w:rPr>
        <w:t xml:space="preserve">Discussion of </w:t>
      </w:r>
      <w:r w:rsidRPr="00996E32">
        <w:rPr>
          <w:rFonts w:asciiTheme="minorHAnsi" w:hAnsiTheme="minorHAnsi"/>
          <w:highlight w:val="lightGray"/>
        </w:rPr>
        <w:t>_____</w:t>
      </w:r>
      <w:r w:rsidRPr="00996E32">
        <w:rPr>
          <w:rFonts w:asciiTheme="minorHAnsi" w:hAnsiTheme="minorHAnsi"/>
        </w:rPr>
        <w:t xml:space="preserve"> program costs, and excluded products and activities </w:t>
      </w:r>
    </w:p>
    <w:p w:rsidR="00B002AD" w:rsidRDefault="003B7F2B" w:rsidP="00996E32">
      <w:pPr>
        <w:pStyle w:val="Heading2"/>
        <w:numPr>
          <w:ilvl w:val="1"/>
          <w:numId w:val="26"/>
        </w:numPr>
        <w:ind w:left="900"/>
      </w:pPr>
      <w:r>
        <w:t>Appendix E</w:t>
      </w:r>
      <w:r w:rsidR="009C6C44">
        <w:t xml:space="preserve">: </w:t>
      </w:r>
      <w:r w:rsidR="00996E32" w:rsidRPr="00996E32">
        <w:rPr>
          <w:rFonts w:asciiTheme="minorHAnsi" w:hAnsiTheme="minorHAnsi"/>
        </w:rPr>
        <w:t>Development of Costs for the</w:t>
      </w:r>
      <w:r w:rsidR="00996E32">
        <w:rPr>
          <w:rFonts w:asciiTheme="minorHAnsi" w:hAnsiTheme="minorHAnsi"/>
        </w:rPr>
        <w:t xml:space="preserve"> </w:t>
      </w:r>
      <w:r w:rsidR="00996E32" w:rsidRPr="00996E32">
        <w:rPr>
          <w:rFonts w:asciiTheme="minorHAnsi" w:hAnsiTheme="minorHAnsi"/>
        </w:rPr>
        <w:t>Program</w:t>
      </w:r>
    </w:p>
    <w:p w:rsidR="005427AE" w:rsidRPr="00996E32" w:rsidRDefault="00B002AD" w:rsidP="00996E32">
      <w:pPr>
        <w:ind w:left="547"/>
        <w:rPr>
          <w:rFonts w:asciiTheme="minorHAnsi" w:hAnsiTheme="minorHAnsi"/>
        </w:rPr>
      </w:pPr>
      <w:r w:rsidRPr="00996E32">
        <w:rPr>
          <w:rFonts w:asciiTheme="minorHAnsi" w:hAnsiTheme="minorHAnsi"/>
        </w:rPr>
        <w:t xml:space="preserve">Discussion of the costs associated with the </w:t>
      </w:r>
      <w:r w:rsidRPr="00996E32">
        <w:rPr>
          <w:rFonts w:asciiTheme="minorHAnsi" w:hAnsiTheme="minorHAnsi"/>
          <w:highlight w:val="lightGray"/>
        </w:rPr>
        <w:t>______</w:t>
      </w:r>
      <w:r w:rsidRPr="00996E32">
        <w:rPr>
          <w:rFonts w:asciiTheme="minorHAnsi" w:hAnsiTheme="minorHAnsi"/>
        </w:rPr>
        <w:t xml:space="preserve"> program, in terms of their reliance on how on obligations attributed to CDER, CBER, ORA, and HQ. </w:t>
      </w:r>
    </w:p>
    <w:p w:rsidR="0092572F" w:rsidRDefault="0092572F" w:rsidP="005427AE"/>
    <w:p w:rsidR="00FE53F9" w:rsidRDefault="00FE53F9" w:rsidP="005427AE"/>
    <w:sectPr w:rsidR="00FE53F9" w:rsidSect="001E5C0D">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360" w:gutter="0"/>
      <w:cols w:space="720"/>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4E" w:rsidRDefault="0059114E" w:rsidP="005427AE">
      <w:r>
        <w:separator/>
      </w:r>
    </w:p>
    <w:p w:rsidR="0059114E" w:rsidRDefault="0059114E" w:rsidP="005427AE"/>
  </w:endnote>
  <w:endnote w:type="continuationSeparator" w:id="0">
    <w:p w:rsidR="0059114E" w:rsidRDefault="0059114E" w:rsidP="005427AE">
      <w:r>
        <w:continuationSeparator/>
      </w:r>
    </w:p>
    <w:p w:rsidR="0059114E" w:rsidRDefault="0059114E" w:rsidP="00542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calaSansOT">
    <w:altName w:val="Calibri"/>
    <w:charset w:val="00"/>
    <w:family w:val="auto"/>
    <w:pitch w:val="variable"/>
    <w:sig w:usb0="800000EF" w:usb1="5000E05B" w:usb2="00000000" w:usb3="00000000" w:csb0="00000001" w:csb1="00000000"/>
  </w:font>
  <w:font w:name="Knockout-HTF48-Featherweight">
    <w:altName w:val="Calibri"/>
    <w:charset w:val="00"/>
    <w:family w:val="auto"/>
    <w:pitch w:val="variable"/>
    <w:sig w:usb0="00000003" w:usb1="00000000" w:usb2="00000000" w:usb3="00000000" w:csb0="00000001" w:csb1="00000000"/>
  </w:font>
  <w:font w:name="Knockout-HTF50-Welterweight">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cala-Caps">
    <w:altName w:val="Calibri"/>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BA" w:rsidRDefault="00D348BA" w:rsidP="005427AE">
    <w:pPr>
      <w:rPr>
        <w:rStyle w:val="PageNumber"/>
      </w:rPr>
    </w:pPr>
    <w:r>
      <w:rPr>
        <w:rStyle w:val="PageNumber"/>
      </w:rPr>
      <w:fldChar w:fldCharType="begin"/>
    </w:r>
    <w:r>
      <w:rPr>
        <w:rStyle w:val="PageNumber"/>
      </w:rPr>
      <w:instrText xml:space="preserve">PAGE  </w:instrText>
    </w:r>
    <w:r>
      <w:rPr>
        <w:rStyle w:val="PageNumber"/>
      </w:rPr>
      <w:fldChar w:fldCharType="end"/>
    </w:r>
  </w:p>
  <w:p w:rsidR="00D348BA" w:rsidRDefault="00D348BA" w:rsidP="005427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A6" w:rsidRPr="00F132F5" w:rsidRDefault="00A639A6" w:rsidP="005427AE">
    <w:pPr>
      <w:rPr>
        <w:i/>
        <w:iCs/>
        <w:sz w:val="16"/>
        <w:szCs w:val="16"/>
      </w:rPr>
    </w:pPr>
    <w:r w:rsidRPr="00F132F5">
      <w:rPr>
        <w:i/>
        <w:iCs/>
        <w:sz w:val="16"/>
        <w:szCs w:val="16"/>
      </w:rPr>
      <w:t>This document is confidential and intended solely for the client to whom it is addressed.</w:t>
    </w:r>
  </w:p>
  <w:p w:rsidR="00D348BA" w:rsidRDefault="00D348BA" w:rsidP="005427AE">
    <w:r>
      <w:rPr>
        <w:noProof/>
        <w:lang w:eastAsia="en-US"/>
      </w:rPr>
      <mc:AlternateContent>
        <mc:Choice Requires="wps">
          <w:drawing>
            <wp:anchor distT="0" distB="0" distL="114300" distR="114300" simplePos="0" relativeHeight="251663360" behindDoc="0" locked="0" layoutInCell="1" allowOverlap="1" wp14:anchorId="5E00D657" wp14:editId="612BB825">
              <wp:simplePos x="0" y="0"/>
              <wp:positionH relativeFrom="rightMargin">
                <wp:posOffset>-914400</wp:posOffset>
              </wp:positionH>
              <wp:positionV relativeFrom="bottomMargin">
                <wp:posOffset>320040</wp:posOffset>
              </wp:positionV>
              <wp:extent cx="9144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F016E" w:rsidRPr="00A639A6" w:rsidRDefault="00CF016E" w:rsidP="005427AE">
                          <w:pPr>
                            <w:rPr>
                              <w:rStyle w:val="PageNumber"/>
                            </w:rPr>
                          </w:pPr>
                          <w:r w:rsidRPr="00A639A6">
                            <w:tab/>
                          </w:r>
                          <w:r w:rsidRPr="00A639A6">
                            <w:rPr>
                              <w:rStyle w:val="PageNumber"/>
                            </w:rPr>
                            <w:fldChar w:fldCharType="begin"/>
                          </w:r>
                          <w:r w:rsidRPr="00A639A6">
                            <w:rPr>
                              <w:rStyle w:val="PageNumber"/>
                            </w:rPr>
                            <w:instrText xml:space="preserve">PAGE  </w:instrText>
                          </w:r>
                          <w:r w:rsidRPr="00A639A6">
                            <w:rPr>
                              <w:rStyle w:val="PageNumber"/>
                            </w:rPr>
                            <w:fldChar w:fldCharType="separate"/>
                          </w:r>
                          <w:r w:rsidR="00A1048B">
                            <w:rPr>
                              <w:rStyle w:val="PageNumber"/>
                              <w:noProof/>
                            </w:rPr>
                            <w:t>2</w:t>
                          </w:r>
                          <w:r w:rsidRPr="00A639A6">
                            <w:rPr>
                              <w:rStyle w:val="PageNumber"/>
                            </w:rPr>
                            <w:fldChar w:fldCharType="end"/>
                          </w:r>
                        </w:p>
                        <w:p w:rsidR="00D348BA" w:rsidRPr="00A639A6" w:rsidRDefault="00D348BA" w:rsidP="00542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in;margin-top:25.2pt;width:1in;height:18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" filled="f" stroked="f">
              <v:textbox>
                <w:txbxContent>
                  <w:p w:rsidR="00CF016E" w:rsidRPr="00A639A6" w:rsidRDefault="00CF016E" w:rsidP="005427AE">
                    <w:pPr>
                      <w:rPr>
                        <w:rStyle w:val="PageNumber"/>
                      </w:rPr>
                    </w:pPr>
                    <w:r w:rsidRPr="00A639A6">
                      <w:tab/>
                    </w:r>
                    <w:r w:rsidRPr="00A639A6">
                      <w:rPr>
                        <w:rStyle w:val="PageNumber"/>
                      </w:rPr>
                      <w:fldChar w:fldCharType="begin"/>
                    </w:r>
                    <w:r w:rsidRPr="00A639A6">
                      <w:rPr>
                        <w:rStyle w:val="PageNumber"/>
                      </w:rPr>
                      <w:instrText xml:space="preserve">PAGE  </w:instrText>
                    </w:r>
                    <w:r w:rsidRPr="00A639A6">
                      <w:rPr>
                        <w:rStyle w:val="PageNumber"/>
                      </w:rPr>
                      <w:fldChar w:fldCharType="separate"/>
                    </w:r>
                    <w:r w:rsidR="00A1048B">
                      <w:rPr>
                        <w:rStyle w:val="PageNumber"/>
                        <w:noProof/>
                      </w:rPr>
                      <w:t>2</w:t>
                    </w:r>
                    <w:r w:rsidRPr="00A639A6">
                      <w:rPr>
                        <w:rStyle w:val="PageNumber"/>
                      </w:rPr>
                      <w:fldChar w:fldCharType="end"/>
                    </w:r>
                  </w:p>
                  <w:p w:rsidR="00D348BA" w:rsidRPr="00A639A6" w:rsidRDefault="00D348BA" w:rsidP="005427AE"/>
                </w:txbxContent>
              </v:textbox>
              <w10:wrap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1D" w:rsidRPr="00F132F5" w:rsidRDefault="00A1048B" w:rsidP="00B73864">
    <w:pPr>
      <w:pStyle w:val="Footer"/>
      <w:rPr>
        <w:iCs/>
        <w:sz w:val="16"/>
        <w:szCs w:val="16"/>
      </w:rPr>
    </w:pPr>
    <w:r>
      <w:fldChar w:fldCharType="begin"/>
    </w:r>
    <w:r>
      <w:instrText xml:space="preserve"> DOCPROPERTY "BAH_Classification"  \* MERGEFORMAT </w:instrText>
    </w:r>
    <w:r>
      <w:fldChar w:fldCharType="separate"/>
    </w:r>
    <w:r w:rsidR="000D3F0E">
      <w:t>Booz Allen Hamilton Internal</w:t>
    </w:r>
    <w:r>
      <w:fldChar w:fldCharType="end"/>
    </w:r>
    <w:r w:rsidR="00B73864">
      <w:tab/>
    </w:r>
    <w:r w:rsidR="00B73864" w:rsidRPr="007A1306">
      <w:rPr>
        <w:rStyle w:val="PageNumber"/>
        <w:i w:val="0"/>
      </w:rPr>
      <w:fldChar w:fldCharType="begin"/>
    </w:r>
    <w:r w:rsidR="00B73864" w:rsidRPr="007A1306">
      <w:rPr>
        <w:rStyle w:val="PageNumber"/>
        <w:i w:val="0"/>
      </w:rPr>
      <w:instrText xml:space="preserve">PAGE  </w:instrText>
    </w:r>
    <w:r w:rsidR="00B73864" w:rsidRPr="007A1306">
      <w:rPr>
        <w:rStyle w:val="PageNumber"/>
        <w:i w:val="0"/>
      </w:rPr>
      <w:fldChar w:fldCharType="separate"/>
    </w:r>
    <w:r>
      <w:rPr>
        <w:rStyle w:val="PageNumber"/>
        <w:i w:val="0"/>
        <w:noProof/>
      </w:rPr>
      <w:t>1</w:t>
    </w:r>
    <w:r w:rsidR="00B73864" w:rsidRPr="007A1306">
      <w:rPr>
        <w:rStyle w:val="PageNumber"/>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4E" w:rsidRDefault="0059114E" w:rsidP="005427AE">
      <w:r>
        <w:separator/>
      </w:r>
    </w:p>
    <w:p w:rsidR="0059114E" w:rsidRDefault="0059114E" w:rsidP="005427AE"/>
  </w:footnote>
  <w:footnote w:type="continuationSeparator" w:id="0">
    <w:p w:rsidR="0059114E" w:rsidRDefault="0059114E" w:rsidP="005427AE">
      <w:r>
        <w:continuationSeparator/>
      </w:r>
    </w:p>
    <w:p w:rsidR="0059114E" w:rsidRDefault="0059114E" w:rsidP="005427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BA" w:rsidRDefault="006425C1" w:rsidP="005427AE">
    <w:r>
      <w:rPr>
        <w:noProof/>
        <w:lang w:eastAsia="en-US"/>
      </w:rPr>
      <mc:AlternateContent>
        <mc:Choice Requires="wps">
          <w:drawing>
            <wp:anchor distT="0" distB="0" distL="114300" distR="114300" simplePos="0" relativeHeight="251665408" behindDoc="0" locked="0" layoutInCell="1" allowOverlap="1" wp14:anchorId="73C9F67E" wp14:editId="260237E3">
              <wp:simplePos x="0" y="0"/>
              <wp:positionH relativeFrom="page">
                <wp:posOffset>0</wp:posOffset>
              </wp:positionH>
              <wp:positionV relativeFrom="page">
                <wp:posOffset>0</wp:posOffset>
              </wp:positionV>
              <wp:extent cx="457200" cy="10058400"/>
              <wp:effectExtent l="0" t="0" r="0" b="0"/>
              <wp:wrapNone/>
              <wp:docPr id="1" name="Rectangle 1"/>
              <wp:cNvGraphicFramePr/>
              <a:graphic xmlns:a="http://schemas.openxmlformats.org/drawingml/2006/main">
                <a:graphicData uri="http://schemas.microsoft.com/office/word/2010/wordprocessingShape">
                  <wps:wsp>
                    <wps:cNvSpPr/>
                    <wps:spPr>
                      <a:xfrm>
                        <a:off x="0" y="0"/>
                        <a:ext cx="457200"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FC1797" id="Rectangle 1" o:spid="_x0000_s1026" style="position:absolute;margin-left:0;margin-top:0;width:36pt;height:11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" fillcolor="#5d7d95 [3204]"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1D" w:rsidRDefault="0008291D">
    <w:pPr>
      <w:pStyle w:val="Header"/>
    </w:pPr>
    <w:r>
      <w:rPr>
        <w:noProof/>
        <w:lang w:eastAsia="en-US"/>
      </w:rPr>
      <w:drawing>
        <wp:anchor distT="0" distB="0" distL="114300" distR="114300" simplePos="0" relativeHeight="251667456" behindDoc="0" locked="0" layoutInCell="1" allowOverlap="1" wp14:anchorId="22716044" wp14:editId="7286E392">
          <wp:simplePos x="0" y="0"/>
          <wp:positionH relativeFrom="margin">
            <wp:align>right</wp:align>
          </wp:positionH>
          <wp:positionV relativeFrom="page">
            <wp:posOffset>457200</wp:posOffset>
          </wp:positionV>
          <wp:extent cx="1481328" cy="16459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oz_Allen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481328" cy="164592"/>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8480" behindDoc="1" locked="0" layoutInCell="1" allowOverlap="1" wp14:anchorId="3BD55432" wp14:editId="020BDB42">
              <wp:simplePos x="0" y="0"/>
              <wp:positionH relativeFrom="page">
                <wp:posOffset>0</wp:posOffset>
              </wp:positionH>
              <wp:positionV relativeFrom="page">
                <wp:posOffset>0</wp:posOffset>
              </wp:positionV>
              <wp:extent cx="457200" cy="10058400"/>
              <wp:effectExtent l="0" t="0" r="0" b="0"/>
              <wp:wrapNone/>
              <wp:docPr id="20" name="Rectangle 20"/>
              <wp:cNvGraphicFramePr/>
              <a:graphic xmlns:a="http://schemas.openxmlformats.org/drawingml/2006/main">
                <a:graphicData uri="http://schemas.microsoft.com/office/word/2010/wordprocessingShape">
                  <wps:wsp>
                    <wps:cNvSpPr/>
                    <wps:spPr>
                      <a:xfrm>
                        <a:off x="0" y="0"/>
                        <a:ext cx="457200"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100000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28EA9E" id="Rectangle 20" o:spid="_x0000_s1026" style="position:absolute;margin-left:0;margin-top:0;width:36pt;height:11in;z-index:-251648000;visibility:visible;mso-wrap-style:square;mso-width-percent:0;mso-height-percent:1000;mso-wrap-distance-left:9pt;mso-wrap-distance-top:0;mso-wrap-distance-right:9pt;mso-wrap-distance-bottom:0;mso-position-horizontal:absolute;mso-position-horizontal-relative:page;mso-position-vertical:absolute;mso-position-vertical-relative:page;mso-width-percent:0;mso-height-percent:100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" fillcolor="#5d7d95 [3204]"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708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C29380"/>
    <w:lvl w:ilvl="0">
      <w:start w:val="1"/>
      <w:numFmt w:val="decimal"/>
      <w:lvlText w:val="%1."/>
      <w:lvlJc w:val="left"/>
      <w:pPr>
        <w:tabs>
          <w:tab w:val="num" w:pos="1800"/>
        </w:tabs>
        <w:ind w:left="1800" w:hanging="360"/>
      </w:pPr>
    </w:lvl>
  </w:abstractNum>
  <w:abstractNum w:abstractNumId="2">
    <w:nsid w:val="FFFFFF7D"/>
    <w:multiLevelType w:val="singleLevel"/>
    <w:tmpl w:val="33220182"/>
    <w:lvl w:ilvl="0">
      <w:start w:val="1"/>
      <w:numFmt w:val="decimal"/>
      <w:lvlText w:val="%1."/>
      <w:lvlJc w:val="left"/>
      <w:pPr>
        <w:tabs>
          <w:tab w:val="num" w:pos="1440"/>
        </w:tabs>
        <w:ind w:left="1440" w:hanging="360"/>
      </w:pPr>
    </w:lvl>
  </w:abstractNum>
  <w:abstractNum w:abstractNumId="3">
    <w:nsid w:val="FFFFFF7E"/>
    <w:multiLevelType w:val="singleLevel"/>
    <w:tmpl w:val="29B4566C"/>
    <w:lvl w:ilvl="0">
      <w:start w:val="1"/>
      <w:numFmt w:val="decimal"/>
      <w:lvlText w:val="%1."/>
      <w:lvlJc w:val="left"/>
      <w:pPr>
        <w:tabs>
          <w:tab w:val="num" w:pos="1080"/>
        </w:tabs>
        <w:ind w:left="1080" w:hanging="360"/>
      </w:pPr>
    </w:lvl>
  </w:abstractNum>
  <w:abstractNum w:abstractNumId="4">
    <w:nsid w:val="FFFFFF7F"/>
    <w:multiLevelType w:val="singleLevel"/>
    <w:tmpl w:val="D2ACB366"/>
    <w:lvl w:ilvl="0">
      <w:start w:val="1"/>
      <w:numFmt w:val="decimal"/>
      <w:lvlText w:val="%1."/>
      <w:lvlJc w:val="left"/>
      <w:pPr>
        <w:tabs>
          <w:tab w:val="num" w:pos="720"/>
        </w:tabs>
        <w:ind w:left="720" w:hanging="360"/>
      </w:pPr>
    </w:lvl>
  </w:abstractNum>
  <w:abstractNum w:abstractNumId="5">
    <w:nsid w:val="FFFFFF80"/>
    <w:multiLevelType w:val="singleLevel"/>
    <w:tmpl w:val="C71ACAE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52D06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494D75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702B23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34A6810"/>
    <w:lvl w:ilvl="0">
      <w:start w:val="1"/>
      <w:numFmt w:val="decimal"/>
      <w:lvlText w:val="%1."/>
      <w:lvlJc w:val="left"/>
      <w:pPr>
        <w:tabs>
          <w:tab w:val="num" w:pos="360"/>
        </w:tabs>
        <w:ind w:left="360" w:hanging="360"/>
      </w:pPr>
    </w:lvl>
  </w:abstractNum>
  <w:abstractNum w:abstractNumId="10">
    <w:nsid w:val="FFFFFF89"/>
    <w:multiLevelType w:val="singleLevel"/>
    <w:tmpl w:val="00D41602"/>
    <w:lvl w:ilvl="0">
      <w:start w:val="1"/>
      <w:numFmt w:val="bullet"/>
      <w:lvlText w:val=""/>
      <w:lvlJc w:val="left"/>
      <w:pPr>
        <w:tabs>
          <w:tab w:val="num" w:pos="360"/>
        </w:tabs>
        <w:ind w:left="360" w:hanging="360"/>
      </w:pPr>
      <w:rPr>
        <w:rFonts w:ascii="Symbol" w:hAnsi="Symbol" w:hint="default"/>
      </w:rPr>
    </w:lvl>
  </w:abstractNum>
  <w:abstractNum w:abstractNumId="11">
    <w:nsid w:val="04CF249C"/>
    <w:multiLevelType w:val="hybridMultilevel"/>
    <w:tmpl w:val="6A0228AA"/>
    <w:lvl w:ilvl="0" w:tplc="27B0DAFC">
      <w:start w:val="1"/>
      <w:numFmt w:val="bullet"/>
      <w:lvlText w:val=""/>
      <w:lvlJc w:val="left"/>
      <w:pPr>
        <w:ind w:left="720" w:hanging="360"/>
      </w:pPr>
      <w:rPr>
        <w:rFonts w:ascii="Symbol" w:hAnsi="Symbol" w:hint="default"/>
      </w:rPr>
    </w:lvl>
    <w:lvl w:ilvl="1" w:tplc="E972576A">
      <w:start w:val="1"/>
      <w:numFmt w:val="decimal"/>
      <w:lvlText w:val="(%2)"/>
      <w:lvlJc w:val="right"/>
      <w:pPr>
        <w:ind w:left="1440" w:hanging="360"/>
      </w:pPr>
      <w:rPr>
        <w:rFonts w:ascii="Arial" w:eastAsia="Calibri" w:hAnsi="Ari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642501"/>
    <w:multiLevelType w:val="hybridMultilevel"/>
    <w:tmpl w:val="B270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43043"/>
    <w:multiLevelType w:val="hybridMultilevel"/>
    <w:tmpl w:val="94563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9195E"/>
    <w:multiLevelType w:val="hybridMultilevel"/>
    <w:tmpl w:val="9BB6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7530F"/>
    <w:multiLevelType w:val="hybridMultilevel"/>
    <w:tmpl w:val="46F2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8E5044"/>
    <w:multiLevelType w:val="hybridMultilevel"/>
    <w:tmpl w:val="24E4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090371"/>
    <w:multiLevelType w:val="hybridMultilevel"/>
    <w:tmpl w:val="E3FCEB3E"/>
    <w:lvl w:ilvl="0" w:tplc="2BE8CF60">
      <w:start w:val="1"/>
      <w:numFmt w:val="bullet"/>
      <w:pStyle w:val="ListParagraph"/>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nsid w:val="55C12520"/>
    <w:multiLevelType w:val="hybridMultilevel"/>
    <w:tmpl w:val="FDB0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0138F"/>
    <w:multiLevelType w:val="hybridMultilevel"/>
    <w:tmpl w:val="BC5E02F8"/>
    <w:lvl w:ilvl="0" w:tplc="27B0DAF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700E79"/>
    <w:multiLevelType w:val="hybridMultilevel"/>
    <w:tmpl w:val="DD861AF4"/>
    <w:lvl w:ilvl="0" w:tplc="27B0DAFC">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961EF8"/>
    <w:multiLevelType w:val="hybridMultilevel"/>
    <w:tmpl w:val="700053DE"/>
    <w:lvl w:ilvl="0" w:tplc="EACAD2AE">
      <w:start w:val="1"/>
      <w:numFmt w:val="bullet"/>
      <w:pStyle w:val="CalloutBullet1"/>
      <w:lvlText w:val=""/>
      <w:lvlJc w:val="left"/>
      <w:pPr>
        <w:ind w:left="720" w:hanging="360"/>
      </w:pPr>
      <w:rPr>
        <w:rFonts w:ascii="Symbol" w:hAnsi="Symbol"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9D2CAC"/>
    <w:multiLevelType w:val="hybridMultilevel"/>
    <w:tmpl w:val="1534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B3943"/>
    <w:multiLevelType w:val="hybridMultilevel"/>
    <w:tmpl w:val="DEAE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B8311E"/>
    <w:multiLevelType w:val="hybridMultilevel"/>
    <w:tmpl w:val="17BA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C7E27"/>
    <w:multiLevelType w:val="hybridMultilevel"/>
    <w:tmpl w:val="CE40F584"/>
    <w:lvl w:ilvl="0" w:tplc="27B0DAFC">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6"/>
  </w:num>
  <w:num w:numId="4">
    <w:abstractNumId w:val="17"/>
  </w:num>
  <w:num w:numId="5">
    <w:abstractNumId w:val="23"/>
  </w:num>
  <w:num w:numId="6">
    <w:abstractNumId w:val="12"/>
  </w:num>
  <w:num w:numId="7">
    <w:abstractNumId w:val="14"/>
  </w:num>
  <w:num w:numId="8">
    <w:abstractNumId w:val="22"/>
  </w:num>
  <w:num w:numId="9">
    <w:abstractNumId w:val="15"/>
  </w:num>
  <w:num w:numId="10">
    <w:abstractNumId w:val="19"/>
  </w:num>
  <w:num w:numId="11">
    <w:abstractNumId w:val="21"/>
  </w:num>
  <w:num w:numId="12">
    <w:abstractNumId w:val="0"/>
  </w:num>
  <w:num w:numId="13">
    <w:abstractNumId w:val="1"/>
  </w:num>
  <w:num w:numId="14">
    <w:abstractNumId w:val="2"/>
  </w:num>
  <w:num w:numId="15">
    <w:abstractNumId w:val="3"/>
  </w:num>
  <w:num w:numId="16">
    <w:abstractNumId w:val="4"/>
  </w:num>
  <w:num w:numId="17">
    <w:abstractNumId w:val="9"/>
  </w:num>
  <w:num w:numId="18">
    <w:abstractNumId w:val="5"/>
  </w:num>
  <w:num w:numId="19">
    <w:abstractNumId w:val="6"/>
  </w:num>
  <w:num w:numId="20">
    <w:abstractNumId w:val="7"/>
  </w:num>
  <w:num w:numId="21">
    <w:abstractNumId w:val="8"/>
  </w:num>
  <w:num w:numId="22">
    <w:abstractNumId w:val="10"/>
  </w:num>
  <w:num w:numId="23">
    <w:abstractNumId w:val="20"/>
  </w:num>
  <w:num w:numId="24">
    <w:abstractNumId w:val="11"/>
  </w:num>
  <w:num w:numId="25">
    <w:abstractNumId w:val="25"/>
  </w:num>
  <w:num w:numId="26">
    <w:abstractNumId w:val="13"/>
  </w:num>
  <w:num w:numId="27">
    <w:abstractNumId w:val="19"/>
  </w:num>
  <w:num w:numId="28">
    <w:abstractNumId w:val="1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0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0E"/>
    <w:rsid w:val="00005ADC"/>
    <w:rsid w:val="000075FD"/>
    <w:rsid w:val="00014973"/>
    <w:rsid w:val="00014B2A"/>
    <w:rsid w:val="0003138F"/>
    <w:rsid w:val="0004571B"/>
    <w:rsid w:val="00052C1A"/>
    <w:rsid w:val="0008291D"/>
    <w:rsid w:val="0008465B"/>
    <w:rsid w:val="00091C9B"/>
    <w:rsid w:val="00095CC6"/>
    <w:rsid w:val="000A0B32"/>
    <w:rsid w:val="000A3C9C"/>
    <w:rsid w:val="000B0CC5"/>
    <w:rsid w:val="000B4B77"/>
    <w:rsid w:val="000B6C99"/>
    <w:rsid w:val="000D3937"/>
    <w:rsid w:val="000D3F0E"/>
    <w:rsid w:val="000E15D3"/>
    <w:rsid w:val="000F3D06"/>
    <w:rsid w:val="001030E8"/>
    <w:rsid w:val="00104F04"/>
    <w:rsid w:val="00120383"/>
    <w:rsid w:val="0016675F"/>
    <w:rsid w:val="00173716"/>
    <w:rsid w:val="001923CB"/>
    <w:rsid w:val="001B71B6"/>
    <w:rsid w:val="001E5C0D"/>
    <w:rsid w:val="001F040E"/>
    <w:rsid w:val="00212089"/>
    <w:rsid w:val="002314FA"/>
    <w:rsid w:val="0024716E"/>
    <w:rsid w:val="00257E7B"/>
    <w:rsid w:val="00270D2B"/>
    <w:rsid w:val="00273714"/>
    <w:rsid w:val="002754B6"/>
    <w:rsid w:val="0028405B"/>
    <w:rsid w:val="00294C4C"/>
    <w:rsid w:val="002A5F47"/>
    <w:rsid w:val="002B644F"/>
    <w:rsid w:val="002C687E"/>
    <w:rsid w:val="002D3B2B"/>
    <w:rsid w:val="003126B0"/>
    <w:rsid w:val="00315F91"/>
    <w:rsid w:val="00335020"/>
    <w:rsid w:val="00336404"/>
    <w:rsid w:val="00345646"/>
    <w:rsid w:val="003B7F2B"/>
    <w:rsid w:val="003C5053"/>
    <w:rsid w:val="003D1A73"/>
    <w:rsid w:val="00407DA4"/>
    <w:rsid w:val="004140D5"/>
    <w:rsid w:val="004231DC"/>
    <w:rsid w:val="00426BE3"/>
    <w:rsid w:val="00452141"/>
    <w:rsid w:val="00454F93"/>
    <w:rsid w:val="00456544"/>
    <w:rsid w:val="00476803"/>
    <w:rsid w:val="0048501C"/>
    <w:rsid w:val="004B7163"/>
    <w:rsid w:val="004C6C5A"/>
    <w:rsid w:val="004C7EB4"/>
    <w:rsid w:val="004E0F8C"/>
    <w:rsid w:val="004E172D"/>
    <w:rsid w:val="004E7AE9"/>
    <w:rsid w:val="005023E0"/>
    <w:rsid w:val="00512085"/>
    <w:rsid w:val="005400BE"/>
    <w:rsid w:val="005427AE"/>
    <w:rsid w:val="0058552B"/>
    <w:rsid w:val="0059018D"/>
    <w:rsid w:val="0059114E"/>
    <w:rsid w:val="0059388E"/>
    <w:rsid w:val="00593A3F"/>
    <w:rsid w:val="005E187E"/>
    <w:rsid w:val="005F2C35"/>
    <w:rsid w:val="00602B2D"/>
    <w:rsid w:val="0061290C"/>
    <w:rsid w:val="006425C1"/>
    <w:rsid w:val="0064637D"/>
    <w:rsid w:val="006467DF"/>
    <w:rsid w:val="00654A88"/>
    <w:rsid w:val="00664162"/>
    <w:rsid w:val="0067049B"/>
    <w:rsid w:val="006B1484"/>
    <w:rsid w:val="006C16ED"/>
    <w:rsid w:val="006C26A7"/>
    <w:rsid w:val="006F23BC"/>
    <w:rsid w:val="00703040"/>
    <w:rsid w:val="00705F8E"/>
    <w:rsid w:val="00723351"/>
    <w:rsid w:val="0072544B"/>
    <w:rsid w:val="00731682"/>
    <w:rsid w:val="007347A0"/>
    <w:rsid w:val="00757E8D"/>
    <w:rsid w:val="00770B08"/>
    <w:rsid w:val="00771CD6"/>
    <w:rsid w:val="0077228D"/>
    <w:rsid w:val="0077731C"/>
    <w:rsid w:val="007A1306"/>
    <w:rsid w:val="007B1CEA"/>
    <w:rsid w:val="007C51DB"/>
    <w:rsid w:val="007C72FB"/>
    <w:rsid w:val="007D03CC"/>
    <w:rsid w:val="007E23FA"/>
    <w:rsid w:val="007E5B85"/>
    <w:rsid w:val="00840EAD"/>
    <w:rsid w:val="00853C91"/>
    <w:rsid w:val="008852F4"/>
    <w:rsid w:val="008A3871"/>
    <w:rsid w:val="008C6CB4"/>
    <w:rsid w:val="008D1DD1"/>
    <w:rsid w:val="008D551D"/>
    <w:rsid w:val="008F03B8"/>
    <w:rsid w:val="008F2700"/>
    <w:rsid w:val="008F66EC"/>
    <w:rsid w:val="0090654E"/>
    <w:rsid w:val="00920644"/>
    <w:rsid w:val="0092572F"/>
    <w:rsid w:val="00927564"/>
    <w:rsid w:val="00934DFF"/>
    <w:rsid w:val="00940AD1"/>
    <w:rsid w:val="00974CA6"/>
    <w:rsid w:val="009769B2"/>
    <w:rsid w:val="00980157"/>
    <w:rsid w:val="009868B9"/>
    <w:rsid w:val="00996648"/>
    <w:rsid w:val="00996E32"/>
    <w:rsid w:val="009C6C44"/>
    <w:rsid w:val="009D5F1E"/>
    <w:rsid w:val="009D7240"/>
    <w:rsid w:val="00A01D8C"/>
    <w:rsid w:val="00A1048B"/>
    <w:rsid w:val="00A146FF"/>
    <w:rsid w:val="00A15CC6"/>
    <w:rsid w:val="00A24F57"/>
    <w:rsid w:val="00A2505A"/>
    <w:rsid w:val="00A40AB3"/>
    <w:rsid w:val="00A47D38"/>
    <w:rsid w:val="00A5066B"/>
    <w:rsid w:val="00A57FAB"/>
    <w:rsid w:val="00A60291"/>
    <w:rsid w:val="00A639A6"/>
    <w:rsid w:val="00A73FDB"/>
    <w:rsid w:val="00A76FB7"/>
    <w:rsid w:val="00A83850"/>
    <w:rsid w:val="00A84DE3"/>
    <w:rsid w:val="00AA061E"/>
    <w:rsid w:val="00AA452C"/>
    <w:rsid w:val="00AB60C4"/>
    <w:rsid w:val="00AD1AD6"/>
    <w:rsid w:val="00AD7387"/>
    <w:rsid w:val="00AE7F4D"/>
    <w:rsid w:val="00AF394A"/>
    <w:rsid w:val="00B002AD"/>
    <w:rsid w:val="00B0647A"/>
    <w:rsid w:val="00B13F7B"/>
    <w:rsid w:val="00B24855"/>
    <w:rsid w:val="00B32193"/>
    <w:rsid w:val="00B37C73"/>
    <w:rsid w:val="00B46607"/>
    <w:rsid w:val="00B52044"/>
    <w:rsid w:val="00B61C20"/>
    <w:rsid w:val="00B63AF9"/>
    <w:rsid w:val="00B7131F"/>
    <w:rsid w:val="00B73864"/>
    <w:rsid w:val="00B85BF2"/>
    <w:rsid w:val="00BA1EFB"/>
    <w:rsid w:val="00BA41CB"/>
    <w:rsid w:val="00BD7256"/>
    <w:rsid w:val="00C15AFC"/>
    <w:rsid w:val="00C6608F"/>
    <w:rsid w:val="00C714AF"/>
    <w:rsid w:val="00C77C41"/>
    <w:rsid w:val="00C80303"/>
    <w:rsid w:val="00C909DF"/>
    <w:rsid w:val="00C95BD9"/>
    <w:rsid w:val="00CA420C"/>
    <w:rsid w:val="00CE0363"/>
    <w:rsid w:val="00CE2064"/>
    <w:rsid w:val="00CE4970"/>
    <w:rsid w:val="00CF016E"/>
    <w:rsid w:val="00CF22C7"/>
    <w:rsid w:val="00CF2508"/>
    <w:rsid w:val="00D22212"/>
    <w:rsid w:val="00D338B0"/>
    <w:rsid w:val="00D348BA"/>
    <w:rsid w:val="00D35424"/>
    <w:rsid w:val="00D3622D"/>
    <w:rsid w:val="00D40ADF"/>
    <w:rsid w:val="00D6032A"/>
    <w:rsid w:val="00DC4C8E"/>
    <w:rsid w:val="00E03464"/>
    <w:rsid w:val="00E258C8"/>
    <w:rsid w:val="00E44AB1"/>
    <w:rsid w:val="00E45A40"/>
    <w:rsid w:val="00E5233D"/>
    <w:rsid w:val="00E75CAE"/>
    <w:rsid w:val="00E97787"/>
    <w:rsid w:val="00EB143B"/>
    <w:rsid w:val="00EC2C9A"/>
    <w:rsid w:val="00EF06E4"/>
    <w:rsid w:val="00EF5279"/>
    <w:rsid w:val="00F132F5"/>
    <w:rsid w:val="00F65185"/>
    <w:rsid w:val="00F85EF8"/>
    <w:rsid w:val="00FC220E"/>
    <w:rsid w:val="00FE0710"/>
    <w:rsid w:val="00FE53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uiPriority="9"/>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unhideWhenUsed="1" w:qFormat="1"/>
    <w:lsdException w:name="page number" w:unhideWhenUsed="1"/>
    <w:lsdException w:name="Title" w:semiHidden="0" w:uiPriority="10" w:qFormat="1"/>
    <w:lsdException w:name="Default Paragraph Font" w:uiPriority="1" w:unhideWhenUsed="1"/>
    <w:lsdException w:name="Body Text" w:uiPriority="0" w:unhideWhenUsed="1"/>
    <w:lsdException w:name="Body Text Indent" w:uiPriority="4"/>
    <w:lsdException w:name="Subtitle" w:uiPriority="11"/>
    <w:lsdException w:name="Body Text First Indent" w:uiPriority="4"/>
    <w:lsdException w:name="Body Text First Indent 2" w:uiPriority="4"/>
    <w:lsdException w:name="Body Text 2" w:uiPriority="4"/>
    <w:lsdException w:name="Body Text 3" w:uiPriority="4"/>
    <w:lsdException w:name="Body Text Indent 2" w:uiPriority="4"/>
    <w:lsdException w:name="Body Text Indent 3" w:uiPriority="4"/>
    <w:lsdException w:name="Block Text" w:uiPriority="4"/>
    <w:lsdException w:name="Hyperlink" w:unhideWhenUsed="1"/>
    <w:lsdException w:name="Strong" w:semiHidden="0" w:uiPriority="98" w:qFormat="1"/>
    <w:lsdException w:name="Emphasis" w:semiHidden="0" w:uiPriority="98" w:qFormat="1"/>
    <w:lsdException w:name="HTML Top of Form" w:unhideWhenUsed="1"/>
    <w:lsdException w:name="HTML Bottom of Form"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qFormat="1"/>
    <w:lsdException w:name="Bibliography" w:uiPriority="37" w:unhideWhenUsed="1"/>
    <w:lsdException w:name="TOC Heading" w:uiPriority="39" w:unhideWhenUsed="1" w:qFormat="1"/>
  </w:latentStyles>
  <w:style w:type="paragraph" w:default="1" w:styleId="Normal">
    <w:name w:val="Normal"/>
    <w:semiHidden/>
    <w:qFormat/>
    <w:rsid w:val="00B37C73"/>
    <w:rPr>
      <w:rFonts w:ascii="Calibri" w:eastAsia="Calibri" w:hAnsi="Calibri" w:cs="Arial"/>
      <w:color w:val="000000" w:themeColor="text1"/>
      <w:sz w:val="20"/>
      <w:szCs w:val="20"/>
    </w:rPr>
  </w:style>
  <w:style w:type="paragraph" w:styleId="Heading1">
    <w:name w:val="heading 1"/>
    <w:basedOn w:val="Normal"/>
    <w:next w:val="Normal"/>
    <w:link w:val="Heading1Char"/>
    <w:uiPriority w:val="9"/>
    <w:qFormat/>
    <w:rsid w:val="00FC220E"/>
    <w:pPr>
      <w:keepNext/>
      <w:keepLines/>
      <w:pBdr>
        <w:bottom w:val="single" w:sz="4" w:space="1" w:color="auto"/>
      </w:pBdr>
      <w:spacing w:before="240" w:after="120"/>
      <w:outlineLvl w:val="0"/>
    </w:pPr>
    <w:rPr>
      <w:rFonts w:ascii="Calibri Light" w:eastAsiaTheme="minorEastAsia" w:hAnsi="Calibri Light" w:cs="ScalaSansOT"/>
      <w:color w:val="AC4324" w:themeColor="accent4"/>
      <w:sz w:val="32"/>
      <w:szCs w:val="32"/>
    </w:rPr>
  </w:style>
  <w:style w:type="paragraph" w:styleId="Heading2">
    <w:name w:val="heading 2"/>
    <w:basedOn w:val="Heading3"/>
    <w:next w:val="Normal"/>
    <w:link w:val="Heading2Char"/>
    <w:uiPriority w:val="9"/>
    <w:unhideWhenUsed/>
    <w:qFormat/>
    <w:rsid w:val="00FC220E"/>
    <w:pPr>
      <w:outlineLvl w:val="1"/>
    </w:pPr>
    <w:rPr>
      <w:rFonts w:cs="Knockout-HTF48-Featherweight"/>
      <w:b w:val="0"/>
      <w:bCs w:val="0"/>
      <w:caps/>
      <w:color w:val="243646" w:themeColor="accent2"/>
      <w:spacing w:val="11"/>
    </w:rPr>
  </w:style>
  <w:style w:type="paragraph" w:styleId="Heading3">
    <w:name w:val="heading 3"/>
    <w:basedOn w:val="Normal"/>
    <w:next w:val="Normal"/>
    <w:link w:val="Heading3Char"/>
    <w:uiPriority w:val="9"/>
    <w:unhideWhenUsed/>
    <w:qFormat/>
    <w:rsid w:val="00FC220E"/>
    <w:pPr>
      <w:keepNext/>
      <w:keepLines/>
      <w:spacing w:before="240"/>
      <w:outlineLvl w:val="2"/>
    </w:pPr>
    <w:rPr>
      <w:rFonts w:eastAsiaTheme="minorEastAsia" w:cs="Knockout-HTF50-Welterweight"/>
      <w:b/>
      <w:bCs/>
      <w:color w:val="5D7D95" w:themeColor="accent1"/>
    </w:rPr>
  </w:style>
  <w:style w:type="paragraph" w:styleId="Heading4">
    <w:name w:val="heading 4"/>
    <w:basedOn w:val="Normal"/>
    <w:next w:val="Normal"/>
    <w:link w:val="Heading4Char"/>
    <w:uiPriority w:val="9"/>
    <w:unhideWhenUsed/>
    <w:qFormat/>
    <w:rsid w:val="00FC220E"/>
    <w:pPr>
      <w:keepNext/>
      <w:keepLines/>
      <w:spacing w:before="240"/>
      <w:outlineLvl w:val="3"/>
    </w:pPr>
    <w:rPr>
      <w:rFonts w:ascii="Georgia" w:eastAsiaTheme="minorEastAsia" w:hAnsi="Georgia" w:cs="Scala-Caps"/>
      <w:i/>
      <w:iCs/>
      <w:spacing w:val="14"/>
    </w:rPr>
  </w:style>
  <w:style w:type="paragraph" w:styleId="Heading5">
    <w:name w:val="heading 5"/>
    <w:basedOn w:val="Normal"/>
    <w:next w:val="Normal"/>
    <w:link w:val="Heading5Char"/>
    <w:uiPriority w:val="9"/>
    <w:unhideWhenUsed/>
    <w:qFormat/>
    <w:rsid w:val="00FC220E"/>
    <w:pPr>
      <w:keepNext/>
      <w:keepLines/>
      <w:framePr w:hSpace="187" w:vSpace="187" w:wrap="around" w:vAnchor="text" w:hAnchor="text" w:y="1"/>
      <w:tabs>
        <w:tab w:val="right" w:pos="9360"/>
      </w:tabs>
      <w:outlineLvl w:val="4"/>
    </w:pPr>
    <w:rPr>
      <w:i/>
      <w:caps/>
      <w:spacing w:val="20"/>
    </w:rPr>
  </w:style>
  <w:style w:type="paragraph" w:styleId="Heading6">
    <w:name w:val="heading 6"/>
    <w:basedOn w:val="Heading2"/>
    <w:next w:val="Normal"/>
    <w:link w:val="Heading6Char"/>
    <w:uiPriority w:val="9"/>
    <w:semiHidden/>
    <w:rsid w:val="00B24855"/>
    <w:pPr>
      <w:framePr w:hSpace="180" w:wrap="around" w:vAnchor="text" w:hAnchor="margin" w:y="151"/>
      <w:suppressOverlap/>
      <w:outlineLvl w:val="5"/>
    </w:pPr>
    <w:rPr>
      <w:i/>
      <w:iCs/>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20E"/>
    <w:rPr>
      <w:rFonts w:ascii="Calibri Light" w:hAnsi="Calibri Light" w:cs="ScalaSansOT"/>
      <w:color w:val="AC4324" w:themeColor="accent4"/>
      <w:sz w:val="32"/>
      <w:szCs w:val="32"/>
    </w:rPr>
  </w:style>
  <w:style w:type="character" w:customStyle="1" w:styleId="Heading2Char">
    <w:name w:val="Heading 2 Char"/>
    <w:basedOn w:val="DefaultParagraphFont"/>
    <w:link w:val="Heading2"/>
    <w:uiPriority w:val="9"/>
    <w:rsid w:val="00FC220E"/>
    <w:rPr>
      <w:rFonts w:ascii="Calibri" w:hAnsi="Calibri" w:cs="Knockout-HTF48-Featherweight"/>
      <w:caps/>
      <w:color w:val="243646" w:themeColor="accent2"/>
      <w:spacing w:val="11"/>
      <w:sz w:val="20"/>
      <w:szCs w:val="20"/>
    </w:rPr>
  </w:style>
  <w:style w:type="character" w:customStyle="1" w:styleId="Heading3Char">
    <w:name w:val="Heading 3 Char"/>
    <w:basedOn w:val="DefaultParagraphFont"/>
    <w:link w:val="Heading3"/>
    <w:uiPriority w:val="9"/>
    <w:rsid w:val="00FC220E"/>
    <w:rPr>
      <w:rFonts w:ascii="Calibri" w:hAnsi="Calibri" w:cs="Knockout-HTF50-Welterweight"/>
      <w:b/>
      <w:bCs/>
      <w:color w:val="5D7D95" w:themeColor="accent1"/>
      <w:sz w:val="20"/>
      <w:szCs w:val="20"/>
    </w:rPr>
  </w:style>
  <w:style w:type="character" w:customStyle="1" w:styleId="Heading4Char">
    <w:name w:val="Heading 4 Char"/>
    <w:basedOn w:val="DefaultParagraphFont"/>
    <w:link w:val="Heading4"/>
    <w:uiPriority w:val="9"/>
    <w:rsid w:val="00FC220E"/>
    <w:rPr>
      <w:rFonts w:ascii="Georgia" w:hAnsi="Georgia" w:cs="Scala-Caps"/>
      <w:i/>
      <w:iCs/>
      <w:color w:val="000000" w:themeColor="text1"/>
      <w:spacing w:val="14"/>
      <w:sz w:val="20"/>
      <w:szCs w:val="20"/>
    </w:rPr>
  </w:style>
  <w:style w:type="character" w:styleId="PageNumber">
    <w:name w:val="page number"/>
    <w:basedOn w:val="DefaultParagraphFont"/>
    <w:uiPriority w:val="99"/>
    <w:semiHidden/>
    <w:rsid w:val="00B73864"/>
    <w:rPr>
      <w:rFonts w:ascii="Georgia" w:hAnsi="Georgia"/>
      <w:b w:val="0"/>
      <w:i w:val="0"/>
      <w:sz w:val="20"/>
    </w:rPr>
  </w:style>
  <w:style w:type="table" w:styleId="TableGrid">
    <w:name w:val="Table Grid"/>
    <w:basedOn w:val="TableNormal"/>
    <w:uiPriority w:val="59"/>
    <w:rsid w:val="0066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ext bullet"/>
    <w:basedOn w:val="Normal"/>
    <w:uiPriority w:val="34"/>
    <w:semiHidden/>
    <w:qFormat/>
    <w:rsid w:val="005427AE"/>
    <w:pPr>
      <w:numPr>
        <w:numId w:val="4"/>
      </w:numPr>
      <w:contextualSpacing/>
    </w:pPr>
  </w:style>
  <w:style w:type="paragraph" w:styleId="Header">
    <w:name w:val="header"/>
    <w:basedOn w:val="Normal"/>
    <w:link w:val="HeaderChar"/>
    <w:uiPriority w:val="99"/>
    <w:semiHidden/>
    <w:rsid w:val="008F66EC"/>
    <w:pPr>
      <w:tabs>
        <w:tab w:val="center" w:pos="4680"/>
        <w:tab w:val="right" w:pos="9360"/>
      </w:tabs>
    </w:pPr>
  </w:style>
  <w:style w:type="character" w:customStyle="1" w:styleId="HeaderChar">
    <w:name w:val="Header Char"/>
    <w:basedOn w:val="DefaultParagraphFont"/>
    <w:link w:val="Header"/>
    <w:uiPriority w:val="99"/>
    <w:semiHidden/>
    <w:rsid w:val="00AE7F4D"/>
    <w:rPr>
      <w:rFonts w:ascii="Calibri" w:eastAsia="Calibri" w:hAnsi="Calibri" w:cs="Arial"/>
      <w:color w:val="000000" w:themeColor="text1"/>
      <w:sz w:val="20"/>
      <w:szCs w:val="20"/>
    </w:rPr>
  </w:style>
  <w:style w:type="paragraph" w:styleId="Footer">
    <w:name w:val="footer"/>
    <w:basedOn w:val="Normal"/>
    <w:link w:val="FooterChar"/>
    <w:uiPriority w:val="99"/>
    <w:semiHidden/>
    <w:rsid w:val="00B73864"/>
    <w:pPr>
      <w:tabs>
        <w:tab w:val="right" w:pos="9360"/>
      </w:tabs>
    </w:pPr>
    <w:rPr>
      <w:rFonts w:ascii="Georgia" w:hAnsi="Georgia"/>
      <w:i/>
      <w:sz w:val="14"/>
    </w:rPr>
  </w:style>
  <w:style w:type="character" w:customStyle="1" w:styleId="FooterChar">
    <w:name w:val="Footer Char"/>
    <w:basedOn w:val="DefaultParagraphFont"/>
    <w:link w:val="Footer"/>
    <w:uiPriority w:val="99"/>
    <w:semiHidden/>
    <w:rsid w:val="00B73864"/>
    <w:rPr>
      <w:rFonts w:ascii="Georgia" w:eastAsia="Calibri" w:hAnsi="Georgia" w:cs="Arial"/>
      <w:i/>
      <w:color w:val="000000" w:themeColor="text1"/>
      <w:sz w:val="14"/>
      <w:szCs w:val="20"/>
    </w:rPr>
  </w:style>
  <w:style w:type="character" w:customStyle="1" w:styleId="Heading5Char">
    <w:name w:val="Heading 5 Char"/>
    <w:basedOn w:val="DefaultParagraphFont"/>
    <w:link w:val="Heading5"/>
    <w:uiPriority w:val="9"/>
    <w:rsid w:val="00FC220E"/>
    <w:rPr>
      <w:rFonts w:ascii="Calibri" w:eastAsia="Calibri" w:hAnsi="Calibri" w:cs="Arial"/>
      <w:i/>
      <w:caps/>
      <w:color w:val="000000" w:themeColor="text1"/>
      <w:spacing w:val="20"/>
      <w:sz w:val="20"/>
      <w:szCs w:val="20"/>
    </w:rPr>
  </w:style>
  <w:style w:type="character" w:customStyle="1" w:styleId="Heading6Char">
    <w:name w:val="Heading 6 Char"/>
    <w:basedOn w:val="DefaultParagraphFont"/>
    <w:link w:val="Heading6"/>
    <w:uiPriority w:val="9"/>
    <w:semiHidden/>
    <w:rsid w:val="00AE7F4D"/>
    <w:rPr>
      <w:rFonts w:ascii="Calibri" w:eastAsia="Calibri" w:hAnsi="Calibri" w:cs="Arial"/>
      <w:b/>
      <w:i/>
      <w:iCs/>
      <w:caps/>
      <w:color w:val="000000" w:themeColor="text1"/>
      <w:sz w:val="20"/>
      <w:szCs w:val="20"/>
      <w14:textFill>
        <w14:solidFill>
          <w14:schemeClr w14:val="tx1">
            <w14:lumMod w14:val="85000"/>
            <w14:lumOff w14:val="15000"/>
            <w14:lumMod w14:val="85000"/>
            <w14:lumOff w14:val="15000"/>
          </w14:schemeClr>
        </w14:solidFill>
      </w14:textFill>
    </w:rPr>
  </w:style>
  <w:style w:type="character" w:styleId="Hyperlink">
    <w:name w:val="Hyperlink"/>
    <w:basedOn w:val="DefaultParagraphFont"/>
    <w:uiPriority w:val="99"/>
    <w:semiHidden/>
    <w:rsid w:val="00602B2D"/>
    <w:rPr>
      <w:color w:val="243646" w:themeColor="hyperlink"/>
      <w:u w:val="single"/>
    </w:rPr>
  </w:style>
  <w:style w:type="paragraph" w:styleId="Title">
    <w:name w:val="Title"/>
    <w:aliases w:val="Sidebar Title"/>
    <w:basedOn w:val="Normal"/>
    <w:next w:val="Normal"/>
    <w:link w:val="TitleChar"/>
    <w:uiPriority w:val="10"/>
    <w:semiHidden/>
    <w:qFormat/>
    <w:rsid w:val="00BA41CB"/>
    <w:pPr>
      <w:framePr w:wrap="around" w:hAnchor="text"/>
      <w:ind w:left="-90"/>
    </w:pPr>
    <w:rPr>
      <w:bCs/>
      <w:i/>
      <w:caps/>
    </w:rPr>
  </w:style>
  <w:style w:type="character" w:customStyle="1" w:styleId="TitleChar">
    <w:name w:val="Title Char"/>
    <w:aliases w:val="Sidebar Title Char"/>
    <w:basedOn w:val="DefaultParagraphFont"/>
    <w:link w:val="Title"/>
    <w:uiPriority w:val="10"/>
    <w:semiHidden/>
    <w:rsid w:val="00AE7F4D"/>
    <w:rPr>
      <w:rFonts w:ascii="Calibri" w:eastAsia="Calibri" w:hAnsi="Calibri" w:cs="Arial"/>
      <w:bCs/>
      <w:i/>
      <w:caps/>
      <w:color w:val="000000" w:themeColor="text1"/>
      <w:sz w:val="20"/>
      <w:szCs w:val="20"/>
    </w:rPr>
  </w:style>
  <w:style w:type="character" w:styleId="SubtleEmphasis">
    <w:name w:val="Subtle Emphasis"/>
    <w:basedOn w:val="DefaultParagraphFont"/>
    <w:uiPriority w:val="19"/>
    <w:semiHidden/>
    <w:rsid w:val="00AB60C4"/>
    <w:rPr>
      <w:i/>
      <w:iCs/>
      <w:color w:val="404040" w:themeColor="text1" w:themeTint="BF"/>
    </w:rPr>
  </w:style>
  <w:style w:type="paragraph" w:styleId="BodyText">
    <w:name w:val="Body Text"/>
    <w:basedOn w:val="Normal"/>
    <w:link w:val="BodyTextChar"/>
    <w:rsid w:val="00BD7256"/>
    <w:pPr>
      <w:widowControl w:val="0"/>
      <w:spacing w:before="240" w:after="240"/>
    </w:pPr>
    <w:rPr>
      <w:rFonts w:asciiTheme="minorHAnsi" w:eastAsia="Times New Roman" w:hAnsiTheme="minorHAnsi" w:cs="Times New Roman"/>
      <w:color w:val="auto"/>
      <w:szCs w:val="24"/>
      <w:lang w:val="en-GB" w:eastAsia="en-US"/>
    </w:rPr>
  </w:style>
  <w:style w:type="character" w:customStyle="1" w:styleId="BodyTextChar">
    <w:name w:val="Body Text Char"/>
    <w:basedOn w:val="DefaultParagraphFont"/>
    <w:link w:val="BodyText"/>
    <w:rsid w:val="00AE7F4D"/>
    <w:rPr>
      <w:rFonts w:eastAsia="Times New Roman" w:cs="Times New Roman"/>
      <w:sz w:val="20"/>
      <w:lang w:val="en-GB" w:eastAsia="en-US"/>
    </w:rPr>
  </w:style>
  <w:style w:type="paragraph" w:customStyle="1" w:styleId="Bullet">
    <w:name w:val="Bullet"/>
    <w:basedOn w:val="BodyText"/>
    <w:qFormat/>
    <w:rsid w:val="00AE7F4D"/>
    <w:pPr>
      <w:numPr>
        <w:numId w:val="10"/>
      </w:numPr>
      <w:spacing w:before="60" w:after="60"/>
    </w:pPr>
  </w:style>
  <w:style w:type="table" w:customStyle="1" w:styleId="BAHTableStyle1">
    <w:name w:val="BAH_Table_Style_1"/>
    <w:basedOn w:val="TableNormal"/>
    <w:uiPriority w:val="99"/>
    <w:rsid w:val="006467DF"/>
    <w:tblPr>
      <w:tblBorders>
        <w:bottom w:val="dotted" w:sz="4" w:space="0" w:color="D9D9D9"/>
        <w:insideH w:val="dotted" w:sz="4" w:space="0" w:color="D9D9D9"/>
      </w:tblBorders>
    </w:tblPr>
    <w:tblStylePr w:type="firstRow">
      <w:pPr>
        <w:jc w:val="center"/>
      </w:pPr>
      <w:tblPr/>
      <w:tcPr>
        <w:shd w:val="clear" w:color="auto" w:fill="5D7D95" w:themeFill="accent1"/>
        <w:vAlign w:val="center"/>
      </w:tcPr>
    </w:tblStylePr>
  </w:style>
  <w:style w:type="paragraph" w:customStyle="1" w:styleId="CalloutBullet1">
    <w:name w:val="Callout Bullet1"/>
    <w:basedOn w:val="CalloutBodyText"/>
    <w:uiPriority w:val="4"/>
    <w:qFormat/>
    <w:rsid w:val="00B85BF2"/>
    <w:pPr>
      <w:framePr w:hSpace="187" w:wrap="around" w:vAnchor="text" w:hAnchor="margin" w:xAlign="right" w:y="1"/>
      <w:numPr>
        <w:numId w:val="11"/>
      </w:numPr>
      <w:ind w:left="121" w:hanging="121"/>
      <w:suppressOverlap/>
    </w:pPr>
    <w:rPr>
      <w:szCs w:val="20"/>
    </w:rPr>
  </w:style>
  <w:style w:type="paragraph" w:customStyle="1" w:styleId="CalloutBodyText">
    <w:name w:val="Callout BodyText"/>
    <w:basedOn w:val="BodyText"/>
    <w:uiPriority w:val="4"/>
    <w:qFormat/>
    <w:rsid w:val="00B85BF2"/>
    <w:pPr>
      <w:spacing w:before="0" w:after="0"/>
    </w:pPr>
    <w:rPr>
      <w:bCs/>
      <w:color w:val="FFFFFF" w:themeColor="background1"/>
    </w:rPr>
  </w:style>
  <w:style w:type="paragraph" w:customStyle="1" w:styleId="CalloutHeading">
    <w:name w:val="Callout Heading"/>
    <w:basedOn w:val="BodyText"/>
    <w:uiPriority w:val="4"/>
    <w:qFormat/>
    <w:rsid w:val="00B85BF2"/>
    <w:pPr>
      <w:spacing w:before="20" w:after="60"/>
      <w:jc w:val="center"/>
    </w:pPr>
    <w:rPr>
      <w:b/>
      <w:bCs/>
      <w:color w:val="FFFFFF" w:themeColor="background1"/>
      <w:sz w:val="18"/>
      <w:szCs w:val="18"/>
    </w:rPr>
  </w:style>
  <w:style w:type="paragraph" w:customStyle="1" w:styleId="TableHeading2">
    <w:name w:val="Table Heading2"/>
    <w:basedOn w:val="TableHeading"/>
    <w:uiPriority w:val="2"/>
    <w:qFormat/>
    <w:rsid w:val="008F2700"/>
    <w:pPr>
      <w:jc w:val="left"/>
    </w:pPr>
  </w:style>
  <w:style w:type="paragraph" w:customStyle="1" w:styleId="TableHeading">
    <w:name w:val="Table Heading"/>
    <w:basedOn w:val="Normal"/>
    <w:uiPriority w:val="2"/>
    <w:qFormat/>
    <w:rsid w:val="00B85BF2"/>
    <w:pPr>
      <w:spacing w:before="60"/>
      <w:jc w:val="center"/>
    </w:pPr>
    <w:rPr>
      <w:rFonts w:eastAsia="Times New Roman"/>
      <w:b/>
      <w:bCs/>
      <w:color w:val="FFFFFF" w:themeColor="background1"/>
      <w:sz w:val="18"/>
      <w:szCs w:val="16"/>
      <w:lang w:eastAsia="en-US"/>
    </w:rPr>
  </w:style>
  <w:style w:type="paragraph" w:customStyle="1" w:styleId="TableBodyText">
    <w:name w:val="Table BodyText"/>
    <w:basedOn w:val="Normal"/>
    <w:uiPriority w:val="3"/>
    <w:qFormat/>
    <w:rsid w:val="00B85BF2"/>
    <w:pPr>
      <w:spacing w:before="20" w:after="20"/>
    </w:pPr>
    <w:rPr>
      <w:rFonts w:eastAsia="Times New Roman"/>
      <w:bCs/>
      <w:sz w:val="18"/>
      <w:szCs w:val="16"/>
      <w:lang w:eastAsia="en-US"/>
    </w:rPr>
  </w:style>
  <w:style w:type="table" w:customStyle="1" w:styleId="BAHTableStyleCallout">
    <w:name w:val="BAH_Table_Style_Callout"/>
    <w:basedOn w:val="TableNormal"/>
    <w:uiPriority w:val="99"/>
    <w:rsid w:val="0092572F"/>
    <w:rPr>
      <w:rFonts w:ascii="Times New Roman" w:eastAsia="Times New Roman" w:hAnsi="Times New Roman" w:cs="Times New Roman"/>
      <w:sz w:val="20"/>
      <w:szCs w:val="20"/>
      <w:lang w:eastAsia="en-US"/>
    </w:rPr>
    <w:tblPr>
      <w:tblStyleRowBandSize w:val="1"/>
      <w:tblStyleColBandSize w:val="1"/>
      <w:tblBorders>
        <w:top w:val="single" w:sz="4" w:space="0" w:color="D9D9D9"/>
        <w:left w:val="single" w:sz="4" w:space="0" w:color="D9D9D9"/>
        <w:right w:val="single" w:sz="4" w:space="0" w:color="D9D9D9"/>
      </w:tblBorders>
      <w:tblCellMar>
        <w:left w:w="43" w:type="dxa"/>
        <w:right w:w="43" w:type="dxa"/>
      </w:tblCellMar>
    </w:tblPr>
    <w:tcPr>
      <w:shd w:val="clear" w:color="auto" w:fill="5D7D95" w:themeFill="accent1"/>
    </w:tcPr>
    <w:tblStylePr w:type="firstRow">
      <w:tblPr/>
      <w:tcPr>
        <w:shd w:val="clear" w:color="auto" w:fill="5D7D95" w:themeFill="accent1"/>
      </w:tcPr>
    </w:tblStylePr>
    <w:tblStylePr w:type="lastRow">
      <w:rPr>
        <w:b/>
        <w:color w:val="F2F2F2" w:themeColor="background1" w:themeShade="F2"/>
      </w:rPr>
      <w:tblPr/>
      <w:tcPr>
        <w:shd w:val="clear" w:color="auto" w:fill="5D7D95" w:themeFill="accent1"/>
      </w:tcPr>
    </w:tblStylePr>
    <w:tblStylePr w:type="firstCol">
      <w:tblPr/>
      <w:tcPr>
        <w:shd w:val="clear" w:color="auto" w:fill="5D7D95" w:themeFill="accent1"/>
      </w:tcPr>
    </w:tblStylePr>
    <w:tblStylePr w:type="lastCol">
      <w:tblPr/>
      <w:tcPr>
        <w:shd w:val="clear" w:color="auto" w:fill="5D7D95" w:themeFill="accent1"/>
      </w:tcPr>
    </w:tblStylePr>
    <w:tblStylePr w:type="band1Horz">
      <w:tblPr/>
      <w:tcPr>
        <w:shd w:val="clear" w:color="auto" w:fill="5D7D95" w:themeFill="accent1"/>
      </w:tcPr>
    </w:tblStylePr>
    <w:tblStylePr w:type="band2Horz">
      <w:tblPr/>
      <w:tcPr>
        <w:shd w:val="clear" w:color="auto" w:fill="5D7D95" w:themeFill="accent1"/>
      </w:tcPr>
    </w:tblStylePr>
    <w:tblStylePr w:type="seCell">
      <w:rPr>
        <w:color w:val="FFFFFF" w:themeColor="background1"/>
      </w:rPr>
    </w:tblStylePr>
  </w:style>
  <w:style w:type="character" w:styleId="Emphasis">
    <w:name w:val="Emphasis"/>
    <w:basedOn w:val="DefaultParagraphFont"/>
    <w:uiPriority w:val="98"/>
    <w:qFormat/>
    <w:rsid w:val="002C687E"/>
    <w:rPr>
      <w:i/>
      <w:iCs/>
    </w:rPr>
  </w:style>
  <w:style w:type="character" w:styleId="Strong">
    <w:name w:val="Strong"/>
    <w:basedOn w:val="DefaultParagraphFont"/>
    <w:uiPriority w:val="98"/>
    <w:qFormat/>
    <w:rsid w:val="002C687E"/>
    <w:rPr>
      <w:b/>
      <w:bCs/>
    </w:rPr>
  </w:style>
  <w:style w:type="paragraph" w:customStyle="1" w:styleId="CoverClassificationBox">
    <w:name w:val="Cover ClassificationBox"/>
    <w:basedOn w:val="Normal"/>
    <w:uiPriority w:val="39"/>
    <w:rsid w:val="00840EAD"/>
    <w:pPr>
      <w:jc w:val="center"/>
    </w:pPr>
    <w:rPr>
      <w:rFonts w:eastAsiaTheme="minorEastAsia" w:cs="ScalaSansOT"/>
      <w:caps/>
      <w:color w:val="FFFFFF" w:themeColor="background1"/>
      <w:spacing w:val="20"/>
      <w:sz w:val="15"/>
      <w:szCs w:val="15"/>
    </w:rPr>
  </w:style>
  <w:style w:type="paragraph" w:customStyle="1" w:styleId="TableCaption">
    <w:name w:val="Table Caption"/>
    <w:basedOn w:val="Normal"/>
    <w:uiPriority w:val="6"/>
    <w:qFormat/>
    <w:rsid w:val="00FE53F9"/>
    <w:pPr>
      <w:keepNext/>
      <w:spacing w:before="100" w:after="40"/>
      <w:jc w:val="center"/>
    </w:pPr>
    <w:rPr>
      <w:rFonts w:ascii="Times New Roman" w:eastAsia="Times New Roman" w:hAnsi="Times New Roman" w:cs="Times New Roman"/>
      <w:b/>
      <w:bCs/>
      <w:sz w:val="24"/>
      <w:szCs w:val="24"/>
      <w:lang w:eastAsia="en-US"/>
    </w:rPr>
  </w:style>
  <w:style w:type="table" w:customStyle="1" w:styleId="BAHTableStyle2">
    <w:name w:val="BAH_Table_Style_2"/>
    <w:basedOn w:val="TableNormal"/>
    <w:uiPriority w:val="99"/>
    <w:rsid w:val="00FE53F9"/>
    <w:rPr>
      <w:rFonts w:ascii="Times New Roman" w:eastAsia="Times New Roman" w:hAnsi="Times New Roman" w:cs="Times New Roman"/>
      <w:color w:val="000000" w:themeColor="text1"/>
      <w:sz w:val="20"/>
      <w:szCs w:val="20"/>
      <w:lang w:eastAsia="en-US"/>
    </w:rPr>
    <w:tblPr>
      <w:tblStyleRowBandSize w:val="1"/>
      <w:tblCellMar>
        <w:left w:w="43" w:type="dxa"/>
        <w:right w:w="43" w:type="dxa"/>
      </w:tblCellMar>
    </w:tblPr>
    <w:tcPr>
      <w:shd w:val="clear" w:color="auto" w:fill="455D6F" w:themeFill="accent1" w:themeFillShade="BF"/>
    </w:tcPr>
    <w:tblStylePr w:type="firstRow">
      <w:tblPr/>
      <w:tcPr>
        <w:shd w:val="clear" w:color="auto" w:fill="FFFFFF" w:themeFill="background1"/>
      </w:tcPr>
    </w:tblStylePr>
    <w:tblStylePr w:type="firstCol">
      <w:tblPr/>
      <w:tcPr>
        <w:shd w:val="clear" w:color="auto" w:fill="5D7D95" w:themeFill="accent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uiPriority="9"/>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unhideWhenUsed="1" w:qFormat="1"/>
    <w:lsdException w:name="page number" w:unhideWhenUsed="1"/>
    <w:lsdException w:name="Title" w:semiHidden="0" w:uiPriority="10" w:qFormat="1"/>
    <w:lsdException w:name="Default Paragraph Font" w:uiPriority="1" w:unhideWhenUsed="1"/>
    <w:lsdException w:name="Body Text" w:uiPriority="0" w:unhideWhenUsed="1"/>
    <w:lsdException w:name="Body Text Indent" w:uiPriority="4"/>
    <w:lsdException w:name="Subtitle" w:uiPriority="11"/>
    <w:lsdException w:name="Body Text First Indent" w:uiPriority="4"/>
    <w:lsdException w:name="Body Text First Indent 2" w:uiPriority="4"/>
    <w:lsdException w:name="Body Text 2" w:uiPriority="4"/>
    <w:lsdException w:name="Body Text 3" w:uiPriority="4"/>
    <w:lsdException w:name="Body Text Indent 2" w:uiPriority="4"/>
    <w:lsdException w:name="Body Text Indent 3" w:uiPriority="4"/>
    <w:lsdException w:name="Block Text" w:uiPriority="4"/>
    <w:lsdException w:name="Hyperlink" w:unhideWhenUsed="1"/>
    <w:lsdException w:name="Strong" w:semiHidden="0" w:uiPriority="98" w:qFormat="1"/>
    <w:lsdException w:name="Emphasis" w:semiHidden="0" w:uiPriority="98" w:qFormat="1"/>
    <w:lsdException w:name="HTML Top of Form" w:unhideWhenUsed="1"/>
    <w:lsdException w:name="HTML Bottom of Form"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qFormat="1"/>
    <w:lsdException w:name="Bibliography" w:uiPriority="37" w:unhideWhenUsed="1"/>
    <w:lsdException w:name="TOC Heading" w:uiPriority="39" w:unhideWhenUsed="1" w:qFormat="1"/>
  </w:latentStyles>
  <w:style w:type="paragraph" w:default="1" w:styleId="Normal">
    <w:name w:val="Normal"/>
    <w:semiHidden/>
    <w:qFormat/>
    <w:rsid w:val="00B37C73"/>
    <w:rPr>
      <w:rFonts w:ascii="Calibri" w:eastAsia="Calibri" w:hAnsi="Calibri" w:cs="Arial"/>
      <w:color w:val="000000" w:themeColor="text1"/>
      <w:sz w:val="20"/>
      <w:szCs w:val="20"/>
    </w:rPr>
  </w:style>
  <w:style w:type="paragraph" w:styleId="Heading1">
    <w:name w:val="heading 1"/>
    <w:basedOn w:val="Normal"/>
    <w:next w:val="Normal"/>
    <w:link w:val="Heading1Char"/>
    <w:uiPriority w:val="9"/>
    <w:qFormat/>
    <w:rsid w:val="00FC220E"/>
    <w:pPr>
      <w:keepNext/>
      <w:keepLines/>
      <w:pBdr>
        <w:bottom w:val="single" w:sz="4" w:space="1" w:color="auto"/>
      </w:pBdr>
      <w:spacing w:before="240" w:after="120"/>
      <w:outlineLvl w:val="0"/>
    </w:pPr>
    <w:rPr>
      <w:rFonts w:ascii="Calibri Light" w:eastAsiaTheme="minorEastAsia" w:hAnsi="Calibri Light" w:cs="ScalaSansOT"/>
      <w:color w:val="AC4324" w:themeColor="accent4"/>
      <w:sz w:val="32"/>
      <w:szCs w:val="32"/>
    </w:rPr>
  </w:style>
  <w:style w:type="paragraph" w:styleId="Heading2">
    <w:name w:val="heading 2"/>
    <w:basedOn w:val="Heading3"/>
    <w:next w:val="Normal"/>
    <w:link w:val="Heading2Char"/>
    <w:uiPriority w:val="9"/>
    <w:unhideWhenUsed/>
    <w:qFormat/>
    <w:rsid w:val="00FC220E"/>
    <w:pPr>
      <w:outlineLvl w:val="1"/>
    </w:pPr>
    <w:rPr>
      <w:rFonts w:cs="Knockout-HTF48-Featherweight"/>
      <w:b w:val="0"/>
      <w:bCs w:val="0"/>
      <w:caps/>
      <w:color w:val="243646" w:themeColor="accent2"/>
      <w:spacing w:val="11"/>
    </w:rPr>
  </w:style>
  <w:style w:type="paragraph" w:styleId="Heading3">
    <w:name w:val="heading 3"/>
    <w:basedOn w:val="Normal"/>
    <w:next w:val="Normal"/>
    <w:link w:val="Heading3Char"/>
    <w:uiPriority w:val="9"/>
    <w:unhideWhenUsed/>
    <w:qFormat/>
    <w:rsid w:val="00FC220E"/>
    <w:pPr>
      <w:keepNext/>
      <w:keepLines/>
      <w:spacing w:before="240"/>
      <w:outlineLvl w:val="2"/>
    </w:pPr>
    <w:rPr>
      <w:rFonts w:eastAsiaTheme="minorEastAsia" w:cs="Knockout-HTF50-Welterweight"/>
      <w:b/>
      <w:bCs/>
      <w:color w:val="5D7D95" w:themeColor="accent1"/>
    </w:rPr>
  </w:style>
  <w:style w:type="paragraph" w:styleId="Heading4">
    <w:name w:val="heading 4"/>
    <w:basedOn w:val="Normal"/>
    <w:next w:val="Normal"/>
    <w:link w:val="Heading4Char"/>
    <w:uiPriority w:val="9"/>
    <w:unhideWhenUsed/>
    <w:qFormat/>
    <w:rsid w:val="00FC220E"/>
    <w:pPr>
      <w:keepNext/>
      <w:keepLines/>
      <w:spacing w:before="240"/>
      <w:outlineLvl w:val="3"/>
    </w:pPr>
    <w:rPr>
      <w:rFonts w:ascii="Georgia" w:eastAsiaTheme="minorEastAsia" w:hAnsi="Georgia" w:cs="Scala-Caps"/>
      <w:i/>
      <w:iCs/>
      <w:spacing w:val="14"/>
    </w:rPr>
  </w:style>
  <w:style w:type="paragraph" w:styleId="Heading5">
    <w:name w:val="heading 5"/>
    <w:basedOn w:val="Normal"/>
    <w:next w:val="Normal"/>
    <w:link w:val="Heading5Char"/>
    <w:uiPriority w:val="9"/>
    <w:unhideWhenUsed/>
    <w:qFormat/>
    <w:rsid w:val="00FC220E"/>
    <w:pPr>
      <w:keepNext/>
      <w:keepLines/>
      <w:framePr w:hSpace="187" w:vSpace="187" w:wrap="around" w:vAnchor="text" w:hAnchor="text" w:y="1"/>
      <w:tabs>
        <w:tab w:val="right" w:pos="9360"/>
      </w:tabs>
      <w:outlineLvl w:val="4"/>
    </w:pPr>
    <w:rPr>
      <w:i/>
      <w:caps/>
      <w:spacing w:val="20"/>
    </w:rPr>
  </w:style>
  <w:style w:type="paragraph" w:styleId="Heading6">
    <w:name w:val="heading 6"/>
    <w:basedOn w:val="Heading2"/>
    <w:next w:val="Normal"/>
    <w:link w:val="Heading6Char"/>
    <w:uiPriority w:val="9"/>
    <w:semiHidden/>
    <w:rsid w:val="00B24855"/>
    <w:pPr>
      <w:framePr w:hSpace="180" w:wrap="around" w:vAnchor="text" w:hAnchor="margin" w:y="151"/>
      <w:suppressOverlap/>
      <w:outlineLvl w:val="5"/>
    </w:pPr>
    <w:rPr>
      <w:i/>
      <w:iCs/>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20E"/>
    <w:rPr>
      <w:rFonts w:ascii="Calibri Light" w:hAnsi="Calibri Light" w:cs="ScalaSansOT"/>
      <w:color w:val="AC4324" w:themeColor="accent4"/>
      <w:sz w:val="32"/>
      <w:szCs w:val="32"/>
    </w:rPr>
  </w:style>
  <w:style w:type="character" w:customStyle="1" w:styleId="Heading2Char">
    <w:name w:val="Heading 2 Char"/>
    <w:basedOn w:val="DefaultParagraphFont"/>
    <w:link w:val="Heading2"/>
    <w:uiPriority w:val="9"/>
    <w:rsid w:val="00FC220E"/>
    <w:rPr>
      <w:rFonts w:ascii="Calibri" w:hAnsi="Calibri" w:cs="Knockout-HTF48-Featherweight"/>
      <w:caps/>
      <w:color w:val="243646" w:themeColor="accent2"/>
      <w:spacing w:val="11"/>
      <w:sz w:val="20"/>
      <w:szCs w:val="20"/>
    </w:rPr>
  </w:style>
  <w:style w:type="character" w:customStyle="1" w:styleId="Heading3Char">
    <w:name w:val="Heading 3 Char"/>
    <w:basedOn w:val="DefaultParagraphFont"/>
    <w:link w:val="Heading3"/>
    <w:uiPriority w:val="9"/>
    <w:rsid w:val="00FC220E"/>
    <w:rPr>
      <w:rFonts w:ascii="Calibri" w:hAnsi="Calibri" w:cs="Knockout-HTF50-Welterweight"/>
      <w:b/>
      <w:bCs/>
      <w:color w:val="5D7D95" w:themeColor="accent1"/>
      <w:sz w:val="20"/>
      <w:szCs w:val="20"/>
    </w:rPr>
  </w:style>
  <w:style w:type="character" w:customStyle="1" w:styleId="Heading4Char">
    <w:name w:val="Heading 4 Char"/>
    <w:basedOn w:val="DefaultParagraphFont"/>
    <w:link w:val="Heading4"/>
    <w:uiPriority w:val="9"/>
    <w:rsid w:val="00FC220E"/>
    <w:rPr>
      <w:rFonts w:ascii="Georgia" w:hAnsi="Georgia" w:cs="Scala-Caps"/>
      <w:i/>
      <w:iCs/>
      <w:color w:val="000000" w:themeColor="text1"/>
      <w:spacing w:val="14"/>
      <w:sz w:val="20"/>
      <w:szCs w:val="20"/>
    </w:rPr>
  </w:style>
  <w:style w:type="character" w:styleId="PageNumber">
    <w:name w:val="page number"/>
    <w:basedOn w:val="DefaultParagraphFont"/>
    <w:uiPriority w:val="99"/>
    <w:semiHidden/>
    <w:rsid w:val="00B73864"/>
    <w:rPr>
      <w:rFonts w:ascii="Georgia" w:hAnsi="Georgia"/>
      <w:b w:val="0"/>
      <w:i w:val="0"/>
      <w:sz w:val="20"/>
    </w:rPr>
  </w:style>
  <w:style w:type="table" w:styleId="TableGrid">
    <w:name w:val="Table Grid"/>
    <w:basedOn w:val="TableNormal"/>
    <w:uiPriority w:val="59"/>
    <w:rsid w:val="0066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ext bullet"/>
    <w:basedOn w:val="Normal"/>
    <w:uiPriority w:val="34"/>
    <w:semiHidden/>
    <w:qFormat/>
    <w:rsid w:val="005427AE"/>
    <w:pPr>
      <w:numPr>
        <w:numId w:val="4"/>
      </w:numPr>
      <w:contextualSpacing/>
    </w:pPr>
  </w:style>
  <w:style w:type="paragraph" w:styleId="Header">
    <w:name w:val="header"/>
    <w:basedOn w:val="Normal"/>
    <w:link w:val="HeaderChar"/>
    <w:uiPriority w:val="99"/>
    <w:semiHidden/>
    <w:rsid w:val="008F66EC"/>
    <w:pPr>
      <w:tabs>
        <w:tab w:val="center" w:pos="4680"/>
        <w:tab w:val="right" w:pos="9360"/>
      </w:tabs>
    </w:pPr>
  </w:style>
  <w:style w:type="character" w:customStyle="1" w:styleId="HeaderChar">
    <w:name w:val="Header Char"/>
    <w:basedOn w:val="DefaultParagraphFont"/>
    <w:link w:val="Header"/>
    <w:uiPriority w:val="99"/>
    <w:semiHidden/>
    <w:rsid w:val="00AE7F4D"/>
    <w:rPr>
      <w:rFonts w:ascii="Calibri" w:eastAsia="Calibri" w:hAnsi="Calibri" w:cs="Arial"/>
      <w:color w:val="000000" w:themeColor="text1"/>
      <w:sz w:val="20"/>
      <w:szCs w:val="20"/>
    </w:rPr>
  </w:style>
  <w:style w:type="paragraph" w:styleId="Footer">
    <w:name w:val="footer"/>
    <w:basedOn w:val="Normal"/>
    <w:link w:val="FooterChar"/>
    <w:uiPriority w:val="99"/>
    <w:semiHidden/>
    <w:rsid w:val="00B73864"/>
    <w:pPr>
      <w:tabs>
        <w:tab w:val="right" w:pos="9360"/>
      </w:tabs>
    </w:pPr>
    <w:rPr>
      <w:rFonts w:ascii="Georgia" w:hAnsi="Georgia"/>
      <w:i/>
      <w:sz w:val="14"/>
    </w:rPr>
  </w:style>
  <w:style w:type="character" w:customStyle="1" w:styleId="FooterChar">
    <w:name w:val="Footer Char"/>
    <w:basedOn w:val="DefaultParagraphFont"/>
    <w:link w:val="Footer"/>
    <w:uiPriority w:val="99"/>
    <w:semiHidden/>
    <w:rsid w:val="00B73864"/>
    <w:rPr>
      <w:rFonts w:ascii="Georgia" w:eastAsia="Calibri" w:hAnsi="Georgia" w:cs="Arial"/>
      <w:i/>
      <w:color w:val="000000" w:themeColor="text1"/>
      <w:sz w:val="14"/>
      <w:szCs w:val="20"/>
    </w:rPr>
  </w:style>
  <w:style w:type="character" w:customStyle="1" w:styleId="Heading5Char">
    <w:name w:val="Heading 5 Char"/>
    <w:basedOn w:val="DefaultParagraphFont"/>
    <w:link w:val="Heading5"/>
    <w:uiPriority w:val="9"/>
    <w:rsid w:val="00FC220E"/>
    <w:rPr>
      <w:rFonts w:ascii="Calibri" w:eastAsia="Calibri" w:hAnsi="Calibri" w:cs="Arial"/>
      <w:i/>
      <w:caps/>
      <w:color w:val="000000" w:themeColor="text1"/>
      <w:spacing w:val="20"/>
      <w:sz w:val="20"/>
      <w:szCs w:val="20"/>
    </w:rPr>
  </w:style>
  <w:style w:type="character" w:customStyle="1" w:styleId="Heading6Char">
    <w:name w:val="Heading 6 Char"/>
    <w:basedOn w:val="DefaultParagraphFont"/>
    <w:link w:val="Heading6"/>
    <w:uiPriority w:val="9"/>
    <w:semiHidden/>
    <w:rsid w:val="00AE7F4D"/>
    <w:rPr>
      <w:rFonts w:ascii="Calibri" w:eastAsia="Calibri" w:hAnsi="Calibri" w:cs="Arial"/>
      <w:b/>
      <w:i/>
      <w:iCs/>
      <w:caps/>
      <w:color w:val="000000" w:themeColor="text1"/>
      <w:sz w:val="20"/>
      <w:szCs w:val="20"/>
      <w14:textFill>
        <w14:solidFill>
          <w14:schemeClr w14:val="tx1">
            <w14:lumMod w14:val="85000"/>
            <w14:lumOff w14:val="15000"/>
            <w14:lumMod w14:val="85000"/>
            <w14:lumOff w14:val="15000"/>
          </w14:schemeClr>
        </w14:solidFill>
      </w14:textFill>
    </w:rPr>
  </w:style>
  <w:style w:type="character" w:styleId="Hyperlink">
    <w:name w:val="Hyperlink"/>
    <w:basedOn w:val="DefaultParagraphFont"/>
    <w:uiPriority w:val="99"/>
    <w:semiHidden/>
    <w:rsid w:val="00602B2D"/>
    <w:rPr>
      <w:color w:val="243646" w:themeColor="hyperlink"/>
      <w:u w:val="single"/>
    </w:rPr>
  </w:style>
  <w:style w:type="paragraph" w:styleId="Title">
    <w:name w:val="Title"/>
    <w:aliases w:val="Sidebar Title"/>
    <w:basedOn w:val="Normal"/>
    <w:next w:val="Normal"/>
    <w:link w:val="TitleChar"/>
    <w:uiPriority w:val="10"/>
    <w:semiHidden/>
    <w:qFormat/>
    <w:rsid w:val="00BA41CB"/>
    <w:pPr>
      <w:framePr w:wrap="around" w:hAnchor="text"/>
      <w:ind w:left="-90"/>
    </w:pPr>
    <w:rPr>
      <w:bCs/>
      <w:i/>
      <w:caps/>
    </w:rPr>
  </w:style>
  <w:style w:type="character" w:customStyle="1" w:styleId="TitleChar">
    <w:name w:val="Title Char"/>
    <w:aliases w:val="Sidebar Title Char"/>
    <w:basedOn w:val="DefaultParagraphFont"/>
    <w:link w:val="Title"/>
    <w:uiPriority w:val="10"/>
    <w:semiHidden/>
    <w:rsid w:val="00AE7F4D"/>
    <w:rPr>
      <w:rFonts w:ascii="Calibri" w:eastAsia="Calibri" w:hAnsi="Calibri" w:cs="Arial"/>
      <w:bCs/>
      <w:i/>
      <w:caps/>
      <w:color w:val="000000" w:themeColor="text1"/>
      <w:sz w:val="20"/>
      <w:szCs w:val="20"/>
    </w:rPr>
  </w:style>
  <w:style w:type="character" w:styleId="SubtleEmphasis">
    <w:name w:val="Subtle Emphasis"/>
    <w:basedOn w:val="DefaultParagraphFont"/>
    <w:uiPriority w:val="19"/>
    <w:semiHidden/>
    <w:rsid w:val="00AB60C4"/>
    <w:rPr>
      <w:i/>
      <w:iCs/>
      <w:color w:val="404040" w:themeColor="text1" w:themeTint="BF"/>
    </w:rPr>
  </w:style>
  <w:style w:type="paragraph" w:styleId="BodyText">
    <w:name w:val="Body Text"/>
    <w:basedOn w:val="Normal"/>
    <w:link w:val="BodyTextChar"/>
    <w:rsid w:val="00BD7256"/>
    <w:pPr>
      <w:widowControl w:val="0"/>
      <w:spacing w:before="240" w:after="240"/>
    </w:pPr>
    <w:rPr>
      <w:rFonts w:asciiTheme="minorHAnsi" w:eastAsia="Times New Roman" w:hAnsiTheme="minorHAnsi" w:cs="Times New Roman"/>
      <w:color w:val="auto"/>
      <w:szCs w:val="24"/>
      <w:lang w:val="en-GB" w:eastAsia="en-US"/>
    </w:rPr>
  </w:style>
  <w:style w:type="character" w:customStyle="1" w:styleId="BodyTextChar">
    <w:name w:val="Body Text Char"/>
    <w:basedOn w:val="DefaultParagraphFont"/>
    <w:link w:val="BodyText"/>
    <w:rsid w:val="00AE7F4D"/>
    <w:rPr>
      <w:rFonts w:eastAsia="Times New Roman" w:cs="Times New Roman"/>
      <w:sz w:val="20"/>
      <w:lang w:val="en-GB" w:eastAsia="en-US"/>
    </w:rPr>
  </w:style>
  <w:style w:type="paragraph" w:customStyle="1" w:styleId="Bullet">
    <w:name w:val="Bullet"/>
    <w:basedOn w:val="BodyText"/>
    <w:qFormat/>
    <w:rsid w:val="00AE7F4D"/>
    <w:pPr>
      <w:numPr>
        <w:numId w:val="10"/>
      </w:numPr>
      <w:spacing w:before="60" w:after="60"/>
    </w:pPr>
  </w:style>
  <w:style w:type="table" w:customStyle="1" w:styleId="BAHTableStyle1">
    <w:name w:val="BAH_Table_Style_1"/>
    <w:basedOn w:val="TableNormal"/>
    <w:uiPriority w:val="99"/>
    <w:rsid w:val="006467DF"/>
    <w:tblPr>
      <w:tblBorders>
        <w:bottom w:val="dotted" w:sz="4" w:space="0" w:color="D9D9D9"/>
        <w:insideH w:val="dotted" w:sz="4" w:space="0" w:color="D9D9D9"/>
      </w:tblBorders>
    </w:tblPr>
    <w:tblStylePr w:type="firstRow">
      <w:pPr>
        <w:jc w:val="center"/>
      </w:pPr>
      <w:tblPr/>
      <w:tcPr>
        <w:shd w:val="clear" w:color="auto" w:fill="5D7D95" w:themeFill="accent1"/>
        <w:vAlign w:val="center"/>
      </w:tcPr>
    </w:tblStylePr>
  </w:style>
  <w:style w:type="paragraph" w:customStyle="1" w:styleId="CalloutBullet1">
    <w:name w:val="Callout Bullet1"/>
    <w:basedOn w:val="CalloutBodyText"/>
    <w:uiPriority w:val="4"/>
    <w:qFormat/>
    <w:rsid w:val="00B85BF2"/>
    <w:pPr>
      <w:framePr w:hSpace="187" w:wrap="around" w:vAnchor="text" w:hAnchor="margin" w:xAlign="right" w:y="1"/>
      <w:numPr>
        <w:numId w:val="11"/>
      </w:numPr>
      <w:ind w:left="121" w:hanging="121"/>
      <w:suppressOverlap/>
    </w:pPr>
    <w:rPr>
      <w:szCs w:val="20"/>
    </w:rPr>
  </w:style>
  <w:style w:type="paragraph" w:customStyle="1" w:styleId="CalloutBodyText">
    <w:name w:val="Callout BodyText"/>
    <w:basedOn w:val="BodyText"/>
    <w:uiPriority w:val="4"/>
    <w:qFormat/>
    <w:rsid w:val="00B85BF2"/>
    <w:pPr>
      <w:spacing w:before="0" w:after="0"/>
    </w:pPr>
    <w:rPr>
      <w:bCs/>
      <w:color w:val="FFFFFF" w:themeColor="background1"/>
    </w:rPr>
  </w:style>
  <w:style w:type="paragraph" w:customStyle="1" w:styleId="CalloutHeading">
    <w:name w:val="Callout Heading"/>
    <w:basedOn w:val="BodyText"/>
    <w:uiPriority w:val="4"/>
    <w:qFormat/>
    <w:rsid w:val="00B85BF2"/>
    <w:pPr>
      <w:spacing w:before="20" w:after="60"/>
      <w:jc w:val="center"/>
    </w:pPr>
    <w:rPr>
      <w:b/>
      <w:bCs/>
      <w:color w:val="FFFFFF" w:themeColor="background1"/>
      <w:sz w:val="18"/>
      <w:szCs w:val="18"/>
    </w:rPr>
  </w:style>
  <w:style w:type="paragraph" w:customStyle="1" w:styleId="TableHeading2">
    <w:name w:val="Table Heading2"/>
    <w:basedOn w:val="TableHeading"/>
    <w:uiPriority w:val="2"/>
    <w:qFormat/>
    <w:rsid w:val="008F2700"/>
    <w:pPr>
      <w:jc w:val="left"/>
    </w:pPr>
  </w:style>
  <w:style w:type="paragraph" w:customStyle="1" w:styleId="TableHeading">
    <w:name w:val="Table Heading"/>
    <w:basedOn w:val="Normal"/>
    <w:uiPriority w:val="2"/>
    <w:qFormat/>
    <w:rsid w:val="00B85BF2"/>
    <w:pPr>
      <w:spacing w:before="60"/>
      <w:jc w:val="center"/>
    </w:pPr>
    <w:rPr>
      <w:rFonts w:eastAsia="Times New Roman"/>
      <w:b/>
      <w:bCs/>
      <w:color w:val="FFFFFF" w:themeColor="background1"/>
      <w:sz w:val="18"/>
      <w:szCs w:val="16"/>
      <w:lang w:eastAsia="en-US"/>
    </w:rPr>
  </w:style>
  <w:style w:type="paragraph" w:customStyle="1" w:styleId="TableBodyText">
    <w:name w:val="Table BodyText"/>
    <w:basedOn w:val="Normal"/>
    <w:uiPriority w:val="3"/>
    <w:qFormat/>
    <w:rsid w:val="00B85BF2"/>
    <w:pPr>
      <w:spacing w:before="20" w:after="20"/>
    </w:pPr>
    <w:rPr>
      <w:rFonts w:eastAsia="Times New Roman"/>
      <w:bCs/>
      <w:sz w:val="18"/>
      <w:szCs w:val="16"/>
      <w:lang w:eastAsia="en-US"/>
    </w:rPr>
  </w:style>
  <w:style w:type="table" w:customStyle="1" w:styleId="BAHTableStyleCallout">
    <w:name w:val="BAH_Table_Style_Callout"/>
    <w:basedOn w:val="TableNormal"/>
    <w:uiPriority w:val="99"/>
    <w:rsid w:val="0092572F"/>
    <w:rPr>
      <w:rFonts w:ascii="Times New Roman" w:eastAsia="Times New Roman" w:hAnsi="Times New Roman" w:cs="Times New Roman"/>
      <w:sz w:val="20"/>
      <w:szCs w:val="20"/>
      <w:lang w:eastAsia="en-US"/>
    </w:rPr>
    <w:tblPr>
      <w:tblStyleRowBandSize w:val="1"/>
      <w:tblStyleColBandSize w:val="1"/>
      <w:tblBorders>
        <w:top w:val="single" w:sz="4" w:space="0" w:color="D9D9D9"/>
        <w:left w:val="single" w:sz="4" w:space="0" w:color="D9D9D9"/>
        <w:right w:val="single" w:sz="4" w:space="0" w:color="D9D9D9"/>
      </w:tblBorders>
      <w:tblCellMar>
        <w:left w:w="43" w:type="dxa"/>
        <w:right w:w="43" w:type="dxa"/>
      </w:tblCellMar>
    </w:tblPr>
    <w:tcPr>
      <w:shd w:val="clear" w:color="auto" w:fill="5D7D95" w:themeFill="accent1"/>
    </w:tcPr>
    <w:tblStylePr w:type="firstRow">
      <w:tblPr/>
      <w:tcPr>
        <w:shd w:val="clear" w:color="auto" w:fill="5D7D95" w:themeFill="accent1"/>
      </w:tcPr>
    </w:tblStylePr>
    <w:tblStylePr w:type="lastRow">
      <w:rPr>
        <w:b/>
        <w:color w:val="F2F2F2" w:themeColor="background1" w:themeShade="F2"/>
      </w:rPr>
      <w:tblPr/>
      <w:tcPr>
        <w:shd w:val="clear" w:color="auto" w:fill="5D7D95" w:themeFill="accent1"/>
      </w:tcPr>
    </w:tblStylePr>
    <w:tblStylePr w:type="firstCol">
      <w:tblPr/>
      <w:tcPr>
        <w:shd w:val="clear" w:color="auto" w:fill="5D7D95" w:themeFill="accent1"/>
      </w:tcPr>
    </w:tblStylePr>
    <w:tblStylePr w:type="lastCol">
      <w:tblPr/>
      <w:tcPr>
        <w:shd w:val="clear" w:color="auto" w:fill="5D7D95" w:themeFill="accent1"/>
      </w:tcPr>
    </w:tblStylePr>
    <w:tblStylePr w:type="band1Horz">
      <w:tblPr/>
      <w:tcPr>
        <w:shd w:val="clear" w:color="auto" w:fill="5D7D95" w:themeFill="accent1"/>
      </w:tcPr>
    </w:tblStylePr>
    <w:tblStylePr w:type="band2Horz">
      <w:tblPr/>
      <w:tcPr>
        <w:shd w:val="clear" w:color="auto" w:fill="5D7D95" w:themeFill="accent1"/>
      </w:tcPr>
    </w:tblStylePr>
    <w:tblStylePr w:type="seCell">
      <w:rPr>
        <w:color w:val="FFFFFF" w:themeColor="background1"/>
      </w:rPr>
    </w:tblStylePr>
  </w:style>
  <w:style w:type="character" w:styleId="Emphasis">
    <w:name w:val="Emphasis"/>
    <w:basedOn w:val="DefaultParagraphFont"/>
    <w:uiPriority w:val="98"/>
    <w:qFormat/>
    <w:rsid w:val="002C687E"/>
    <w:rPr>
      <w:i/>
      <w:iCs/>
    </w:rPr>
  </w:style>
  <w:style w:type="character" w:styleId="Strong">
    <w:name w:val="Strong"/>
    <w:basedOn w:val="DefaultParagraphFont"/>
    <w:uiPriority w:val="98"/>
    <w:qFormat/>
    <w:rsid w:val="002C687E"/>
    <w:rPr>
      <w:b/>
      <w:bCs/>
    </w:rPr>
  </w:style>
  <w:style w:type="paragraph" w:customStyle="1" w:styleId="CoverClassificationBox">
    <w:name w:val="Cover ClassificationBox"/>
    <w:basedOn w:val="Normal"/>
    <w:uiPriority w:val="39"/>
    <w:rsid w:val="00840EAD"/>
    <w:pPr>
      <w:jc w:val="center"/>
    </w:pPr>
    <w:rPr>
      <w:rFonts w:eastAsiaTheme="minorEastAsia" w:cs="ScalaSansOT"/>
      <w:caps/>
      <w:color w:val="FFFFFF" w:themeColor="background1"/>
      <w:spacing w:val="20"/>
      <w:sz w:val="15"/>
      <w:szCs w:val="15"/>
    </w:rPr>
  </w:style>
  <w:style w:type="paragraph" w:customStyle="1" w:styleId="TableCaption">
    <w:name w:val="Table Caption"/>
    <w:basedOn w:val="Normal"/>
    <w:uiPriority w:val="6"/>
    <w:qFormat/>
    <w:rsid w:val="00FE53F9"/>
    <w:pPr>
      <w:keepNext/>
      <w:spacing w:before="100" w:after="40"/>
      <w:jc w:val="center"/>
    </w:pPr>
    <w:rPr>
      <w:rFonts w:ascii="Times New Roman" w:eastAsia="Times New Roman" w:hAnsi="Times New Roman" w:cs="Times New Roman"/>
      <w:b/>
      <w:bCs/>
      <w:sz w:val="24"/>
      <w:szCs w:val="24"/>
      <w:lang w:eastAsia="en-US"/>
    </w:rPr>
  </w:style>
  <w:style w:type="table" w:customStyle="1" w:styleId="BAHTableStyle2">
    <w:name w:val="BAH_Table_Style_2"/>
    <w:basedOn w:val="TableNormal"/>
    <w:uiPriority w:val="99"/>
    <w:rsid w:val="00FE53F9"/>
    <w:rPr>
      <w:rFonts w:ascii="Times New Roman" w:eastAsia="Times New Roman" w:hAnsi="Times New Roman" w:cs="Times New Roman"/>
      <w:color w:val="000000" w:themeColor="text1"/>
      <w:sz w:val="20"/>
      <w:szCs w:val="20"/>
      <w:lang w:eastAsia="en-US"/>
    </w:rPr>
    <w:tblPr>
      <w:tblStyleRowBandSize w:val="1"/>
      <w:tblCellMar>
        <w:left w:w="43" w:type="dxa"/>
        <w:right w:w="43" w:type="dxa"/>
      </w:tblCellMar>
    </w:tblPr>
    <w:tcPr>
      <w:shd w:val="clear" w:color="auto" w:fill="455D6F" w:themeFill="accent1" w:themeFillShade="BF"/>
    </w:tcPr>
    <w:tblStylePr w:type="firstRow">
      <w:tblPr/>
      <w:tcPr>
        <w:shd w:val="clear" w:color="auto" w:fill="FFFFFF" w:themeFill="background1"/>
      </w:tcPr>
    </w:tblStylePr>
    <w:tblStylePr w:type="firstCol">
      <w:tblPr/>
      <w:tcPr>
        <w:shd w:val="clear" w:color="auto" w:fill="5D7D95" w:themeFill="accent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6145">
      <w:bodyDiv w:val="1"/>
      <w:marLeft w:val="0"/>
      <w:marRight w:val="0"/>
      <w:marTop w:val="0"/>
      <w:marBottom w:val="0"/>
      <w:divBdr>
        <w:top w:val="none" w:sz="0" w:space="0" w:color="auto"/>
        <w:left w:val="none" w:sz="0" w:space="0" w:color="auto"/>
        <w:bottom w:val="none" w:sz="0" w:space="0" w:color="auto"/>
        <w:right w:val="none" w:sz="0" w:space="0" w:color="auto"/>
      </w:divBdr>
    </w:div>
    <w:div w:id="643243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ozAllen\Enterprise%20Templates\Memo_US.dotx"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20XX</a:t>
            </a:r>
            <a:r>
              <a:rPr lang="en-US" baseline="0"/>
              <a:t> Financial Summary</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Collections</c:v>
                </c:pt>
                <c:pt idx="1">
                  <c:v>Obligations</c:v>
                </c:pt>
                <c:pt idx="2">
                  <c:v>Program Costs</c:v>
                </c:pt>
                <c:pt idx="3">
                  <c:v>Carryover</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4AD7-4CAE-A88C-D64AAD2B3F9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Collections</c:v>
                </c:pt>
                <c:pt idx="1">
                  <c:v>Obligations</c:v>
                </c:pt>
                <c:pt idx="2">
                  <c:v>Program Costs</c:v>
                </c:pt>
                <c:pt idx="3">
                  <c:v>Carryover</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4AD7-4CAE-A88C-D64AAD2B3F9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Collections</c:v>
                </c:pt>
                <c:pt idx="1">
                  <c:v>Obligations</c:v>
                </c:pt>
                <c:pt idx="2">
                  <c:v>Program Costs</c:v>
                </c:pt>
                <c:pt idx="3">
                  <c:v>Carryover</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4AD7-4CAE-A88C-D64AAD2B3F93}"/>
            </c:ext>
          </c:extLst>
        </c:ser>
        <c:dLbls>
          <c:showLegendKey val="0"/>
          <c:showVal val="0"/>
          <c:showCatName val="0"/>
          <c:showSerName val="0"/>
          <c:showPercent val="0"/>
          <c:showBubbleSize val="0"/>
        </c:dLbls>
        <c:gapWidth val="219"/>
        <c:overlap val="-27"/>
        <c:axId val="36153984"/>
        <c:axId val="36168064"/>
      </c:barChart>
      <c:catAx>
        <c:axId val="3615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68064"/>
        <c:crosses val="autoZero"/>
        <c:auto val="1"/>
        <c:lblAlgn val="ctr"/>
        <c:lblOffset val="100"/>
        <c:noMultiLvlLbl val="0"/>
      </c:catAx>
      <c:valAx>
        <c:axId val="36168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5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2 new theme 1">
      <a:dk1>
        <a:srgbClr val="000000"/>
      </a:dk1>
      <a:lt1>
        <a:srgbClr val="FFFFFF"/>
      </a:lt1>
      <a:dk2>
        <a:srgbClr val="243646"/>
      </a:dk2>
      <a:lt2>
        <a:srgbClr val="E7E6E6"/>
      </a:lt2>
      <a:accent1>
        <a:srgbClr val="5D7D95"/>
      </a:accent1>
      <a:accent2>
        <a:srgbClr val="243646"/>
      </a:accent2>
      <a:accent3>
        <a:srgbClr val="87AF99"/>
      </a:accent3>
      <a:accent4>
        <a:srgbClr val="AC4324"/>
      </a:accent4>
      <a:accent5>
        <a:srgbClr val="CF3237"/>
      </a:accent5>
      <a:accent6>
        <a:srgbClr val="F6A81B"/>
      </a:accent6>
      <a:hlink>
        <a:srgbClr val="243646"/>
      </a:hlink>
      <a:folHlink>
        <a:srgbClr val="5D7D9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Memo_US</Template>
  <TotalTime>0</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Sheppard, Brooke [USA]</dc:creator>
  <cp:keywords/>
  <dc:description/>
  <cp:lastModifiedBy>SYSTEM</cp:lastModifiedBy>
  <cp:revision>2</cp:revision>
  <dcterms:created xsi:type="dcterms:W3CDTF">2017-10-30T18:26:00Z</dcterms:created>
  <dcterms:modified xsi:type="dcterms:W3CDTF">2017-10-30T18:26:00Z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H_templateVersion">
    <vt:lpwstr>Memo_2017.03</vt:lpwstr>
  </property>
  <property fmtid="{D5CDD505-2E9C-101B-9397-08002B2CF9AE}" pid="3" name="BAH_Classification">
    <vt:lpwstr>Booz Allen Hamilton Internal</vt:lpwstr>
  </property>
</Properties>
</file>