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F7" w:rsidRPr="00E310F7" w:rsidRDefault="00E310F7" w:rsidP="00B0297D">
      <w:pPr>
        <w:tabs>
          <w:tab w:val="left" w:pos="1620"/>
        </w:tabs>
        <w:spacing w:after="0" w:line="240" w:lineRule="auto"/>
        <w:ind w:left="1620" w:hanging="162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E310F7">
        <w:rPr>
          <w:rFonts w:ascii="Times New Roman" w:eastAsia="Calibri" w:hAnsi="Times New Roman" w:cs="Times New Roman"/>
          <w:sz w:val="24"/>
          <w:szCs w:val="24"/>
        </w:rPr>
        <w:t>OMB Control No. 0910-0497</w:t>
      </w:r>
      <w:r w:rsidRPr="00E310F7">
        <w:rPr>
          <w:rFonts w:ascii="Times New Roman" w:eastAsia="Calibri" w:hAnsi="Times New Roman" w:cs="Times New Roman"/>
          <w:sz w:val="24"/>
          <w:szCs w:val="24"/>
        </w:rPr>
        <w:tab/>
      </w:r>
      <w:r w:rsidRPr="00E310F7">
        <w:rPr>
          <w:rFonts w:ascii="Times New Roman" w:eastAsia="Calibri" w:hAnsi="Times New Roman" w:cs="Times New Roman"/>
          <w:sz w:val="24"/>
          <w:szCs w:val="24"/>
        </w:rPr>
        <w:tab/>
      </w:r>
      <w:r w:rsidRPr="00E310F7">
        <w:rPr>
          <w:rFonts w:ascii="Times New Roman" w:eastAsia="Calibri" w:hAnsi="Times New Roman" w:cs="Times New Roman"/>
          <w:sz w:val="24"/>
          <w:szCs w:val="24"/>
        </w:rPr>
        <w:tab/>
      </w:r>
      <w:r w:rsidRPr="00E310F7">
        <w:rPr>
          <w:rFonts w:ascii="Times New Roman" w:eastAsia="Calibri" w:hAnsi="Times New Roman" w:cs="Times New Roman"/>
          <w:sz w:val="24"/>
          <w:szCs w:val="24"/>
        </w:rPr>
        <w:tab/>
      </w:r>
      <w:r w:rsidRPr="00E310F7">
        <w:rPr>
          <w:rFonts w:ascii="Times New Roman" w:eastAsia="Calibri" w:hAnsi="Times New Roman" w:cs="Times New Roman"/>
          <w:sz w:val="24"/>
          <w:szCs w:val="24"/>
        </w:rPr>
        <w:tab/>
      </w:r>
      <w:r w:rsidRPr="00E310F7">
        <w:rPr>
          <w:rFonts w:ascii="Times New Roman" w:eastAsia="Calibri" w:hAnsi="Times New Roman" w:cs="Times New Roman"/>
          <w:sz w:val="24"/>
          <w:szCs w:val="24"/>
        </w:rPr>
        <w:tab/>
      </w:r>
      <w:r w:rsidRPr="00E310F7">
        <w:rPr>
          <w:rFonts w:ascii="Times New Roman" w:eastAsia="Calibri" w:hAnsi="Times New Roman" w:cs="Times New Roman"/>
          <w:sz w:val="24"/>
          <w:szCs w:val="24"/>
        </w:rPr>
        <w:tab/>
      </w:r>
      <w:r w:rsidRPr="00E310F7">
        <w:rPr>
          <w:rFonts w:ascii="Times New Roman" w:eastAsia="Calibri" w:hAnsi="Times New Roman" w:cs="Times New Roman"/>
          <w:sz w:val="24"/>
          <w:szCs w:val="24"/>
        </w:rPr>
        <w:tab/>
      </w:r>
      <w:r w:rsidRPr="00E310F7">
        <w:rPr>
          <w:rFonts w:ascii="Times New Roman" w:eastAsia="Calibri" w:hAnsi="Times New Roman" w:cs="Times New Roman"/>
          <w:sz w:val="24"/>
          <w:szCs w:val="24"/>
        </w:rPr>
        <w:tab/>
        <w:t>Expiration date: 10/31/2020</w:t>
      </w:r>
    </w:p>
    <w:p w:rsidR="00E310F7" w:rsidRPr="00E310F7" w:rsidRDefault="00E310F7" w:rsidP="00B0297D">
      <w:pPr>
        <w:tabs>
          <w:tab w:val="left" w:pos="1620"/>
        </w:tabs>
        <w:spacing w:after="0" w:line="240" w:lineRule="auto"/>
        <w:ind w:left="1620" w:hanging="1620"/>
        <w:rPr>
          <w:rFonts w:ascii="Times New Roman" w:eastAsia="Calibri" w:hAnsi="Times New Roman" w:cs="Times New Roman"/>
          <w:sz w:val="24"/>
          <w:szCs w:val="24"/>
        </w:rPr>
      </w:pPr>
    </w:p>
    <w:p w:rsidR="00E310F7" w:rsidRDefault="00E310F7" w:rsidP="00B0297D">
      <w:pPr>
        <w:tabs>
          <w:tab w:val="left" w:pos="1620"/>
        </w:tabs>
        <w:spacing w:after="0" w:line="240" w:lineRule="auto"/>
        <w:ind w:left="1620" w:hanging="16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tabs>
          <w:tab w:val="left" w:pos="1620"/>
        </w:tabs>
        <w:spacing w:after="0" w:line="240" w:lineRule="auto"/>
        <w:ind w:left="1620" w:hanging="1620"/>
        <w:rPr>
          <w:rFonts w:ascii="Times New Roman" w:eastAsia="Calibri" w:hAnsi="Times New Roman" w:cs="Times New Roman"/>
          <w:b/>
          <w:sz w:val="24"/>
          <w:szCs w:val="24"/>
        </w:rPr>
      </w:pPr>
      <w:r w:rsidRPr="00B0297D">
        <w:rPr>
          <w:rFonts w:ascii="Times New Roman" w:eastAsia="Calibri" w:hAnsi="Times New Roman" w:cs="Times New Roman"/>
          <w:b/>
          <w:sz w:val="24"/>
          <w:szCs w:val="24"/>
        </w:rPr>
        <w:t xml:space="preserve">APPENDIX </w:t>
      </w:r>
      <w:r w:rsidR="003523AF" w:rsidRPr="00B0297D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B0297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0297D">
        <w:rPr>
          <w:rFonts w:ascii="Times New Roman" w:eastAsia="Calibri" w:hAnsi="Times New Roman" w:cs="Times New Roman"/>
          <w:b/>
          <w:sz w:val="24"/>
          <w:szCs w:val="24"/>
        </w:rPr>
        <w:tab/>
        <w:t>POTENTIAL STAKEHOLDERS TO CONTACT REGARDING PARTICIPATION FROM MEMBERS OF THEIR ORGANIZATIONS (LIST MAY BE MODIFIED)</w:t>
      </w:r>
    </w:p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tabs>
          <w:tab w:val="left" w:pos="10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14575" w:type="dxa"/>
        <w:tblLook w:val="04A0" w:firstRow="1" w:lastRow="0" w:firstColumn="1" w:lastColumn="0" w:noHBand="0" w:noVBand="1"/>
      </w:tblPr>
      <w:tblGrid>
        <w:gridCol w:w="4316"/>
        <w:gridCol w:w="6119"/>
        <w:gridCol w:w="4140"/>
      </w:tblGrid>
      <w:tr w:rsidR="002B10DD" w:rsidRPr="00B0297D" w:rsidTr="006156BB">
        <w:trPr>
          <w:tblHeader/>
        </w:trPr>
        <w:tc>
          <w:tcPr>
            <w:tcW w:w="4316" w:type="dxa"/>
            <w:tcBorders>
              <w:bottom w:val="single" w:sz="4" w:space="0" w:color="auto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119" w:type="dxa"/>
            <w:tcBorders>
              <w:left w:val="nil"/>
              <w:bottom w:val="single" w:sz="4" w:space="0" w:color="auto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4140" w:type="dxa"/>
            <w:tcBorders>
              <w:left w:val="nil"/>
              <w:bottom w:val="single" w:sz="4" w:space="0" w:color="auto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</w:tr>
      <w:tr w:rsidR="002B10DD" w:rsidRPr="00B0297D" w:rsidTr="005B3D72">
        <w:tc>
          <w:tcPr>
            <w:tcW w:w="4316" w:type="dxa"/>
            <w:tcBorders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Large Distributed Healthcare Data Networks</w:t>
            </w:r>
          </w:p>
        </w:tc>
        <w:tc>
          <w:tcPr>
            <w:tcW w:w="6119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0DD" w:rsidRPr="00B0297D" w:rsidTr="005B3D72">
        <w:tc>
          <w:tcPr>
            <w:tcW w:w="4316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Jeffrey Brown, Ph.D.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 of Scientific Operations, Associate Professor, Department of Population Medicine, Harvard Medical School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PCORnet, FDA’s Sentinel Program</w:t>
            </w:r>
          </w:p>
        </w:tc>
      </w:tr>
      <w:tr w:rsidR="002B10DD" w:rsidRPr="00B0297D" w:rsidTr="005B3D72">
        <w:tc>
          <w:tcPr>
            <w:tcW w:w="4316" w:type="dxa"/>
            <w:tcBorders>
              <w:top w:val="nil"/>
              <w:bottom w:val="single" w:sz="4" w:space="0" w:color="auto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Richard Platt, M.D., M.Sc.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Principal Investigator, Chair of Department of Population Medicine, Harvard Medical School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PCORnet, FDA’s Sentinel Program</w:t>
            </w:r>
          </w:p>
        </w:tc>
      </w:tr>
      <w:tr w:rsidR="002B10DD" w:rsidRPr="00B0297D" w:rsidTr="005B3D72">
        <w:tc>
          <w:tcPr>
            <w:tcW w:w="4316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Payers, Healthcare Delivery Systems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0DD" w:rsidRPr="00B0297D" w:rsidTr="005B3D72">
        <w:tc>
          <w:tcPr>
            <w:tcW w:w="4316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Sarah Priddy Alwardt, Ph.D.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 President Health Informatics and HEOR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0DD" w:rsidRPr="00B0297D" w:rsidRDefault="002B10DD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McKesson Specialty Health</w:t>
            </w:r>
          </w:p>
        </w:tc>
      </w:tr>
      <w:tr w:rsidR="002B10DD" w:rsidRPr="00B0297D" w:rsidTr="005B3D72">
        <w:tc>
          <w:tcPr>
            <w:tcW w:w="4316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Troyen Brennan, M.D.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0DD" w:rsidRPr="00B0297D" w:rsidRDefault="002B10DD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Executive Vice President and Chief Medical Officer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CVS Health</w:t>
            </w:r>
          </w:p>
        </w:tc>
      </w:tr>
      <w:tr w:rsidR="002B10DD" w:rsidRPr="00B0297D" w:rsidTr="005B3D72"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0DD" w:rsidRPr="00B0297D" w:rsidRDefault="002B10DD" w:rsidP="00B0297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Páll Jónsson, Ph.D., M.Res.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Associate Director Research and Development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NICE</w:t>
            </w:r>
          </w:p>
        </w:tc>
      </w:tr>
      <w:tr w:rsidR="002B10DD" w:rsidRPr="00B0297D" w:rsidTr="001C1D03">
        <w:tc>
          <w:tcPr>
            <w:tcW w:w="4316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Will Shrank, M.D.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Chief Medical Officer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UPMC</w:t>
            </w:r>
          </w:p>
        </w:tc>
      </w:tr>
      <w:tr w:rsidR="00773CCA" w:rsidRPr="00B0297D" w:rsidTr="001C1D03"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3CCA" w:rsidRPr="00B0297D" w:rsidRDefault="00773CCA" w:rsidP="00B0297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Sarah Emond MPP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773CCA" w:rsidRPr="00B0297D" w:rsidRDefault="00773CCA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Executive Vice President and Chief Operating Officer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CCA" w:rsidRPr="00B0297D" w:rsidRDefault="00773CCA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ICER</w:t>
            </w:r>
          </w:p>
        </w:tc>
      </w:tr>
      <w:tr w:rsidR="00773CCA" w:rsidRPr="00B0297D" w:rsidTr="001C1D03">
        <w:tc>
          <w:tcPr>
            <w:tcW w:w="4316" w:type="dxa"/>
            <w:tcBorders>
              <w:top w:val="nil"/>
              <w:bottom w:val="single" w:sz="4" w:space="0" w:color="auto"/>
              <w:right w:val="nil"/>
            </w:tcBorders>
          </w:tcPr>
          <w:p w:rsidR="00773CCA" w:rsidRPr="00B0297D" w:rsidRDefault="00773CCA" w:rsidP="00B0297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Wim Goettsch PhD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CCA" w:rsidRPr="00B0297D" w:rsidRDefault="00773CCA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HTA-advisor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</w:tcBorders>
          </w:tcPr>
          <w:p w:rsidR="00773CCA" w:rsidRPr="00B0297D" w:rsidRDefault="00773CCA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Dutch National Healthcare Institute</w:t>
            </w:r>
          </w:p>
        </w:tc>
      </w:tr>
      <w:tr w:rsidR="002B10DD" w:rsidRPr="00B0297D" w:rsidTr="005B3D72">
        <w:tc>
          <w:tcPr>
            <w:tcW w:w="4316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Regulators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0DD" w:rsidRPr="00B0297D" w:rsidTr="005B3D72">
        <w:tc>
          <w:tcPr>
            <w:tcW w:w="4316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Peter Arlett, B.Sc., M.B.B.S., M.R.C.P., F.F.P.M.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Head of Pharmacovigilance and Epidemiology Department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European Medicines Agency (EMA)</w:t>
            </w:r>
          </w:p>
        </w:tc>
      </w:tr>
      <w:tr w:rsidR="002B10DD" w:rsidRPr="00B0297D" w:rsidTr="006156BB">
        <w:tc>
          <w:tcPr>
            <w:tcW w:w="4316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Hans-Georg Eichler, M.D., M.Sc.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 Medical Officer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European Medicines Agency (EMA)</w:t>
            </w:r>
          </w:p>
        </w:tc>
      </w:tr>
      <w:tr w:rsidR="0052385D" w:rsidRPr="00B0297D" w:rsidTr="006156BB"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85D" w:rsidRPr="00B0297D" w:rsidRDefault="0052385D" w:rsidP="00B0297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Yoshiaki Uyama, Ph.D.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52385D" w:rsidRPr="00B0297D" w:rsidRDefault="0052385D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Director, Office of Medical Informatics and Epidemiology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85D" w:rsidRPr="00B0297D" w:rsidRDefault="0052385D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Pharmaceuticals and Medical Devices Agency</w:t>
            </w:r>
            <w:r w:rsidR="006133E1"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(PMDA)</w:t>
            </w:r>
            <w:r w:rsidR="00784979"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Japan</w:t>
            </w:r>
          </w:p>
        </w:tc>
      </w:tr>
      <w:tr w:rsidR="002B10DD" w:rsidRPr="00B0297D" w:rsidTr="006156BB"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David Martin, M.D., M.P.H.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Liaison to the Reagan Udall Foundation IMEDS Program at U.S. FDA Center for Drug Evaluation and Research</w:t>
            </w:r>
            <w:r w:rsidR="006156BB"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(CDER)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10DD" w:rsidRPr="00B0297D" w:rsidRDefault="002B10DD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 and Drug Administration (FDA)</w:t>
            </w:r>
          </w:p>
          <w:p w:rsidR="0052385D" w:rsidRPr="00B0297D" w:rsidRDefault="0052385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85D" w:rsidRPr="00B0297D" w:rsidTr="006156BB"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85D" w:rsidRPr="00B0297D" w:rsidRDefault="0052385D" w:rsidP="00B0297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Michael Nguyen, M.D.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52385D" w:rsidRPr="00B0297D" w:rsidRDefault="0052385D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FDA Sentinel Liaison, </w:t>
            </w:r>
            <w:r w:rsidR="006156BB"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CDER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85D" w:rsidRPr="00B0297D" w:rsidRDefault="0052385D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 and Drug Administration (FDA)</w:t>
            </w:r>
          </w:p>
        </w:tc>
      </w:tr>
      <w:tr w:rsidR="0052385D" w:rsidRPr="00B0297D" w:rsidTr="006156BB"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85D" w:rsidRPr="00B0297D" w:rsidRDefault="00C6758B" w:rsidP="00B0297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Calibri" w:hAnsi="Times New Roman" w:cs="Times New Roman"/>
                <w:sz w:val="24"/>
                <w:szCs w:val="24"/>
              </w:rPr>
              <w:t>Richard</w:t>
            </w:r>
            <w:r w:rsidR="0052385D" w:rsidRPr="00B02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Swain, PhD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52385D" w:rsidRPr="00B0297D" w:rsidRDefault="0052385D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Acting Team Leader, Office of Surveillance and epidemiology, CDER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85D" w:rsidRPr="00B0297D" w:rsidRDefault="006156BB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 and Drug Administration (FDA)</w:t>
            </w:r>
          </w:p>
        </w:tc>
      </w:tr>
      <w:tr w:rsidR="006156BB" w:rsidRPr="00B0297D" w:rsidTr="006156BB"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56BB" w:rsidRPr="00B0297D" w:rsidRDefault="006156BB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Calibri" w:hAnsi="Times New Roman" w:cs="Times New Roman"/>
                <w:sz w:val="24"/>
                <w:szCs w:val="24"/>
              </w:rPr>
              <w:t>Christian Hampp, PhD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6156BB" w:rsidRPr="00B0297D" w:rsidRDefault="006156BB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Reviewer, Office of Surveillance and epidemiology, CDER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56BB" w:rsidRPr="00B0297D" w:rsidRDefault="006156BB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 and Drug Administration (FDA)</w:t>
            </w:r>
          </w:p>
        </w:tc>
      </w:tr>
      <w:tr w:rsidR="006156BB" w:rsidRPr="00B0297D" w:rsidTr="006156BB"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56BB" w:rsidRPr="00B0297D" w:rsidRDefault="006156BB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Calibri" w:hAnsi="Times New Roman" w:cs="Times New Roman"/>
                <w:sz w:val="24"/>
                <w:szCs w:val="24"/>
              </w:rPr>
              <w:t>Efe Eworuke, PhD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6156BB" w:rsidRPr="00B0297D" w:rsidRDefault="006156BB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Team Leader, Office of Surveillance and epidemiology, CDER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56BB" w:rsidRPr="00B0297D" w:rsidRDefault="006156BB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 and Drug Administration (FDA)</w:t>
            </w:r>
          </w:p>
        </w:tc>
      </w:tr>
      <w:tr w:rsidR="006156BB" w:rsidRPr="00B0297D" w:rsidTr="006156BB"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56BB" w:rsidRPr="00B0297D" w:rsidRDefault="006156BB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Clara Kim, PhD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6156BB" w:rsidRPr="00B0297D" w:rsidRDefault="006156BB" w:rsidP="00B029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sz w:val="24"/>
                <w:szCs w:val="24"/>
              </w:rPr>
              <w:t>Team Leader, Office of Translational Sciences, CDER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56BB" w:rsidRPr="00B0297D" w:rsidRDefault="006156BB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 and Drug Administration (FDA)</w:t>
            </w:r>
          </w:p>
        </w:tc>
      </w:tr>
      <w:tr w:rsidR="006156BB" w:rsidRPr="00B0297D" w:rsidTr="006156BB"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56BB" w:rsidRPr="00B0297D" w:rsidRDefault="006156BB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Calibri" w:hAnsi="Times New Roman" w:cs="Times New Roman"/>
                <w:sz w:val="24"/>
                <w:szCs w:val="24"/>
              </w:rPr>
              <w:t>Elande Baro, PhD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6156BB" w:rsidRPr="00B0297D" w:rsidRDefault="006156BB" w:rsidP="00B029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 Reviewer, Office of Translational Science, CDER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56BB" w:rsidRPr="00B0297D" w:rsidRDefault="006156BB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 and Drug Administration (FDA)</w:t>
            </w:r>
          </w:p>
        </w:tc>
      </w:tr>
      <w:tr w:rsidR="006156BB" w:rsidRPr="00B0297D" w:rsidTr="006156BB"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56BB" w:rsidRPr="00B0297D" w:rsidRDefault="006156BB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Calibri" w:hAnsi="Times New Roman" w:cs="Times New Roman"/>
                <w:sz w:val="24"/>
                <w:szCs w:val="24"/>
              </w:rPr>
              <w:t>Stephanie Krauss, JD MPH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6BB" w:rsidRPr="00B0297D" w:rsidRDefault="006156BB" w:rsidP="00B0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hAnsi="Times New Roman" w:cs="Times New Roman"/>
                <w:sz w:val="24"/>
                <w:szCs w:val="24"/>
              </w:rPr>
              <w:t>Regulatory Counsel, Office of Regulatory Policy, CDER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6BB" w:rsidRPr="00B0297D" w:rsidRDefault="006156BB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 and Drug Administration (FDA)</w:t>
            </w:r>
          </w:p>
        </w:tc>
      </w:tr>
      <w:tr w:rsidR="002B10DD" w:rsidRPr="00B0297D" w:rsidTr="006156BB">
        <w:tc>
          <w:tcPr>
            <w:tcW w:w="4316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Open Science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0DD" w:rsidRPr="00B0297D" w:rsidTr="005B3D72">
        <w:tc>
          <w:tcPr>
            <w:tcW w:w="4316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John Ioannidis, M.D., D.Sc.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Co-Director, Professor of Medicine and of Health Research and Policy at Stanford University School of Medicine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Meta-Research Innovation Center at Stanford</w:t>
            </w:r>
          </w:p>
        </w:tc>
      </w:tr>
      <w:tr w:rsidR="002B10DD" w:rsidRPr="00B0297D" w:rsidTr="005B3D72">
        <w:tc>
          <w:tcPr>
            <w:tcW w:w="4316" w:type="dxa"/>
            <w:tcBorders>
              <w:top w:val="nil"/>
              <w:bottom w:val="single" w:sz="4" w:space="0" w:color="auto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Brian Nosek, Ph.D.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Executive Director, Professor of Psychology, University of Virginia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Center for Open Science</w:t>
            </w:r>
          </w:p>
        </w:tc>
      </w:tr>
    </w:tbl>
    <w:tbl>
      <w:tblPr>
        <w:tblStyle w:val="TableGrid2"/>
        <w:tblW w:w="14575" w:type="dxa"/>
        <w:tblLook w:val="04A0" w:firstRow="1" w:lastRow="0" w:firstColumn="1" w:lastColumn="0" w:noHBand="0" w:noVBand="1"/>
      </w:tblPr>
      <w:tblGrid>
        <w:gridCol w:w="4315"/>
        <w:gridCol w:w="6120"/>
        <w:gridCol w:w="4140"/>
      </w:tblGrid>
      <w:tr w:rsidR="002B10DD" w:rsidRPr="00B0297D" w:rsidTr="00784979">
        <w:tc>
          <w:tcPr>
            <w:tcW w:w="4315" w:type="dxa"/>
            <w:tcBorders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Journal Editors</w:t>
            </w:r>
          </w:p>
        </w:tc>
        <w:tc>
          <w:tcPr>
            <w:tcW w:w="612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0DD" w:rsidRPr="00B0297D" w:rsidTr="00784979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Sean Hennessy, Pharm.D., Ph.D.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Professor of Epidemiology and of Systems Pharmacology and Translational Therapeutics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of Pennsylvania Perelman School of Medicine</w:t>
            </w:r>
          </w:p>
        </w:tc>
      </w:tr>
      <w:tr w:rsidR="002B10DD" w:rsidRPr="00B0297D" w:rsidTr="00784979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Laura Happe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Editor in Chief of Journal of Managed Care and Specialty Pharmacy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 of Managed Care and Specialty Pharmacy</w:t>
            </w:r>
          </w:p>
        </w:tc>
      </w:tr>
      <w:tr w:rsidR="002B10DD" w:rsidRPr="00B0297D" w:rsidTr="00784979">
        <w:tc>
          <w:tcPr>
            <w:tcW w:w="4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0DD" w:rsidRPr="00B0297D" w:rsidRDefault="002B10DD" w:rsidP="00B0297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Christine Laine, M.D., M.P.H., F.A.C.P.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Editor in Chief, Associate Professor, Jefferson Medical College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Annals of Internal Medicine</w:t>
            </w:r>
          </w:p>
        </w:tc>
      </w:tr>
      <w:tr w:rsidR="002B10DD" w:rsidRPr="00B0297D" w:rsidTr="00784979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Elizabeth Loder, M.D., M.P.H.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Head of Research, BMJ, Professor of Neurology, Harvard Medical School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BMJ</w:t>
            </w:r>
          </w:p>
        </w:tc>
      </w:tr>
      <w:tr w:rsidR="002B10DD" w:rsidRPr="00B0297D" w:rsidTr="00784979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Henrik Toft Sørensen, M.D., Ph.D.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Editor in Chief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Epidemiology</w:t>
            </w:r>
          </w:p>
        </w:tc>
      </w:tr>
      <w:tr w:rsidR="002B10DD" w:rsidRPr="00B0297D" w:rsidTr="00784979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Peter Tugwell, M.Sc., M.D., F.R.C.P.C.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 American Editor, Professor of Medicine and Epidemiology &amp; Community Medicine at the University of Ottawa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 of Clinical Epidemiology</w:t>
            </w:r>
          </w:p>
        </w:tc>
      </w:tr>
      <w:tr w:rsidR="002B10DD" w:rsidRPr="00B0297D" w:rsidTr="00784979">
        <w:tc>
          <w:tcPr>
            <w:tcW w:w="4315" w:type="dxa"/>
            <w:tcBorders>
              <w:top w:val="nil"/>
              <w:bottom w:val="single" w:sz="4" w:space="0" w:color="auto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Wolfgang Winkelmayer, M.D., M.P.H., Sc.D., F.A.S.N.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Associate Editor, Professor of Medicine and Chief, Section of Nephrology, Baylor College of Medicine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 of the American Medical Association (JAMA)</w:t>
            </w:r>
          </w:p>
        </w:tc>
      </w:tr>
      <w:tr w:rsidR="002B10DD" w:rsidRPr="00B0297D" w:rsidTr="00784979">
        <w:tc>
          <w:tcPr>
            <w:tcW w:w="4315" w:type="dxa"/>
            <w:tcBorders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Professional Society/Guidelines</w:t>
            </w:r>
          </w:p>
        </w:tc>
        <w:tc>
          <w:tcPr>
            <w:tcW w:w="612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0DD" w:rsidRPr="00B0297D" w:rsidTr="00784979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Jesper Hallas, M.D., Ph.D.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President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ISPE</w:t>
            </w:r>
          </w:p>
        </w:tc>
      </w:tr>
      <w:tr w:rsidR="002B10DD" w:rsidRPr="00B0297D" w:rsidTr="00784979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2B10DD" w:rsidRPr="00B0297D" w:rsidRDefault="00773CCA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Sinead Langan PhD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773CCA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Wellcome Senior Clinical Fellow and Professor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RECORD guidelines</w:t>
            </w:r>
          </w:p>
        </w:tc>
      </w:tr>
      <w:tr w:rsidR="002B10DD" w:rsidRPr="00B0297D" w:rsidTr="00784979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Dick Willke, Ph.D.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Chief Scientific Officer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ISPOR</w:t>
            </w:r>
          </w:p>
        </w:tc>
      </w:tr>
      <w:tr w:rsidR="002B10DD" w:rsidRPr="00B0297D" w:rsidTr="00784979">
        <w:tc>
          <w:tcPr>
            <w:tcW w:w="4315" w:type="dxa"/>
            <w:tcBorders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International Network of Academics</w:t>
            </w:r>
          </w:p>
        </w:tc>
        <w:tc>
          <w:tcPr>
            <w:tcW w:w="612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0DD" w:rsidRPr="00B0297D" w:rsidTr="00784979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K. Arnold Chan, M.D., Sc.D.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Director, Health Data Research Center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Taiwan University</w:t>
            </w:r>
          </w:p>
        </w:tc>
      </w:tr>
      <w:tr w:rsidR="002B10DD" w:rsidRPr="00B0297D" w:rsidTr="00784979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Nam-Kyong Choi, B. Pharm., Ph.D.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Assistant Professor, Korea Institute of Drug Safety &amp; Risk Management (KIDS) Advisor, Asian Pharmacoepidemiology Network (AsPEN) Chair-Elect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Ewha Womans University</w:t>
            </w:r>
          </w:p>
        </w:tc>
      </w:tr>
      <w:tr w:rsidR="002B10DD" w:rsidRPr="00B0297D" w:rsidTr="00784979">
        <w:tc>
          <w:tcPr>
            <w:tcW w:w="4315" w:type="dxa"/>
            <w:tcBorders>
              <w:top w:val="nil"/>
              <w:bottom w:val="single" w:sz="4" w:space="0" w:color="auto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Frank de Vries, Pharm.D., Ph.D.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Head of Research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</w:tcBorders>
          </w:tcPr>
          <w:p w:rsidR="007C3C4E" w:rsidRPr="00B0297D" w:rsidRDefault="002B10DD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Clinical Pharmacy</w:t>
            </w:r>
            <w:r w:rsidR="007C3C4E"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Maastricht UMC+ </w:t>
            </w:r>
          </w:p>
          <w:p w:rsidR="002B10DD" w:rsidRPr="00B0297D" w:rsidRDefault="007C3C4E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Netherlands</w:t>
            </w:r>
          </w:p>
        </w:tc>
      </w:tr>
      <w:tr w:rsidR="002B10DD" w:rsidRPr="00B0297D" w:rsidTr="00784979">
        <w:tc>
          <w:tcPr>
            <w:tcW w:w="4315" w:type="dxa"/>
            <w:tcBorders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Contract Research Organization</w:t>
            </w:r>
          </w:p>
        </w:tc>
        <w:tc>
          <w:tcPr>
            <w:tcW w:w="612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  <w:shd w:val="clear" w:color="auto" w:fill="D9D9D9"/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0DD" w:rsidRPr="00B0297D" w:rsidTr="00784979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Alison Bourke, M.Sc., F.R.Pharm.S.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Scientific Director, Real World Insights, QuintilesIMS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QuintilesIMS</w:t>
            </w:r>
          </w:p>
        </w:tc>
      </w:tr>
      <w:tr w:rsidR="002B10DD" w:rsidRPr="00B0297D" w:rsidTr="00784979">
        <w:tc>
          <w:tcPr>
            <w:tcW w:w="4315" w:type="dxa"/>
            <w:tcBorders>
              <w:top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John Seeger, Pharm.D., Dr.P.H.</w:t>
            </w:r>
          </w:p>
        </w:tc>
        <w:tc>
          <w:tcPr>
            <w:tcW w:w="6120" w:type="dxa"/>
            <w:tcBorders>
              <w:top w:val="nil"/>
              <w:left w:val="nil"/>
              <w:righ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Chief Scientific Officer</w:t>
            </w:r>
          </w:p>
        </w:tc>
        <w:tc>
          <w:tcPr>
            <w:tcW w:w="4140" w:type="dxa"/>
            <w:tcBorders>
              <w:top w:val="nil"/>
              <w:left w:val="nil"/>
            </w:tcBorders>
          </w:tcPr>
          <w:p w:rsidR="002B10DD" w:rsidRPr="00B0297D" w:rsidRDefault="002B10DD" w:rsidP="00B02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Optum Epidemiology</w:t>
            </w:r>
          </w:p>
        </w:tc>
      </w:tr>
    </w:tbl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2"/>
        <w:tblW w:w="14575" w:type="dxa"/>
        <w:tblLook w:val="04A0" w:firstRow="1" w:lastRow="0" w:firstColumn="1" w:lastColumn="0" w:noHBand="0" w:noVBand="1"/>
      </w:tblPr>
      <w:tblGrid>
        <w:gridCol w:w="4315"/>
        <w:gridCol w:w="6120"/>
        <w:gridCol w:w="4140"/>
      </w:tblGrid>
      <w:tr w:rsidR="00E74D80" w:rsidRPr="00B0297D" w:rsidTr="00E01504">
        <w:tc>
          <w:tcPr>
            <w:tcW w:w="4315" w:type="dxa"/>
            <w:tcBorders>
              <w:bottom w:val="single" w:sz="4" w:space="0" w:color="auto"/>
              <w:right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120" w:type="dxa"/>
            <w:tcBorders>
              <w:left w:val="nil"/>
              <w:bottom w:val="single" w:sz="4" w:space="0" w:color="auto"/>
              <w:right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140" w:type="dxa"/>
            <w:tcBorders>
              <w:left w:val="nil"/>
              <w:bottom w:val="single" w:sz="4" w:space="0" w:color="auto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Organization</w:t>
            </w:r>
          </w:p>
        </w:tc>
      </w:tr>
      <w:tr w:rsidR="00E74D80" w:rsidRPr="00B0297D" w:rsidTr="0022410E">
        <w:tc>
          <w:tcPr>
            <w:tcW w:w="4315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Pharmaceutical Industry</w:t>
            </w:r>
          </w:p>
        </w:tc>
        <w:tc>
          <w:tcPr>
            <w:tcW w:w="612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74D80" w:rsidRPr="00B0297D" w:rsidTr="0022410E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Dorothee Bartels, M.Sc., Ph.D.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Head of Global Epidemiology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Boehringer Ingelheim GmbH</w:t>
            </w:r>
          </w:p>
        </w:tc>
      </w:tr>
      <w:tr w:rsidR="00E74D80" w:rsidRPr="00B0297D" w:rsidTr="0022410E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Andrew Bate, Ph.D.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Senior Director, Analytics Team Lead in Epidemiology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Pfizer</w:t>
            </w:r>
          </w:p>
        </w:tc>
      </w:tr>
      <w:tr w:rsidR="00E74D80" w:rsidRPr="00B0297D" w:rsidTr="0022410E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Brian Bradbury, D.Sc.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Executive Director, Center for Observational Research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Amgen</w:t>
            </w:r>
          </w:p>
        </w:tc>
      </w:tr>
      <w:tr w:rsidR="00E74D80" w:rsidRPr="00B0297D" w:rsidTr="0022410E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Javier Jimenez, M.D., M.P.H.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VP, Global Head RWE and Clinical Outcomes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Sanofi</w:t>
            </w:r>
          </w:p>
        </w:tc>
      </w:tr>
      <w:tr w:rsidR="00E74D80" w:rsidRPr="00B0297D" w:rsidTr="0022410E">
        <w:tc>
          <w:tcPr>
            <w:tcW w:w="4315" w:type="dxa"/>
            <w:tcBorders>
              <w:top w:val="nil"/>
              <w:bottom w:val="nil"/>
              <w:right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Kris Kahler, Ph.D.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Executive Director and the Global Head of Outcomes Evidence &amp; Analytics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</w:tcPr>
          <w:p w:rsidR="00E74D80" w:rsidRPr="00B0297D" w:rsidRDefault="00E74D80" w:rsidP="00B029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Novartis</w:t>
            </w:r>
          </w:p>
        </w:tc>
      </w:tr>
      <w:tr w:rsidR="00E74D80" w:rsidRPr="00B0297D" w:rsidTr="0022410E">
        <w:tc>
          <w:tcPr>
            <w:tcW w:w="4315" w:type="dxa"/>
            <w:tcBorders>
              <w:top w:val="nil"/>
              <w:right w:val="nil"/>
            </w:tcBorders>
          </w:tcPr>
          <w:p w:rsidR="00E74D80" w:rsidRPr="00B0297D" w:rsidRDefault="00E74D80" w:rsidP="00B0297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Joanne Waldstreicher, M.D.</w:t>
            </w:r>
          </w:p>
        </w:tc>
        <w:tc>
          <w:tcPr>
            <w:tcW w:w="6120" w:type="dxa"/>
            <w:tcBorders>
              <w:top w:val="nil"/>
              <w:left w:val="nil"/>
              <w:right w:val="nil"/>
            </w:tcBorders>
          </w:tcPr>
          <w:p w:rsidR="00E74D80" w:rsidRPr="00B0297D" w:rsidRDefault="00E74D80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Chief Medical Officer</w:t>
            </w:r>
          </w:p>
        </w:tc>
        <w:tc>
          <w:tcPr>
            <w:tcW w:w="4140" w:type="dxa"/>
            <w:tcBorders>
              <w:top w:val="nil"/>
              <w:left w:val="nil"/>
            </w:tcBorders>
          </w:tcPr>
          <w:p w:rsidR="00E74D80" w:rsidRPr="00B0297D" w:rsidRDefault="00E74D80" w:rsidP="00B02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 &amp; Johnson</w:t>
            </w:r>
          </w:p>
        </w:tc>
      </w:tr>
    </w:tbl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0DD" w:rsidRPr="00B0297D" w:rsidRDefault="002B10DD" w:rsidP="00B02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A6F" w:rsidRPr="00B0297D" w:rsidRDefault="00CB7A6F" w:rsidP="00B0297D">
      <w:p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</w:p>
    <w:sectPr w:rsidR="00CB7A6F" w:rsidRPr="00B0297D" w:rsidSect="002B10DD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E9A" w:rsidRDefault="00830E9A" w:rsidP="002B10DD">
      <w:pPr>
        <w:spacing w:after="0" w:line="240" w:lineRule="auto"/>
      </w:pPr>
      <w:r>
        <w:separator/>
      </w:r>
    </w:p>
  </w:endnote>
  <w:endnote w:type="continuationSeparator" w:id="0">
    <w:p w:rsidR="00830E9A" w:rsidRDefault="00830E9A" w:rsidP="002B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0012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B10DD" w:rsidRPr="002B10DD" w:rsidRDefault="002B10DD" w:rsidP="002B10D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10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10D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B10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07F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B10D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E9A" w:rsidRDefault="00830E9A" w:rsidP="002B10DD">
      <w:pPr>
        <w:spacing w:after="0" w:line="240" w:lineRule="auto"/>
      </w:pPr>
      <w:r>
        <w:separator/>
      </w:r>
    </w:p>
  </w:footnote>
  <w:footnote w:type="continuationSeparator" w:id="0">
    <w:p w:rsidR="00830E9A" w:rsidRDefault="00830E9A" w:rsidP="002B1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DD"/>
    <w:rsid w:val="000019F7"/>
    <w:rsid w:val="0008391C"/>
    <w:rsid w:val="00150669"/>
    <w:rsid w:val="001C1D03"/>
    <w:rsid w:val="001D67E1"/>
    <w:rsid w:val="0022410E"/>
    <w:rsid w:val="002B0544"/>
    <w:rsid w:val="002B10DD"/>
    <w:rsid w:val="003061D4"/>
    <w:rsid w:val="003523AF"/>
    <w:rsid w:val="0052385D"/>
    <w:rsid w:val="005A02C6"/>
    <w:rsid w:val="006133E1"/>
    <w:rsid w:val="006156BB"/>
    <w:rsid w:val="00700027"/>
    <w:rsid w:val="00773CCA"/>
    <w:rsid w:val="00784979"/>
    <w:rsid w:val="007C3C4E"/>
    <w:rsid w:val="00830E9A"/>
    <w:rsid w:val="0087089C"/>
    <w:rsid w:val="00A86D1F"/>
    <w:rsid w:val="00B0297D"/>
    <w:rsid w:val="00BC659E"/>
    <w:rsid w:val="00C566BA"/>
    <w:rsid w:val="00C57B21"/>
    <w:rsid w:val="00C6758B"/>
    <w:rsid w:val="00CB7A6F"/>
    <w:rsid w:val="00D276C9"/>
    <w:rsid w:val="00D73F2E"/>
    <w:rsid w:val="00E01504"/>
    <w:rsid w:val="00E310F7"/>
    <w:rsid w:val="00E407FF"/>
    <w:rsid w:val="00E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B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B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B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0DD"/>
  </w:style>
  <w:style w:type="paragraph" w:styleId="Footer">
    <w:name w:val="footer"/>
    <w:basedOn w:val="Normal"/>
    <w:link w:val="FooterChar"/>
    <w:uiPriority w:val="99"/>
    <w:unhideWhenUsed/>
    <w:rsid w:val="002B1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0DD"/>
  </w:style>
  <w:style w:type="paragraph" w:styleId="BalloonText">
    <w:name w:val="Balloon Text"/>
    <w:basedOn w:val="Normal"/>
    <w:link w:val="BalloonTextChar"/>
    <w:uiPriority w:val="99"/>
    <w:semiHidden/>
    <w:unhideWhenUsed/>
    <w:rsid w:val="0052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5D"/>
    <w:rPr>
      <w:rFonts w:ascii="Segoe UI" w:hAnsi="Segoe UI" w:cs="Segoe UI"/>
      <w:sz w:val="18"/>
      <w:szCs w:val="18"/>
    </w:rPr>
  </w:style>
  <w:style w:type="table" w:customStyle="1" w:styleId="GridTable1Light">
    <w:name w:val="Grid Table 1 Light"/>
    <w:basedOn w:val="TableNormal"/>
    <w:uiPriority w:val="46"/>
    <w:rsid w:val="001D67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1D67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B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B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B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0DD"/>
  </w:style>
  <w:style w:type="paragraph" w:styleId="Footer">
    <w:name w:val="footer"/>
    <w:basedOn w:val="Normal"/>
    <w:link w:val="FooterChar"/>
    <w:uiPriority w:val="99"/>
    <w:unhideWhenUsed/>
    <w:rsid w:val="002B1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0DD"/>
  </w:style>
  <w:style w:type="paragraph" w:styleId="BalloonText">
    <w:name w:val="Balloon Text"/>
    <w:basedOn w:val="Normal"/>
    <w:link w:val="BalloonTextChar"/>
    <w:uiPriority w:val="99"/>
    <w:semiHidden/>
    <w:unhideWhenUsed/>
    <w:rsid w:val="0052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5D"/>
    <w:rPr>
      <w:rFonts w:ascii="Segoe UI" w:hAnsi="Segoe UI" w:cs="Segoe UI"/>
      <w:sz w:val="18"/>
      <w:szCs w:val="18"/>
    </w:rPr>
  </w:style>
  <w:style w:type="table" w:customStyle="1" w:styleId="GridTable1Light">
    <w:name w:val="Grid Table 1 Light"/>
    <w:basedOn w:val="TableNormal"/>
    <w:uiPriority w:val="46"/>
    <w:rsid w:val="001D67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1D67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Opper, Gretchen</dc:creator>
  <cp:keywords/>
  <dc:description/>
  <cp:lastModifiedBy>SYSTEM</cp:lastModifiedBy>
  <cp:revision>2</cp:revision>
  <dcterms:created xsi:type="dcterms:W3CDTF">2019-06-26T15:55:00Z</dcterms:created>
  <dcterms:modified xsi:type="dcterms:W3CDTF">2019-06-26T15:55:00Z</dcterms:modified>
</cp:coreProperties>
</file>