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22CF" w14:textId="77777777" w:rsidR="00770D51" w:rsidRPr="00B91F26" w:rsidRDefault="00FA397D" w:rsidP="00770D51">
      <w:pPr>
        <w:pStyle w:val="Heading4"/>
        <w:spacing w:before="0" w:after="240" w:line="240" w:lineRule="auto"/>
        <w:rPr>
          <w:i w:val="0"/>
          <w:color w:val="auto"/>
          <w:sz w:val="24"/>
          <w:szCs w:val="24"/>
        </w:rPr>
      </w:pPr>
      <w:r w:rsidRPr="00B91F26">
        <w:rPr>
          <w:i w:val="0"/>
          <w:color w:val="auto"/>
          <w:sz w:val="24"/>
          <w:szCs w:val="24"/>
        </w:rPr>
        <w:t>Attachment 4a</w:t>
      </w:r>
      <w:r w:rsidR="00770D51" w:rsidRPr="00B91F26">
        <w:rPr>
          <w:i w:val="0"/>
          <w:color w:val="auto"/>
          <w:sz w:val="24"/>
          <w:szCs w:val="24"/>
        </w:rPr>
        <w:t xml:space="preserve">. Program </w:t>
      </w:r>
      <w:r w:rsidR="001A128E" w:rsidRPr="00B91F26">
        <w:rPr>
          <w:i w:val="0"/>
          <w:color w:val="auto"/>
          <w:sz w:val="24"/>
          <w:szCs w:val="24"/>
        </w:rPr>
        <w:t xml:space="preserve">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13655" w:rsidRPr="00913655" w14:paraId="488078E2" w14:textId="77777777" w:rsidTr="004D39CF">
        <w:tc>
          <w:tcPr>
            <w:tcW w:w="13176" w:type="dxa"/>
            <w:gridSpan w:val="2"/>
          </w:tcPr>
          <w:p w14:paraId="19963AFD" w14:textId="77777777" w:rsidR="00AA72F8" w:rsidRPr="00913655" w:rsidRDefault="00AA72F8" w:rsidP="00AA72F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ATSDR Biomonitoring of Great</w:t>
            </w:r>
            <w:r w:rsidR="00544466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Lakes Populations Program </w:t>
            </w:r>
            <w:r w:rsidR="00891C5F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II</w:t>
            </w:r>
            <w:r w:rsidR="00EC3EBF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</w:t>
            </w:r>
            <w:r w:rsidR="00891C5F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C3EBF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(N=5</w:t>
            </w:r>
            <w:r w:rsidR="001A128E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 respondents)</w:t>
            </w:r>
          </w:p>
          <w:p w14:paraId="3361C2F1" w14:textId="77777777" w:rsidR="00AA72F8" w:rsidRPr="00913655" w:rsidRDefault="00EC3EBF" w:rsidP="00AA72F8">
            <w:pPr>
              <w:jc w:val="center"/>
              <w:rPr>
                <w:b/>
                <w:sz w:val="24"/>
                <w:szCs w:val="24"/>
              </w:rPr>
            </w:pPr>
            <w:r w:rsidRPr="00913655">
              <w:rPr>
                <w:b/>
                <w:sz w:val="24"/>
                <w:szCs w:val="24"/>
              </w:rPr>
              <w:t>Milwaukee Estuary Area of Concern, Wisconsin</w:t>
            </w:r>
          </w:p>
        </w:tc>
      </w:tr>
      <w:tr w:rsidR="00274941" w:rsidRPr="00913655" w14:paraId="0880E6D5" w14:textId="77777777" w:rsidTr="00AA72F8">
        <w:tc>
          <w:tcPr>
            <w:tcW w:w="6588" w:type="dxa"/>
          </w:tcPr>
          <w:p w14:paraId="03AA4E12" w14:textId="77777777" w:rsidR="00AA72F8" w:rsidRPr="00913655" w:rsidRDefault="00EC3EBF" w:rsidP="009F3217">
            <w:pPr>
              <w:jc w:val="center"/>
              <w:rPr>
                <w:sz w:val="22"/>
                <w:szCs w:val="22"/>
              </w:rPr>
            </w:pPr>
            <w:r w:rsidRPr="00913655">
              <w:rPr>
                <w:rFonts w:asciiTheme="minorHAnsi" w:hAnsiTheme="minorHAnsi" w:cstheme="minorHAnsi"/>
                <w:sz w:val="22"/>
                <w:szCs w:val="22"/>
              </w:rPr>
              <w:t>Licensed Anglers</w:t>
            </w:r>
          </w:p>
        </w:tc>
        <w:tc>
          <w:tcPr>
            <w:tcW w:w="6588" w:type="dxa"/>
          </w:tcPr>
          <w:p w14:paraId="3781C575" w14:textId="424670D8" w:rsidR="00AA72F8" w:rsidRPr="00913655" w:rsidRDefault="00EC3EBF" w:rsidP="00DE7AE2">
            <w:pPr>
              <w:jc w:val="center"/>
              <w:rPr>
                <w:sz w:val="22"/>
                <w:szCs w:val="22"/>
              </w:rPr>
            </w:pPr>
            <w:r w:rsidRPr="00913655">
              <w:rPr>
                <w:rFonts w:asciiTheme="minorHAnsi" w:hAnsiTheme="minorHAnsi" w:cstheme="minorHAnsi"/>
                <w:sz w:val="22"/>
                <w:szCs w:val="22"/>
              </w:rPr>
              <w:t>Burmese</w:t>
            </w:r>
            <w:r w:rsidR="00DA3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77A1" w:rsidRPr="00EF77A1">
              <w:rPr>
                <w:rFonts w:asciiTheme="minorHAnsi" w:hAnsiTheme="minorHAnsi" w:cstheme="minorHAnsi"/>
                <w:sz w:val="22"/>
                <w:szCs w:val="22"/>
              </w:rPr>
              <w:t>Immigrants and their Descendants</w:t>
            </w:r>
          </w:p>
        </w:tc>
      </w:tr>
      <w:tr w:rsidR="00274941" w:rsidRPr="00913655" w14:paraId="498E6A75" w14:textId="77777777" w:rsidTr="00AA72F8">
        <w:tc>
          <w:tcPr>
            <w:tcW w:w="6588" w:type="dxa"/>
          </w:tcPr>
          <w:p w14:paraId="54243E3D" w14:textId="77777777" w:rsidR="00AA72F8" w:rsidRPr="00913655" w:rsidRDefault="00EC3EBF" w:rsidP="009F3217">
            <w:pPr>
              <w:jc w:val="center"/>
              <w:rPr>
                <w:sz w:val="22"/>
                <w:szCs w:val="22"/>
              </w:rPr>
            </w:pPr>
            <w:r w:rsidRPr="00913655">
              <w:rPr>
                <w:sz w:val="22"/>
                <w:szCs w:val="22"/>
              </w:rPr>
              <w:t>N=400</w:t>
            </w:r>
          </w:p>
        </w:tc>
        <w:tc>
          <w:tcPr>
            <w:tcW w:w="6588" w:type="dxa"/>
          </w:tcPr>
          <w:p w14:paraId="0D74813B" w14:textId="77777777" w:rsidR="00AA72F8" w:rsidRPr="00913655" w:rsidRDefault="0068495B" w:rsidP="009F3217">
            <w:pPr>
              <w:jc w:val="center"/>
              <w:rPr>
                <w:sz w:val="22"/>
                <w:szCs w:val="22"/>
              </w:rPr>
            </w:pPr>
            <w:r w:rsidRPr="00913655">
              <w:rPr>
                <w:sz w:val="22"/>
                <w:szCs w:val="22"/>
              </w:rPr>
              <w:t>N=10</w:t>
            </w:r>
            <w:r w:rsidR="00544466" w:rsidRPr="00913655">
              <w:rPr>
                <w:sz w:val="22"/>
                <w:szCs w:val="22"/>
              </w:rPr>
              <w:t>0</w:t>
            </w:r>
          </w:p>
        </w:tc>
      </w:tr>
      <w:tr w:rsidR="00913655" w:rsidRPr="00913655" w14:paraId="5FBD704A" w14:textId="77777777" w:rsidTr="004D39CF">
        <w:tc>
          <w:tcPr>
            <w:tcW w:w="13176" w:type="dxa"/>
            <w:gridSpan w:val="2"/>
          </w:tcPr>
          <w:p w14:paraId="7796E2EB" w14:textId="77777777" w:rsidR="00544466" w:rsidRPr="00913655" w:rsidRDefault="00544466" w:rsidP="00544466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Outreach, Sampling, and Recruitment</w:t>
            </w:r>
          </w:p>
          <w:p w14:paraId="728C3818" w14:textId="77777777" w:rsidR="00544466" w:rsidRPr="00913655" w:rsidRDefault="00544466" w:rsidP="00544466">
            <w:pPr>
              <w:jc w:val="center"/>
            </w:pPr>
            <w:r w:rsidRPr="00913655">
              <w:t>See summary of the sampling and re</w:t>
            </w:r>
            <w:r w:rsidR="00EC3EBF" w:rsidRPr="00913655">
              <w:t>cruitment process in Section A.2</w:t>
            </w:r>
            <w:r w:rsidRPr="00913655">
              <w:t xml:space="preserve">. </w:t>
            </w:r>
            <w:r w:rsidR="00EC3EBF" w:rsidRPr="00913655">
              <w:t>Purpose and Use of the Information Collection</w:t>
            </w:r>
          </w:p>
          <w:p w14:paraId="0850F220" w14:textId="77777777" w:rsidR="00544466" w:rsidRPr="00913655" w:rsidRDefault="00544466" w:rsidP="00544466">
            <w:pPr>
              <w:jc w:val="center"/>
            </w:pPr>
            <w:r w:rsidRPr="00913655">
              <w:t>For detailed justification of sampling methods, see Section B.1.</w:t>
            </w:r>
          </w:p>
          <w:p w14:paraId="24655D6A" w14:textId="4A3E7719" w:rsidR="00FF3513" w:rsidRPr="00913655" w:rsidRDefault="00FF3513" w:rsidP="00E2205C">
            <w:pPr>
              <w:jc w:val="center"/>
            </w:pPr>
            <w:r w:rsidRPr="00913655">
              <w:t xml:space="preserve">For IC forms (Attachment </w:t>
            </w:r>
            <w:r w:rsidR="00E2205C" w:rsidRPr="00913655">
              <w:t>5</w:t>
            </w:r>
            <w:r w:rsidR="00E2205C">
              <w:t>b</w:t>
            </w:r>
            <w:r w:rsidR="00FA397D" w:rsidRPr="00913655">
              <w:t>-</w:t>
            </w:r>
            <w:r w:rsidR="00E2205C">
              <w:t>d</w:t>
            </w:r>
            <w:r w:rsidR="00FA397D" w:rsidRPr="00913655">
              <w:t>; 7a-e; 8a-b; 9a-b</w:t>
            </w:r>
            <w:r w:rsidRPr="00913655">
              <w:t>).</w:t>
            </w:r>
          </w:p>
        </w:tc>
      </w:tr>
      <w:tr w:rsidR="00274941" w:rsidRPr="00913655" w14:paraId="72B58FCC" w14:textId="77777777" w:rsidTr="004D39CF">
        <w:tc>
          <w:tcPr>
            <w:tcW w:w="6588" w:type="dxa"/>
            <w:vAlign w:val="center"/>
          </w:tcPr>
          <w:p w14:paraId="0189BD59" w14:textId="77777777" w:rsidR="00EB5DC6" w:rsidRPr="00913655" w:rsidRDefault="00FA397D" w:rsidP="004D39C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/>
                <w:bCs w:val="0"/>
                <w:color w:val="auto"/>
                <w:sz w:val="18"/>
                <w:szCs w:val="18"/>
              </w:rPr>
            </w:pPr>
            <w:r w:rsidRPr="00913655">
              <w:rPr>
                <w:rFonts w:ascii="Calibri" w:eastAsia="Calibri" w:hAnsi="Calibri"/>
                <w:bCs w:val="0"/>
                <w:color w:val="auto"/>
                <w:sz w:val="18"/>
                <w:szCs w:val="18"/>
              </w:rPr>
              <w:t>Random Selection within a geographic boundary</w:t>
            </w:r>
          </w:p>
          <w:p w14:paraId="1C31B97B" w14:textId="35D6C7B7" w:rsidR="00EB5DC6" w:rsidRPr="00913655" w:rsidRDefault="00FA397D" w:rsidP="0051115E">
            <w:pPr>
              <w:jc w:val="center"/>
              <w:rPr>
                <w:sz w:val="18"/>
                <w:szCs w:val="18"/>
              </w:rPr>
            </w:pPr>
            <w:r w:rsidRPr="00913655">
              <w:rPr>
                <w:sz w:val="18"/>
                <w:szCs w:val="18"/>
              </w:rPr>
              <w:t xml:space="preserve">License holders in the sampling frame will be selected as a random sex-age stratified sample reflective of the target population of fishing license holders </w:t>
            </w:r>
            <w:r w:rsidR="00EB5DC6" w:rsidRPr="00913655">
              <w:rPr>
                <w:sz w:val="18"/>
                <w:szCs w:val="18"/>
              </w:rPr>
              <w:t>(N=</w:t>
            </w:r>
            <w:r w:rsidR="00913655" w:rsidRPr="00913655">
              <w:rPr>
                <w:sz w:val="18"/>
                <w:szCs w:val="18"/>
              </w:rPr>
              <w:t>4</w:t>
            </w:r>
            <w:r w:rsidR="005F3322" w:rsidRPr="00913655">
              <w:rPr>
                <w:sz w:val="18"/>
                <w:szCs w:val="18"/>
              </w:rPr>
              <w:t>00)</w:t>
            </w:r>
          </w:p>
        </w:tc>
        <w:tc>
          <w:tcPr>
            <w:tcW w:w="6588" w:type="dxa"/>
            <w:vAlign w:val="center"/>
          </w:tcPr>
          <w:p w14:paraId="3AA5555D" w14:textId="77777777" w:rsidR="00EB5DC6" w:rsidRPr="00913655" w:rsidRDefault="00EB5DC6" w:rsidP="005F332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Respondent-Driven Sampling (RDS)</w:t>
            </w:r>
          </w:p>
          <w:p w14:paraId="73C8A02B" w14:textId="090EDE68" w:rsidR="00EB5DC6" w:rsidRPr="00913655" w:rsidRDefault="005F3322" w:rsidP="0051115E">
            <w:pPr>
              <w:jc w:val="center"/>
              <w:rPr>
                <w:sz w:val="18"/>
                <w:szCs w:val="18"/>
              </w:rPr>
            </w:pPr>
            <w:r w:rsidRPr="00913655">
              <w:rPr>
                <w:sz w:val="18"/>
                <w:szCs w:val="18"/>
              </w:rPr>
              <w:t>Select seeds who are leaders in the community with knowledge of community member</w:t>
            </w:r>
            <w:r w:rsidR="00D8153A" w:rsidRPr="00913655">
              <w:rPr>
                <w:sz w:val="18"/>
                <w:szCs w:val="18"/>
              </w:rPr>
              <w:t>s</w:t>
            </w:r>
            <w:r w:rsidRPr="00913655">
              <w:rPr>
                <w:sz w:val="18"/>
                <w:szCs w:val="18"/>
              </w:rPr>
              <w:t xml:space="preserve"> fish eating habits, subsequent sampling, screening, and recruitment is based on respondent contacts per study criteria</w:t>
            </w:r>
            <w:r w:rsidR="00EB5DC6" w:rsidRPr="00913655">
              <w:rPr>
                <w:sz w:val="18"/>
                <w:szCs w:val="18"/>
              </w:rPr>
              <w:t xml:space="preserve"> (N=</w:t>
            </w:r>
            <w:r w:rsidR="00FA397D" w:rsidRPr="00913655">
              <w:rPr>
                <w:sz w:val="18"/>
                <w:szCs w:val="18"/>
              </w:rPr>
              <w:t>100</w:t>
            </w:r>
            <w:r w:rsidR="00EB5DC6" w:rsidRPr="00913655">
              <w:rPr>
                <w:sz w:val="18"/>
                <w:szCs w:val="18"/>
              </w:rPr>
              <w:t>)</w:t>
            </w:r>
          </w:p>
        </w:tc>
      </w:tr>
      <w:tr w:rsidR="00913655" w:rsidRPr="00913655" w14:paraId="7B6BF3E2" w14:textId="77777777" w:rsidTr="004D39CF">
        <w:tc>
          <w:tcPr>
            <w:tcW w:w="13176" w:type="dxa"/>
            <w:gridSpan w:val="2"/>
          </w:tcPr>
          <w:p w14:paraId="3A5A80D1" w14:textId="77777777" w:rsidR="00D47C6A" w:rsidRPr="00913655" w:rsidRDefault="00D47C6A" w:rsidP="00D47C6A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Response Rates</w:t>
            </w:r>
          </w:p>
          <w:p w14:paraId="3D0CA792" w14:textId="77777777" w:rsidR="00D47C6A" w:rsidRPr="00913655" w:rsidRDefault="00D47C6A" w:rsidP="00D47C6A">
            <w:pPr>
              <w:jc w:val="center"/>
            </w:pPr>
            <w:r w:rsidRPr="00913655">
              <w:t>For justification of proposed methods to maximize response rates in relation to payment or gift, see Sections B.3 and A.9.</w:t>
            </w:r>
          </w:p>
          <w:p w14:paraId="2985571E" w14:textId="77777777" w:rsidR="00D47C6A" w:rsidRPr="00913655" w:rsidRDefault="00D47C6A" w:rsidP="008B6FBD">
            <w:pPr>
              <w:jc w:val="center"/>
              <w:rPr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</w:rPr>
              <w:t>For justification for estimated response rates, see Section B.1.</w:t>
            </w:r>
          </w:p>
        </w:tc>
      </w:tr>
      <w:tr w:rsidR="00274941" w:rsidRPr="00913655" w14:paraId="5D1446C5" w14:textId="77777777" w:rsidTr="004D39CF">
        <w:tc>
          <w:tcPr>
            <w:tcW w:w="6588" w:type="dxa"/>
            <w:vAlign w:val="center"/>
          </w:tcPr>
          <w:p w14:paraId="77782B12" w14:textId="25293CA1" w:rsidR="00231F61" w:rsidRPr="00070DF4" w:rsidRDefault="00796B00" w:rsidP="00E220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0DF4">
              <w:rPr>
                <w:rFonts w:asciiTheme="minorHAnsi" w:hAnsiTheme="minorHAnsi"/>
                <w:b/>
                <w:sz w:val="18"/>
                <w:szCs w:val="18"/>
              </w:rPr>
              <w:t xml:space="preserve">Response Rate: </w:t>
            </w:r>
            <w:r w:rsidR="00913655" w:rsidRPr="00070DF4">
              <w:rPr>
                <w:rFonts w:asciiTheme="minorHAnsi" w:hAnsiTheme="minorHAnsi"/>
                <w:sz w:val="18"/>
                <w:szCs w:val="18"/>
              </w:rPr>
              <w:t>Estimated 20% eligibility rate</w:t>
            </w:r>
            <w:r w:rsidR="00070DF4">
              <w:rPr>
                <w:rFonts w:asciiTheme="minorHAnsi" w:hAnsiTheme="minorHAnsi"/>
                <w:sz w:val="18"/>
                <w:szCs w:val="18"/>
              </w:rPr>
              <w:t xml:space="preserve"> in</w:t>
            </w:r>
            <w:r w:rsidR="005111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1115E" w:rsidRPr="00E72B76">
              <w:rPr>
                <w:rFonts w:asciiTheme="minorHAnsi" w:hAnsiTheme="minorHAnsi"/>
                <w:sz w:val="18"/>
                <w:szCs w:val="18"/>
              </w:rPr>
              <w:t>the anglers</w:t>
            </w:r>
            <w:r w:rsidR="00070DF4">
              <w:rPr>
                <w:rFonts w:asciiTheme="minorHAnsi" w:hAnsiTheme="minorHAnsi"/>
                <w:sz w:val="18"/>
                <w:szCs w:val="18"/>
              </w:rPr>
              <w:t>’</w:t>
            </w:r>
            <w:r w:rsidR="0051115E" w:rsidRPr="00E72B76">
              <w:rPr>
                <w:rFonts w:asciiTheme="minorHAnsi" w:hAnsiTheme="minorHAnsi"/>
                <w:sz w:val="18"/>
                <w:szCs w:val="18"/>
              </w:rPr>
              <w:t xml:space="preserve"> in the study area</w:t>
            </w:r>
            <w:r w:rsidR="00913655" w:rsidRPr="00070DF4">
              <w:rPr>
                <w:rFonts w:asciiTheme="minorHAnsi" w:hAnsiTheme="minorHAnsi"/>
                <w:sz w:val="18"/>
                <w:szCs w:val="18"/>
              </w:rPr>
              <w:t xml:space="preserve">, a 30% response rate among those eligible, a </w:t>
            </w:r>
            <w:r w:rsidR="00E2205C">
              <w:rPr>
                <w:rFonts w:asciiTheme="minorHAnsi" w:hAnsiTheme="minorHAnsi"/>
                <w:sz w:val="18"/>
                <w:szCs w:val="18"/>
              </w:rPr>
              <w:t>80% contact rate among those responded to screening survey (complete study questionnaire), and a 90</w:t>
            </w:r>
            <w:r w:rsidR="00913655" w:rsidRPr="00070DF4">
              <w:rPr>
                <w:rFonts w:asciiTheme="minorHAnsi" w:hAnsiTheme="minorHAnsi"/>
                <w:sz w:val="18"/>
                <w:szCs w:val="18"/>
              </w:rPr>
              <w:t xml:space="preserve">% completion rate </w:t>
            </w:r>
            <w:r w:rsidR="00E2205C">
              <w:rPr>
                <w:rFonts w:asciiTheme="minorHAnsi" w:hAnsiTheme="minorHAnsi"/>
                <w:sz w:val="18"/>
                <w:szCs w:val="18"/>
              </w:rPr>
              <w:t xml:space="preserve">among those who </w:t>
            </w:r>
            <w:r w:rsidR="002B7F94">
              <w:rPr>
                <w:rFonts w:asciiTheme="minorHAnsi" w:hAnsiTheme="minorHAnsi"/>
                <w:sz w:val="18"/>
                <w:szCs w:val="18"/>
              </w:rPr>
              <w:t xml:space="preserve">complete study questionnaire </w:t>
            </w:r>
            <w:r w:rsidR="00E2205C">
              <w:rPr>
                <w:rFonts w:asciiTheme="minorHAnsi" w:hAnsiTheme="minorHAnsi"/>
                <w:sz w:val="18"/>
                <w:szCs w:val="18"/>
              </w:rPr>
              <w:t xml:space="preserve">(attend clinic visit and </w:t>
            </w:r>
            <w:r w:rsidR="002B7F94">
              <w:rPr>
                <w:rFonts w:asciiTheme="minorHAnsi" w:hAnsiTheme="minorHAnsi"/>
                <w:sz w:val="18"/>
                <w:szCs w:val="18"/>
              </w:rPr>
              <w:t>provide blood/urine samples)</w:t>
            </w:r>
            <w:r w:rsidR="00E2205C">
              <w:rPr>
                <w:rFonts w:asciiTheme="minorHAnsi" w:hAnsiTheme="minorHAnsi"/>
                <w:sz w:val="18"/>
                <w:szCs w:val="18"/>
              </w:rPr>
              <w:t>.</w:t>
            </w:r>
            <w:r w:rsidR="002B7F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205C">
              <w:rPr>
                <w:rFonts w:asciiTheme="minorHAnsi" w:hAnsiTheme="minorHAnsi"/>
                <w:sz w:val="18"/>
                <w:szCs w:val="18"/>
              </w:rPr>
              <w:t xml:space="preserve">Among the licensed angler participants, estimated 60% would complete the follow-up survey at the end of the project. </w:t>
            </w:r>
          </w:p>
        </w:tc>
        <w:tc>
          <w:tcPr>
            <w:tcW w:w="6588" w:type="dxa"/>
            <w:vAlign w:val="center"/>
          </w:tcPr>
          <w:p w14:paraId="5819490C" w14:textId="002C3E5F" w:rsidR="00231F61" w:rsidRPr="00070DF4" w:rsidRDefault="00796B00" w:rsidP="00E220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0DF4">
              <w:rPr>
                <w:rFonts w:asciiTheme="minorHAnsi" w:hAnsiTheme="minorHAnsi"/>
                <w:b/>
                <w:sz w:val="18"/>
                <w:szCs w:val="18"/>
              </w:rPr>
              <w:t xml:space="preserve">Response Rate: </w:t>
            </w:r>
            <w:r w:rsidR="00913655" w:rsidRPr="00070DF4">
              <w:rPr>
                <w:rFonts w:asciiTheme="minorHAnsi" w:hAnsiTheme="minorHAnsi"/>
                <w:sz w:val="18"/>
                <w:szCs w:val="18"/>
              </w:rPr>
              <w:t xml:space="preserve">Estimated </w:t>
            </w:r>
            <w:r w:rsidR="00FA397D" w:rsidRPr="00070DF4">
              <w:rPr>
                <w:rFonts w:asciiTheme="minorHAnsi" w:hAnsiTheme="minorHAnsi"/>
                <w:sz w:val="18"/>
                <w:szCs w:val="18"/>
              </w:rPr>
              <w:t>68% of respondents to RDS recruitment will be eligible. Based on previous programs, WIDHS estimates that 80% of those eligible will enroll and co</w:t>
            </w:r>
            <w:r w:rsidR="002B7F94">
              <w:rPr>
                <w:rFonts w:asciiTheme="minorHAnsi" w:hAnsiTheme="minorHAnsi"/>
                <w:sz w:val="18"/>
                <w:szCs w:val="18"/>
              </w:rPr>
              <w:t>mplete the study questionnaire and provide blood/urine samples</w:t>
            </w:r>
            <w:r w:rsidR="00FA397D" w:rsidRPr="00070DF4">
              <w:rPr>
                <w:rFonts w:asciiTheme="minorHAnsi" w:hAnsiTheme="minorHAnsi"/>
                <w:sz w:val="18"/>
                <w:szCs w:val="18"/>
              </w:rPr>
              <w:t>.</w:t>
            </w:r>
            <w:r w:rsidR="002B7F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205C">
              <w:rPr>
                <w:rFonts w:asciiTheme="minorHAnsi" w:hAnsiTheme="minorHAnsi"/>
                <w:sz w:val="18"/>
                <w:szCs w:val="18"/>
              </w:rPr>
              <w:t>Among the Burmese participants, estimated 30% would complete the follow-up survey at the end of the project.</w:t>
            </w:r>
          </w:p>
        </w:tc>
      </w:tr>
      <w:tr w:rsidR="00913655" w:rsidRPr="00913655" w14:paraId="29B1FEAF" w14:textId="77777777" w:rsidTr="004D39CF">
        <w:tc>
          <w:tcPr>
            <w:tcW w:w="13176" w:type="dxa"/>
            <w:gridSpan w:val="2"/>
          </w:tcPr>
          <w:p w14:paraId="6DEBE59B" w14:textId="77777777" w:rsidR="000A02D1" w:rsidRPr="00913655" w:rsidRDefault="000A02D1" w:rsidP="000A02D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Enrollment, Interview, Clinical Assessments, and Specimen Collection</w:t>
            </w:r>
          </w:p>
          <w:p w14:paraId="0DD456AF" w14:textId="77777777" w:rsidR="000A02D1" w:rsidRPr="00913655" w:rsidRDefault="000A02D1" w:rsidP="000A02D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1365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For detailed information collection procedures, see Section B.2.</w:t>
            </w:r>
          </w:p>
          <w:p w14:paraId="260E364B" w14:textId="77777777" w:rsidR="000A02D1" w:rsidRDefault="000A02D1" w:rsidP="000A02D1">
            <w:pPr>
              <w:jc w:val="center"/>
            </w:pPr>
            <w:r w:rsidRPr="00913655">
              <w:t xml:space="preserve">For related burdens to the respondent, see Section A.12. </w:t>
            </w:r>
          </w:p>
          <w:p w14:paraId="4A2DC29F" w14:textId="77777777" w:rsidR="00705F85" w:rsidRPr="00913655" w:rsidRDefault="00705F85" w:rsidP="000A02D1">
            <w:pPr>
              <w:jc w:val="center"/>
            </w:pPr>
            <w:bookmarkStart w:id="0" w:name="_GoBack"/>
            <w:bookmarkEnd w:id="0"/>
          </w:p>
          <w:p w14:paraId="0A459000" w14:textId="77777777" w:rsidR="000A02D1" w:rsidRPr="00913655" w:rsidRDefault="000A02D1" w:rsidP="00385C2A">
            <w:pPr>
              <w:jc w:val="center"/>
              <w:rPr>
                <w:sz w:val="24"/>
                <w:szCs w:val="24"/>
              </w:rPr>
            </w:pPr>
            <w:r w:rsidRPr="00913655">
              <w:t xml:space="preserve">Each line in the A.12. Burden Table is indexed to a specific IC form as noted </w:t>
            </w:r>
            <w:r w:rsidRPr="00385C2A">
              <w:t xml:space="preserve">in in Section </w:t>
            </w:r>
            <w:r w:rsidR="00385C2A" w:rsidRPr="00385C2A">
              <w:t>B.2.</w:t>
            </w:r>
            <w:r w:rsidR="00385C2A">
              <w:t xml:space="preserve"> Procedures for the Collection of Information</w:t>
            </w:r>
            <w:r w:rsidRPr="00913655">
              <w:t>.</w:t>
            </w:r>
          </w:p>
        </w:tc>
      </w:tr>
      <w:tr w:rsidR="00274941" w:rsidRPr="00913655" w14:paraId="7BD89001" w14:textId="77777777" w:rsidTr="00AA72F8">
        <w:tc>
          <w:tcPr>
            <w:tcW w:w="6588" w:type="dxa"/>
          </w:tcPr>
          <w:p w14:paraId="2C843945" w14:textId="77777777" w:rsidR="00231F61" w:rsidRPr="00913655" w:rsidRDefault="00266546" w:rsidP="00385C2A">
            <w:pPr>
              <w:jc w:val="center"/>
              <w:rPr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Interview Setting: </w:t>
            </w:r>
            <w:r w:rsidR="00274941">
              <w:rPr>
                <w:rFonts w:asciiTheme="minorHAnsi" w:hAnsiTheme="minorHAnsi" w:cstheme="minorHAnsi"/>
                <w:sz w:val="18"/>
                <w:szCs w:val="18"/>
              </w:rPr>
              <w:t xml:space="preserve">Option to complete questionnaire online before in-person 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specimen</w:t>
            </w:r>
            <w:r w:rsidR="00274941">
              <w:rPr>
                <w:rFonts w:asciiTheme="minorHAnsi" w:hAnsiTheme="minorHAnsi" w:cstheme="minorHAnsi"/>
                <w:sz w:val="18"/>
                <w:szCs w:val="18"/>
              </w:rPr>
              <w:t xml:space="preserve"> collection (Attachment 7b). Interviews with Informed Consent (N=4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00; Attachment </w:t>
            </w:r>
            <w:r w:rsidR="00274941">
              <w:rPr>
                <w:rFonts w:asciiTheme="minorHAnsi" w:hAnsiTheme="minorHAnsi" w:cstheme="minorHAnsi"/>
                <w:sz w:val="18"/>
                <w:szCs w:val="18"/>
              </w:rPr>
              <w:t>7a, 6a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); Specimen collection </w:t>
            </w:r>
            <w:r w:rsidR="00274941">
              <w:rPr>
                <w:rFonts w:asciiTheme="minorHAnsi" w:hAnsiTheme="minorHAnsi" w:cstheme="minorHAnsi"/>
                <w:sz w:val="18"/>
                <w:szCs w:val="18"/>
              </w:rPr>
              <w:t>(N=4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274941">
              <w:rPr>
                <w:rFonts w:asciiTheme="minorHAnsi" w:hAnsiTheme="minorHAnsi" w:cstheme="minorHAnsi"/>
                <w:sz w:val="18"/>
                <w:szCs w:val="18"/>
              </w:rPr>
              <w:t>, Attachment 8a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6588" w:type="dxa"/>
          </w:tcPr>
          <w:p w14:paraId="6795E0A9" w14:textId="77777777" w:rsidR="00231F61" w:rsidRPr="00913655" w:rsidRDefault="00266546" w:rsidP="00385C2A">
            <w:pPr>
              <w:jc w:val="center"/>
              <w:rPr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Interview Setting: Collection locations with Informed Consent (N=100; Attachment 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6b</w:t>
            </w:r>
            <w:r w:rsidR="00274941">
              <w:rPr>
                <w:rFonts w:asciiTheme="minorHAnsi" w:hAnsiTheme="minorHAnsi" w:cstheme="minorHAnsi"/>
                <w:sz w:val="18"/>
                <w:szCs w:val="18"/>
              </w:rPr>
              <w:t>) and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 Interviews (N=100; Attachment 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7c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); Specimen collection and clinical assessments (N=100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; Attachment 8b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). Answer Network Size Questions for RDS (N=100; Attachment 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7e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913655" w:rsidRPr="00913655" w14:paraId="223D5526" w14:textId="77777777" w:rsidTr="004D39CF">
        <w:tc>
          <w:tcPr>
            <w:tcW w:w="13176" w:type="dxa"/>
            <w:gridSpan w:val="2"/>
          </w:tcPr>
          <w:p w14:paraId="3E1963AF" w14:textId="77777777" w:rsidR="004D39CF" w:rsidRPr="00913655" w:rsidRDefault="004D39CF" w:rsidP="004D39C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Distribution of Tokens of Appreciation</w:t>
            </w:r>
          </w:p>
          <w:p w14:paraId="6F120B03" w14:textId="77777777" w:rsidR="004D39CF" w:rsidRPr="00913655" w:rsidRDefault="004D39CF" w:rsidP="00385C2A">
            <w:pPr>
              <w:jc w:val="center"/>
              <w:rPr>
                <w:sz w:val="24"/>
                <w:szCs w:val="24"/>
              </w:rPr>
            </w:pPr>
            <w:r w:rsidRPr="00913655">
              <w:t>Justification is provided for proposed schedule and amount in gift cards in Section A.9.</w:t>
            </w:r>
          </w:p>
        </w:tc>
      </w:tr>
      <w:tr w:rsidR="00274941" w:rsidRPr="00913655" w14:paraId="141303F9" w14:textId="77777777" w:rsidTr="00AA72F8">
        <w:tc>
          <w:tcPr>
            <w:tcW w:w="6588" w:type="dxa"/>
          </w:tcPr>
          <w:p w14:paraId="25F84B61" w14:textId="0F7F082B" w:rsidR="007D6649" w:rsidRPr="00913655" w:rsidRDefault="007D6649" w:rsidP="002A2953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Increment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 xml:space="preserve">al Distribution: </w:t>
            </w:r>
            <w:r w:rsidR="002A2953">
              <w:rPr>
                <w:rFonts w:asciiTheme="minorHAnsi" w:hAnsiTheme="minorHAnsi" w:cstheme="minorHAnsi"/>
                <w:sz w:val="18"/>
                <w:szCs w:val="18"/>
              </w:rPr>
              <w:t xml:space="preserve">Complete study questionnaire 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- $20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2A2953">
              <w:rPr>
                <w:rFonts w:asciiTheme="minorHAnsi" w:hAnsiTheme="minorHAnsi" w:cstheme="minorHAnsi"/>
                <w:sz w:val="18"/>
                <w:szCs w:val="18"/>
              </w:rPr>
              <w:t>blood and urine sample</w:t>
            </w:r>
            <w:r w:rsidR="002A2953"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collectio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n and clinical assessments - $20</w:t>
            </w: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13655">
              <w:rPr>
                <w:rFonts w:asciiTheme="minorHAnsi" w:hAnsiTheme="minorHAnsi"/>
                <w:sz w:val="18"/>
                <w:szCs w:val="18"/>
              </w:rPr>
              <w:t>In a priority effort to maximize in</w:t>
            </w:r>
            <w:r w:rsidR="00385C2A">
              <w:rPr>
                <w:rFonts w:asciiTheme="minorHAnsi" w:hAnsiTheme="minorHAnsi"/>
                <w:sz w:val="18"/>
                <w:szCs w:val="18"/>
              </w:rPr>
              <w:t>formation collected, another $20</w:t>
            </w:r>
            <w:r w:rsidRPr="00913655">
              <w:rPr>
                <w:rFonts w:asciiTheme="minorHAnsi" w:hAnsiTheme="minorHAnsi"/>
                <w:sz w:val="18"/>
                <w:szCs w:val="18"/>
              </w:rPr>
              <w:t xml:space="preserve"> will be given as a token of thanks for those respondents who complete both IC phases.</w:t>
            </w:r>
            <w:r w:rsidR="00F54E70" w:rsidRPr="00913655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6588" w:type="dxa"/>
          </w:tcPr>
          <w:p w14:paraId="41708109" w14:textId="4B366446" w:rsidR="007D6649" w:rsidRPr="00913655" w:rsidRDefault="007D6649" w:rsidP="002A2953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13655">
              <w:rPr>
                <w:rFonts w:asciiTheme="minorHAnsi" w:hAnsiTheme="minorHAnsi" w:cstheme="minorHAnsi"/>
                <w:sz w:val="18"/>
                <w:szCs w:val="18"/>
              </w:rPr>
              <w:t>Incremental Distribution</w:t>
            </w:r>
            <w:r w:rsidR="002A295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2953">
              <w:rPr>
                <w:rFonts w:asciiTheme="minorHAnsi" w:hAnsiTheme="minorHAnsi" w:cstheme="minorHAnsi"/>
                <w:sz w:val="18"/>
                <w:szCs w:val="18"/>
              </w:rPr>
              <w:t xml:space="preserve">Complete study questionnaire 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- $20</w:t>
            </w:r>
            <w:r w:rsidR="00385C2A"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2A2953">
              <w:rPr>
                <w:rFonts w:asciiTheme="minorHAnsi" w:hAnsiTheme="minorHAnsi" w:cstheme="minorHAnsi"/>
                <w:sz w:val="18"/>
                <w:szCs w:val="18"/>
              </w:rPr>
              <w:t>blood and urine sample</w:t>
            </w:r>
            <w:r w:rsidR="00385C2A"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 collectio</w:t>
            </w:r>
            <w:r w:rsidR="00385C2A">
              <w:rPr>
                <w:rFonts w:asciiTheme="minorHAnsi" w:hAnsiTheme="minorHAnsi" w:cstheme="minorHAnsi"/>
                <w:sz w:val="18"/>
                <w:szCs w:val="18"/>
              </w:rPr>
              <w:t>n and clinical assessments - $20</w:t>
            </w:r>
            <w:r w:rsidR="00385C2A" w:rsidRPr="0091365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385C2A" w:rsidRPr="00913655">
              <w:rPr>
                <w:rFonts w:asciiTheme="minorHAnsi" w:hAnsiTheme="minorHAnsi"/>
                <w:sz w:val="18"/>
                <w:szCs w:val="18"/>
              </w:rPr>
              <w:t>In a priority effort to maximize in</w:t>
            </w:r>
            <w:r w:rsidR="00385C2A">
              <w:rPr>
                <w:rFonts w:asciiTheme="minorHAnsi" w:hAnsiTheme="minorHAnsi"/>
                <w:sz w:val="18"/>
                <w:szCs w:val="18"/>
              </w:rPr>
              <w:t>formation collected, another $20</w:t>
            </w:r>
            <w:r w:rsidR="00385C2A" w:rsidRPr="00913655">
              <w:rPr>
                <w:rFonts w:asciiTheme="minorHAnsi" w:hAnsiTheme="minorHAnsi"/>
                <w:sz w:val="18"/>
                <w:szCs w:val="18"/>
              </w:rPr>
              <w:t xml:space="preserve"> will be given as a token of thanks for those respondents who complete both IC phases.  </w:t>
            </w:r>
            <w:r w:rsidR="00385C2A" w:rsidRPr="00913655">
              <w:rPr>
                <w:rFonts w:asciiTheme="minorHAnsi" w:hAnsiTheme="minorHAnsi" w:cstheme="minorHAnsi"/>
                <w:sz w:val="18"/>
                <w:szCs w:val="18"/>
              </w:rPr>
              <w:t>For RDS, respondents will be given an additional $15 for each of up to three eligible recruits ($45 maximum).</w:t>
            </w:r>
          </w:p>
        </w:tc>
      </w:tr>
      <w:tr w:rsidR="00913655" w:rsidRPr="00913655" w14:paraId="6D0D8781" w14:textId="77777777" w:rsidTr="00F03204">
        <w:tc>
          <w:tcPr>
            <w:tcW w:w="13176" w:type="dxa"/>
            <w:gridSpan w:val="2"/>
          </w:tcPr>
          <w:p w14:paraId="388C28CC" w14:textId="77777777" w:rsidR="00F03204" w:rsidRPr="00913655" w:rsidRDefault="00F03204" w:rsidP="00F0320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Program Laboratory Polici</w:t>
            </w:r>
            <w:r w:rsidR="00F54E70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es and Procedures – Attachment </w:t>
            </w:r>
            <w:r w:rsidR="0080425E" w:rsidRPr="0091365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  <w:p w14:paraId="7405DC91" w14:textId="00B1AB0C" w:rsidR="00A724FA" w:rsidRPr="00070DF4" w:rsidRDefault="00F03204" w:rsidP="00F0320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070DF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Performing Laboratory</w:t>
            </w:r>
            <w:r w:rsidR="00A724FA" w:rsidRPr="00070DF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EB72B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is </w:t>
            </w:r>
            <w:r w:rsidR="00EB72B6" w:rsidRPr="00EB72B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Centers for Disease Control and Prevention</w:t>
            </w:r>
            <w:r w:rsidR="00EB72B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, Division of Laboratory Sciences</w:t>
            </w:r>
            <w:r w:rsidRPr="00070DF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1FEBAB4D" w14:textId="636DB960" w:rsidR="00F03204" w:rsidRPr="00070DF4" w:rsidRDefault="00F03204" w:rsidP="00F0320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070DF4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Attachment </w:t>
            </w:r>
            <w:r w:rsidR="00EB72B6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11</w:t>
            </w:r>
            <w:r w:rsidR="00EB72B6" w:rsidRPr="00070DF4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Pr="00070DF4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is dedicated to program laboratory procedures and policies. </w:t>
            </w:r>
          </w:p>
          <w:p w14:paraId="2EE6F338" w14:textId="02AA6198" w:rsidR="00F03204" w:rsidRPr="00070DF4" w:rsidRDefault="00F03204" w:rsidP="00070DF4">
            <w:pPr>
              <w:jc w:val="center"/>
              <w:rPr>
                <w:rFonts w:asciiTheme="minorHAnsi" w:hAnsiTheme="minorHAnsi"/>
              </w:rPr>
            </w:pPr>
            <w:r w:rsidRPr="00070DF4">
              <w:rPr>
                <w:rFonts w:asciiTheme="minorHAnsi" w:hAnsiTheme="minorHAnsi"/>
                <w:szCs w:val="22"/>
              </w:rPr>
              <w:t>This attachment is referenced in the narrative in Section A.</w:t>
            </w:r>
            <w:r w:rsidR="00EB72B6">
              <w:rPr>
                <w:rFonts w:asciiTheme="minorHAnsi" w:hAnsiTheme="minorHAnsi"/>
              </w:rPr>
              <w:t>2</w:t>
            </w:r>
            <w:r w:rsidRPr="00070DF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EB72B6" w:rsidRPr="00EB72B6">
              <w:rPr>
                <w:rFonts w:asciiTheme="minorHAnsi" w:hAnsiTheme="minorHAnsi"/>
              </w:rPr>
              <w:t>Purpose and Use of the Information Collection</w:t>
            </w:r>
            <w:r w:rsidRPr="00070DF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13655" w:rsidRPr="00913655" w14:paraId="7A147165" w14:textId="77777777" w:rsidTr="009F3F8B">
        <w:tc>
          <w:tcPr>
            <w:tcW w:w="13176" w:type="dxa"/>
            <w:gridSpan w:val="2"/>
            <w:tcBorders>
              <w:bottom w:val="nil"/>
            </w:tcBorders>
          </w:tcPr>
          <w:p w14:paraId="3B1449BD" w14:textId="77777777" w:rsidR="00A724FA" w:rsidRPr="00913655" w:rsidRDefault="00A724FA" w:rsidP="00A724FA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DF4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Results Reporting an</w:t>
            </w:r>
            <w:r w:rsidR="00F54E70" w:rsidRPr="00070DF4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 xml:space="preserve">d Communications – Attachment </w:t>
            </w:r>
            <w:r w:rsidR="0080425E" w:rsidRPr="00070DF4">
              <w:rPr>
                <w:rFonts w:asciiTheme="minorHAnsi" w:hAnsiTheme="minorHAnsi" w:cstheme="minorHAnsi"/>
                <w:color w:val="auto"/>
                <w:sz w:val="24"/>
                <w:szCs w:val="22"/>
              </w:rPr>
              <w:t>10</w:t>
            </w:r>
          </w:p>
          <w:p w14:paraId="677B23AC" w14:textId="421E0AFD" w:rsidR="00A724FA" w:rsidRPr="00913655" w:rsidRDefault="00A724FA" w:rsidP="00C40DAC">
            <w:pPr>
              <w:jc w:val="center"/>
              <w:rPr>
                <w:sz w:val="24"/>
                <w:szCs w:val="24"/>
              </w:rPr>
            </w:pPr>
            <w:r w:rsidRPr="00913655">
              <w:t xml:space="preserve">This attachment is referenced in Section A.2. </w:t>
            </w:r>
            <w:r w:rsidRPr="00070DF4">
              <w:rPr>
                <w:rFonts w:asciiTheme="minorHAnsi" w:hAnsiTheme="minorHAnsi"/>
              </w:rPr>
              <w:t>Purpose</w:t>
            </w:r>
            <w:r w:rsidRPr="00913655">
              <w:t xml:space="preserve"> and Use of Information Collection</w:t>
            </w:r>
            <w:r w:rsidR="00C40DAC">
              <w:t xml:space="preserve"> and B.2. </w:t>
            </w:r>
            <w:r w:rsidR="00C40DAC" w:rsidRPr="00C40DAC">
              <w:t>Procedures for the Collection of Information</w:t>
            </w:r>
          </w:p>
        </w:tc>
      </w:tr>
      <w:tr w:rsidR="00913655" w:rsidRPr="00913655" w14:paraId="61EA5624" w14:textId="77777777" w:rsidTr="009F3F8B">
        <w:tc>
          <w:tcPr>
            <w:tcW w:w="13176" w:type="dxa"/>
            <w:gridSpan w:val="2"/>
            <w:tcBorders>
              <w:top w:val="nil"/>
            </w:tcBorders>
          </w:tcPr>
          <w:p w14:paraId="7D4F2FD1" w14:textId="537382AD" w:rsidR="00A724FA" w:rsidRPr="00070DF4" w:rsidRDefault="00A724FA" w:rsidP="00E2205C">
            <w:pPr>
              <w:jc w:val="center"/>
            </w:pPr>
            <w:r w:rsidRPr="00070DF4">
              <w:rPr>
                <w:rFonts w:asciiTheme="minorHAnsi" w:hAnsiTheme="minorHAnsi" w:cstheme="minorHAnsi"/>
                <w:szCs w:val="22"/>
              </w:rPr>
              <w:t xml:space="preserve">Attachment </w:t>
            </w:r>
            <w:r w:rsidR="0080425E" w:rsidRPr="00070DF4">
              <w:rPr>
                <w:rFonts w:asciiTheme="minorHAnsi" w:hAnsiTheme="minorHAnsi" w:cstheme="minorHAnsi"/>
                <w:szCs w:val="22"/>
              </w:rPr>
              <w:t>10</w:t>
            </w:r>
            <w:r w:rsidR="00F54E70" w:rsidRPr="00070DF4">
              <w:rPr>
                <w:rFonts w:asciiTheme="minorHAnsi" w:hAnsiTheme="minorHAnsi" w:cstheme="minorHAnsi"/>
                <w:szCs w:val="22"/>
              </w:rPr>
              <w:t>a</w:t>
            </w:r>
            <w:r w:rsidR="00070DF4" w:rsidRPr="00070DF4">
              <w:rPr>
                <w:rFonts w:asciiTheme="minorHAnsi" w:hAnsiTheme="minorHAnsi" w:cstheme="minorHAnsi"/>
                <w:szCs w:val="22"/>
              </w:rPr>
              <w:t xml:space="preserve"> is the template for the</w:t>
            </w:r>
            <w:r w:rsidRPr="00070DF4">
              <w:rPr>
                <w:rFonts w:asciiTheme="minorHAnsi" w:hAnsiTheme="minorHAnsi" w:cstheme="minorHAnsi"/>
                <w:szCs w:val="22"/>
              </w:rPr>
              <w:t xml:space="preserve"> Results Letter </w:t>
            </w:r>
            <w:r w:rsidR="00C40DAC">
              <w:rPr>
                <w:rFonts w:asciiTheme="minorHAnsi" w:hAnsiTheme="minorHAnsi" w:cstheme="minorHAnsi"/>
              </w:rPr>
              <w:t xml:space="preserve">for early reporting of </w:t>
            </w:r>
            <w:r w:rsidR="00C40DAC" w:rsidRPr="00C40DAC">
              <w:rPr>
                <w:rFonts w:asciiTheme="minorHAnsi" w:hAnsiTheme="minorHAnsi" w:cstheme="minorHAnsi"/>
              </w:rPr>
              <w:t xml:space="preserve">elevated blood lead </w:t>
            </w:r>
            <w:r w:rsidR="00070DF4">
              <w:rPr>
                <w:rFonts w:asciiTheme="minorHAnsi" w:hAnsiTheme="minorHAnsi" w:cstheme="minorHAnsi"/>
              </w:rPr>
              <w:t>levels</w:t>
            </w:r>
            <w:r w:rsidR="00C40DAC">
              <w:rPr>
                <w:rFonts w:asciiTheme="minorHAnsi" w:hAnsiTheme="minorHAnsi" w:cstheme="minorHAnsi"/>
              </w:rPr>
              <w:t xml:space="preserve"> by t</w:t>
            </w:r>
            <w:r w:rsidR="00C40DAC" w:rsidRPr="00C40DAC">
              <w:rPr>
                <w:rFonts w:asciiTheme="minorHAnsi" w:hAnsiTheme="minorHAnsi" w:cstheme="minorHAnsi"/>
              </w:rPr>
              <w:t>he Adult Blood Lead Epidemiology and Surveillance (ABLES) Program</w:t>
            </w:r>
            <w:r w:rsidR="00C40DAC">
              <w:rPr>
                <w:rFonts w:asciiTheme="minorHAnsi" w:hAnsiTheme="minorHAnsi" w:cstheme="minorHAnsi"/>
              </w:rPr>
              <w:t xml:space="preserve"> at</w:t>
            </w:r>
            <w:r w:rsidR="00C40DAC" w:rsidRPr="00C40DAC">
              <w:rPr>
                <w:rFonts w:asciiTheme="minorHAnsi" w:hAnsiTheme="minorHAnsi" w:cstheme="minorHAnsi"/>
              </w:rPr>
              <w:t xml:space="preserve"> the Wisconsin Department of Health Services</w:t>
            </w:r>
            <w:r w:rsidR="00C40DAC">
              <w:rPr>
                <w:rFonts w:asciiTheme="minorHAnsi" w:hAnsiTheme="minorHAnsi" w:cstheme="minorHAnsi"/>
              </w:rPr>
              <w:t>. Attachment 10b is the example full result package.</w:t>
            </w:r>
            <w:r w:rsidR="00C40DAC" w:rsidRPr="00C40DAC" w:rsidDel="00C40DAC">
              <w:rPr>
                <w:rFonts w:asciiTheme="minorHAnsi" w:hAnsiTheme="minorHAnsi" w:cstheme="minorHAnsi"/>
              </w:rPr>
              <w:t xml:space="preserve"> </w:t>
            </w:r>
            <w:r w:rsidR="00EB2FEF">
              <w:rPr>
                <w:rFonts w:asciiTheme="minorHAnsi" w:hAnsiTheme="minorHAnsi" w:cstheme="minorHAnsi"/>
              </w:rPr>
              <w:t xml:space="preserve">After result reporting, a follow-up survey will be sent to all participants to get feedback on this study (Attachments 9a and 9b). </w:t>
            </w:r>
          </w:p>
        </w:tc>
      </w:tr>
    </w:tbl>
    <w:p w14:paraId="75F78E99" w14:textId="77777777" w:rsidR="00AA72F8" w:rsidRPr="00913655" w:rsidRDefault="00AA72F8" w:rsidP="00AA72F8"/>
    <w:p w14:paraId="35267686" w14:textId="77777777" w:rsidR="0055769A" w:rsidRPr="00913655" w:rsidRDefault="0055769A" w:rsidP="0055769A"/>
    <w:p w14:paraId="1F9DBEBC" w14:textId="77777777" w:rsidR="00B22811" w:rsidRPr="00913655" w:rsidRDefault="00B22811"/>
    <w:sectPr w:rsidR="00B22811" w:rsidRPr="00913655" w:rsidSect="004D39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E3638"/>
    <w:multiLevelType w:val="hybridMultilevel"/>
    <w:tmpl w:val="8834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51"/>
    <w:rsid w:val="000705D6"/>
    <w:rsid w:val="00070DF4"/>
    <w:rsid w:val="000A02D1"/>
    <w:rsid w:val="0011160F"/>
    <w:rsid w:val="001A128E"/>
    <w:rsid w:val="00231F61"/>
    <w:rsid w:val="00253665"/>
    <w:rsid w:val="00266546"/>
    <w:rsid w:val="002707A3"/>
    <w:rsid w:val="00274941"/>
    <w:rsid w:val="002A2953"/>
    <w:rsid w:val="002B1DCF"/>
    <w:rsid w:val="002B7F94"/>
    <w:rsid w:val="00385C2A"/>
    <w:rsid w:val="00407190"/>
    <w:rsid w:val="004D39CF"/>
    <w:rsid w:val="004E7D75"/>
    <w:rsid w:val="0051115E"/>
    <w:rsid w:val="00544466"/>
    <w:rsid w:val="00552D58"/>
    <w:rsid w:val="0055769A"/>
    <w:rsid w:val="005F3322"/>
    <w:rsid w:val="00641F23"/>
    <w:rsid w:val="00674F05"/>
    <w:rsid w:val="0068495B"/>
    <w:rsid w:val="00705F85"/>
    <w:rsid w:val="007308F5"/>
    <w:rsid w:val="00761B2E"/>
    <w:rsid w:val="00770D51"/>
    <w:rsid w:val="007774AA"/>
    <w:rsid w:val="00796B00"/>
    <w:rsid w:val="007D6649"/>
    <w:rsid w:val="0080425E"/>
    <w:rsid w:val="00860A37"/>
    <w:rsid w:val="00891C5F"/>
    <w:rsid w:val="008B6FBD"/>
    <w:rsid w:val="008C38B1"/>
    <w:rsid w:val="008D139E"/>
    <w:rsid w:val="00913655"/>
    <w:rsid w:val="009511AC"/>
    <w:rsid w:val="009F1D05"/>
    <w:rsid w:val="009F3217"/>
    <w:rsid w:val="009F3F8B"/>
    <w:rsid w:val="009F65C8"/>
    <w:rsid w:val="00A724FA"/>
    <w:rsid w:val="00AA72F8"/>
    <w:rsid w:val="00B22811"/>
    <w:rsid w:val="00B91F26"/>
    <w:rsid w:val="00C06E4B"/>
    <w:rsid w:val="00C40DAC"/>
    <w:rsid w:val="00CC4A42"/>
    <w:rsid w:val="00CE7C20"/>
    <w:rsid w:val="00D47C6A"/>
    <w:rsid w:val="00D8153A"/>
    <w:rsid w:val="00DA339C"/>
    <w:rsid w:val="00DE7AE2"/>
    <w:rsid w:val="00E03609"/>
    <w:rsid w:val="00E2205C"/>
    <w:rsid w:val="00E40389"/>
    <w:rsid w:val="00E55ACC"/>
    <w:rsid w:val="00E670F1"/>
    <w:rsid w:val="00EB2FEF"/>
    <w:rsid w:val="00EB5DC6"/>
    <w:rsid w:val="00EB72B6"/>
    <w:rsid w:val="00EC3EBF"/>
    <w:rsid w:val="00EF77A1"/>
    <w:rsid w:val="00F03204"/>
    <w:rsid w:val="00F54E70"/>
    <w:rsid w:val="00FA397D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C222"/>
  <w15:docId w15:val="{E8927D67-0424-4E98-A4B2-BF77752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5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D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0D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0D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770D5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5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3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7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AB8E-E1AA-4FA5-A008-AF4E850E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Stephanie I. (CDC/ONDIEH/NCEH)</dc:creator>
  <cp:lastModifiedBy>Vempaty, Padmaja (ATSDR/OADS)</cp:lastModifiedBy>
  <cp:revision>4</cp:revision>
  <cp:lastPrinted>2014-10-23T15:32:00Z</cp:lastPrinted>
  <dcterms:created xsi:type="dcterms:W3CDTF">2017-03-06T14:50:00Z</dcterms:created>
  <dcterms:modified xsi:type="dcterms:W3CDTF">2017-03-08T17:06:00Z</dcterms:modified>
</cp:coreProperties>
</file>