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1A5" w:rsidRDefault="000C21A5" w:rsidP="000C21A5">
      <w:pPr>
        <w:jc w:val="center"/>
        <w:rPr>
          <w:i/>
          <w:sz w:val="28"/>
          <w:szCs w:val="28"/>
        </w:rPr>
      </w:pPr>
      <w:bookmarkStart w:id="0" w:name="_GoBack"/>
      <w:bookmarkEnd w:id="0"/>
    </w:p>
    <w:p w:rsidR="000C21A5" w:rsidRPr="0043596B" w:rsidRDefault="000C21A5" w:rsidP="000C21A5">
      <w:pPr>
        <w:jc w:val="center"/>
        <w:rPr>
          <w:i/>
          <w:sz w:val="28"/>
          <w:szCs w:val="28"/>
        </w:rPr>
      </w:pPr>
    </w:p>
    <w:p w:rsidR="000C21A5" w:rsidRPr="00FC633E" w:rsidRDefault="000C21A5" w:rsidP="000C21A5">
      <w:pPr>
        <w:jc w:val="center"/>
        <w:rPr>
          <w:sz w:val="28"/>
          <w:szCs w:val="28"/>
        </w:rPr>
      </w:pPr>
    </w:p>
    <w:p w:rsidR="000C21A5" w:rsidRDefault="000C21A5" w:rsidP="000C21A5">
      <w:pPr>
        <w:jc w:val="center"/>
        <w:rPr>
          <w:b/>
          <w:sz w:val="28"/>
          <w:szCs w:val="28"/>
        </w:rPr>
      </w:pPr>
    </w:p>
    <w:p w:rsidR="000C21A5" w:rsidRDefault="000C21A5" w:rsidP="000C21A5">
      <w:pPr>
        <w:jc w:val="center"/>
        <w:rPr>
          <w:b/>
          <w:sz w:val="28"/>
          <w:szCs w:val="28"/>
        </w:rPr>
      </w:pPr>
      <w:r w:rsidRPr="00456179">
        <w:rPr>
          <w:b/>
          <w:sz w:val="28"/>
          <w:szCs w:val="28"/>
        </w:rPr>
        <w:t>SUPPORTING STATEMENT</w:t>
      </w:r>
    </w:p>
    <w:p w:rsidR="000C21A5" w:rsidRDefault="000C21A5" w:rsidP="000C21A5">
      <w:pPr>
        <w:jc w:val="center"/>
        <w:rPr>
          <w:b/>
          <w:sz w:val="28"/>
          <w:szCs w:val="28"/>
        </w:rPr>
      </w:pPr>
    </w:p>
    <w:p w:rsidR="000C21A5" w:rsidRDefault="000C21A5" w:rsidP="000C21A5">
      <w:pPr>
        <w:jc w:val="center"/>
        <w:rPr>
          <w:sz w:val="28"/>
          <w:szCs w:val="28"/>
        </w:rPr>
      </w:pPr>
      <w:r>
        <w:rPr>
          <w:b/>
          <w:sz w:val="28"/>
          <w:szCs w:val="28"/>
        </w:rPr>
        <w:t>Part B</w:t>
      </w:r>
    </w:p>
    <w:p w:rsidR="000C21A5" w:rsidRDefault="000C21A5" w:rsidP="000C21A5">
      <w:pPr>
        <w:jc w:val="center"/>
        <w:rPr>
          <w:sz w:val="28"/>
          <w:szCs w:val="28"/>
        </w:rPr>
      </w:pPr>
    </w:p>
    <w:p w:rsidR="000C21A5" w:rsidRDefault="000C21A5" w:rsidP="000C21A5">
      <w:pPr>
        <w:jc w:val="center"/>
        <w:rPr>
          <w:sz w:val="28"/>
          <w:szCs w:val="28"/>
        </w:rPr>
      </w:pPr>
    </w:p>
    <w:p w:rsidR="000C21A5" w:rsidRDefault="000C21A5" w:rsidP="000C21A5">
      <w:pPr>
        <w:jc w:val="center"/>
        <w:rPr>
          <w:sz w:val="28"/>
          <w:szCs w:val="28"/>
        </w:rPr>
      </w:pPr>
    </w:p>
    <w:p w:rsidR="000C21A5" w:rsidRDefault="000C21A5" w:rsidP="000C21A5">
      <w:pPr>
        <w:jc w:val="center"/>
        <w:rPr>
          <w:sz w:val="28"/>
          <w:szCs w:val="28"/>
        </w:rPr>
      </w:pPr>
    </w:p>
    <w:p w:rsidR="000C21A5" w:rsidRDefault="000C21A5" w:rsidP="000C21A5">
      <w:pPr>
        <w:jc w:val="center"/>
        <w:rPr>
          <w:sz w:val="28"/>
          <w:szCs w:val="28"/>
        </w:rPr>
      </w:pPr>
    </w:p>
    <w:p w:rsidR="000C21A5" w:rsidRDefault="000C21A5" w:rsidP="000C21A5">
      <w:pPr>
        <w:jc w:val="center"/>
        <w:rPr>
          <w:sz w:val="28"/>
          <w:szCs w:val="28"/>
        </w:rPr>
      </w:pPr>
    </w:p>
    <w:p w:rsidR="000C21A5" w:rsidRPr="002520F0" w:rsidRDefault="000C21A5" w:rsidP="000C21A5">
      <w:pPr>
        <w:jc w:val="center"/>
        <w:rPr>
          <w:sz w:val="28"/>
          <w:szCs w:val="28"/>
        </w:rPr>
      </w:pPr>
      <w:r w:rsidRPr="002520F0">
        <w:rPr>
          <w:b/>
          <w:bCs/>
          <w:iCs/>
          <w:sz w:val="28"/>
          <w:szCs w:val="28"/>
        </w:rPr>
        <w:t>The AHRQ Safety Program for Improving Antibiotic Use</w:t>
      </w:r>
    </w:p>
    <w:p w:rsidR="000C21A5" w:rsidRDefault="000C21A5" w:rsidP="000C21A5">
      <w:pPr>
        <w:jc w:val="center"/>
        <w:rPr>
          <w:sz w:val="28"/>
          <w:szCs w:val="28"/>
        </w:rPr>
      </w:pPr>
    </w:p>
    <w:p w:rsidR="000C21A5" w:rsidRDefault="000C21A5" w:rsidP="000C21A5">
      <w:pPr>
        <w:jc w:val="center"/>
        <w:rPr>
          <w:sz w:val="28"/>
          <w:szCs w:val="28"/>
        </w:rPr>
      </w:pPr>
    </w:p>
    <w:p w:rsidR="000C21A5" w:rsidRDefault="000C21A5" w:rsidP="000C21A5">
      <w:pPr>
        <w:jc w:val="center"/>
        <w:rPr>
          <w:sz w:val="28"/>
          <w:szCs w:val="28"/>
        </w:rPr>
      </w:pPr>
    </w:p>
    <w:p w:rsidR="000C21A5" w:rsidRDefault="000C21A5" w:rsidP="000C21A5">
      <w:pPr>
        <w:jc w:val="center"/>
        <w:rPr>
          <w:sz w:val="28"/>
          <w:szCs w:val="28"/>
        </w:rPr>
      </w:pPr>
    </w:p>
    <w:p w:rsidR="000C21A5" w:rsidRPr="002520F0" w:rsidRDefault="000C21A5" w:rsidP="000C21A5">
      <w:pPr>
        <w:jc w:val="center"/>
        <w:rPr>
          <w:sz w:val="28"/>
          <w:szCs w:val="28"/>
        </w:rPr>
      </w:pPr>
      <w:r>
        <w:rPr>
          <w:b/>
          <w:sz w:val="28"/>
          <w:szCs w:val="28"/>
        </w:rPr>
        <w:t xml:space="preserve">Version: </w:t>
      </w:r>
      <w:r>
        <w:rPr>
          <w:sz w:val="28"/>
          <w:szCs w:val="28"/>
        </w:rPr>
        <w:t>May 15, 2017</w:t>
      </w:r>
    </w:p>
    <w:p w:rsidR="000C21A5" w:rsidRDefault="000C21A5" w:rsidP="000C21A5">
      <w:pPr>
        <w:jc w:val="center"/>
        <w:rPr>
          <w:sz w:val="28"/>
          <w:szCs w:val="28"/>
        </w:rPr>
      </w:pPr>
    </w:p>
    <w:p w:rsidR="000C21A5" w:rsidRDefault="000C21A5" w:rsidP="000C21A5">
      <w:pPr>
        <w:jc w:val="center"/>
        <w:rPr>
          <w:sz w:val="28"/>
          <w:szCs w:val="28"/>
        </w:rPr>
      </w:pPr>
    </w:p>
    <w:p w:rsidR="000C21A5" w:rsidRDefault="000C21A5" w:rsidP="000C21A5">
      <w:pPr>
        <w:jc w:val="center"/>
        <w:rPr>
          <w:sz w:val="28"/>
          <w:szCs w:val="28"/>
        </w:rPr>
      </w:pPr>
    </w:p>
    <w:p w:rsidR="000C21A5" w:rsidRDefault="000C21A5" w:rsidP="000C21A5">
      <w:pPr>
        <w:jc w:val="center"/>
        <w:rPr>
          <w:sz w:val="28"/>
          <w:szCs w:val="28"/>
        </w:rPr>
      </w:pPr>
    </w:p>
    <w:p w:rsidR="000C21A5" w:rsidRDefault="000C21A5" w:rsidP="000C21A5">
      <w:pPr>
        <w:jc w:val="center"/>
        <w:rPr>
          <w:sz w:val="28"/>
          <w:szCs w:val="28"/>
        </w:rPr>
      </w:pPr>
    </w:p>
    <w:p w:rsidR="000C21A5" w:rsidRDefault="000C21A5" w:rsidP="000C21A5">
      <w:pPr>
        <w:jc w:val="center"/>
        <w:rPr>
          <w:sz w:val="28"/>
          <w:szCs w:val="28"/>
        </w:rPr>
      </w:pPr>
    </w:p>
    <w:p w:rsidR="000C21A5" w:rsidRDefault="000C21A5" w:rsidP="000C21A5">
      <w:pPr>
        <w:jc w:val="center"/>
        <w:rPr>
          <w:sz w:val="28"/>
          <w:szCs w:val="28"/>
        </w:rPr>
      </w:pPr>
    </w:p>
    <w:p w:rsidR="000C21A5" w:rsidRDefault="000C21A5" w:rsidP="000C21A5">
      <w:pPr>
        <w:jc w:val="center"/>
        <w:rPr>
          <w:sz w:val="28"/>
          <w:szCs w:val="28"/>
        </w:rPr>
      </w:pPr>
    </w:p>
    <w:p w:rsidR="000C21A5" w:rsidRDefault="000C21A5" w:rsidP="000C21A5">
      <w:pPr>
        <w:jc w:val="center"/>
        <w:rPr>
          <w:sz w:val="28"/>
          <w:szCs w:val="28"/>
        </w:rPr>
      </w:pPr>
      <w:r w:rsidRPr="00677A0B">
        <w:rPr>
          <w:sz w:val="28"/>
          <w:szCs w:val="28"/>
        </w:rPr>
        <w:t>Agency of Healthcare Research and Quality (AHRQ)</w:t>
      </w:r>
    </w:p>
    <w:p w:rsidR="000C21A5" w:rsidRDefault="000C21A5" w:rsidP="000C21A5">
      <w:pPr>
        <w:rPr>
          <w:sz w:val="28"/>
          <w:szCs w:val="28"/>
        </w:rPr>
      </w:pPr>
    </w:p>
    <w:p w:rsidR="000C21A5" w:rsidRDefault="000C21A5" w:rsidP="000C21A5">
      <w:pPr>
        <w:rPr>
          <w:sz w:val="28"/>
          <w:szCs w:val="28"/>
        </w:rPr>
      </w:pPr>
    </w:p>
    <w:p w:rsidR="000C21A5" w:rsidRDefault="000C21A5" w:rsidP="000C21A5">
      <w:r>
        <w:br w:type="page"/>
      </w:r>
      <w:bookmarkStart w:id="1" w:name="_Toc151782198"/>
      <w:bookmarkStart w:id="2" w:name="_Toc158526234"/>
    </w:p>
    <w:p w:rsidR="000C21A5" w:rsidRDefault="000C21A5" w:rsidP="000C21A5">
      <w:pPr>
        <w:pStyle w:val="GridTable31"/>
      </w:pPr>
      <w:r>
        <w:lastRenderedPageBreak/>
        <w:t>Table of Contents</w:t>
      </w:r>
    </w:p>
    <w:p w:rsidR="000C21A5" w:rsidRPr="0000055D" w:rsidRDefault="000C21A5" w:rsidP="000C21A5">
      <w:pPr>
        <w:pStyle w:val="TOC1"/>
        <w:tabs>
          <w:tab w:val="right" w:leader="dot" w:pos="8630"/>
        </w:tabs>
        <w:rPr>
          <w:rFonts w:ascii="Calibri" w:hAnsi="Calibri"/>
          <w:noProof/>
          <w:sz w:val="22"/>
          <w:szCs w:val="22"/>
        </w:rPr>
      </w:pPr>
      <w:r>
        <w:fldChar w:fldCharType="begin"/>
      </w:r>
      <w:r>
        <w:instrText xml:space="preserve"> TOC \o "1-3" \h \z \u </w:instrText>
      </w:r>
      <w:r>
        <w:fldChar w:fldCharType="separate"/>
      </w:r>
      <w:hyperlink w:anchor="_Toc480833300" w:history="1">
        <w:r w:rsidRPr="00B45E4E">
          <w:rPr>
            <w:rStyle w:val="Hyperlink"/>
            <w:rFonts w:eastAsia="Calibri"/>
            <w:noProof/>
          </w:rPr>
          <w:t>B. Collections of Information Employing Statistical Methods</w:t>
        </w:r>
        <w:r>
          <w:rPr>
            <w:noProof/>
            <w:webHidden/>
          </w:rPr>
          <w:tab/>
        </w:r>
        <w:r>
          <w:rPr>
            <w:noProof/>
            <w:webHidden/>
          </w:rPr>
          <w:fldChar w:fldCharType="begin"/>
        </w:r>
        <w:r>
          <w:rPr>
            <w:noProof/>
            <w:webHidden/>
          </w:rPr>
          <w:instrText xml:space="preserve"> PAGEREF _Toc480833300 \h </w:instrText>
        </w:r>
        <w:r>
          <w:rPr>
            <w:noProof/>
            <w:webHidden/>
          </w:rPr>
        </w:r>
        <w:r>
          <w:rPr>
            <w:noProof/>
            <w:webHidden/>
          </w:rPr>
          <w:fldChar w:fldCharType="separate"/>
        </w:r>
        <w:r>
          <w:rPr>
            <w:noProof/>
            <w:webHidden/>
          </w:rPr>
          <w:t>3</w:t>
        </w:r>
        <w:r>
          <w:rPr>
            <w:noProof/>
            <w:webHidden/>
          </w:rPr>
          <w:fldChar w:fldCharType="end"/>
        </w:r>
      </w:hyperlink>
    </w:p>
    <w:p w:rsidR="000C21A5" w:rsidRPr="0000055D" w:rsidRDefault="00D2249D" w:rsidP="000C21A5">
      <w:pPr>
        <w:pStyle w:val="TOC2"/>
        <w:tabs>
          <w:tab w:val="right" w:leader="dot" w:pos="8630"/>
        </w:tabs>
        <w:rPr>
          <w:rFonts w:ascii="Calibri" w:hAnsi="Calibri"/>
          <w:noProof/>
          <w:sz w:val="22"/>
          <w:szCs w:val="22"/>
        </w:rPr>
      </w:pPr>
      <w:hyperlink w:anchor="_Toc480833301" w:history="1">
        <w:r w:rsidR="000C21A5" w:rsidRPr="00B45E4E">
          <w:rPr>
            <w:rStyle w:val="Hyperlink"/>
            <w:rFonts w:eastAsia="Calibri"/>
            <w:noProof/>
          </w:rPr>
          <w:t>1. Respondent Universe and Sampling Methods</w:t>
        </w:r>
        <w:r w:rsidR="000C21A5">
          <w:rPr>
            <w:noProof/>
            <w:webHidden/>
          </w:rPr>
          <w:tab/>
        </w:r>
        <w:r w:rsidR="000C21A5">
          <w:rPr>
            <w:noProof/>
            <w:webHidden/>
          </w:rPr>
          <w:fldChar w:fldCharType="begin"/>
        </w:r>
        <w:r w:rsidR="000C21A5">
          <w:rPr>
            <w:noProof/>
            <w:webHidden/>
          </w:rPr>
          <w:instrText xml:space="preserve"> PAGEREF _Toc480833301 \h </w:instrText>
        </w:r>
        <w:r w:rsidR="000C21A5">
          <w:rPr>
            <w:noProof/>
            <w:webHidden/>
          </w:rPr>
        </w:r>
        <w:r w:rsidR="000C21A5">
          <w:rPr>
            <w:noProof/>
            <w:webHidden/>
          </w:rPr>
          <w:fldChar w:fldCharType="separate"/>
        </w:r>
        <w:r w:rsidR="000C21A5">
          <w:rPr>
            <w:noProof/>
            <w:webHidden/>
          </w:rPr>
          <w:t>3</w:t>
        </w:r>
        <w:r w:rsidR="000C21A5">
          <w:rPr>
            <w:noProof/>
            <w:webHidden/>
          </w:rPr>
          <w:fldChar w:fldCharType="end"/>
        </w:r>
      </w:hyperlink>
    </w:p>
    <w:p w:rsidR="000C21A5" w:rsidRPr="0000055D" w:rsidRDefault="00D2249D" w:rsidP="000C21A5">
      <w:pPr>
        <w:pStyle w:val="TOC2"/>
        <w:tabs>
          <w:tab w:val="right" w:leader="dot" w:pos="8630"/>
        </w:tabs>
        <w:rPr>
          <w:rFonts w:ascii="Calibri" w:hAnsi="Calibri"/>
          <w:noProof/>
          <w:sz w:val="22"/>
          <w:szCs w:val="22"/>
        </w:rPr>
      </w:pPr>
      <w:hyperlink w:anchor="_Toc480833302" w:history="1">
        <w:r w:rsidR="000C21A5" w:rsidRPr="00B45E4E">
          <w:rPr>
            <w:rStyle w:val="Hyperlink"/>
            <w:rFonts w:eastAsia="Calibri"/>
            <w:noProof/>
          </w:rPr>
          <w:t>2. Information Collection Procedures</w:t>
        </w:r>
        <w:r w:rsidR="000C21A5">
          <w:rPr>
            <w:noProof/>
            <w:webHidden/>
          </w:rPr>
          <w:tab/>
        </w:r>
        <w:r w:rsidR="000C21A5">
          <w:rPr>
            <w:noProof/>
            <w:webHidden/>
          </w:rPr>
          <w:fldChar w:fldCharType="begin"/>
        </w:r>
        <w:r w:rsidR="000C21A5">
          <w:rPr>
            <w:noProof/>
            <w:webHidden/>
          </w:rPr>
          <w:instrText xml:space="preserve"> PAGEREF _Toc480833302 \h </w:instrText>
        </w:r>
        <w:r w:rsidR="000C21A5">
          <w:rPr>
            <w:noProof/>
            <w:webHidden/>
          </w:rPr>
        </w:r>
        <w:r w:rsidR="000C21A5">
          <w:rPr>
            <w:noProof/>
            <w:webHidden/>
          </w:rPr>
          <w:fldChar w:fldCharType="separate"/>
        </w:r>
        <w:r w:rsidR="000C21A5">
          <w:rPr>
            <w:noProof/>
            <w:webHidden/>
          </w:rPr>
          <w:t>7</w:t>
        </w:r>
        <w:r w:rsidR="000C21A5">
          <w:rPr>
            <w:noProof/>
            <w:webHidden/>
          </w:rPr>
          <w:fldChar w:fldCharType="end"/>
        </w:r>
      </w:hyperlink>
    </w:p>
    <w:p w:rsidR="000C21A5" w:rsidRPr="0000055D" w:rsidRDefault="00D2249D" w:rsidP="000C21A5">
      <w:pPr>
        <w:pStyle w:val="TOC2"/>
        <w:tabs>
          <w:tab w:val="right" w:leader="dot" w:pos="8630"/>
        </w:tabs>
        <w:rPr>
          <w:rFonts w:ascii="Calibri" w:hAnsi="Calibri"/>
          <w:noProof/>
          <w:sz w:val="22"/>
          <w:szCs w:val="22"/>
        </w:rPr>
      </w:pPr>
      <w:hyperlink w:anchor="_Toc480833303" w:history="1">
        <w:r w:rsidR="000C21A5" w:rsidRPr="00B45E4E">
          <w:rPr>
            <w:rStyle w:val="Hyperlink"/>
            <w:rFonts w:eastAsia="Calibri"/>
            <w:noProof/>
          </w:rPr>
          <w:t>3. Methods to Maximize Response Rates</w:t>
        </w:r>
        <w:r w:rsidR="000C21A5">
          <w:rPr>
            <w:noProof/>
            <w:webHidden/>
          </w:rPr>
          <w:tab/>
        </w:r>
        <w:r w:rsidR="000C21A5">
          <w:rPr>
            <w:noProof/>
            <w:webHidden/>
          </w:rPr>
          <w:fldChar w:fldCharType="begin"/>
        </w:r>
        <w:r w:rsidR="000C21A5">
          <w:rPr>
            <w:noProof/>
            <w:webHidden/>
          </w:rPr>
          <w:instrText xml:space="preserve"> PAGEREF _Toc480833303 \h </w:instrText>
        </w:r>
        <w:r w:rsidR="000C21A5">
          <w:rPr>
            <w:noProof/>
            <w:webHidden/>
          </w:rPr>
        </w:r>
        <w:r w:rsidR="000C21A5">
          <w:rPr>
            <w:noProof/>
            <w:webHidden/>
          </w:rPr>
          <w:fldChar w:fldCharType="separate"/>
        </w:r>
        <w:r w:rsidR="000C21A5">
          <w:rPr>
            <w:noProof/>
            <w:webHidden/>
          </w:rPr>
          <w:t>13</w:t>
        </w:r>
        <w:r w:rsidR="000C21A5">
          <w:rPr>
            <w:noProof/>
            <w:webHidden/>
          </w:rPr>
          <w:fldChar w:fldCharType="end"/>
        </w:r>
      </w:hyperlink>
    </w:p>
    <w:p w:rsidR="000C21A5" w:rsidRPr="0000055D" w:rsidRDefault="00D2249D" w:rsidP="000C21A5">
      <w:pPr>
        <w:pStyle w:val="TOC2"/>
        <w:tabs>
          <w:tab w:val="right" w:leader="dot" w:pos="8630"/>
        </w:tabs>
        <w:rPr>
          <w:rFonts w:ascii="Calibri" w:hAnsi="Calibri"/>
          <w:noProof/>
          <w:sz w:val="22"/>
          <w:szCs w:val="22"/>
        </w:rPr>
      </w:pPr>
      <w:hyperlink w:anchor="_Toc480833304" w:history="1">
        <w:r w:rsidR="000C21A5" w:rsidRPr="00B45E4E">
          <w:rPr>
            <w:rStyle w:val="Hyperlink"/>
            <w:rFonts w:eastAsia="Calibri"/>
            <w:noProof/>
          </w:rPr>
          <w:t>4. Tests of Procedures</w:t>
        </w:r>
        <w:r w:rsidR="000C21A5">
          <w:rPr>
            <w:noProof/>
            <w:webHidden/>
          </w:rPr>
          <w:tab/>
        </w:r>
        <w:r w:rsidR="000C21A5">
          <w:rPr>
            <w:noProof/>
            <w:webHidden/>
          </w:rPr>
          <w:fldChar w:fldCharType="begin"/>
        </w:r>
        <w:r w:rsidR="000C21A5">
          <w:rPr>
            <w:noProof/>
            <w:webHidden/>
          </w:rPr>
          <w:instrText xml:space="preserve"> PAGEREF _Toc480833304 \h </w:instrText>
        </w:r>
        <w:r w:rsidR="000C21A5">
          <w:rPr>
            <w:noProof/>
            <w:webHidden/>
          </w:rPr>
        </w:r>
        <w:r w:rsidR="000C21A5">
          <w:rPr>
            <w:noProof/>
            <w:webHidden/>
          </w:rPr>
          <w:fldChar w:fldCharType="separate"/>
        </w:r>
        <w:r w:rsidR="000C21A5">
          <w:rPr>
            <w:noProof/>
            <w:webHidden/>
          </w:rPr>
          <w:t>14</w:t>
        </w:r>
        <w:r w:rsidR="000C21A5">
          <w:rPr>
            <w:noProof/>
            <w:webHidden/>
          </w:rPr>
          <w:fldChar w:fldCharType="end"/>
        </w:r>
      </w:hyperlink>
    </w:p>
    <w:p w:rsidR="000C21A5" w:rsidRPr="0000055D" w:rsidRDefault="00D2249D" w:rsidP="000C21A5">
      <w:pPr>
        <w:pStyle w:val="TOC2"/>
        <w:tabs>
          <w:tab w:val="right" w:leader="dot" w:pos="8630"/>
        </w:tabs>
        <w:rPr>
          <w:rFonts w:ascii="Calibri" w:hAnsi="Calibri"/>
          <w:noProof/>
          <w:sz w:val="22"/>
          <w:szCs w:val="22"/>
        </w:rPr>
      </w:pPr>
      <w:hyperlink w:anchor="_Toc480833305" w:history="1">
        <w:r w:rsidR="000C21A5" w:rsidRPr="00B45E4E">
          <w:rPr>
            <w:rStyle w:val="Hyperlink"/>
            <w:rFonts w:eastAsia="Calibri"/>
            <w:noProof/>
          </w:rPr>
          <w:t>5. Statistical Consultants</w:t>
        </w:r>
        <w:r w:rsidR="000C21A5">
          <w:rPr>
            <w:noProof/>
            <w:webHidden/>
          </w:rPr>
          <w:tab/>
        </w:r>
        <w:r w:rsidR="000C21A5">
          <w:rPr>
            <w:noProof/>
            <w:webHidden/>
          </w:rPr>
          <w:fldChar w:fldCharType="begin"/>
        </w:r>
        <w:r w:rsidR="000C21A5">
          <w:rPr>
            <w:noProof/>
            <w:webHidden/>
          </w:rPr>
          <w:instrText xml:space="preserve"> PAGEREF _Toc480833305 \h </w:instrText>
        </w:r>
        <w:r w:rsidR="000C21A5">
          <w:rPr>
            <w:noProof/>
            <w:webHidden/>
          </w:rPr>
        </w:r>
        <w:r w:rsidR="000C21A5">
          <w:rPr>
            <w:noProof/>
            <w:webHidden/>
          </w:rPr>
          <w:fldChar w:fldCharType="separate"/>
        </w:r>
        <w:r w:rsidR="000C21A5">
          <w:rPr>
            <w:noProof/>
            <w:webHidden/>
          </w:rPr>
          <w:t>15</w:t>
        </w:r>
        <w:r w:rsidR="000C21A5">
          <w:rPr>
            <w:noProof/>
            <w:webHidden/>
          </w:rPr>
          <w:fldChar w:fldCharType="end"/>
        </w:r>
      </w:hyperlink>
    </w:p>
    <w:p w:rsidR="000C21A5" w:rsidRDefault="000C21A5" w:rsidP="000C21A5">
      <w:r>
        <w:rPr>
          <w:b/>
          <w:bCs/>
          <w:noProof/>
        </w:rPr>
        <w:fldChar w:fldCharType="end"/>
      </w:r>
    </w:p>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 w:rsidR="000C21A5" w:rsidRDefault="000C21A5" w:rsidP="000C21A5">
      <w:pPr>
        <w:pStyle w:val="Heading1"/>
        <w:rPr>
          <w:sz w:val="24"/>
          <w:szCs w:val="24"/>
        </w:rPr>
        <w:sectPr w:rsidR="000C21A5" w:rsidSect="00874B68">
          <w:footerReference w:type="even" r:id="rId8"/>
          <w:footerReference w:type="default" r:id="rId9"/>
          <w:pgSz w:w="12240" w:h="15840"/>
          <w:pgMar w:top="1440" w:right="1800" w:bottom="1440" w:left="1800" w:header="720" w:footer="720" w:gutter="0"/>
          <w:pgNumType w:start="1"/>
          <w:cols w:space="720"/>
          <w:titlePg/>
          <w:docGrid w:linePitch="360"/>
        </w:sectPr>
      </w:pPr>
    </w:p>
    <w:p w:rsidR="000C21A5" w:rsidRPr="005F5C6F" w:rsidRDefault="000C21A5" w:rsidP="000C21A5">
      <w:pPr>
        <w:pStyle w:val="Heading1"/>
        <w:rPr>
          <w:sz w:val="28"/>
        </w:rPr>
      </w:pPr>
      <w:bookmarkStart w:id="3" w:name="_Toc480833300"/>
      <w:r w:rsidRPr="005F5C6F">
        <w:rPr>
          <w:sz w:val="28"/>
        </w:rPr>
        <w:lastRenderedPageBreak/>
        <w:t>B. Collections of Information Employing Statistical Methods</w:t>
      </w:r>
      <w:bookmarkEnd w:id="1"/>
      <w:bookmarkEnd w:id="2"/>
      <w:bookmarkEnd w:id="3"/>
    </w:p>
    <w:p w:rsidR="000C21A5" w:rsidRDefault="000C21A5" w:rsidP="000C21A5">
      <w:pPr>
        <w:spacing w:before="240"/>
      </w:pPr>
      <w:r>
        <w:t xml:space="preserve">The data collection planned under this project is part of a comprehensive evaluation strategy to assess the adoption of the </w:t>
      </w:r>
      <w:r w:rsidRPr="00C8638B">
        <w:t xml:space="preserve">Comprehensive Unit-Based Safety Program </w:t>
      </w:r>
      <w:r>
        <w:t xml:space="preserve">(CUSP) for antibiotic stewardship (AS) in </w:t>
      </w:r>
      <w:r w:rsidRPr="00C8638B">
        <w:t>acute care, long-term care and ambulatory care settings</w:t>
      </w:r>
      <w:r>
        <w:t xml:space="preserve">; measure the effectiveness of the interventions in the participating facilities or units; and evaluate the characteristics of teams that are associated with successful implementation and improvements in outcomes. </w:t>
      </w:r>
      <w:r w:rsidRPr="0065679A">
        <w:t xml:space="preserve">A key component of the </w:t>
      </w:r>
      <w:r w:rsidRPr="0065679A">
        <w:rPr>
          <w:i/>
        </w:rPr>
        <w:t>AHRQ Safety Program for Improving Antibiotic Us</w:t>
      </w:r>
      <w:r>
        <w:rPr>
          <w:i/>
        </w:rPr>
        <w:t>e</w:t>
      </w:r>
      <w:r w:rsidRPr="0065679A">
        <w:t xml:space="preserve"> is the recruitment of facilities within sites and delivery systems that will be supportive of and likely to spread the CUSP AS model. </w:t>
      </w:r>
    </w:p>
    <w:p w:rsidR="000C21A5" w:rsidRPr="005F5C6F" w:rsidRDefault="000C21A5" w:rsidP="000C21A5">
      <w:pPr>
        <w:pStyle w:val="Heading2"/>
        <w:rPr>
          <w:sz w:val="24"/>
        </w:rPr>
      </w:pPr>
      <w:bookmarkStart w:id="4" w:name="_Toc151782199"/>
      <w:bookmarkStart w:id="5" w:name="_Toc158526235"/>
      <w:bookmarkStart w:id="6" w:name="_Toc480833301"/>
      <w:r w:rsidRPr="005F5C6F">
        <w:rPr>
          <w:sz w:val="24"/>
        </w:rPr>
        <w:t>1. Respondent Universe and Sampling Methods</w:t>
      </w:r>
      <w:bookmarkEnd w:id="4"/>
      <w:bookmarkEnd w:id="5"/>
      <w:bookmarkEnd w:id="6"/>
    </w:p>
    <w:p w:rsidR="000C21A5" w:rsidRDefault="000C21A5" w:rsidP="000C21A5">
      <w:r w:rsidRPr="00267751">
        <w:t xml:space="preserve">This data collection request covers the activities </w:t>
      </w:r>
      <w:r>
        <w:t xml:space="preserve">with </w:t>
      </w:r>
      <w:r w:rsidRPr="00267751">
        <w:t xml:space="preserve">the </w:t>
      </w:r>
      <w:r>
        <w:t xml:space="preserve">Cohort 1 pilot facilities, Cohort 2 acute care hospitals, Cohort 3 long-term care facilities, and Cohort 4 ambulatory care facilities. </w:t>
      </w:r>
    </w:p>
    <w:p w:rsidR="000C21A5" w:rsidRDefault="000C21A5" w:rsidP="000C21A5"/>
    <w:p w:rsidR="000C21A5" w:rsidRPr="003B0D36" w:rsidRDefault="000C21A5" w:rsidP="000C21A5">
      <w:pPr>
        <w:rPr>
          <w:b/>
          <w:i/>
        </w:rPr>
      </w:pPr>
      <w:r>
        <w:rPr>
          <w:b/>
          <w:i/>
        </w:rPr>
        <w:t>Recruitment Methods:</w:t>
      </w:r>
    </w:p>
    <w:p w:rsidR="000C21A5" w:rsidRDefault="000C21A5" w:rsidP="000C21A5">
      <w:pPr>
        <w:spacing w:before="240"/>
        <w:rPr>
          <w:u w:val="single"/>
        </w:rPr>
      </w:pPr>
      <w:r>
        <w:rPr>
          <w:u w:val="single"/>
        </w:rPr>
        <w:t>Cohort 1 (Pilot Facilities)</w:t>
      </w:r>
    </w:p>
    <w:p w:rsidR="000C21A5" w:rsidRPr="0065679A" w:rsidRDefault="000C21A5" w:rsidP="000C21A5">
      <w:r w:rsidRPr="0065679A">
        <w:t xml:space="preserve">Facility recruitment for the </w:t>
      </w:r>
      <w:r>
        <w:t>Cohort 1 pilot period has focused</w:t>
      </w:r>
      <w:r w:rsidRPr="0065679A">
        <w:t xml:space="preserve"> on identifying Integrated Delivery Systems (IDSs) that have indicated a willingness to participate in the project and which meet the following criteria: </w:t>
      </w:r>
    </w:p>
    <w:p w:rsidR="000C21A5" w:rsidRPr="0065679A" w:rsidRDefault="000C21A5" w:rsidP="000C21A5">
      <w:pPr>
        <w:pStyle w:val="Default"/>
        <w:numPr>
          <w:ilvl w:val="0"/>
          <w:numId w:val="18"/>
        </w:numPr>
        <w:spacing w:after="47"/>
      </w:pPr>
      <w:r w:rsidRPr="0065679A">
        <w:t xml:space="preserve">Each system should consist of regional clusters of coordinated facilities, each containing at least ten (10) facilities that will participate in the project, with at least two (2) facilities from each of the settings participating from each system: acute care hospitals, long-term care facilities, and ambulatory settings.  </w:t>
      </w:r>
    </w:p>
    <w:p w:rsidR="000C21A5" w:rsidRDefault="000C21A5" w:rsidP="000C21A5">
      <w:pPr>
        <w:numPr>
          <w:ilvl w:val="0"/>
          <w:numId w:val="18"/>
        </w:numPr>
        <w:spacing w:after="240"/>
      </w:pPr>
      <w:r w:rsidRPr="0065679A">
        <w:t>The recruited integrated systems should represent some geographic diversity, covering at least two (2) HHS regions.</w:t>
      </w:r>
      <w:r>
        <w:t xml:space="preserve"> </w:t>
      </w:r>
    </w:p>
    <w:p w:rsidR="000C21A5" w:rsidRDefault="000C21A5" w:rsidP="000C21A5">
      <w:pPr>
        <w:spacing w:after="240"/>
      </w:pPr>
      <w:r>
        <w:t xml:space="preserve">The </w:t>
      </w:r>
      <w:r w:rsidRPr="0065679A">
        <w:rPr>
          <w:i/>
        </w:rPr>
        <w:t>AHRQ Safety Program for Improving Antibiotic Use</w:t>
      </w:r>
      <w:r>
        <w:t xml:space="preserve"> has </w:t>
      </w:r>
      <w:r w:rsidRPr="005406D4">
        <w:t xml:space="preserve">recruited three </w:t>
      </w:r>
      <w:r>
        <w:t>Integrated Delivery Systems (</w:t>
      </w:r>
      <w:r w:rsidRPr="005406D4">
        <w:t>IDSs</w:t>
      </w:r>
      <w:r>
        <w:t>)</w:t>
      </w:r>
      <w:r w:rsidRPr="005406D4">
        <w:t xml:space="preserve"> for the pilot period: </w:t>
      </w:r>
    </w:p>
    <w:p w:rsidR="000C21A5" w:rsidRDefault="000C21A5" w:rsidP="000C21A5">
      <w:pPr>
        <w:numPr>
          <w:ilvl w:val="0"/>
          <w:numId w:val="15"/>
        </w:numPr>
      </w:pPr>
      <w:r w:rsidRPr="005406D4">
        <w:t xml:space="preserve">Geisinger Health System, </w:t>
      </w:r>
    </w:p>
    <w:p w:rsidR="000C21A5" w:rsidRDefault="000C21A5" w:rsidP="000C21A5">
      <w:pPr>
        <w:numPr>
          <w:ilvl w:val="0"/>
          <w:numId w:val="15"/>
        </w:numPr>
      </w:pPr>
      <w:r w:rsidRPr="005406D4">
        <w:t>John</w:t>
      </w:r>
      <w:r>
        <w:t>s</w:t>
      </w:r>
      <w:r w:rsidRPr="005406D4">
        <w:t xml:space="preserve"> Hopkins Health System (JHHS), and </w:t>
      </w:r>
    </w:p>
    <w:p w:rsidR="000C21A5" w:rsidRDefault="000C21A5" w:rsidP="000C21A5">
      <w:pPr>
        <w:numPr>
          <w:ilvl w:val="0"/>
          <w:numId w:val="15"/>
        </w:numPr>
      </w:pPr>
      <w:r w:rsidRPr="005406D4">
        <w:t xml:space="preserve">Carolinas HealthCare System.  </w:t>
      </w:r>
    </w:p>
    <w:p w:rsidR="000C21A5" w:rsidRDefault="000C21A5" w:rsidP="000C21A5">
      <w:pPr>
        <w:ind w:left="720"/>
      </w:pPr>
    </w:p>
    <w:p w:rsidR="000C21A5" w:rsidRPr="005406D4" w:rsidRDefault="000C21A5" w:rsidP="000C21A5">
      <w:pPr>
        <w:spacing w:after="240"/>
      </w:pPr>
      <w:r w:rsidRPr="005406D4">
        <w:t xml:space="preserve">All participating IDSs meet the </w:t>
      </w:r>
      <w:r>
        <w:t>criteria</w:t>
      </w:r>
      <w:r w:rsidRPr="005406D4">
        <w:t xml:space="preserve"> and will commit at least 10 facilities to participate in the project, with at least two facilities from each of the three settings of interest (acute care, long-term care, and ambulatory care)  At least one unit from each of the facilities will participate in the project. </w:t>
      </w:r>
      <w:r w:rsidRPr="00E86677">
        <w:t>Exhibit B.1</w:t>
      </w:r>
      <w:r w:rsidRPr="005406D4">
        <w:t xml:space="preserve"> </w:t>
      </w:r>
      <w:r>
        <w:t xml:space="preserve">below </w:t>
      </w:r>
      <w:r w:rsidRPr="005406D4">
        <w:t xml:space="preserve">outlines some basic information about each IDS. </w:t>
      </w:r>
    </w:p>
    <w:p w:rsidR="000C21A5" w:rsidRDefault="000C21A5" w:rsidP="000C21A5">
      <w:pPr>
        <w:spacing w:after="240"/>
      </w:pPr>
      <w:r w:rsidRPr="005406D4">
        <w:t xml:space="preserve">The 30 sites </w:t>
      </w:r>
      <w:r>
        <w:t xml:space="preserve">(i.e. participating units) </w:t>
      </w:r>
      <w:r w:rsidRPr="005406D4">
        <w:t xml:space="preserve">within the three IDSs participating in the </w:t>
      </w:r>
      <w:r>
        <w:t xml:space="preserve">Cohort 1 </w:t>
      </w:r>
      <w:r w:rsidRPr="005406D4">
        <w:t xml:space="preserve">pilot period of the </w:t>
      </w:r>
      <w:r w:rsidRPr="0065679A">
        <w:rPr>
          <w:i/>
        </w:rPr>
        <w:t>AHRQ Safety Program for Improving Antibiotic Use</w:t>
      </w:r>
      <w:r w:rsidRPr="005406D4">
        <w:t xml:space="preserve"> </w:t>
      </w:r>
      <w:r>
        <w:t>include diverse locations with integrated delivery systems and</w:t>
      </w:r>
      <w:r w:rsidRPr="005406D4">
        <w:t xml:space="preserve"> vary based on type of facility, geographic location</w:t>
      </w:r>
      <w:r>
        <w:t xml:space="preserve"> (both Northern and Southern populations)</w:t>
      </w:r>
      <w:r w:rsidRPr="005406D4">
        <w:t>, urbanity, number of beds, number of providers, type of E</w:t>
      </w:r>
      <w:r>
        <w:t xml:space="preserve">lectronic </w:t>
      </w:r>
      <w:r w:rsidRPr="005406D4">
        <w:t>H</w:t>
      </w:r>
      <w:r>
        <w:t xml:space="preserve">ealth </w:t>
      </w:r>
      <w:r w:rsidRPr="005406D4">
        <w:t>R</w:t>
      </w:r>
      <w:r>
        <w:t>ecord (EHR)</w:t>
      </w:r>
      <w:r w:rsidRPr="005406D4">
        <w:t xml:space="preserve"> system</w:t>
      </w:r>
      <w:r>
        <w:t>,</w:t>
      </w:r>
      <w:r w:rsidRPr="005406D4">
        <w:t xml:space="preserve"> and teaching status. </w:t>
      </w:r>
      <w:r>
        <w:t xml:space="preserve">While the three IDSs have been selected to participate in the pilot to meet the needs stated above, AHRQ is open to considering alternative pilot facilities as recommended by OMB. </w:t>
      </w:r>
    </w:p>
    <w:p w:rsidR="000C21A5" w:rsidRPr="000D507D" w:rsidRDefault="000C21A5" w:rsidP="000C21A5">
      <w:r>
        <w:rPr>
          <w:rStyle w:val="NORCCaption-Color"/>
          <w:rFonts w:eastAsia="Calibri"/>
        </w:rPr>
        <w:t>Exhibit B.1</w:t>
      </w:r>
      <w:r w:rsidRPr="000D507D">
        <w:rPr>
          <w:rStyle w:val="NORCCaption-Color"/>
          <w:rFonts w:eastAsia="Calibri"/>
        </w:rPr>
        <w:t>:</w:t>
      </w:r>
      <w:r w:rsidRPr="000D507D">
        <w:t xml:space="preserve"> </w:t>
      </w:r>
      <w:r>
        <w:t>Integrated Delivery Systems Participating in the Pilot Period</w:t>
      </w:r>
    </w:p>
    <w:tbl>
      <w:tblPr>
        <w:tblW w:w="8734" w:type="dxa"/>
        <w:tblBorders>
          <w:top w:val="single" w:sz="4" w:space="0" w:color="717074"/>
          <w:left w:val="single" w:sz="4" w:space="0" w:color="717074"/>
          <w:bottom w:val="single" w:sz="4" w:space="0" w:color="717074"/>
          <w:right w:val="single" w:sz="4" w:space="0" w:color="717074"/>
          <w:insideH w:val="single" w:sz="4" w:space="0" w:color="717074"/>
          <w:insideV w:val="single" w:sz="4" w:space="0" w:color="717074"/>
        </w:tblBorders>
        <w:tblLayout w:type="fixed"/>
        <w:tblCellMar>
          <w:left w:w="14" w:type="dxa"/>
          <w:right w:w="14" w:type="dxa"/>
        </w:tblCellMar>
        <w:tblLook w:val="04A0" w:firstRow="1" w:lastRow="0" w:firstColumn="1" w:lastColumn="0" w:noHBand="0" w:noVBand="1"/>
      </w:tblPr>
      <w:tblGrid>
        <w:gridCol w:w="1255"/>
        <w:gridCol w:w="720"/>
        <w:gridCol w:w="1080"/>
        <w:gridCol w:w="2829"/>
        <w:gridCol w:w="40"/>
        <w:gridCol w:w="1064"/>
        <w:gridCol w:w="97"/>
        <w:gridCol w:w="443"/>
        <w:gridCol w:w="40"/>
        <w:gridCol w:w="500"/>
        <w:gridCol w:w="40"/>
        <w:gridCol w:w="606"/>
        <w:gridCol w:w="20"/>
      </w:tblGrid>
      <w:tr w:rsidR="000C21A5" w:rsidRPr="00B650E7" w:rsidTr="00B16E9D">
        <w:trPr>
          <w:trHeight w:val="263"/>
        </w:trPr>
        <w:tc>
          <w:tcPr>
            <w:tcW w:w="1255" w:type="dxa"/>
            <w:vMerge w:val="restart"/>
            <w:shd w:val="clear" w:color="auto" w:fill="8AB3A4"/>
            <w:vAlign w:val="bottom"/>
            <w:hideMark/>
          </w:tcPr>
          <w:p w:rsidR="000C21A5" w:rsidRPr="00B650E7" w:rsidRDefault="000C21A5" w:rsidP="00B16E9D">
            <w:pPr>
              <w:pStyle w:val="NORCTableSubheadingCenter10ptNarrow"/>
              <w:contextualSpacing/>
              <w:rPr>
                <w:rFonts w:ascii="Times New Roman" w:hAnsi="Times New Roman"/>
                <w:szCs w:val="20"/>
              </w:rPr>
            </w:pPr>
            <w:r w:rsidRPr="00B650E7">
              <w:rPr>
                <w:rFonts w:ascii="Times New Roman" w:hAnsi="Times New Roman"/>
                <w:szCs w:val="20"/>
              </w:rPr>
              <w:t>IDSs</w:t>
            </w:r>
          </w:p>
        </w:tc>
        <w:tc>
          <w:tcPr>
            <w:tcW w:w="720" w:type="dxa"/>
            <w:vMerge w:val="restart"/>
            <w:shd w:val="clear" w:color="auto" w:fill="8AB3A4"/>
            <w:vAlign w:val="bottom"/>
            <w:hideMark/>
          </w:tcPr>
          <w:p w:rsidR="000C21A5" w:rsidRPr="00B650E7" w:rsidRDefault="000C21A5" w:rsidP="00B16E9D">
            <w:pPr>
              <w:pStyle w:val="NORCTableSubheadingCenter10ptNarrow"/>
              <w:contextualSpacing/>
              <w:rPr>
                <w:rFonts w:ascii="Times New Roman" w:hAnsi="Times New Roman"/>
                <w:szCs w:val="20"/>
              </w:rPr>
            </w:pPr>
            <w:r w:rsidRPr="00B650E7">
              <w:rPr>
                <w:rFonts w:ascii="Times New Roman" w:hAnsi="Times New Roman"/>
                <w:szCs w:val="20"/>
              </w:rPr>
              <w:t>HHS Region</w:t>
            </w:r>
          </w:p>
        </w:tc>
        <w:tc>
          <w:tcPr>
            <w:tcW w:w="1080" w:type="dxa"/>
            <w:vMerge w:val="restart"/>
            <w:shd w:val="clear" w:color="auto" w:fill="8AB3A4"/>
            <w:vAlign w:val="bottom"/>
            <w:hideMark/>
          </w:tcPr>
          <w:p w:rsidR="000C21A5" w:rsidRPr="00B650E7" w:rsidRDefault="000C21A5" w:rsidP="00B16E9D">
            <w:pPr>
              <w:pStyle w:val="NORCTableSubheadingCenter10ptNarrow"/>
              <w:contextualSpacing/>
              <w:rPr>
                <w:rFonts w:ascii="Times New Roman" w:hAnsi="Times New Roman"/>
                <w:szCs w:val="20"/>
              </w:rPr>
            </w:pPr>
            <w:r w:rsidRPr="00B650E7">
              <w:rPr>
                <w:rFonts w:ascii="Times New Roman" w:hAnsi="Times New Roman"/>
                <w:szCs w:val="20"/>
              </w:rPr>
              <w:t>Urbanity</w:t>
            </w:r>
          </w:p>
        </w:tc>
        <w:tc>
          <w:tcPr>
            <w:tcW w:w="2829" w:type="dxa"/>
            <w:shd w:val="clear" w:color="auto" w:fill="8AB3A4"/>
            <w:vAlign w:val="bottom"/>
            <w:hideMark/>
          </w:tcPr>
          <w:p w:rsidR="000C21A5" w:rsidRPr="00B650E7" w:rsidRDefault="000C21A5" w:rsidP="00B16E9D">
            <w:pPr>
              <w:pStyle w:val="NORCTableSubheadingCenter10ptNarrow"/>
              <w:contextualSpacing/>
              <w:rPr>
                <w:rFonts w:ascii="Times New Roman" w:hAnsi="Times New Roman"/>
                <w:szCs w:val="20"/>
              </w:rPr>
            </w:pPr>
            <w:r w:rsidRPr="00B650E7">
              <w:rPr>
                <w:rFonts w:ascii="Times New Roman" w:hAnsi="Times New Roman"/>
                <w:szCs w:val="20"/>
              </w:rPr>
              <w:t>Sites</w:t>
            </w:r>
          </w:p>
        </w:tc>
        <w:tc>
          <w:tcPr>
            <w:tcW w:w="1104" w:type="dxa"/>
            <w:gridSpan w:val="2"/>
            <w:shd w:val="clear" w:color="auto" w:fill="8AB3A4"/>
            <w:vAlign w:val="bottom"/>
            <w:hideMark/>
          </w:tcPr>
          <w:p w:rsidR="000C21A5" w:rsidRPr="00B650E7" w:rsidRDefault="000C21A5" w:rsidP="00B16E9D">
            <w:pPr>
              <w:pStyle w:val="NORCTableSubheadingCenter10ptNarrow"/>
              <w:contextualSpacing/>
              <w:rPr>
                <w:rFonts w:ascii="Times New Roman" w:hAnsi="Times New Roman"/>
                <w:szCs w:val="20"/>
              </w:rPr>
            </w:pPr>
            <w:r w:rsidRPr="00B650E7">
              <w:rPr>
                <w:rFonts w:ascii="Times New Roman" w:hAnsi="Times New Roman"/>
                <w:szCs w:val="20"/>
              </w:rPr>
              <w:t>Existing Antibiotic Stewardship Program</w:t>
            </w:r>
          </w:p>
        </w:tc>
        <w:tc>
          <w:tcPr>
            <w:tcW w:w="1746" w:type="dxa"/>
            <w:gridSpan w:val="7"/>
            <w:shd w:val="clear" w:color="auto" w:fill="8AB3A4"/>
          </w:tcPr>
          <w:p w:rsidR="000C21A5" w:rsidRPr="00B650E7" w:rsidRDefault="000C21A5" w:rsidP="00B16E9D">
            <w:pPr>
              <w:pStyle w:val="NORCTableSubheadingCenter10ptNarrow"/>
              <w:contextualSpacing/>
              <w:rPr>
                <w:rFonts w:ascii="Times New Roman" w:hAnsi="Times New Roman"/>
                <w:szCs w:val="20"/>
              </w:rPr>
            </w:pPr>
            <w:r w:rsidRPr="00B650E7">
              <w:rPr>
                <w:rFonts w:ascii="Times New Roman" w:hAnsi="Times New Roman"/>
                <w:szCs w:val="20"/>
              </w:rPr>
              <w:t xml:space="preserve">Number  of Sites Participating From Each Setting </w:t>
            </w:r>
          </w:p>
        </w:tc>
      </w:tr>
      <w:tr w:rsidR="000C21A5" w:rsidRPr="00B650E7" w:rsidTr="00B16E9D">
        <w:trPr>
          <w:trHeight w:val="262"/>
        </w:trPr>
        <w:tc>
          <w:tcPr>
            <w:tcW w:w="1255" w:type="dxa"/>
            <w:vMerge/>
            <w:shd w:val="clear" w:color="auto" w:fill="8AB3A4"/>
            <w:vAlign w:val="bottom"/>
          </w:tcPr>
          <w:p w:rsidR="000C21A5" w:rsidRPr="00B650E7" w:rsidRDefault="000C21A5" w:rsidP="00B16E9D">
            <w:pPr>
              <w:pStyle w:val="NORCTableSubheadingCenter10ptNarrow"/>
              <w:contextualSpacing/>
              <w:rPr>
                <w:rFonts w:ascii="Times New Roman" w:hAnsi="Times New Roman"/>
                <w:szCs w:val="20"/>
              </w:rPr>
            </w:pPr>
          </w:p>
        </w:tc>
        <w:tc>
          <w:tcPr>
            <w:tcW w:w="720" w:type="dxa"/>
            <w:vMerge/>
            <w:shd w:val="clear" w:color="auto" w:fill="8AB3A4"/>
            <w:vAlign w:val="bottom"/>
          </w:tcPr>
          <w:p w:rsidR="000C21A5" w:rsidRPr="00B650E7" w:rsidRDefault="000C21A5" w:rsidP="00B16E9D">
            <w:pPr>
              <w:pStyle w:val="NORCTableSubheadingCenter10ptNarrow"/>
              <w:contextualSpacing/>
              <w:rPr>
                <w:rFonts w:ascii="Times New Roman" w:hAnsi="Times New Roman"/>
                <w:szCs w:val="20"/>
              </w:rPr>
            </w:pPr>
          </w:p>
        </w:tc>
        <w:tc>
          <w:tcPr>
            <w:tcW w:w="1080" w:type="dxa"/>
            <w:vMerge/>
            <w:shd w:val="clear" w:color="auto" w:fill="8AB3A4"/>
            <w:vAlign w:val="bottom"/>
          </w:tcPr>
          <w:p w:rsidR="000C21A5" w:rsidRPr="00B650E7" w:rsidRDefault="000C21A5" w:rsidP="00B16E9D">
            <w:pPr>
              <w:pStyle w:val="NORCTableSubheadingCenter10ptNarrow"/>
              <w:contextualSpacing/>
              <w:rPr>
                <w:rFonts w:ascii="Times New Roman" w:hAnsi="Times New Roman"/>
                <w:szCs w:val="20"/>
              </w:rPr>
            </w:pPr>
          </w:p>
        </w:tc>
        <w:tc>
          <w:tcPr>
            <w:tcW w:w="2869" w:type="dxa"/>
            <w:gridSpan w:val="2"/>
            <w:shd w:val="clear" w:color="auto" w:fill="8AB3A4"/>
            <w:vAlign w:val="bottom"/>
          </w:tcPr>
          <w:p w:rsidR="000C21A5" w:rsidRPr="00B650E7" w:rsidRDefault="000C21A5" w:rsidP="00B16E9D">
            <w:pPr>
              <w:pStyle w:val="NORCTableSubheadingCenter10ptNarrow"/>
              <w:contextualSpacing/>
              <w:rPr>
                <w:rFonts w:ascii="Times New Roman" w:hAnsi="Times New Roman"/>
                <w:szCs w:val="20"/>
              </w:rPr>
            </w:pPr>
          </w:p>
        </w:tc>
        <w:tc>
          <w:tcPr>
            <w:tcW w:w="1161" w:type="dxa"/>
            <w:gridSpan w:val="2"/>
            <w:shd w:val="clear" w:color="auto" w:fill="8AB3A4"/>
            <w:vAlign w:val="bottom"/>
          </w:tcPr>
          <w:p w:rsidR="000C21A5" w:rsidRPr="00B650E7" w:rsidRDefault="000C21A5" w:rsidP="00B16E9D">
            <w:pPr>
              <w:pStyle w:val="NORCTableSubheadingCenter10ptNarrow"/>
              <w:contextualSpacing/>
              <w:rPr>
                <w:rFonts w:ascii="Times New Roman" w:hAnsi="Times New Roman"/>
                <w:szCs w:val="20"/>
              </w:rPr>
            </w:pPr>
          </w:p>
        </w:tc>
        <w:tc>
          <w:tcPr>
            <w:tcW w:w="483" w:type="dxa"/>
            <w:gridSpan w:val="2"/>
            <w:shd w:val="clear" w:color="auto" w:fill="8AB3A4"/>
          </w:tcPr>
          <w:p w:rsidR="000C21A5" w:rsidRPr="00B650E7" w:rsidRDefault="000C21A5" w:rsidP="00B16E9D">
            <w:pPr>
              <w:pStyle w:val="NORCTableSubheadingCenter10ptNarrow"/>
              <w:contextualSpacing/>
              <w:rPr>
                <w:rFonts w:ascii="Times New Roman" w:hAnsi="Times New Roman"/>
                <w:szCs w:val="20"/>
              </w:rPr>
            </w:pPr>
            <w:r w:rsidRPr="00B650E7">
              <w:rPr>
                <w:rFonts w:ascii="Times New Roman" w:hAnsi="Times New Roman"/>
                <w:szCs w:val="20"/>
              </w:rPr>
              <w:t>LTC</w:t>
            </w:r>
          </w:p>
        </w:tc>
        <w:tc>
          <w:tcPr>
            <w:tcW w:w="540" w:type="dxa"/>
            <w:gridSpan w:val="2"/>
            <w:shd w:val="clear" w:color="auto" w:fill="8AB3A4"/>
          </w:tcPr>
          <w:p w:rsidR="000C21A5" w:rsidRPr="00B650E7" w:rsidRDefault="000C21A5" w:rsidP="00B16E9D">
            <w:pPr>
              <w:pStyle w:val="NORCTableSubheadingCenter10ptNarrow"/>
              <w:contextualSpacing/>
              <w:rPr>
                <w:rFonts w:ascii="Times New Roman" w:hAnsi="Times New Roman"/>
                <w:szCs w:val="20"/>
              </w:rPr>
            </w:pPr>
            <w:r w:rsidRPr="00B650E7">
              <w:rPr>
                <w:rFonts w:ascii="Times New Roman" w:hAnsi="Times New Roman"/>
                <w:szCs w:val="20"/>
              </w:rPr>
              <w:t>Amb</w:t>
            </w:r>
          </w:p>
        </w:tc>
        <w:tc>
          <w:tcPr>
            <w:tcW w:w="626" w:type="dxa"/>
            <w:gridSpan w:val="2"/>
            <w:shd w:val="clear" w:color="auto" w:fill="8AB3A4"/>
          </w:tcPr>
          <w:p w:rsidR="000C21A5" w:rsidRPr="00B650E7" w:rsidRDefault="000C21A5" w:rsidP="00B16E9D">
            <w:pPr>
              <w:pStyle w:val="NORCTableSubheadingCenter10ptNarrow"/>
              <w:contextualSpacing/>
              <w:rPr>
                <w:rFonts w:ascii="Times New Roman" w:hAnsi="Times New Roman"/>
                <w:szCs w:val="20"/>
              </w:rPr>
            </w:pPr>
            <w:r w:rsidRPr="00B650E7">
              <w:rPr>
                <w:rFonts w:ascii="Times New Roman" w:hAnsi="Times New Roman"/>
                <w:szCs w:val="20"/>
              </w:rPr>
              <w:t>Acute</w:t>
            </w:r>
          </w:p>
        </w:tc>
      </w:tr>
      <w:tr w:rsidR="000C21A5" w:rsidRPr="00B650E7" w:rsidTr="00B16E9D">
        <w:trPr>
          <w:gridAfter w:val="1"/>
          <w:wAfter w:w="20" w:type="dxa"/>
        </w:trPr>
        <w:tc>
          <w:tcPr>
            <w:tcW w:w="1255" w:type="dxa"/>
            <w:shd w:val="clear" w:color="auto" w:fill="E9E6E3"/>
            <w:vAlign w:val="center"/>
            <w:hideMark/>
          </w:tcPr>
          <w:p w:rsidR="000C21A5" w:rsidRPr="00B650E7" w:rsidRDefault="000C21A5" w:rsidP="00B16E9D">
            <w:pPr>
              <w:pStyle w:val="NORCTableBodyLeft10ptNarrow"/>
              <w:contextualSpacing/>
              <w:rPr>
                <w:rFonts w:ascii="Times New Roman" w:hAnsi="Times New Roman"/>
              </w:rPr>
            </w:pPr>
            <w:r w:rsidRPr="00B650E7">
              <w:rPr>
                <w:rFonts w:ascii="Times New Roman" w:hAnsi="Times New Roman"/>
              </w:rPr>
              <w:t>Carolinas HealthCare System</w:t>
            </w:r>
          </w:p>
        </w:tc>
        <w:tc>
          <w:tcPr>
            <w:tcW w:w="720" w:type="dxa"/>
            <w:shd w:val="clear" w:color="auto" w:fill="E9E6E3"/>
            <w:vAlign w:val="center"/>
            <w:hideMark/>
          </w:tcPr>
          <w:p w:rsidR="000C21A5" w:rsidRPr="00B650E7" w:rsidRDefault="000C21A5" w:rsidP="00B16E9D">
            <w:pPr>
              <w:pStyle w:val="NORCTableBodyLeft10ptNarrow"/>
              <w:contextualSpacing/>
              <w:jc w:val="center"/>
              <w:rPr>
                <w:rFonts w:ascii="Times New Roman" w:hAnsi="Times New Roman"/>
              </w:rPr>
            </w:pPr>
            <w:r w:rsidRPr="00B650E7">
              <w:rPr>
                <w:rFonts w:ascii="Times New Roman" w:hAnsi="Times New Roman"/>
              </w:rPr>
              <w:t>4</w:t>
            </w:r>
          </w:p>
        </w:tc>
        <w:tc>
          <w:tcPr>
            <w:tcW w:w="1080" w:type="dxa"/>
            <w:shd w:val="clear" w:color="auto" w:fill="E9E6E3"/>
            <w:vAlign w:val="center"/>
            <w:hideMark/>
          </w:tcPr>
          <w:p w:rsidR="000C21A5" w:rsidRPr="00B650E7" w:rsidRDefault="000C21A5" w:rsidP="00B16E9D">
            <w:pPr>
              <w:pStyle w:val="NORCTableBodyLeft10ptNarrow"/>
              <w:contextualSpacing/>
              <w:rPr>
                <w:rFonts w:ascii="Times New Roman" w:hAnsi="Times New Roman"/>
              </w:rPr>
            </w:pPr>
            <w:r w:rsidRPr="00B650E7">
              <w:rPr>
                <w:rFonts w:ascii="Times New Roman" w:hAnsi="Times New Roman"/>
              </w:rPr>
              <w:t>Primarily Urban</w:t>
            </w:r>
          </w:p>
        </w:tc>
        <w:tc>
          <w:tcPr>
            <w:tcW w:w="2829" w:type="dxa"/>
            <w:shd w:val="clear" w:color="auto" w:fill="E9E6E3"/>
            <w:vAlign w:val="center"/>
            <w:hideMark/>
          </w:tcPr>
          <w:p w:rsidR="000C21A5" w:rsidRPr="00B650E7" w:rsidRDefault="000C21A5" w:rsidP="00B16E9D">
            <w:pPr>
              <w:pStyle w:val="NORCTableBodyLeft10ptNarrow"/>
              <w:contextualSpacing/>
              <w:rPr>
                <w:rFonts w:ascii="Times New Roman" w:hAnsi="Times New Roman"/>
              </w:rPr>
            </w:pPr>
            <w:r w:rsidRPr="00B650E7">
              <w:rPr>
                <w:rFonts w:ascii="Times New Roman" w:hAnsi="Times New Roman"/>
              </w:rPr>
              <w:t xml:space="preserve">Over 900 care locations, including 40 hospitals, 24 urgent care centers, 5 LTC, and 600 </w:t>
            </w:r>
            <w:r>
              <w:rPr>
                <w:rFonts w:ascii="Times New Roman" w:hAnsi="Times New Roman"/>
              </w:rPr>
              <w:t>a</w:t>
            </w:r>
            <w:r w:rsidRPr="00B650E7">
              <w:rPr>
                <w:rFonts w:ascii="Times New Roman" w:hAnsi="Times New Roman"/>
              </w:rPr>
              <w:t>mbulatory care sites</w:t>
            </w:r>
          </w:p>
        </w:tc>
        <w:tc>
          <w:tcPr>
            <w:tcW w:w="1104" w:type="dxa"/>
            <w:gridSpan w:val="2"/>
            <w:shd w:val="clear" w:color="auto" w:fill="E9E6E3"/>
            <w:vAlign w:val="center"/>
            <w:hideMark/>
          </w:tcPr>
          <w:p w:rsidR="000C21A5" w:rsidRPr="00B650E7" w:rsidRDefault="000C21A5" w:rsidP="00B16E9D">
            <w:pPr>
              <w:pStyle w:val="NORCTableBodyLeft10ptNarrow"/>
              <w:contextualSpacing/>
              <w:jc w:val="center"/>
              <w:rPr>
                <w:rFonts w:ascii="Times New Roman" w:hAnsi="Times New Roman"/>
              </w:rPr>
            </w:pPr>
            <w:r w:rsidRPr="00B650E7">
              <w:rPr>
                <w:rFonts w:ascii="Times New Roman" w:hAnsi="Times New Roman"/>
              </w:rPr>
              <w:t>Y</w:t>
            </w:r>
          </w:p>
        </w:tc>
        <w:tc>
          <w:tcPr>
            <w:tcW w:w="540" w:type="dxa"/>
            <w:gridSpan w:val="2"/>
            <w:shd w:val="clear" w:color="auto" w:fill="E9E6E3"/>
          </w:tcPr>
          <w:p w:rsidR="000C21A5" w:rsidRPr="00B650E7" w:rsidRDefault="000C21A5" w:rsidP="00B16E9D">
            <w:pPr>
              <w:pStyle w:val="NORCTableBodyLeft10ptNarrow"/>
              <w:contextualSpacing/>
              <w:jc w:val="center"/>
              <w:rPr>
                <w:rFonts w:ascii="Times New Roman" w:hAnsi="Times New Roman"/>
              </w:rPr>
            </w:pPr>
          </w:p>
          <w:p w:rsidR="000C21A5" w:rsidRPr="00B650E7" w:rsidRDefault="000C21A5" w:rsidP="00B16E9D">
            <w:pPr>
              <w:pStyle w:val="NORCTableBodyLeft10ptNarrow"/>
              <w:contextualSpacing/>
              <w:jc w:val="center"/>
              <w:rPr>
                <w:rFonts w:ascii="Times New Roman" w:hAnsi="Times New Roman"/>
              </w:rPr>
            </w:pPr>
            <w:r w:rsidRPr="00B650E7">
              <w:rPr>
                <w:rFonts w:ascii="Times New Roman" w:hAnsi="Times New Roman"/>
              </w:rPr>
              <w:t>TBD</w:t>
            </w:r>
          </w:p>
        </w:tc>
        <w:tc>
          <w:tcPr>
            <w:tcW w:w="540" w:type="dxa"/>
            <w:gridSpan w:val="2"/>
            <w:shd w:val="clear" w:color="auto" w:fill="E9E6E3"/>
          </w:tcPr>
          <w:p w:rsidR="000C21A5" w:rsidRPr="00B650E7" w:rsidRDefault="000C21A5" w:rsidP="00B16E9D">
            <w:pPr>
              <w:pStyle w:val="NORCTableBodyLeft10ptNarrow"/>
              <w:contextualSpacing/>
              <w:jc w:val="center"/>
              <w:rPr>
                <w:rFonts w:ascii="Times New Roman" w:hAnsi="Times New Roman"/>
              </w:rPr>
            </w:pPr>
          </w:p>
          <w:p w:rsidR="000C21A5" w:rsidRPr="00B650E7" w:rsidRDefault="000C21A5" w:rsidP="00B16E9D">
            <w:pPr>
              <w:pStyle w:val="NORCTableBodyLeft10ptNarrow"/>
              <w:contextualSpacing/>
              <w:jc w:val="center"/>
              <w:rPr>
                <w:rFonts w:ascii="Times New Roman" w:hAnsi="Times New Roman"/>
              </w:rPr>
            </w:pPr>
            <w:r w:rsidRPr="00B650E7">
              <w:rPr>
                <w:rFonts w:ascii="Times New Roman" w:hAnsi="Times New Roman"/>
              </w:rPr>
              <w:t>TBD</w:t>
            </w:r>
          </w:p>
        </w:tc>
        <w:tc>
          <w:tcPr>
            <w:tcW w:w="646" w:type="dxa"/>
            <w:gridSpan w:val="2"/>
            <w:shd w:val="clear" w:color="auto" w:fill="E9E6E3"/>
          </w:tcPr>
          <w:p w:rsidR="000C21A5" w:rsidRPr="00B650E7" w:rsidRDefault="000C21A5" w:rsidP="00B16E9D">
            <w:pPr>
              <w:pStyle w:val="NORCTableBodyLeft10ptNarrow"/>
              <w:contextualSpacing/>
              <w:jc w:val="center"/>
              <w:rPr>
                <w:rFonts w:ascii="Times New Roman" w:hAnsi="Times New Roman"/>
              </w:rPr>
            </w:pPr>
          </w:p>
          <w:p w:rsidR="000C21A5" w:rsidRPr="00B650E7" w:rsidRDefault="000C21A5" w:rsidP="00B16E9D">
            <w:pPr>
              <w:pStyle w:val="NORCTableBodyLeft10ptNarrow"/>
              <w:contextualSpacing/>
              <w:jc w:val="center"/>
              <w:rPr>
                <w:rFonts w:ascii="Times New Roman" w:hAnsi="Times New Roman"/>
              </w:rPr>
            </w:pPr>
            <w:r w:rsidRPr="00B650E7">
              <w:rPr>
                <w:rFonts w:ascii="Times New Roman" w:hAnsi="Times New Roman"/>
              </w:rPr>
              <w:t>TBD</w:t>
            </w:r>
          </w:p>
        </w:tc>
      </w:tr>
      <w:tr w:rsidR="000C21A5" w:rsidRPr="00B650E7" w:rsidTr="00B16E9D">
        <w:trPr>
          <w:gridAfter w:val="1"/>
          <w:wAfter w:w="20" w:type="dxa"/>
        </w:trPr>
        <w:tc>
          <w:tcPr>
            <w:tcW w:w="1255" w:type="dxa"/>
            <w:shd w:val="clear" w:color="auto" w:fill="E9E6E3"/>
            <w:vAlign w:val="center"/>
            <w:hideMark/>
          </w:tcPr>
          <w:p w:rsidR="000C21A5" w:rsidRPr="00B650E7" w:rsidRDefault="000C21A5" w:rsidP="00B16E9D">
            <w:pPr>
              <w:pStyle w:val="NORCTableBodyLeft10ptNarrow"/>
              <w:contextualSpacing/>
              <w:rPr>
                <w:rFonts w:ascii="Times New Roman" w:hAnsi="Times New Roman"/>
              </w:rPr>
            </w:pPr>
            <w:r w:rsidRPr="00B650E7">
              <w:rPr>
                <w:rFonts w:ascii="Times New Roman" w:hAnsi="Times New Roman"/>
              </w:rPr>
              <w:t>Geisinger Health System</w:t>
            </w:r>
          </w:p>
        </w:tc>
        <w:tc>
          <w:tcPr>
            <w:tcW w:w="720" w:type="dxa"/>
            <w:shd w:val="clear" w:color="auto" w:fill="E9E6E3"/>
            <w:vAlign w:val="center"/>
            <w:hideMark/>
          </w:tcPr>
          <w:p w:rsidR="000C21A5" w:rsidRPr="00B650E7" w:rsidRDefault="000C21A5" w:rsidP="00B16E9D">
            <w:pPr>
              <w:pStyle w:val="NORCTableBodyLeft10ptNarrow"/>
              <w:contextualSpacing/>
              <w:jc w:val="center"/>
              <w:rPr>
                <w:rFonts w:ascii="Times New Roman" w:hAnsi="Times New Roman"/>
              </w:rPr>
            </w:pPr>
            <w:r w:rsidRPr="00B650E7">
              <w:rPr>
                <w:rFonts w:ascii="Times New Roman" w:hAnsi="Times New Roman"/>
              </w:rPr>
              <w:t>3</w:t>
            </w:r>
          </w:p>
        </w:tc>
        <w:tc>
          <w:tcPr>
            <w:tcW w:w="1080" w:type="dxa"/>
            <w:shd w:val="clear" w:color="auto" w:fill="E9E6E3"/>
            <w:vAlign w:val="center"/>
            <w:hideMark/>
          </w:tcPr>
          <w:p w:rsidR="000C21A5" w:rsidRPr="00B650E7" w:rsidRDefault="000C21A5" w:rsidP="00B16E9D">
            <w:pPr>
              <w:pStyle w:val="NORCTableBodyLeft10ptNarrow"/>
              <w:contextualSpacing/>
              <w:rPr>
                <w:rFonts w:ascii="Times New Roman" w:hAnsi="Times New Roman"/>
              </w:rPr>
            </w:pPr>
            <w:r w:rsidRPr="00B650E7">
              <w:rPr>
                <w:rFonts w:ascii="Times New Roman" w:hAnsi="Times New Roman"/>
              </w:rPr>
              <w:t>Primarily Rural</w:t>
            </w:r>
          </w:p>
        </w:tc>
        <w:tc>
          <w:tcPr>
            <w:tcW w:w="2829" w:type="dxa"/>
            <w:shd w:val="clear" w:color="auto" w:fill="E9E6E3"/>
            <w:vAlign w:val="center"/>
            <w:hideMark/>
          </w:tcPr>
          <w:p w:rsidR="000C21A5" w:rsidRPr="00B650E7" w:rsidRDefault="000C21A5" w:rsidP="00B16E9D">
            <w:pPr>
              <w:pStyle w:val="NORCTableBodyLeft10ptNarrow"/>
              <w:contextualSpacing/>
              <w:rPr>
                <w:rFonts w:ascii="Times New Roman" w:hAnsi="Times New Roman"/>
              </w:rPr>
            </w:pPr>
            <w:r w:rsidRPr="00B650E7">
              <w:rPr>
                <w:rFonts w:ascii="Times New Roman" w:hAnsi="Times New Roman"/>
              </w:rPr>
              <w:t>14 hospitals, 7 LTC, and 40 ambulatory care sites</w:t>
            </w:r>
          </w:p>
        </w:tc>
        <w:tc>
          <w:tcPr>
            <w:tcW w:w="1104" w:type="dxa"/>
            <w:gridSpan w:val="2"/>
            <w:shd w:val="clear" w:color="auto" w:fill="E9E6E3"/>
            <w:vAlign w:val="center"/>
            <w:hideMark/>
          </w:tcPr>
          <w:p w:rsidR="000C21A5" w:rsidRPr="00B650E7" w:rsidRDefault="000C21A5" w:rsidP="00B16E9D">
            <w:pPr>
              <w:pStyle w:val="NORCTableBodyLeft10ptNarrow"/>
              <w:contextualSpacing/>
              <w:jc w:val="center"/>
              <w:rPr>
                <w:rFonts w:ascii="Times New Roman" w:hAnsi="Times New Roman"/>
              </w:rPr>
            </w:pPr>
            <w:r w:rsidRPr="00B650E7">
              <w:rPr>
                <w:rFonts w:ascii="Times New Roman" w:hAnsi="Times New Roman"/>
              </w:rPr>
              <w:t>Y</w:t>
            </w:r>
          </w:p>
        </w:tc>
        <w:tc>
          <w:tcPr>
            <w:tcW w:w="540" w:type="dxa"/>
            <w:gridSpan w:val="2"/>
            <w:shd w:val="clear" w:color="auto" w:fill="E9E6E3"/>
          </w:tcPr>
          <w:p w:rsidR="000C21A5" w:rsidRPr="00B650E7" w:rsidRDefault="000C21A5" w:rsidP="00B16E9D">
            <w:pPr>
              <w:pStyle w:val="NORCTableBodyLeft10ptNarrow"/>
              <w:contextualSpacing/>
              <w:jc w:val="center"/>
              <w:rPr>
                <w:rFonts w:ascii="Times New Roman" w:hAnsi="Times New Roman"/>
              </w:rPr>
            </w:pPr>
          </w:p>
          <w:p w:rsidR="000C21A5" w:rsidRPr="00B650E7" w:rsidRDefault="000C21A5" w:rsidP="00B16E9D">
            <w:pPr>
              <w:pStyle w:val="NORCTableBodyLeft10ptNarrow"/>
              <w:contextualSpacing/>
              <w:jc w:val="center"/>
              <w:rPr>
                <w:rFonts w:ascii="Times New Roman" w:hAnsi="Times New Roman"/>
              </w:rPr>
            </w:pPr>
            <w:r w:rsidRPr="00B650E7">
              <w:rPr>
                <w:rFonts w:ascii="Times New Roman" w:hAnsi="Times New Roman"/>
              </w:rPr>
              <w:t>TBD</w:t>
            </w:r>
          </w:p>
          <w:p w:rsidR="000C21A5" w:rsidRPr="00B650E7" w:rsidRDefault="000C21A5" w:rsidP="00B16E9D">
            <w:pPr>
              <w:pStyle w:val="NORCTableBodyLeft10ptNarrow"/>
              <w:contextualSpacing/>
              <w:jc w:val="center"/>
              <w:rPr>
                <w:rFonts w:ascii="Times New Roman" w:hAnsi="Times New Roman"/>
              </w:rPr>
            </w:pPr>
          </w:p>
        </w:tc>
        <w:tc>
          <w:tcPr>
            <w:tcW w:w="540" w:type="dxa"/>
            <w:gridSpan w:val="2"/>
            <w:shd w:val="clear" w:color="auto" w:fill="E9E6E3"/>
          </w:tcPr>
          <w:p w:rsidR="000C21A5" w:rsidRPr="00B650E7" w:rsidRDefault="000C21A5" w:rsidP="00B16E9D">
            <w:pPr>
              <w:pStyle w:val="NORCTableBodyLeft10ptNarrow"/>
              <w:contextualSpacing/>
              <w:jc w:val="center"/>
              <w:rPr>
                <w:rFonts w:ascii="Times New Roman" w:hAnsi="Times New Roman"/>
              </w:rPr>
            </w:pPr>
          </w:p>
          <w:p w:rsidR="000C21A5" w:rsidRPr="00B650E7" w:rsidRDefault="000C21A5" w:rsidP="00B16E9D">
            <w:pPr>
              <w:pStyle w:val="NORCTableBodyLeft10ptNarrow"/>
              <w:contextualSpacing/>
              <w:jc w:val="center"/>
              <w:rPr>
                <w:rFonts w:ascii="Times New Roman" w:hAnsi="Times New Roman"/>
              </w:rPr>
            </w:pPr>
            <w:r w:rsidRPr="00B650E7">
              <w:rPr>
                <w:rFonts w:ascii="Times New Roman" w:hAnsi="Times New Roman"/>
              </w:rPr>
              <w:t>TBD</w:t>
            </w:r>
          </w:p>
        </w:tc>
        <w:tc>
          <w:tcPr>
            <w:tcW w:w="646" w:type="dxa"/>
            <w:gridSpan w:val="2"/>
            <w:shd w:val="clear" w:color="auto" w:fill="E9E6E3"/>
          </w:tcPr>
          <w:p w:rsidR="000C21A5" w:rsidRPr="00B650E7" w:rsidRDefault="000C21A5" w:rsidP="00B16E9D">
            <w:pPr>
              <w:pStyle w:val="NORCTableBodyLeft10ptNarrow"/>
              <w:contextualSpacing/>
              <w:jc w:val="center"/>
              <w:rPr>
                <w:rFonts w:ascii="Times New Roman" w:hAnsi="Times New Roman"/>
              </w:rPr>
            </w:pPr>
          </w:p>
          <w:p w:rsidR="000C21A5" w:rsidRPr="00B650E7" w:rsidRDefault="000C21A5" w:rsidP="00B16E9D">
            <w:pPr>
              <w:pStyle w:val="NORCTableBodyLeft10ptNarrow"/>
              <w:contextualSpacing/>
              <w:jc w:val="center"/>
              <w:rPr>
                <w:rFonts w:ascii="Times New Roman" w:hAnsi="Times New Roman"/>
              </w:rPr>
            </w:pPr>
            <w:r w:rsidRPr="00B650E7">
              <w:rPr>
                <w:rFonts w:ascii="Times New Roman" w:hAnsi="Times New Roman"/>
              </w:rPr>
              <w:t>TBD</w:t>
            </w:r>
          </w:p>
        </w:tc>
      </w:tr>
      <w:tr w:rsidR="000C21A5" w:rsidRPr="00B650E7" w:rsidTr="00B16E9D">
        <w:trPr>
          <w:gridAfter w:val="1"/>
          <w:wAfter w:w="20" w:type="dxa"/>
        </w:trPr>
        <w:tc>
          <w:tcPr>
            <w:tcW w:w="1255" w:type="dxa"/>
            <w:shd w:val="clear" w:color="auto" w:fill="E9E6E3"/>
            <w:vAlign w:val="center"/>
            <w:hideMark/>
          </w:tcPr>
          <w:p w:rsidR="000C21A5" w:rsidRPr="00B650E7" w:rsidRDefault="000C21A5" w:rsidP="00B16E9D">
            <w:pPr>
              <w:pStyle w:val="NORCTableBodyLeft10ptNarrow"/>
              <w:contextualSpacing/>
              <w:rPr>
                <w:rFonts w:ascii="Times New Roman" w:hAnsi="Times New Roman"/>
              </w:rPr>
            </w:pPr>
            <w:r w:rsidRPr="00B650E7">
              <w:rPr>
                <w:rFonts w:ascii="Times New Roman" w:hAnsi="Times New Roman"/>
              </w:rPr>
              <w:t>Johns Hopkins Health System</w:t>
            </w:r>
          </w:p>
        </w:tc>
        <w:tc>
          <w:tcPr>
            <w:tcW w:w="720" w:type="dxa"/>
            <w:shd w:val="clear" w:color="auto" w:fill="E9E6E3"/>
            <w:vAlign w:val="center"/>
            <w:hideMark/>
          </w:tcPr>
          <w:p w:rsidR="000C21A5" w:rsidRPr="00B650E7" w:rsidRDefault="000C21A5" w:rsidP="00B16E9D">
            <w:pPr>
              <w:pStyle w:val="NORCTableBodyLeft10ptNarrow"/>
              <w:contextualSpacing/>
              <w:jc w:val="center"/>
              <w:rPr>
                <w:rFonts w:ascii="Times New Roman" w:hAnsi="Times New Roman"/>
              </w:rPr>
            </w:pPr>
            <w:r w:rsidRPr="00B650E7">
              <w:rPr>
                <w:rFonts w:ascii="Times New Roman" w:hAnsi="Times New Roman"/>
              </w:rPr>
              <w:t>3</w:t>
            </w:r>
          </w:p>
        </w:tc>
        <w:tc>
          <w:tcPr>
            <w:tcW w:w="1080" w:type="dxa"/>
            <w:shd w:val="clear" w:color="auto" w:fill="E9E6E3"/>
            <w:vAlign w:val="center"/>
            <w:hideMark/>
          </w:tcPr>
          <w:p w:rsidR="000C21A5" w:rsidRPr="00B650E7" w:rsidRDefault="000C21A5" w:rsidP="00B16E9D">
            <w:pPr>
              <w:pStyle w:val="NORCTableBodyLeft10ptNarrow"/>
              <w:contextualSpacing/>
              <w:rPr>
                <w:rFonts w:ascii="Times New Roman" w:hAnsi="Times New Roman"/>
              </w:rPr>
            </w:pPr>
            <w:r w:rsidRPr="00B650E7">
              <w:rPr>
                <w:rFonts w:ascii="Times New Roman" w:hAnsi="Times New Roman"/>
              </w:rPr>
              <w:t>Urban</w:t>
            </w:r>
          </w:p>
        </w:tc>
        <w:tc>
          <w:tcPr>
            <w:tcW w:w="2829" w:type="dxa"/>
            <w:shd w:val="clear" w:color="auto" w:fill="E9E6E3"/>
            <w:vAlign w:val="center"/>
            <w:hideMark/>
          </w:tcPr>
          <w:p w:rsidR="000C21A5" w:rsidRPr="00B650E7" w:rsidRDefault="000C21A5" w:rsidP="00B16E9D">
            <w:pPr>
              <w:pStyle w:val="NORCTableBodyLeft10ptNarrow"/>
              <w:contextualSpacing/>
              <w:rPr>
                <w:rFonts w:ascii="Times New Roman" w:hAnsi="Times New Roman"/>
              </w:rPr>
            </w:pPr>
            <w:r w:rsidRPr="00B650E7">
              <w:rPr>
                <w:rFonts w:ascii="Times New Roman" w:hAnsi="Times New Roman"/>
              </w:rPr>
              <w:t>6 academic and community hospitals, 4 surgery centers, 10 LTC (Lorien Health Systems), 39 primary and specialty care sites</w:t>
            </w:r>
          </w:p>
        </w:tc>
        <w:tc>
          <w:tcPr>
            <w:tcW w:w="1104" w:type="dxa"/>
            <w:gridSpan w:val="2"/>
            <w:shd w:val="clear" w:color="auto" w:fill="E9E6E3"/>
            <w:vAlign w:val="center"/>
            <w:hideMark/>
          </w:tcPr>
          <w:p w:rsidR="000C21A5" w:rsidRPr="00B650E7" w:rsidRDefault="000C21A5" w:rsidP="00B16E9D">
            <w:pPr>
              <w:pStyle w:val="NORCTableBodyLeft10ptNarrow"/>
              <w:contextualSpacing/>
              <w:jc w:val="center"/>
              <w:rPr>
                <w:rFonts w:ascii="Times New Roman" w:hAnsi="Times New Roman"/>
              </w:rPr>
            </w:pPr>
            <w:r w:rsidRPr="00B650E7">
              <w:rPr>
                <w:rFonts w:ascii="Times New Roman" w:hAnsi="Times New Roman"/>
              </w:rPr>
              <w:t>Y</w:t>
            </w:r>
          </w:p>
        </w:tc>
        <w:tc>
          <w:tcPr>
            <w:tcW w:w="540" w:type="dxa"/>
            <w:gridSpan w:val="2"/>
            <w:shd w:val="clear" w:color="auto" w:fill="E9E6E3"/>
          </w:tcPr>
          <w:p w:rsidR="000C21A5" w:rsidRPr="00B650E7" w:rsidRDefault="000C21A5" w:rsidP="00B16E9D">
            <w:pPr>
              <w:pStyle w:val="NORCTableBodyLeft10ptNarrow"/>
              <w:contextualSpacing/>
              <w:jc w:val="center"/>
              <w:rPr>
                <w:rFonts w:ascii="Times New Roman" w:hAnsi="Times New Roman"/>
              </w:rPr>
            </w:pPr>
          </w:p>
          <w:p w:rsidR="000C21A5" w:rsidRPr="00B650E7" w:rsidRDefault="000C21A5" w:rsidP="00B16E9D">
            <w:pPr>
              <w:pStyle w:val="NORCTableBodyLeft10ptNarrow"/>
              <w:contextualSpacing/>
              <w:jc w:val="center"/>
              <w:rPr>
                <w:rFonts w:ascii="Times New Roman" w:hAnsi="Times New Roman"/>
              </w:rPr>
            </w:pPr>
            <w:r w:rsidRPr="00B650E7">
              <w:rPr>
                <w:rFonts w:ascii="Times New Roman" w:hAnsi="Times New Roman"/>
              </w:rPr>
              <w:t>3</w:t>
            </w:r>
          </w:p>
        </w:tc>
        <w:tc>
          <w:tcPr>
            <w:tcW w:w="540" w:type="dxa"/>
            <w:gridSpan w:val="2"/>
            <w:shd w:val="clear" w:color="auto" w:fill="E9E6E3"/>
          </w:tcPr>
          <w:p w:rsidR="000C21A5" w:rsidRPr="00B650E7" w:rsidRDefault="000C21A5" w:rsidP="00B16E9D">
            <w:pPr>
              <w:pStyle w:val="NORCTableBodyLeft10ptNarrow"/>
              <w:contextualSpacing/>
              <w:jc w:val="center"/>
              <w:rPr>
                <w:rFonts w:ascii="Times New Roman" w:hAnsi="Times New Roman"/>
              </w:rPr>
            </w:pPr>
          </w:p>
          <w:p w:rsidR="000C21A5" w:rsidRPr="00B650E7" w:rsidRDefault="000C21A5" w:rsidP="00B16E9D">
            <w:pPr>
              <w:pStyle w:val="NORCTableBodyLeft10ptNarrow"/>
              <w:contextualSpacing/>
              <w:jc w:val="center"/>
              <w:rPr>
                <w:rFonts w:ascii="Times New Roman" w:hAnsi="Times New Roman"/>
              </w:rPr>
            </w:pPr>
            <w:r w:rsidRPr="00B650E7">
              <w:rPr>
                <w:rFonts w:ascii="Times New Roman" w:hAnsi="Times New Roman"/>
              </w:rPr>
              <w:t>3</w:t>
            </w:r>
          </w:p>
        </w:tc>
        <w:tc>
          <w:tcPr>
            <w:tcW w:w="646" w:type="dxa"/>
            <w:gridSpan w:val="2"/>
            <w:shd w:val="clear" w:color="auto" w:fill="E9E6E3"/>
          </w:tcPr>
          <w:p w:rsidR="000C21A5" w:rsidRPr="00B650E7" w:rsidRDefault="000C21A5" w:rsidP="00B16E9D">
            <w:pPr>
              <w:pStyle w:val="NORCTableBodyLeft10ptNarrow"/>
              <w:contextualSpacing/>
              <w:jc w:val="center"/>
              <w:rPr>
                <w:rFonts w:ascii="Times New Roman" w:hAnsi="Times New Roman"/>
              </w:rPr>
            </w:pPr>
          </w:p>
          <w:p w:rsidR="000C21A5" w:rsidRPr="00B650E7" w:rsidRDefault="000C21A5" w:rsidP="00B16E9D">
            <w:pPr>
              <w:pStyle w:val="NORCTableBodyLeft10ptNarrow"/>
              <w:contextualSpacing/>
              <w:jc w:val="center"/>
              <w:rPr>
                <w:rFonts w:ascii="Times New Roman" w:hAnsi="Times New Roman"/>
              </w:rPr>
            </w:pPr>
            <w:r w:rsidRPr="00B650E7">
              <w:rPr>
                <w:rFonts w:ascii="Times New Roman" w:hAnsi="Times New Roman"/>
              </w:rPr>
              <w:t>4</w:t>
            </w:r>
          </w:p>
        </w:tc>
      </w:tr>
    </w:tbl>
    <w:p w:rsidR="000C21A5" w:rsidRDefault="000C21A5" w:rsidP="000C21A5">
      <w:bookmarkStart w:id="7" w:name="_Toc372292704"/>
      <w:bookmarkStart w:id="8" w:name="_Toc378681309"/>
    </w:p>
    <w:p w:rsidR="000C21A5" w:rsidRDefault="000C21A5" w:rsidP="000C21A5">
      <w:pPr>
        <w:rPr>
          <w:u w:val="single"/>
        </w:rPr>
      </w:pPr>
      <w:r w:rsidRPr="007461FB">
        <w:rPr>
          <w:u w:val="single"/>
        </w:rPr>
        <w:t xml:space="preserve">Cohort 2 </w:t>
      </w:r>
      <w:r>
        <w:rPr>
          <w:u w:val="single"/>
        </w:rPr>
        <w:t>(Acute C</w:t>
      </w:r>
      <w:r w:rsidRPr="007461FB">
        <w:rPr>
          <w:u w:val="single"/>
        </w:rPr>
        <w:t>are</w:t>
      </w:r>
      <w:r>
        <w:rPr>
          <w:u w:val="single"/>
        </w:rPr>
        <w:t xml:space="preserve"> H</w:t>
      </w:r>
      <w:r w:rsidRPr="007461FB">
        <w:rPr>
          <w:u w:val="single"/>
        </w:rPr>
        <w:t>ospitals</w:t>
      </w:r>
      <w:r>
        <w:rPr>
          <w:u w:val="single"/>
        </w:rPr>
        <w:t xml:space="preserve">), </w:t>
      </w:r>
      <w:r w:rsidRPr="007461FB">
        <w:rPr>
          <w:u w:val="single"/>
        </w:rPr>
        <w:t xml:space="preserve">Cohort 3 </w:t>
      </w:r>
      <w:r>
        <w:rPr>
          <w:u w:val="single"/>
        </w:rPr>
        <w:t>(Long-Term C</w:t>
      </w:r>
      <w:r w:rsidRPr="007461FB">
        <w:rPr>
          <w:u w:val="single"/>
        </w:rPr>
        <w:t xml:space="preserve">are </w:t>
      </w:r>
      <w:r>
        <w:rPr>
          <w:u w:val="single"/>
        </w:rPr>
        <w:t>F</w:t>
      </w:r>
      <w:r w:rsidRPr="007461FB">
        <w:rPr>
          <w:u w:val="single"/>
        </w:rPr>
        <w:t>acilities</w:t>
      </w:r>
      <w:r>
        <w:rPr>
          <w:u w:val="single"/>
        </w:rPr>
        <w:t>) and Cohort 4 (Ambulatory Care Facilities)</w:t>
      </w:r>
    </w:p>
    <w:p w:rsidR="000C21A5" w:rsidRDefault="000C21A5" w:rsidP="000C21A5">
      <w:pPr>
        <w:pStyle w:val="NORCProposalBodyDoubleSpacing-Garamond"/>
        <w:spacing w:line="240" w:lineRule="auto"/>
        <w:ind w:firstLine="0"/>
        <w:rPr>
          <w:rFonts w:ascii="Times New Roman" w:hAnsi="Times New Roman" w:cs="Times New Roman"/>
          <w:b/>
          <w:i/>
          <w:sz w:val="24"/>
          <w:szCs w:val="24"/>
        </w:rPr>
      </w:pPr>
    </w:p>
    <w:p w:rsidR="000C21A5" w:rsidRPr="003D1E38" w:rsidRDefault="000C21A5" w:rsidP="000C21A5">
      <w:pPr>
        <w:pStyle w:val="NORCProposalBodyDoubleSpacing-Garamond"/>
        <w:spacing w:line="240" w:lineRule="auto"/>
        <w:ind w:firstLine="0"/>
        <w:rPr>
          <w:rFonts w:ascii="Times New Roman" w:hAnsi="Times New Roman" w:cs="Times New Roman"/>
          <w:sz w:val="24"/>
          <w:szCs w:val="24"/>
        </w:rPr>
      </w:pPr>
      <w:r w:rsidRPr="003D1E38">
        <w:rPr>
          <w:rFonts w:ascii="Times New Roman" w:hAnsi="Times New Roman" w:cs="Times New Roman"/>
          <w:b/>
          <w:i/>
          <w:sz w:val="24"/>
          <w:szCs w:val="24"/>
        </w:rPr>
        <w:t>Target</w:t>
      </w:r>
      <w:r>
        <w:rPr>
          <w:rFonts w:ascii="Times New Roman" w:hAnsi="Times New Roman" w:cs="Times New Roman"/>
          <w:b/>
          <w:i/>
          <w:sz w:val="24"/>
          <w:szCs w:val="24"/>
        </w:rPr>
        <w:t>s</w:t>
      </w:r>
      <w:r w:rsidRPr="003D1E38">
        <w:rPr>
          <w:rFonts w:ascii="Times New Roman" w:hAnsi="Times New Roman" w:cs="Times New Roman"/>
          <w:b/>
          <w:i/>
          <w:sz w:val="24"/>
          <w:szCs w:val="24"/>
        </w:rPr>
        <w:t>.</w:t>
      </w:r>
      <w:r w:rsidRPr="003D1E38">
        <w:rPr>
          <w:rFonts w:ascii="Times New Roman" w:hAnsi="Times New Roman" w:cs="Times New Roman"/>
          <w:sz w:val="24"/>
          <w:szCs w:val="24"/>
        </w:rPr>
        <w:t xml:space="preserve">  </w:t>
      </w:r>
      <w:r>
        <w:rPr>
          <w:rFonts w:ascii="Times New Roman" w:hAnsi="Times New Roman" w:cs="Times New Roman"/>
          <w:sz w:val="24"/>
          <w:szCs w:val="24"/>
        </w:rPr>
        <w:t xml:space="preserve">For Cohorts 2, 3, and 4, the project will recruit </w:t>
      </w:r>
      <w:r w:rsidRPr="003D1E38">
        <w:rPr>
          <w:rFonts w:ascii="Times New Roman" w:hAnsi="Times New Roman" w:cs="Times New Roman"/>
          <w:sz w:val="24"/>
          <w:szCs w:val="24"/>
        </w:rPr>
        <w:t xml:space="preserve">250-500 acute care hospitals (at least 25 from each of the 10 HHS Geographic Regions); 250-500 long-term care facilities (at least 25 from each HHS region); and 250-500 ambulatory care facilities (at least 25 from each HHS region). </w:t>
      </w:r>
    </w:p>
    <w:p w:rsidR="000C21A5" w:rsidRDefault="000C21A5" w:rsidP="000C21A5">
      <w:pPr>
        <w:rPr>
          <w:b/>
          <w:i/>
        </w:rPr>
      </w:pPr>
    </w:p>
    <w:p w:rsidR="000C21A5" w:rsidRPr="003D1E38" w:rsidRDefault="000C21A5" w:rsidP="000C21A5">
      <w:r w:rsidRPr="003D1E38">
        <w:rPr>
          <w:b/>
          <w:i/>
        </w:rPr>
        <w:t xml:space="preserve">Facility Characteristics. </w:t>
      </w:r>
      <w:r w:rsidRPr="003D1E38">
        <w:t xml:space="preserve">To meet </w:t>
      </w:r>
      <w:r>
        <w:t>the rec</w:t>
      </w:r>
      <w:r w:rsidRPr="003D1E38">
        <w:t xml:space="preserve">ruitment targets the </w:t>
      </w:r>
      <w:r>
        <w:t xml:space="preserve">project </w:t>
      </w:r>
      <w:r w:rsidRPr="003D1E38">
        <w:t xml:space="preserve">will cast a wide net and ensure that eligibility criteria garners broader participation rather than unnecessarily excluding potential sites. In addition to ensuring coverage of all 10 HHS regions, </w:t>
      </w:r>
      <w:r>
        <w:t>the project will seek t</w:t>
      </w:r>
      <w:r w:rsidRPr="003D1E38">
        <w:t xml:space="preserve">o ensure diversity of recruited facilities. </w:t>
      </w:r>
      <w:r>
        <w:t xml:space="preserve">The characteristics by setting are highlighted below: </w:t>
      </w:r>
    </w:p>
    <w:p w:rsidR="000C21A5" w:rsidRPr="003D1E38" w:rsidRDefault="000C21A5" w:rsidP="000C21A5">
      <w:pPr>
        <w:pStyle w:val="ListParagraph"/>
        <w:numPr>
          <w:ilvl w:val="0"/>
          <w:numId w:val="26"/>
        </w:numPr>
        <w:rPr>
          <w:rFonts w:ascii="Times New Roman" w:hAnsi="Times New Roman"/>
          <w:sz w:val="24"/>
          <w:szCs w:val="24"/>
        </w:rPr>
      </w:pPr>
      <w:r w:rsidRPr="00A963D2">
        <w:rPr>
          <w:rFonts w:ascii="Times New Roman" w:hAnsi="Times New Roman"/>
          <w:b/>
          <w:sz w:val="24"/>
          <w:szCs w:val="24"/>
        </w:rPr>
        <w:t>Hospitals</w:t>
      </w:r>
      <w:r w:rsidRPr="00A963D2">
        <w:rPr>
          <w:rFonts w:ascii="Times New Roman" w:hAnsi="Times New Roman"/>
          <w:sz w:val="24"/>
          <w:szCs w:val="24"/>
        </w:rPr>
        <w:t>.</w:t>
      </w:r>
      <w:r w:rsidRPr="003D1E38">
        <w:rPr>
          <w:rFonts w:ascii="Times New Roman" w:hAnsi="Times New Roman"/>
          <w:sz w:val="24"/>
          <w:szCs w:val="24"/>
        </w:rPr>
        <w:t xml:space="preserve"> </w:t>
      </w:r>
      <w:r>
        <w:rPr>
          <w:rFonts w:ascii="Times New Roman" w:hAnsi="Times New Roman"/>
          <w:sz w:val="24"/>
          <w:szCs w:val="24"/>
        </w:rPr>
        <w:t>In Cohort 2,</w:t>
      </w:r>
      <w:r w:rsidRPr="003D1E38">
        <w:rPr>
          <w:rFonts w:ascii="Times New Roman" w:hAnsi="Times New Roman"/>
          <w:sz w:val="24"/>
          <w:szCs w:val="24"/>
        </w:rPr>
        <w:t xml:space="preserve"> all hospitals will be eligible for participation including federal, short term, and long term acute care hospitals. </w:t>
      </w:r>
      <w:r>
        <w:rPr>
          <w:rFonts w:ascii="Times New Roman" w:hAnsi="Times New Roman"/>
          <w:sz w:val="24"/>
          <w:szCs w:val="24"/>
        </w:rPr>
        <w:t xml:space="preserve">Other characteristics include </w:t>
      </w:r>
      <w:r w:rsidRPr="003D1E38">
        <w:rPr>
          <w:rFonts w:ascii="Times New Roman" w:hAnsi="Times New Roman"/>
          <w:sz w:val="24"/>
          <w:szCs w:val="24"/>
        </w:rPr>
        <w:t xml:space="preserve">urban and rural, academic and non-academic hospitals, small, medium and large hospitals, independent and part of larger health systems. </w:t>
      </w:r>
    </w:p>
    <w:p w:rsidR="000C21A5" w:rsidRPr="003D1E38" w:rsidRDefault="000C21A5" w:rsidP="000C21A5">
      <w:pPr>
        <w:pStyle w:val="ListParagraph"/>
        <w:numPr>
          <w:ilvl w:val="0"/>
          <w:numId w:val="26"/>
        </w:numPr>
        <w:rPr>
          <w:rFonts w:ascii="Times New Roman" w:hAnsi="Times New Roman"/>
          <w:sz w:val="24"/>
          <w:szCs w:val="24"/>
        </w:rPr>
      </w:pPr>
      <w:r w:rsidRPr="003D1E38">
        <w:rPr>
          <w:rFonts w:ascii="Times New Roman" w:hAnsi="Times New Roman"/>
          <w:b/>
          <w:sz w:val="24"/>
          <w:szCs w:val="24"/>
        </w:rPr>
        <w:t>Long Term Care</w:t>
      </w:r>
      <w:r w:rsidRPr="003D1E38">
        <w:rPr>
          <w:rFonts w:ascii="Times New Roman" w:hAnsi="Times New Roman"/>
          <w:sz w:val="24"/>
          <w:szCs w:val="24"/>
        </w:rPr>
        <w:t xml:space="preserve">. </w:t>
      </w:r>
      <w:r>
        <w:rPr>
          <w:rFonts w:ascii="Times New Roman" w:hAnsi="Times New Roman"/>
          <w:sz w:val="24"/>
          <w:szCs w:val="24"/>
        </w:rPr>
        <w:t>For Cohort 3, the project</w:t>
      </w:r>
      <w:r w:rsidRPr="003D1E38">
        <w:rPr>
          <w:rFonts w:ascii="Times New Roman" w:hAnsi="Times New Roman"/>
          <w:sz w:val="24"/>
          <w:szCs w:val="24"/>
        </w:rPr>
        <w:t xml:space="preserve"> </w:t>
      </w:r>
      <w:r>
        <w:rPr>
          <w:rFonts w:ascii="Times New Roman" w:hAnsi="Times New Roman"/>
          <w:sz w:val="24"/>
          <w:szCs w:val="24"/>
        </w:rPr>
        <w:t xml:space="preserve">will </w:t>
      </w:r>
      <w:r w:rsidRPr="003D1E38">
        <w:rPr>
          <w:rFonts w:ascii="Times New Roman" w:hAnsi="Times New Roman"/>
          <w:sz w:val="24"/>
          <w:szCs w:val="24"/>
        </w:rPr>
        <w:t xml:space="preserve">recruit LTC facilities that are both urban and rural, </w:t>
      </w:r>
      <w:r>
        <w:rPr>
          <w:rFonts w:ascii="Times New Roman" w:hAnsi="Times New Roman"/>
          <w:sz w:val="24"/>
          <w:szCs w:val="24"/>
        </w:rPr>
        <w:t xml:space="preserve">and vary by </w:t>
      </w:r>
      <w:r w:rsidRPr="003D1E38">
        <w:rPr>
          <w:rFonts w:ascii="Times New Roman" w:hAnsi="Times New Roman"/>
          <w:sz w:val="24"/>
          <w:szCs w:val="24"/>
        </w:rPr>
        <w:t>facility size, ownership (</w:t>
      </w:r>
      <w:r>
        <w:rPr>
          <w:rFonts w:ascii="Times New Roman" w:hAnsi="Times New Roman"/>
          <w:sz w:val="24"/>
          <w:szCs w:val="24"/>
        </w:rPr>
        <w:t>f</w:t>
      </w:r>
      <w:r w:rsidRPr="003D1E38">
        <w:rPr>
          <w:rFonts w:ascii="Times New Roman" w:hAnsi="Times New Roman"/>
          <w:sz w:val="24"/>
          <w:szCs w:val="24"/>
        </w:rPr>
        <w:t>or-profit, not-for-profit, and government-owned facilities, and chain and independent facilities</w:t>
      </w:r>
      <w:r>
        <w:rPr>
          <w:rFonts w:ascii="Times New Roman" w:hAnsi="Times New Roman"/>
          <w:sz w:val="24"/>
          <w:szCs w:val="24"/>
        </w:rPr>
        <w:t>).</w:t>
      </w:r>
      <w:r w:rsidRPr="003D1E38">
        <w:rPr>
          <w:rFonts w:ascii="Times New Roman" w:hAnsi="Times New Roman"/>
          <w:sz w:val="24"/>
          <w:szCs w:val="24"/>
        </w:rPr>
        <w:t xml:space="preserve"> </w:t>
      </w:r>
    </w:p>
    <w:p w:rsidR="000C21A5" w:rsidRPr="003D1E38" w:rsidRDefault="000C21A5" w:rsidP="000C21A5">
      <w:pPr>
        <w:pStyle w:val="ListParagraph"/>
        <w:numPr>
          <w:ilvl w:val="0"/>
          <w:numId w:val="26"/>
        </w:numPr>
        <w:rPr>
          <w:rFonts w:ascii="Times New Roman" w:hAnsi="Times New Roman"/>
          <w:sz w:val="24"/>
          <w:szCs w:val="24"/>
        </w:rPr>
      </w:pPr>
      <w:r w:rsidRPr="00A963D2">
        <w:rPr>
          <w:rFonts w:ascii="Times New Roman" w:hAnsi="Times New Roman"/>
          <w:b/>
          <w:sz w:val="24"/>
          <w:szCs w:val="24"/>
        </w:rPr>
        <w:t>Ambulatory Care.</w:t>
      </w:r>
      <w:r w:rsidRPr="003D1E38">
        <w:rPr>
          <w:rFonts w:ascii="Times New Roman" w:hAnsi="Times New Roman"/>
          <w:b/>
          <w:i/>
          <w:sz w:val="24"/>
          <w:szCs w:val="24"/>
        </w:rPr>
        <w:t xml:space="preserve">  </w:t>
      </w:r>
      <w:r>
        <w:rPr>
          <w:rFonts w:ascii="Times New Roman" w:hAnsi="Times New Roman"/>
          <w:sz w:val="24"/>
          <w:szCs w:val="24"/>
        </w:rPr>
        <w:t>For Cohort 4, the project</w:t>
      </w:r>
      <w:r w:rsidRPr="003D1E38">
        <w:rPr>
          <w:rFonts w:ascii="Times New Roman" w:hAnsi="Times New Roman"/>
          <w:sz w:val="24"/>
          <w:szCs w:val="24"/>
        </w:rPr>
        <w:t xml:space="preserve"> will recruit ambulatory care facilities that are both urban and rural, small, medium and large practices, and small, independent and hospital owned. </w:t>
      </w:r>
    </w:p>
    <w:p w:rsidR="000C21A5" w:rsidRPr="003D1E38" w:rsidRDefault="000C21A5" w:rsidP="000C21A5">
      <w:pPr>
        <w:pStyle w:val="ListParagraph"/>
        <w:ind w:left="1080"/>
        <w:rPr>
          <w:rFonts w:ascii="Times New Roman" w:hAnsi="Times New Roman"/>
          <w:sz w:val="24"/>
          <w:szCs w:val="24"/>
        </w:rPr>
      </w:pPr>
    </w:p>
    <w:p w:rsidR="000C21A5" w:rsidRPr="003D1E38" w:rsidRDefault="000C21A5" w:rsidP="000C21A5">
      <w:pPr>
        <w:pStyle w:val="NORCProposalBodyDoubleSpacing-Garamond"/>
        <w:spacing w:line="240" w:lineRule="auto"/>
        <w:ind w:firstLine="0"/>
        <w:rPr>
          <w:rFonts w:ascii="Times New Roman" w:hAnsi="Times New Roman" w:cs="Times New Roman"/>
          <w:sz w:val="24"/>
          <w:szCs w:val="24"/>
        </w:rPr>
      </w:pPr>
      <w:r w:rsidRPr="003D1E38">
        <w:rPr>
          <w:rFonts w:ascii="Times New Roman" w:hAnsi="Times New Roman" w:cs="Times New Roman"/>
          <w:b/>
          <w:i/>
          <w:sz w:val="24"/>
          <w:szCs w:val="24"/>
        </w:rPr>
        <w:t xml:space="preserve">Recruitment Strategy. </w:t>
      </w:r>
      <w:r w:rsidRPr="003D1E38">
        <w:rPr>
          <w:rFonts w:ascii="Times New Roman" w:hAnsi="Times New Roman" w:cs="Times New Roman"/>
          <w:sz w:val="24"/>
          <w:szCs w:val="24"/>
        </w:rPr>
        <w:t xml:space="preserve">The </w:t>
      </w:r>
      <w:r>
        <w:rPr>
          <w:rFonts w:ascii="Times New Roman" w:hAnsi="Times New Roman" w:cs="Times New Roman"/>
          <w:sz w:val="24"/>
          <w:szCs w:val="24"/>
        </w:rPr>
        <w:t xml:space="preserve">project will use </w:t>
      </w:r>
      <w:r w:rsidRPr="003D1E38">
        <w:rPr>
          <w:rFonts w:ascii="Times New Roman" w:hAnsi="Times New Roman" w:cs="Times New Roman"/>
          <w:sz w:val="24"/>
          <w:szCs w:val="24"/>
        </w:rPr>
        <w:t xml:space="preserve">a multi-pronged strategy </w:t>
      </w:r>
      <w:r>
        <w:rPr>
          <w:rFonts w:ascii="Times New Roman" w:hAnsi="Times New Roman" w:cs="Times New Roman"/>
          <w:sz w:val="24"/>
          <w:szCs w:val="24"/>
        </w:rPr>
        <w:t>for</w:t>
      </w:r>
      <w:r w:rsidRPr="003D1E38">
        <w:rPr>
          <w:rFonts w:ascii="Times New Roman" w:hAnsi="Times New Roman" w:cs="Times New Roman"/>
          <w:sz w:val="24"/>
          <w:szCs w:val="24"/>
        </w:rPr>
        <w:t xml:space="preserve"> recruitment.</w:t>
      </w:r>
      <w:r w:rsidRPr="003D1E38">
        <w:rPr>
          <w:rFonts w:ascii="Times New Roman" w:hAnsi="Times New Roman" w:cs="Times New Roman"/>
          <w:b/>
          <w:sz w:val="24"/>
          <w:szCs w:val="24"/>
        </w:rPr>
        <w:t xml:space="preserve"> </w:t>
      </w:r>
      <w:r w:rsidRPr="003D1E38">
        <w:rPr>
          <w:rFonts w:ascii="Times New Roman" w:hAnsi="Times New Roman" w:cs="Times New Roman"/>
          <w:sz w:val="24"/>
          <w:szCs w:val="24"/>
        </w:rPr>
        <w:t xml:space="preserve">Through a national roster of partners (e.g., patient safety foundations, Hospital Information Networks, QIN-QIOs, other quality-focused organizations, national health associations), </w:t>
      </w:r>
      <w:r>
        <w:rPr>
          <w:rFonts w:ascii="Times New Roman" w:hAnsi="Times New Roman" w:cs="Times New Roman"/>
          <w:sz w:val="24"/>
          <w:szCs w:val="24"/>
        </w:rPr>
        <w:t>the project</w:t>
      </w:r>
      <w:r w:rsidRPr="003D1E38">
        <w:rPr>
          <w:rFonts w:ascii="Times New Roman" w:hAnsi="Times New Roman" w:cs="Times New Roman"/>
          <w:sz w:val="24"/>
          <w:szCs w:val="24"/>
        </w:rPr>
        <w:t xml:space="preserve"> will ensure coverage of all 10 HHS regions. Exhibit </w:t>
      </w:r>
      <w:r>
        <w:rPr>
          <w:rFonts w:ascii="Times New Roman" w:hAnsi="Times New Roman" w:cs="Times New Roman"/>
          <w:sz w:val="24"/>
          <w:szCs w:val="24"/>
        </w:rPr>
        <w:t>B.2</w:t>
      </w:r>
      <w:r w:rsidRPr="003D1E38">
        <w:rPr>
          <w:rFonts w:ascii="Times New Roman" w:hAnsi="Times New Roman" w:cs="Times New Roman"/>
          <w:sz w:val="24"/>
          <w:szCs w:val="24"/>
        </w:rPr>
        <w:t xml:space="preserve"> below details the organizations supporting the recruitment efforts, their respective audiences, target delivery sites, and HHS regions covered for this project.</w:t>
      </w:r>
    </w:p>
    <w:p w:rsidR="000C21A5" w:rsidRPr="00101550" w:rsidRDefault="000C21A5" w:rsidP="000C21A5">
      <w:pPr>
        <w:pStyle w:val="NORCCaption-Exhibit"/>
        <w:rPr>
          <w:rFonts w:ascii="Times New Roman" w:hAnsi="Times New Roman" w:cs="Times New Roman"/>
          <w:b/>
          <w:color w:val="FF0000"/>
          <w:sz w:val="24"/>
          <w:szCs w:val="24"/>
        </w:rPr>
      </w:pPr>
      <w:bookmarkStart w:id="9" w:name="_Toc451787350"/>
      <w:r>
        <w:rPr>
          <w:rStyle w:val="NORCCaption-Color"/>
          <w:rFonts w:ascii="Times New Roman" w:eastAsia="Calibri" w:hAnsi="Times New Roman"/>
          <w:sz w:val="24"/>
        </w:rPr>
        <w:t>Exhibit B.2</w:t>
      </w:r>
      <w:r w:rsidRPr="000D507D">
        <w:rPr>
          <w:rStyle w:val="NORCCaption-Color"/>
          <w:rFonts w:ascii="Times New Roman" w:eastAsia="Calibri" w:hAnsi="Times New Roman"/>
          <w:sz w:val="24"/>
        </w:rPr>
        <w:t>:</w:t>
      </w:r>
      <w:r w:rsidRPr="000D507D">
        <w:t xml:space="preserve"> </w:t>
      </w:r>
      <w:r>
        <w:rPr>
          <w:rFonts w:ascii="Times New Roman" w:eastAsia="Calibri" w:hAnsi="Times New Roman" w:cs="Times New Roman"/>
          <w:sz w:val="24"/>
          <w:szCs w:val="24"/>
        </w:rPr>
        <w:t>Cohorts 2, 3, and 4</w:t>
      </w:r>
      <w:r w:rsidRPr="00101550">
        <w:rPr>
          <w:rFonts w:ascii="Times New Roman" w:eastAsia="Calibri" w:hAnsi="Times New Roman" w:cs="Times New Roman"/>
          <w:sz w:val="24"/>
          <w:szCs w:val="24"/>
        </w:rPr>
        <w:t xml:space="preserve"> Recruitment Partners</w:t>
      </w:r>
      <w:r>
        <w:t xml:space="preserve"> </w:t>
      </w:r>
      <w:bookmarkEnd w:id="9"/>
    </w:p>
    <w:tbl>
      <w:tblPr>
        <w:tblW w:w="5295" w:type="pct"/>
        <w:tblBorders>
          <w:top w:val="single" w:sz="4" w:space="0" w:color="717074"/>
          <w:left w:val="single" w:sz="4" w:space="0" w:color="717074"/>
          <w:bottom w:val="single" w:sz="4" w:space="0" w:color="717074"/>
          <w:right w:val="single" w:sz="4" w:space="0" w:color="717074"/>
          <w:insideH w:val="single" w:sz="4" w:space="0" w:color="717074"/>
          <w:insideV w:val="single" w:sz="4" w:space="0" w:color="717074"/>
        </w:tblBorders>
        <w:tblLayout w:type="fixed"/>
        <w:tblLook w:val="04A0" w:firstRow="1" w:lastRow="0" w:firstColumn="1" w:lastColumn="0" w:noHBand="0" w:noVBand="1"/>
      </w:tblPr>
      <w:tblGrid>
        <w:gridCol w:w="2357"/>
        <w:gridCol w:w="4140"/>
        <w:gridCol w:w="1351"/>
        <w:gridCol w:w="1531"/>
      </w:tblGrid>
      <w:tr w:rsidR="000C21A5" w:rsidRPr="001C0547" w:rsidTr="00B16E9D">
        <w:trPr>
          <w:trHeight w:val="300"/>
          <w:tblHeader/>
        </w:trPr>
        <w:tc>
          <w:tcPr>
            <w:tcW w:w="1257" w:type="pct"/>
            <w:tcBorders>
              <w:top w:val="single" w:sz="4" w:space="0" w:color="717074"/>
              <w:left w:val="single" w:sz="4" w:space="0" w:color="717074"/>
              <w:bottom w:val="single" w:sz="4" w:space="0" w:color="717074"/>
              <w:right w:val="single" w:sz="4" w:space="0" w:color="717074"/>
            </w:tcBorders>
            <w:shd w:val="clear" w:color="auto" w:fill="A3C3B7"/>
            <w:vAlign w:val="bottom"/>
            <w:hideMark/>
          </w:tcPr>
          <w:p w:rsidR="000C21A5" w:rsidRPr="001C0547" w:rsidRDefault="000C21A5" w:rsidP="00B16E9D">
            <w:pPr>
              <w:pStyle w:val="NORCTableSubheadingCenter10ptNarrow"/>
              <w:jc w:val="left"/>
              <w:rPr>
                <w:rFonts w:ascii="Times New Roman" w:hAnsi="Times New Roman"/>
                <w:szCs w:val="20"/>
              </w:rPr>
            </w:pPr>
            <w:r w:rsidRPr="001C0547">
              <w:rPr>
                <w:rFonts w:ascii="Times New Roman" w:hAnsi="Times New Roman"/>
                <w:szCs w:val="20"/>
              </w:rPr>
              <w:t>Organizations</w:t>
            </w:r>
          </w:p>
        </w:tc>
        <w:tc>
          <w:tcPr>
            <w:tcW w:w="2207" w:type="pct"/>
            <w:tcBorders>
              <w:top w:val="single" w:sz="4" w:space="0" w:color="717074"/>
              <w:left w:val="single" w:sz="4" w:space="0" w:color="717074"/>
              <w:bottom w:val="single" w:sz="4" w:space="0" w:color="717074"/>
              <w:right w:val="single" w:sz="4" w:space="0" w:color="717074"/>
            </w:tcBorders>
            <w:shd w:val="clear" w:color="auto" w:fill="A3C3B7"/>
            <w:vAlign w:val="bottom"/>
            <w:hideMark/>
          </w:tcPr>
          <w:p w:rsidR="000C21A5" w:rsidRPr="001C0547" w:rsidRDefault="000C21A5" w:rsidP="00B16E9D">
            <w:pPr>
              <w:pStyle w:val="NORCTableSubheadingCenter10ptNarrow"/>
              <w:jc w:val="left"/>
              <w:rPr>
                <w:rFonts w:ascii="Times New Roman" w:hAnsi="Times New Roman"/>
                <w:szCs w:val="20"/>
              </w:rPr>
            </w:pPr>
            <w:r w:rsidRPr="001C0547">
              <w:rPr>
                <w:rFonts w:ascii="Times New Roman" w:hAnsi="Times New Roman"/>
                <w:szCs w:val="20"/>
              </w:rPr>
              <w:t>Dissemination Vehicles/Venues</w:t>
            </w:r>
          </w:p>
        </w:tc>
        <w:tc>
          <w:tcPr>
            <w:tcW w:w="720" w:type="pct"/>
            <w:tcBorders>
              <w:top w:val="single" w:sz="4" w:space="0" w:color="717074"/>
              <w:left w:val="single" w:sz="4" w:space="0" w:color="717074"/>
              <w:bottom w:val="single" w:sz="4" w:space="0" w:color="717074"/>
              <w:right w:val="single" w:sz="4" w:space="0" w:color="717074"/>
            </w:tcBorders>
            <w:shd w:val="clear" w:color="auto" w:fill="A3C3B7"/>
            <w:vAlign w:val="bottom"/>
            <w:hideMark/>
          </w:tcPr>
          <w:p w:rsidR="000C21A5" w:rsidRPr="001C0547" w:rsidRDefault="000C21A5" w:rsidP="00B16E9D">
            <w:pPr>
              <w:pStyle w:val="NORCTableSubheadingCenter10ptNarrow"/>
              <w:jc w:val="left"/>
              <w:rPr>
                <w:rFonts w:ascii="Times New Roman" w:hAnsi="Times New Roman"/>
                <w:szCs w:val="20"/>
              </w:rPr>
            </w:pPr>
            <w:r w:rsidRPr="001C0547">
              <w:rPr>
                <w:rFonts w:ascii="Times New Roman" w:hAnsi="Times New Roman"/>
                <w:szCs w:val="20"/>
              </w:rPr>
              <w:t>Delivery Site</w:t>
            </w:r>
          </w:p>
        </w:tc>
        <w:tc>
          <w:tcPr>
            <w:tcW w:w="816" w:type="pct"/>
            <w:tcBorders>
              <w:top w:val="single" w:sz="4" w:space="0" w:color="717074"/>
              <w:left w:val="single" w:sz="4" w:space="0" w:color="717074"/>
              <w:bottom w:val="single" w:sz="4" w:space="0" w:color="717074"/>
              <w:right w:val="single" w:sz="4" w:space="0" w:color="717074"/>
            </w:tcBorders>
            <w:shd w:val="clear" w:color="auto" w:fill="A3C3B7"/>
            <w:vAlign w:val="bottom"/>
            <w:hideMark/>
          </w:tcPr>
          <w:p w:rsidR="000C21A5" w:rsidRPr="001C0547" w:rsidRDefault="000C21A5" w:rsidP="00B16E9D">
            <w:pPr>
              <w:pStyle w:val="NORCTableSubheadingCenter10ptNarrow"/>
              <w:jc w:val="left"/>
              <w:rPr>
                <w:rFonts w:ascii="Times New Roman" w:hAnsi="Times New Roman"/>
                <w:szCs w:val="20"/>
              </w:rPr>
            </w:pPr>
            <w:r w:rsidRPr="001C0547">
              <w:rPr>
                <w:rFonts w:ascii="Times New Roman" w:hAnsi="Times New Roman"/>
                <w:szCs w:val="20"/>
              </w:rPr>
              <w:t>HHS Regions Covered</w:t>
            </w:r>
          </w:p>
        </w:tc>
      </w:tr>
      <w:tr w:rsidR="000C21A5" w:rsidRPr="001C0547" w:rsidTr="00B16E9D">
        <w:trPr>
          <w:trHeight w:val="637"/>
        </w:trPr>
        <w:tc>
          <w:tcPr>
            <w:tcW w:w="1257"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American Academy of Family Physicians (AAFP)</w:t>
            </w:r>
          </w:p>
        </w:tc>
        <w:tc>
          <w:tcPr>
            <w:tcW w:w="2207"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National Conference, CME Events, Chapter Events, AAFP News</w:t>
            </w:r>
          </w:p>
        </w:tc>
        <w:tc>
          <w:tcPr>
            <w:tcW w:w="720"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Ambulatory</w:t>
            </w:r>
          </w:p>
        </w:tc>
        <w:tc>
          <w:tcPr>
            <w:tcW w:w="816" w:type="pct"/>
            <w:tcBorders>
              <w:top w:val="single" w:sz="4" w:space="0" w:color="717074"/>
              <w:left w:val="single" w:sz="4" w:space="0" w:color="717074"/>
              <w:bottom w:val="single" w:sz="4" w:space="0" w:color="717074"/>
              <w:right w:val="single" w:sz="4" w:space="0" w:color="717074"/>
            </w:tcBorders>
          </w:tcPr>
          <w:p w:rsidR="000C21A5" w:rsidRPr="001C0547" w:rsidRDefault="000C21A5" w:rsidP="00B16E9D">
            <w:pPr>
              <w:pStyle w:val="NORCTableBodyCenterArial"/>
              <w:jc w:val="left"/>
              <w:rPr>
                <w:rFonts w:ascii="Times New Roman" w:hAnsi="Times New Roman"/>
              </w:rPr>
            </w:pPr>
          </w:p>
          <w:p w:rsidR="000C21A5" w:rsidRPr="001C0547" w:rsidRDefault="000C21A5" w:rsidP="00B16E9D">
            <w:pPr>
              <w:pStyle w:val="NORCTableBodyCenterArial"/>
              <w:jc w:val="left"/>
              <w:rPr>
                <w:rFonts w:ascii="Times New Roman" w:hAnsi="Times New Roman"/>
              </w:rPr>
            </w:pPr>
            <w:r w:rsidRPr="001C0547">
              <w:rPr>
                <w:rFonts w:ascii="Times New Roman" w:hAnsi="Times New Roman"/>
              </w:rPr>
              <w:t>1-10</w:t>
            </w:r>
          </w:p>
        </w:tc>
      </w:tr>
      <w:tr w:rsidR="000C21A5" w:rsidRPr="001C0547" w:rsidTr="00B16E9D">
        <w:trPr>
          <w:trHeight w:val="350"/>
        </w:trPr>
        <w:tc>
          <w:tcPr>
            <w:tcW w:w="1257"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 xml:space="preserve">Infectious Diseases Society of America </w:t>
            </w:r>
          </w:p>
        </w:tc>
        <w:tc>
          <w:tcPr>
            <w:tcW w:w="2207"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ISDA News,  ID Week (Oct 26-30, 2016)</w:t>
            </w:r>
          </w:p>
        </w:tc>
        <w:tc>
          <w:tcPr>
            <w:tcW w:w="720"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Hospital, LTC, Ambulatory</w:t>
            </w:r>
          </w:p>
        </w:tc>
        <w:tc>
          <w:tcPr>
            <w:tcW w:w="816" w:type="pct"/>
            <w:tcBorders>
              <w:top w:val="single" w:sz="4" w:space="0" w:color="717074"/>
              <w:left w:val="single" w:sz="4" w:space="0" w:color="717074"/>
              <w:bottom w:val="single" w:sz="4" w:space="0" w:color="717074"/>
              <w:right w:val="single" w:sz="4" w:space="0" w:color="717074"/>
            </w:tcBorders>
            <w:shd w:val="clear" w:color="auto" w:fill="E9E6E3"/>
          </w:tcPr>
          <w:p w:rsidR="000C21A5" w:rsidRPr="001C0547" w:rsidRDefault="000C21A5" w:rsidP="00B16E9D">
            <w:pPr>
              <w:pStyle w:val="NORCTableBodyCenterArial"/>
              <w:jc w:val="left"/>
              <w:rPr>
                <w:rFonts w:ascii="Times New Roman" w:hAnsi="Times New Roman"/>
              </w:rPr>
            </w:pPr>
          </w:p>
          <w:p w:rsidR="000C21A5" w:rsidRPr="001C0547" w:rsidRDefault="000C21A5" w:rsidP="00B16E9D">
            <w:pPr>
              <w:pStyle w:val="NORCTableBodyCenterArial"/>
              <w:jc w:val="left"/>
              <w:rPr>
                <w:rFonts w:ascii="Times New Roman" w:hAnsi="Times New Roman"/>
              </w:rPr>
            </w:pPr>
            <w:r w:rsidRPr="001C0547">
              <w:rPr>
                <w:rFonts w:ascii="Times New Roman" w:hAnsi="Times New Roman"/>
              </w:rPr>
              <w:t>1-10</w:t>
            </w:r>
          </w:p>
        </w:tc>
      </w:tr>
      <w:tr w:rsidR="000C21A5" w:rsidRPr="001C0547" w:rsidTr="00B16E9D">
        <w:trPr>
          <w:trHeight w:val="980"/>
        </w:trPr>
        <w:tc>
          <w:tcPr>
            <w:tcW w:w="1257"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Joint Commission on Accreditation of Healthcare Organizations (JCT)</w:t>
            </w:r>
          </w:p>
        </w:tc>
        <w:tc>
          <w:tcPr>
            <w:tcW w:w="2207"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CJCP Education (education modules), Conferences &amp; Seminars, Webinars, eCourses, JCR Quality and Safety Network</w:t>
            </w:r>
          </w:p>
        </w:tc>
        <w:tc>
          <w:tcPr>
            <w:tcW w:w="720"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 xml:space="preserve">Hospital, </w:t>
            </w:r>
          </w:p>
        </w:tc>
        <w:tc>
          <w:tcPr>
            <w:tcW w:w="816" w:type="pct"/>
            <w:tcBorders>
              <w:top w:val="single" w:sz="4" w:space="0" w:color="717074"/>
              <w:left w:val="single" w:sz="4" w:space="0" w:color="717074"/>
              <w:bottom w:val="single" w:sz="4" w:space="0" w:color="717074"/>
              <w:right w:val="single" w:sz="4" w:space="0" w:color="717074"/>
            </w:tcBorders>
          </w:tcPr>
          <w:p w:rsidR="000C21A5" w:rsidRPr="001C0547" w:rsidRDefault="000C21A5" w:rsidP="00B16E9D">
            <w:pPr>
              <w:pStyle w:val="NORCTableBodyCenterArial"/>
              <w:jc w:val="left"/>
              <w:rPr>
                <w:rFonts w:ascii="Times New Roman" w:hAnsi="Times New Roman"/>
              </w:rPr>
            </w:pPr>
          </w:p>
          <w:p w:rsidR="000C21A5" w:rsidRPr="001C0547" w:rsidRDefault="000C21A5" w:rsidP="00B16E9D">
            <w:pPr>
              <w:pStyle w:val="NORCTableBodyCenterArial"/>
              <w:jc w:val="left"/>
              <w:rPr>
                <w:rFonts w:ascii="Times New Roman" w:hAnsi="Times New Roman"/>
              </w:rPr>
            </w:pPr>
            <w:r w:rsidRPr="001C0547">
              <w:rPr>
                <w:rFonts w:ascii="Times New Roman" w:hAnsi="Times New Roman"/>
              </w:rPr>
              <w:t>1-10</w:t>
            </w:r>
          </w:p>
        </w:tc>
      </w:tr>
      <w:tr w:rsidR="000C21A5" w:rsidRPr="001C0547" w:rsidTr="00B16E9D">
        <w:trPr>
          <w:trHeight w:val="800"/>
        </w:trPr>
        <w:tc>
          <w:tcPr>
            <w:tcW w:w="1257"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Medical Group Management Association (MGMA)</w:t>
            </w:r>
          </w:p>
        </w:tc>
        <w:tc>
          <w:tcPr>
            <w:tcW w:w="2207"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Annual Conference, Webinars, Online Courses,  Educational Conferences</w:t>
            </w:r>
          </w:p>
        </w:tc>
        <w:tc>
          <w:tcPr>
            <w:tcW w:w="720"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Ambulatory</w:t>
            </w:r>
          </w:p>
        </w:tc>
        <w:tc>
          <w:tcPr>
            <w:tcW w:w="816" w:type="pct"/>
            <w:tcBorders>
              <w:top w:val="single" w:sz="4" w:space="0" w:color="717074"/>
              <w:left w:val="single" w:sz="4" w:space="0" w:color="717074"/>
              <w:bottom w:val="single" w:sz="4" w:space="0" w:color="717074"/>
              <w:right w:val="single" w:sz="4" w:space="0" w:color="717074"/>
            </w:tcBorders>
            <w:shd w:val="clear" w:color="auto" w:fill="E9E6E3"/>
          </w:tcPr>
          <w:p w:rsidR="000C21A5" w:rsidRPr="001C0547" w:rsidRDefault="000C21A5" w:rsidP="00B16E9D">
            <w:pPr>
              <w:pStyle w:val="NORCTableBodyCenterArial"/>
              <w:jc w:val="left"/>
              <w:rPr>
                <w:rFonts w:ascii="Times New Roman" w:hAnsi="Times New Roman"/>
              </w:rPr>
            </w:pPr>
          </w:p>
          <w:p w:rsidR="000C21A5" w:rsidRPr="001C0547" w:rsidRDefault="000C21A5" w:rsidP="00B16E9D">
            <w:pPr>
              <w:pStyle w:val="NORCTableBodyCenterArial"/>
              <w:jc w:val="left"/>
              <w:rPr>
                <w:rFonts w:ascii="Times New Roman" w:hAnsi="Times New Roman"/>
              </w:rPr>
            </w:pPr>
            <w:r w:rsidRPr="001C0547">
              <w:rPr>
                <w:rFonts w:ascii="Times New Roman" w:hAnsi="Times New Roman"/>
              </w:rPr>
              <w:t>1-10</w:t>
            </w:r>
          </w:p>
        </w:tc>
      </w:tr>
      <w:tr w:rsidR="000C21A5" w:rsidRPr="001C0547" w:rsidTr="00B16E9D">
        <w:trPr>
          <w:trHeight w:val="908"/>
        </w:trPr>
        <w:tc>
          <w:tcPr>
            <w:tcW w:w="1257"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National Patient Safety Foundation (NPSF)</w:t>
            </w:r>
          </w:p>
        </w:tc>
        <w:tc>
          <w:tcPr>
            <w:tcW w:w="2207"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 xml:space="preserve">NPSF Annual Patient Safety Congress, NPSF Lucian Leape , Patient Safety Week, Patient Safety Blog, NPSF News, Webcasts, PS Blog and President's Corner, </w:t>
            </w:r>
          </w:p>
        </w:tc>
        <w:tc>
          <w:tcPr>
            <w:tcW w:w="720"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Hospital, LTC, Ambulatory</w:t>
            </w:r>
          </w:p>
        </w:tc>
        <w:tc>
          <w:tcPr>
            <w:tcW w:w="816" w:type="pct"/>
            <w:tcBorders>
              <w:top w:val="single" w:sz="4" w:space="0" w:color="717074"/>
              <w:left w:val="single" w:sz="4" w:space="0" w:color="717074"/>
              <w:bottom w:val="single" w:sz="4" w:space="0" w:color="717074"/>
              <w:right w:val="single" w:sz="4" w:space="0" w:color="717074"/>
            </w:tcBorders>
          </w:tcPr>
          <w:p w:rsidR="000C21A5" w:rsidRPr="001C0547" w:rsidRDefault="000C21A5" w:rsidP="00B16E9D">
            <w:pPr>
              <w:pStyle w:val="NORCTableBodyCenterArial"/>
              <w:jc w:val="left"/>
              <w:rPr>
                <w:rFonts w:ascii="Times New Roman" w:hAnsi="Times New Roman"/>
              </w:rPr>
            </w:pPr>
          </w:p>
          <w:p w:rsidR="000C21A5" w:rsidRPr="001C0547" w:rsidRDefault="000C21A5" w:rsidP="00B16E9D">
            <w:pPr>
              <w:pStyle w:val="NORCTableBodyCenterArial"/>
              <w:jc w:val="left"/>
              <w:rPr>
                <w:rFonts w:ascii="Times New Roman" w:hAnsi="Times New Roman"/>
              </w:rPr>
            </w:pPr>
            <w:r w:rsidRPr="001C0547">
              <w:rPr>
                <w:rFonts w:ascii="Times New Roman" w:hAnsi="Times New Roman"/>
              </w:rPr>
              <w:t>1-10</w:t>
            </w:r>
          </w:p>
          <w:p w:rsidR="000C21A5" w:rsidRPr="001C0547" w:rsidRDefault="000C21A5" w:rsidP="00B16E9D">
            <w:pPr>
              <w:pStyle w:val="NORCTableBodyCenterArial"/>
              <w:jc w:val="left"/>
              <w:rPr>
                <w:rFonts w:ascii="Times New Roman" w:hAnsi="Times New Roman"/>
              </w:rPr>
            </w:pPr>
          </w:p>
        </w:tc>
      </w:tr>
      <w:tr w:rsidR="000C21A5" w:rsidRPr="001C0547" w:rsidTr="00B16E9D">
        <w:trPr>
          <w:trHeight w:val="710"/>
        </w:trPr>
        <w:tc>
          <w:tcPr>
            <w:tcW w:w="1257"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 xml:space="preserve">SHEA  </w:t>
            </w:r>
          </w:p>
        </w:tc>
        <w:tc>
          <w:tcPr>
            <w:tcW w:w="2207"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SHEA Spring Conference, ID Week, SHEA News, SHEA-Medscape</w:t>
            </w:r>
          </w:p>
        </w:tc>
        <w:tc>
          <w:tcPr>
            <w:tcW w:w="720"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Hospital, LTC, Ambulatory</w:t>
            </w:r>
          </w:p>
        </w:tc>
        <w:tc>
          <w:tcPr>
            <w:tcW w:w="816" w:type="pct"/>
            <w:tcBorders>
              <w:top w:val="single" w:sz="4" w:space="0" w:color="717074"/>
              <w:left w:val="single" w:sz="4" w:space="0" w:color="717074"/>
              <w:bottom w:val="single" w:sz="4" w:space="0" w:color="717074"/>
              <w:right w:val="single" w:sz="4" w:space="0" w:color="717074"/>
            </w:tcBorders>
            <w:shd w:val="clear" w:color="auto" w:fill="E9E6E3"/>
          </w:tcPr>
          <w:p w:rsidR="000C21A5" w:rsidRPr="001C0547" w:rsidRDefault="000C21A5" w:rsidP="00B16E9D">
            <w:pPr>
              <w:pStyle w:val="NORCTableBodyCenterArial"/>
              <w:jc w:val="left"/>
              <w:rPr>
                <w:rFonts w:ascii="Times New Roman" w:hAnsi="Times New Roman"/>
              </w:rPr>
            </w:pPr>
          </w:p>
          <w:p w:rsidR="000C21A5" w:rsidRPr="001C0547" w:rsidRDefault="000C21A5" w:rsidP="00B16E9D">
            <w:pPr>
              <w:pStyle w:val="NORCTableBodyCenterArial"/>
              <w:jc w:val="left"/>
              <w:rPr>
                <w:rFonts w:ascii="Times New Roman" w:hAnsi="Times New Roman"/>
              </w:rPr>
            </w:pPr>
            <w:r w:rsidRPr="001C0547">
              <w:rPr>
                <w:rFonts w:ascii="Times New Roman" w:hAnsi="Times New Roman"/>
              </w:rPr>
              <w:t>1- 10</w:t>
            </w:r>
          </w:p>
          <w:p w:rsidR="000C21A5" w:rsidRPr="001C0547" w:rsidRDefault="000C21A5" w:rsidP="00B16E9D">
            <w:pPr>
              <w:pStyle w:val="NORCTableBodyCenterArial"/>
              <w:jc w:val="left"/>
              <w:rPr>
                <w:rFonts w:ascii="Times New Roman" w:hAnsi="Times New Roman"/>
              </w:rPr>
            </w:pPr>
          </w:p>
        </w:tc>
      </w:tr>
      <w:tr w:rsidR="000C21A5" w:rsidRPr="001C0547" w:rsidTr="00B16E9D">
        <w:trPr>
          <w:trHeight w:val="800"/>
        </w:trPr>
        <w:tc>
          <w:tcPr>
            <w:tcW w:w="1257"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Society for Infectious Diseases Pharmacists</w:t>
            </w:r>
          </w:p>
        </w:tc>
        <w:tc>
          <w:tcPr>
            <w:tcW w:w="2207"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 xml:space="preserve">Annual Meeting </w:t>
            </w:r>
          </w:p>
        </w:tc>
        <w:tc>
          <w:tcPr>
            <w:tcW w:w="720"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Hospital, LTC, Ambulatory</w:t>
            </w:r>
          </w:p>
        </w:tc>
        <w:tc>
          <w:tcPr>
            <w:tcW w:w="816" w:type="pct"/>
            <w:tcBorders>
              <w:top w:val="single" w:sz="4" w:space="0" w:color="717074"/>
              <w:left w:val="single" w:sz="4" w:space="0" w:color="717074"/>
              <w:bottom w:val="single" w:sz="4" w:space="0" w:color="717074"/>
              <w:right w:val="single" w:sz="4" w:space="0" w:color="717074"/>
            </w:tcBorders>
          </w:tcPr>
          <w:p w:rsidR="000C21A5" w:rsidRPr="001C0547" w:rsidRDefault="000C21A5" w:rsidP="00B16E9D">
            <w:pPr>
              <w:pStyle w:val="NORCTableBodyCenterArial"/>
              <w:jc w:val="left"/>
              <w:rPr>
                <w:rFonts w:ascii="Times New Roman" w:hAnsi="Times New Roman"/>
              </w:rPr>
            </w:pPr>
          </w:p>
          <w:p w:rsidR="000C21A5" w:rsidRPr="001C0547" w:rsidRDefault="000C21A5" w:rsidP="00B16E9D">
            <w:pPr>
              <w:pStyle w:val="NORCTableBodyCenterArial"/>
              <w:jc w:val="left"/>
              <w:rPr>
                <w:rFonts w:ascii="Times New Roman" w:hAnsi="Times New Roman"/>
              </w:rPr>
            </w:pPr>
            <w:r w:rsidRPr="001C0547">
              <w:rPr>
                <w:rFonts w:ascii="Times New Roman" w:hAnsi="Times New Roman"/>
              </w:rPr>
              <w:t>1-10</w:t>
            </w:r>
          </w:p>
        </w:tc>
      </w:tr>
      <w:tr w:rsidR="000C21A5" w:rsidRPr="001C0547" w:rsidTr="00B16E9D">
        <w:trPr>
          <w:trHeight w:val="710"/>
        </w:trPr>
        <w:tc>
          <w:tcPr>
            <w:tcW w:w="1257"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American Medical Association (AMA)</w:t>
            </w:r>
          </w:p>
        </w:tc>
        <w:tc>
          <w:tcPr>
            <w:tcW w:w="2207"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 xml:space="preserve">JAMA, National Advocacy Conference, AMA Education Center, AMA Annual Meeting </w:t>
            </w:r>
          </w:p>
        </w:tc>
        <w:tc>
          <w:tcPr>
            <w:tcW w:w="720"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Hospital, LTC, Ambulatory</w:t>
            </w:r>
          </w:p>
        </w:tc>
        <w:tc>
          <w:tcPr>
            <w:tcW w:w="816" w:type="pct"/>
            <w:tcBorders>
              <w:top w:val="single" w:sz="4" w:space="0" w:color="717074"/>
              <w:left w:val="single" w:sz="4" w:space="0" w:color="717074"/>
              <w:bottom w:val="single" w:sz="4" w:space="0" w:color="717074"/>
              <w:right w:val="single" w:sz="4" w:space="0" w:color="717074"/>
            </w:tcBorders>
            <w:shd w:val="clear" w:color="auto" w:fill="E9E6E3"/>
          </w:tcPr>
          <w:p w:rsidR="000C21A5" w:rsidRPr="001C0547" w:rsidRDefault="000C21A5" w:rsidP="00B16E9D">
            <w:pPr>
              <w:pStyle w:val="NORCTableBodyCenterArial"/>
              <w:jc w:val="left"/>
              <w:rPr>
                <w:rFonts w:ascii="Times New Roman" w:hAnsi="Times New Roman"/>
              </w:rPr>
            </w:pPr>
          </w:p>
          <w:p w:rsidR="000C21A5" w:rsidRPr="001C0547" w:rsidRDefault="000C21A5" w:rsidP="00B16E9D">
            <w:pPr>
              <w:pStyle w:val="NORCTableBodyCenterArial"/>
              <w:jc w:val="left"/>
              <w:rPr>
                <w:rFonts w:ascii="Times New Roman" w:hAnsi="Times New Roman"/>
              </w:rPr>
            </w:pPr>
            <w:r w:rsidRPr="001C0547">
              <w:rPr>
                <w:rFonts w:ascii="Times New Roman" w:hAnsi="Times New Roman"/>
              </w:rPr>
              <w:t>1-10</w:t>
            </w:r>
          </w:p>
        </w:tc>
      </w:tr>
      <w:tr w:rsidR="000C21A5" w:rsidRPr="001C0547" w:rsidTr="00B16E9D">
        <w:trPr>
          <w:trHeight w:val="620"/>
        </w:trPr>
        <w:tc>
          <w:tcPr>
            <w:tcW w:w="1257"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Vizient, Inc. (VHA-UHC)</w:t>
            </w:r>
          </w:p>
        </w:tc>
        <w:tc>
          <w:tcPr>
            <w:tcW w:w="2207"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Vizient Clinical Connections Summit, Vizient Webinars</w:t>
            </w:r>
          </w:p>
        </w:tc>
        <w:tc>
          <w:tcPr>
            <w:tcW w:w="720"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Hospital, Ambulatory</w:t>
            </w:r>
          </w:p>
        </w:tc>
        <w:tc>
          <w:tcPr>
            <w:tcW w:w="816" w:type="pct"/>
            <w:tcBorders>
              <w:top w:val="single" w:sz="4" w:space="0" w:color="717074"/>
              <w:left w:val="single" w:sz="4" w:space="0" w:color="717074"/>
              <w:bottom w:val="single" w:sz="4" w:space="0" w:color="717074"/>
              <w:right w:val="single" w:sz="4" w:space="0" w:color="717074"/>
            </w:tcBorders>
            <w:shd w:val="clear" w:color="auto" w:fill="E9E6E3"/>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1-10</w:t>
            </w:r>
          </w:p>
        </w:tc>
      </w:tr>
      <w:tr w:rsidR="000C21A5" w:rsidRPr="001C0547" w:rsidTr="00B16E9D">
        <w:trPr>
          <w:trHeight w:val="827"/>
        </w:trPr>
        <w:tc>
          <w:tcPr>
            <w:tcW w:w="1257"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 xml:space="preserve">Pediatric Infectious Diseases Society </w:t>
            </w:r>
          </w:p>
        </w:tc>
        <w:tc>
          <w:tcPr>
            <w:tcW w:w="2207"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 xml:space="preserve">International Pediatric Antimicrobial Stewardship Conference, ID Week, Hot Topics in Infection &amp; Immunity in Children, St. Jude/PIDS Transplant ID Symposium &amp; Infectious Disease Research Conference </w:t>
            </w:r>
          </w:p>
        </w:tc>
        <w:tc>
          <w:tcPr>
            <w:tcW w:w="720"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Hospital, Ambulatory</w:t>
            </w:r>
          </w:p>
        </w:tc>
        <w:tc>
          <w:tcPr>
            <w:tcW w:w="816" w:type="pct"/>
            <w:tcBorders>
              <w:top w:val="single" w:sz="4" w:space="0" w:color="717074"/>
              <w:left w:val="single" w:sz="4" w:space="0" w:color="717074"/>
              <w:bottom w:val="single" w:sz="4" w:space="0" w:color="717074"/>
              <w:right w:val="single" w:sz="4" w:space="0" w:color="717074"/>
            </w:tcBorders>
          </w:tcPr>
          <w:p w:rsidR="000C21A5" w:rsidRPr="001C0547" w:rsidRDefault="000C21A5" w:rsidP="00B16E9D">
            <w:pPr>
              <w:pStyle w:val="NORCTableBodyCenterArial"/>
              <w:jc w:val="left"/>
              <w:rPr>
                <w:rFonts w:ascii="Times New Roman" w:hAnsi="Times New Roman"/>
              </w:rPr>
            </w:pPr>
          </w:p>
          <w:p w:rsidR="000C21A5" w:rsidRPr="001C0547" w:rsidRDefault="000C21A5" w:rsidP="00B16E9D">
            <w:pPr>
              <w:pStyle w:val="NORCTableBodyCenterArial"/>
              <w:jc w:val="left"/>
              <w:rPr>
                <w:rFonts w:ascii="Times New Roman" w:hAnsi="Times New Roman"/>
              </w:rPr>
            </w:pPr>
          </w:p>
          <w:p w:rsidR="000C21A5" w:rsidRPr="001C0547" w:rsidRDefault="000C21A5" w:rsidP="00B16E9D">
            <w:pPr>
              <w:pStyle w:val="NORCTableBodyCenterArial"/>
              <w:jc w:val="left"/>
              <w:rPr>
                <w:rFonts w:ascii="Times New Roman" w:hAnsi="Times New Roman"/>
              </w:rPr>
            </w:pPr>
            <w:r w:rsidRPr="001C0547">
              <w:rPr>
                <w:rFonts w:ascii="Times New Roman" w:hAnsi="Times New Roman"/>
              </w:rPr>
              <w:t>1-10</w:t>
            </w:r>
          </w:p>
        </w:tc>
      </w:tr>
      <w:tr w:rsidR="000C21A5" w:rsidRPr="001C0547" w:rsidTr="00B16E9D">
        <w:trPr>
          <w:trHeight w:val="350"/>
        </w:trPr>
        <w:tc>
          <w:tcPr>
            <w:tcW w:w="1257"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Genesis HealthCare</w:t>
            </w:r>
          </w:p>
        </w:tc>
        <w:tc>
          <w:tcPr>
            <w:tcW w:w="2207"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Rehab.com, GRS News</w:t>
            </w:r>
          </w:p>
        </w:tc>
        <w:tc>
          <w:tcPr>
            <w:tcW w:w="720"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LTC</w:t>
            </w:r>
          </w:p>
        </w:tc>
        <w:tc>
          <w:tcPr>
            <w:tcW w:w="816" w:type="pct"/>
            <w:tcBorders>
              <w:top w:val="single" w:sz="4" w:space="0" w:color="717074"/>
              <w:left w:val="single" w:sz="4" w:space="0" w:color="717074"/>
              <w:bottom w:val="single" w:sz="4" w:space="0" w:color="717074"/>
              <w:right w:val="single" w:sz="4" w:space="0" w:color="717074"/>
            </w:tcBorders>
            <w:shd w:val="clear" w:color="auto" w:fill="E9E6E3"/>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1-10</w:t>
            </w:r>
          </w:p>
        </w:tc>
      </w:tr>
      <w:tr w:rsidR="000C21A5" w:rsidRPr="001C0547" w:rsidTr="00B16E9D">
        <w:trPr>
          <w:trHeight w:val="593"/>
        </w:trPr>
        <w:tc>
          <w:tcPr>
            <w:tcW w:w="1257"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 xml:space="preserve">Wisconsin Hospital Association </w:t>
            </w:r>
          </w:p>
        </w:tc>
        <w:tc>
          <w:tcPr>
            <w:tcW w:w="2207"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 xml:space="preserve"> Physician Leadership Conference, Rural Health Conference, Seminars, Webinars (at least monthly), </w:t>
            </w:r>
          </w:p>
        </w:tc>
        <w:tc>
          <w:tcPr>
            <w:tcW w:w="720"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Hospital</w:t>
            </w:r>
          </w:p>
        </w:tc>
        <w:tc>
          <w:tcPr>
            <w:tcW w:w="816" w:type="pct"/>
            <w:tcBorders>
              <w:top w:val="single" w:sz="4" w:space="0" w:color="717074"/>
              <w:left w:val="single" w:sz="4" w:space="0" w:color="717074"/>
              <w:bottom w:val="single" w:sz="4" w:space="0" w:color="717074"/>
              <w:right w:val="single" w:sz="4" w:space="0" w:color="717074"/>
            </w:tcBorders>
          </w:tcPr>
          <w:p w:rsidR="000C21A5" w:rsidRPr="001C0547" w:rsidRDefault="000C21A5" w:rsidP="00B16E9D">
            <w:pPr>
              <w:pStyle w:val="NORCTableBodyCenterArial"/>
              <w:jc w:val="left"/>
              <w:rPr>
                <w:rFonts w:ascii="Times New Roman" w:hAnsi="Times New Roman"/>
              </w:rPr>
            </w:pPr>
          </w:p>
          <w:p w:rsidR="000C21A5" w:rsidRPr="001C0547" w:rsidRDefault="000C21A5" w:rsidP="00B16E9D">
            <w:pPr>
              <w:pStyle w:val="NORCTableBodyCenterArial"/>
              <w:jc w:val="left"/>
              <w:rPr>
                <w:rFonts w:ascii="Times New Roman" w:hAnsi="Times New Roman"/>
              </w:rPr>
            </w:pPr>
            <w:r w:rsidRPr="001C0547">
              <w:rPr>
                <w:rFonts w:ascii="Times New Roman" w:hAnsi="Times New Roman"/>
              </w:rPr>
              <w:t>5</w:t>
            </w:r>
          </w:p>
        </w:tc>
      </w:tr>
      <w:tr w:rsidR="000C21A5" w:rsidRPr="001C0547" w:rsidTr="00B16E9D">
        <w:trPr>
          <w:trHeight w:val="818"/>
        </w:trPr>
        <w:tc>
          <w:tcPr>
            <w:tcW w:w="1257"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 xml:space="preserve">Michigan Hospital Association Keystone Center </w:t>
            </w:r>
          </w:p>
        </w:tc>
        <w:tc>
          <w:tcPr>
            <w:tcW w:w="2207"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MHA Patient Safety &amp; Quality Symposium, Corporate Sponsorship Program, MHA Major Meetings, Healthcare Leadership Academy</w:t>
            </w:r>
          </w:p>
        </w:tc>
        <w:tc>
          <w:tcPr>
            <w:tcW w:w="720" w:type="pct"/>
            <w:tcBorders>
              <w:top w:val="single" w:sz="4" w:space="0" w:color="717074"/>
              <w:left w:val="single" w:sz="4" w:space="0" w:color="717074"/>
              <w:bottom w:val="single" w:sz="4" w:space="0" w:color="717074"/>
              <w:right w:val="single" w:sz="4" w:space="0" w:color="717074"/>
            </w:tcBorders>
            <w:shd w:val="clear" w:color="auto" w:fill="E9E6E3"/>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Hospital</w:t>
            </w:r>
          </w:p>
        </w:tc>
        <w:tc>
          <w:tcPr>
            <w:tcW w:w="816" w:type="pct"/>
            <w:tcBorders>
              <w:top w:val="single" w:sz="4" w:space="0" w:color="717074"/>
              <w:left w:val="single" w:sz="4" w:space="0" w:color="717074"/>
              <w:bottom w:val="single" w:sz="4" w:space="0" w:color="717074"/>
              <w:right w:val="single" w:sz="4" w:space="0" w:color="717074"/>
            </w:tcBorders>
            <w:shd w:val="clear" w:color="auto" w:fill="E9E6E3"/>
          </w:tcPr>
          <w:p w:rsidR="000C21A5" w:rsidRPr="001C0547" w:rsidRDefault="000C21A5" w:rsidP="00B16E9D">
            <w:pPr>
              <w:pStyle w:val="NORCTableBodyCenterArial"/>
              <w:rPr>
                <w:rFonts w:ascii="Times New Roman" w:hAnsi="Times New Roman"/>
              </w:rPr>
            </w:pPr>
          </w:p>
          <w:p w:rsidR="000C21A5" w:rsidRPr="001C0547" w:rsidRDefault="000C21A5" w:rsidP="00B16E9D">
            <w:pPr>
              <w:pStyle w:val="NORCTableBodyCenterArial"/>
              <w:jc w:val="left"/>
              <w:rPr>
                <w:rFonts w:ascii="Times New Roman" w:hAnsi="Times New Roman"/>
              </w:rPr>
            </w:pPr>
            <w:r w:rsidRPr="001C0547">
              <w:rPr>
                <w:rFonts w:ascii="Times New Roman" w:hAnsi="Times New Roman"/>
              </w:rPr>
              <w:t>5</w:t>
            </w:r>
          </w:p>
        </w:tc>
      </w:tr>
      <w:tr w:rsidR="000C21A5" w:rsidRPr="001C0547" w:rsidTr="00B16E9D">
        <w:trPr>
          <w:trHeight w:val="440"/>
        </w:trPr>
        <w:tc>
          <w:tcPr>
            <w:tcW w:w="1257"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Premier, Inc.</w:t>
            </w:r>
          </w:p>
        </w:tc>
        <w:tc>
          <w:tcPr>
            <w:tcW w:w="2207"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 xml:space="preserve">Health Care Summit, Premier Annual Breakthroughs Conference and Exhibition, HFMA ANI Conference </w:t>
            </w:r>
          </w:p>
        </w:tc>
        <w:tc>
          <w:tcPr>
            <w:tcW w:w="720" w:type="pct"/>
            <w:tcBorders>
              <w:top w:val="single" w:sz="4" w:space="0" w:color="717074"/>
              <w:left w:val="single" w:sz="4" w:space="0" w:color="717074"/>
              <w:bottom w:val="single" w:sz="4" w:space="0" w:color="717074"/>
              <w:right w:val="single" w:sz="4" w:space="0" w:color="717074"/>
            </w:tcBorders>
            <w:vAlign w:val="center"/>
            <w:hideMark/>
          </w:tcPr>
          <w:p w:rsidR="000C21A5" w:rsidRPr="001C0547" w:rsidRDefault="000C21A5" w:rsidP="00B16E9D">
            <w:pPr>
              <w:pStyle w:val="NORCTableBodyCenterArial"/>
              <w:jc w:val="left"/>
              <w:rPr>
                <w:rFonts w:ascii="Times New Roman" w:hAnsi="Times New Roman"/>
              </w:rPr>
            </w:pPr>
            <w:r w:rsidRPr="001C0547">
              <w:rPr>
                <w:rFonts w:ascii="Times New Roman" w:hAnsi="Times New Roman"/>
              </w:rPr>
              <w:t>Hospital</w:t>
            </w:r>
          </w:p>
        </w:tc>
        <w:tc>
          <w:tcPr>
            <w:tcW w:w="816" w:type="pct"/>
            <w:tcBorders>
              <w:top w:val="single" w:sz="4" w:space="0" w:color="717074"/>
              <w:left w:val="single" w:sz="4" w:space="0" w:color="717074"/>
              <w:bottom w:val="single" w:sz="4" w:space="0" w:color="717074"/>
              <w:right w:val="single" w:sz="4" w:space="0" w:color="717074"/>
            </w:tcBorders>
          </w:tcPr>
          <w:p w:rsidR="000C21A5" w:rsidRPr="001C0547" w:rsidRDefault="000C21A5" w:rsidP="00B16E9D">
            <w:pPr>
              <w:pStyle w:val="NORCTableBodyCenterArial"/>
              <w:rPr>
                <w:rFonts w:ascii="Times New Roman" w:hAnsi="Times New Roman"/>
              </w:rPr>
            </w:pPr>
          </w:p>
          <w:p w:rsidR="000C21A5" w:rsidRPr="001C0547" w:rsidRDefault="000C21A5" w:rsidP="00B16E9D">
            <w:pPr>
              <w:pStyle w:val="NORCTableBodyCenterArial"/>
              <w:jc w:val="left"/>
              <w:rPr>
                <w:rFonts w:ascii="Times New Roman" w:hAnsi="Times New Roman"/>
              </w:rPr>
            </w:pPr>
            <w:r w:rsidRPr="001C0547">
              <w:rPr>
                <w:rFonts w:ascii="Times New Roman" w:hAnsi="Times New Roman"/>
              </w:rPr>
              <w:t>1-10</w:t>
            </w:r>
          </w:p>
        </w:tc>
      </w:tr>
    </w:tbl>
    <w:p w:rsidR="000C21A5" w:rsidRPr="003D1E38" w:rsidRDefault="000C21A5" w:rsidP="000C21A5"/>
    <w:p w:rsidR="000C21A5" w:rsidRPr="00613320" w:rsidRDefault="000C21A5" w:rsidP="000C21A5">
      <w:r w:rsidRPr="00613320">
        <w:t xml:space="preserve">Additional recruitment activities will include the following: </w:t>
      </w:r>
    </w:p>
    <w:p w:rsidR="000C21A5" w:rsidRPr="003D1E38" w:rsidRDefault="000C21A5" w:rsidP="000C21A5">
      <w:pPr>
        <w:pStyle w:val="ListParagraph"/>
        <w:numPr>
          <w:ilvl w:val="0"/>
          <w:numId w:val="27"/>
        </w:numPr>
        <w:spacing w:before="120" w:after="120"/>
        <w:rPr>
          <w:rFonts w:ascii="Times New Roman" w:hAnsi="Times New Roman"/>
          <w:noProof/>
          <w:sz w:val="24"/>
          <w:szCs w:val="24"/>
        </w:rPr>
      </w:pPr>
      <w:r w:rsidRPr="003D1E38">
        <w:rPr>
          <w:rFonts w:ascii="Times New Roman" w:hAnsi="Times New Roman"/>
          <w:noProof/>
          <w:sz w:val="24"/>
          <w:szCs w:val="24"/>
        </w:rPr>
        <w:t xml:space="preserve">Work with </w:t>
      </w:r>
      <w:r>
        <w:rPr>
          <w:rFonts w:ascii="Times New Roman" w:hAnsi="Times New Roman"/>
          <w:noProof/>
          <w:sz w:val="24"/>
          <w:szCs w:val="24"/>
        </w:rPr>
        <w:t xml:space="preserve">the </w:t>
      </w:r>
      <w:r w:rsidRPr="003D1E38">
        <w:rPr>
          <w:rFonts w:ascii="Times New Roman" w:hAnsi="Times New Roman"/>
          <w:noProof/>
          <w:sz w:val="24"/>
          <w:szCs w:val="24"/>
        </w:rPr>
        <w:t xml:space="preserve">Technical Expert Panel (TEP) members from delivery organizations to gauge </w:t>
      </w:r>
      <w:r>
        <w:rPr>
          <w:rFonts w:ascii="Times New Roman" w:hAnsi="Times New Roman"/>
          <w:noProof/>
          <w:sz w:val="24"/>
          <w:szCs w:val="24"/>
        </w:rPr>
        <w:t xml:space="preserve">their </w:t>
      </w:r>
      <w:r w:rsidRPr="003D1E38">
        <w:rPr>
          <w:rFonts w:ascii="Times New Roman" w:hAnsi="Times New Roman"/>
          <w:noProof/>
          <w:sz w:val="24"/>
          <w:szCs w:val="24"/>
        </w:rPr>
        <w:t xml:space="preserve">interest in </w:t>
      </w:r>
      <w:r>
        <w:rPr>
          <w:rFonts w:ascii="Times New Roman" w:hAnsi="Times New Roman"/>
          <w:noProof/>
          <w:sz w:val="24"/>
          <w:szCs w:val="24"/>
        </w:rPr>
        <w:t>participating</w:t>
      </w:r>
      <w:r w:rsidRPr="003D1E38">
        <w:rPr>
          <w:rFonts w:ascii="Times New Roman" w:hAnsi="Times New Roman"/>
          <w:noProof/>
          <w:sz w:val="24"/>
          <w:szCs w:val="24"/>
        </w:rPr>
        <w:t xml:space="preserve"> in this program. </w:t>
      </w:r>
    </w:p>
    <w:p w:rsidR="000C21A5" w:rsidRPr="003D1E38" w:rsidRDefault="000C21A5" w:rsidP="000C21A5">
      <w:pPr>
        <w:pStyle w:val="ListParagraph"/>
        <w:numPr>
          <w:ilvl w:val="0"/>
          <w:numId w:val="27"/>
        </w:numPr>
        <w:spacing w:before="120" w:after="120"/>
        <w:rPr>
          <w:rFonts w:ascii="Times New Roman" w:hAnsi="Times New Roman"/>
          <w:noProof/>
          <w:sz w:val="24"/>
          <w:szCs w:val="24"/>
        </w:rPr>
      </w:pPr>
      <w:r>
        <w:rPr>
          <w:rFonts w:ascii="Times New Roman" w:hAnsi="Times New Roman"/>
          <w:sz w:val="24"/>
          <w:szCs w:val="24"/>
        </w:rPr>
        <w:t>L</w:t>
      </w:r>
      <w:r w:rsidRPr="003D1E38">
        <w:rPr>
          <w:rFonts w:ascii="Times New Roman" w:hAnsi="Times New Roman"/>
          <w:sz w:val="24"/>
          <w:szCs w:val="24"/>
        </w:rPr>
        <w:t xml:space="preserve">everage the AHRQ patient safety listserv of over 55,000 contacts, the Armstrong Institute (AI) listserv of 8,000 contacts that have participated in prior patient safety interventions with AI/JHU, the National Patient Safety Foundation listserv, and the Infectious Disease Society of America listserv. </w:t>
      </w:r>
    </w:p>
    <w:p w:rsidR="000C21A5" w:rsidRPr="003D1E38" w:rsidRDefault="000C21A5" w:rsidP="000C21A5">
      <w:pPr>
        <w:pStyle w:val="ListParagraph"/>
        <w:numPr>
          <w:ilvl w:val="0"/>
          <w:numId w:val="27"/>
        </w:numPr>
        <w:spacing w:before="120" w:after="120"/>
        <w:rPr>
          <w:rFonts w:ascii="Times New Roman" w:hAnsi="Times New Roman"/>
          <w:noProof/>
          <w:sz w:val="24"/>
          <w:szCs w:val="24"/>
        </w:rPr>
      </w:pPr>
      <w:r w:rsidRPr="003D1E38">
        <w:rPr>
          <w:rFonts w:ascii="Times New Roman" w:hAnsi="Times New Roman"/>
          <w:noProof/>
          <w:sz w:val="24"/>
          <w:szCs w:val="24"/>
        </w:rPr>
        <w:t xml:space="preserve">Use press releases and early publications from the </w:t>
      </w:r>
      <w:r>
        <w:rPr>
          <w:rFonts w:ascii="Times New Roman" w:hAnsi="Times New Roman"/>
          <w:noProof/>
          <w:sz w:val="24"/>
          <w:szCs w:val="24"/>
        </w:rPr>
        <w:t xml:space="preserve">Cohort 1 </w:t>
      </w:r>
      <w:r w:rsidRPr="003D1E38">
        <w:rPr>
          <w:rFonts w:ascii="Times New Roman" w:hAnsi="Times New Roman"/>
          <w:noProof/>
          <w:sz w:val="24"/>
          <w:szCs w:val="24"/>
        </w:rPr>
        <w:t xml:space="preserve">pilot to generate national interest in the </w:t>
      </w:r>
      <w:r w:rsidRPr="003B0D36">
        <w:rPr>
          <w:rFonts w:ascii="Times New Roman" w:hAnsi="Times New Roman"/>
          <w:i/>
          <w:sz w:val="24"/>
          <w:szCs w:val="24"/>
        </w:rPr>
        <w:t>AHRQ Safety Program for Improving Antibiotic Use</w:t>
      </w:r>
      <w:r w:rsidRPr="003D1E38">
        <w:rPr>
          <w:rFonts w:ascii="Times New Roman" w:hAnsi="Times New Roman"/>
          <w:noProof/>
          <w:sz w:val="24"/>
          <w:szCs w:val="24"/>
        </w:rPr>
        <w:t xml:space="preserve">. </w:t>
      </w:r>
      <w:r w:rsidRPr="003D1E38">
        <w:rPr>
          <w:rFonts w:ascii="Times New Roman" w:hAnsi="Times New Roman"/>
          <w:sz w:val="24"/>
          <w:szCs w:val="24"/>
        </w:rPr>
        <w:t xml:space="preserve">The </w:t>
      </w:r>
      <w:r>
        <w:rPr>
          <w:rFonts w:ascii="Times New Roman" w:hAnsi="Times New Roman"/>
          <w:sz w:val="24"/>
          <w:szCs w:val="24"/>
        </w:rPr>
        <w:t>project</w:t>
      </w:r>
      <w:r w:rsidRPr="003D1E38">
        <w:rPr>
          <w:rFonts w:ascii="Times New Roman" w:hAnsi="Times New Roman"/>
          <w:sz w:val="24"/>
          <w:szCs w:val="24"/>
        </w:rPr>
        <w:t xml:space="preserve"> will develop press releases on the </w:t>
      </w:r>
      <w:r>
        <w:rPr>
          <w:rFonts w:ascii="Times New Roman" w:hAnsi="Times New Roman"/>
          <w:sz w:val="24"/>
          <w:szCs w:val="24"/>
        </w:rPr>
        <w:t xml:space="preserve">program </w:t>
      </w:r>
      <w:r w:rsidRPr="003D1E38">
        <w:rPr>
          <w:rFonts w:ascii="Times New Roman" w:hAnsi="Times New Roman"/>
          <w:sz w:val="24"/>
          <w:szCs w:val="24"/>
        </w:rPr>
        <w:t xml:space="preserve">to disseminate in relevant email mailing lists and websites. </w:t>
      </w:r>
    </w:p>
    <w:p w:rsidR="000C21A5" w:rsidRPr="003D1E38" w:rsidRDefault="000C21A5" w:rsidP="000C21A5">
      <w:pPr>
        <w:pStyle w:val="ListParagraph"/>
        <w:numPr>
          <w:ilvl w:val="0"/>
          <w:numId w:val="27"/>
        </w:numPr>
        <w:spacing w:before="120" w:after="120"/>
        <w:rPr>
          <w:rFonts w:ascii="Times New Roman" w:hAnsi="Times New Roman"/>
          <w:noProof/>
          <w:sz w:val="24"/>
          <w:szCs w:val="24"/>
        </w:rPr>
      </w:pPr>
      <w:r w:rsidRPr="003D1E38">
        <w:rPr>
          <w:rFonts w:ascii="Times New Roman" w:hAnsi="Times New Roman"/>
          <w:noProof/>
          <w:sz w:val="24"/>
          <w:szCs w:val="24"/>
        </w:rPr>
        <w:t>Use free social media to recruit acute care hospitals</w:t>
      </w:r>
      <w:r>
        <w:rPr>
          <w:rFonts w:ascii="Times New Roman" w:hAnsi="Times New Roman"/>
          <w:noProof/>
          <w:sz w:val="24"/>
          <w:szCs w:val="24"/>
        </w:rPr>
        <w:t xml:space="preserve">, including periodically posting on the </w:t>
      </w:r>
      <w:r w:rsidRPr="003D1E38">
        <w:rPr>
          <w:rFonts w:ascii="Times New Roman" w:hAnsi="Times New Roman"/>
          <w:sz w:val="24"/>
          <w:szCs w:val="24"/>
        </w:rPr>
        <w:t>Johns Hopkins School of Medicine’s (JHM) Facebook (522k likes), Twitter (430k followers), and LinkedIn (18k followers)</w:t>
      </w:r>
      <w:r>
        <w:rPr>
          <w:rFonts w:ascii="Times New Roman" w:hAnsi="Times New Roman"/>
          <w:sz w:val="24"/>
          <w:szCs w:val="24"/>
        </w:rPr>
        <w:t>.</w:t>
      </w:r>
      <w:r w:rsidRPr="003D1E38">
        <w:rPr>
          <w:rFonts w:ascii="Times New Roman" w:hAnsi="Times New Roman"/>
          <w:sz w:val="24"/>
          <w:szCs w:val="24"/>
        </w:rPr>
        <w:t xml:space="preserve">  </w:t>
      </w:r>
    </w:p>
    <w:p w:rsidR="000C21A5" w:rsidRPr="003D1E38" w:rsidRDefault="000C21A5" w:rsidP="000C21A5">
      <w:pPr>
        <w:pStyle w:val="ListParagraph"/>
        <w:numPr>
          <w:ilvl w:val="0"/>
          <w:numId w:val="27"/>
        </w:numPr>
        <w:spacing w:before="120" w:after="120"/>
        <w:rPr>
          <w:rFonts w:ascii="Times New Roman" w:hAnsi="Times New Roman"/>
          <w:noProof/>
          <w:sz w:val="24"/>
          <w:szCs w:val="24"/>
        </w:rPr>
      </w:pPr>
      <w:r w:rsidRPr="003D1E38">
        <w:rPr>
          <w:rFonts w:ascii="Times New Roman" w:hAnsi="Times New Roman"/>
          <w:noProof/>
          <w:sz w:val="24"/>
          <w:szCs w:val="24"/>
        </w:rPr>
        <w:t>Host informational webinars to garner interest in the project.</w:t>
      </w:r>
    </w:p>
    <w:p w:rsidR="000C21A5" w:rsidRPr="003D1E38" w:rsidRDefault="000C21A5" w:rsidP="000C21A5">
      <w:pPr>
        <w:pStyle w:val="ListParagraph"/>
        <w:numPr>
          <w:ilvl w:val="0"/>
          <w:numId w:val="27"/>
        </w:numPr>
        <w:spacing w:before="120" w:after="120"/>
        <w:rPr>
          <w:rFonts w:ascii="Times New Roman" w:hAnsi="Times New Roman"/>
          <w:noProof/>
          <w:sz w:val="24"/>
          <w:szCs w:val="24"/>
        </w:rPr>
      </w:pPr>
      <w:r w:rsidRPr="003D1E38">
        <w:rPr>
          <w:rFonts w:ascii="Times New Roman" w:hAnsi="Times New Roman"/>
          <w:noProof/>
          <w:sz w:val="24"/>
          <w:szCs w:val="24"/>
        </w:rPr>
        <w:t xml:space="preserve">Develop a website for the </w:t>
      </w:r>
      <w:r w:rsidRPr="003B0D36">
        <w:rPr>
          <w:rFonts w:ascii="Times New Roman" w:hAnsi="Times New Roman"/>
          <w:i/>
          <w:noProof/>
          <w:sz w:val="24"/>
          <w:szCs w:val="24"/>
        </w:rPr>
        <w:t>AHRQ Safety Program for Improving Antibiotic Use</w:t>
      </w:r>
      <w:r w:rsidRPr="003D1E38">
        <w:rPr>
          <w:rFonts w:ascii="Times New Roman" w:hAnsi="Times New Roman"/>
          <w:noProof/>
          <w:sz w:val="24"/>
          <w:szCs w:val="24"/>
        </w:rPr>
        <w:t xml:space="preserve"> that will assist with recruitment. </w:t>
      </w:r>
    </w:p>
    <w:p w:rsidR="000C21A5" w:rsidRPr="003D1E38" w:rsidRDefault="000C21A5" w:rsidP="000C21A5">
      <w:pPr>
        <w:pStyle w:val="ListParagraph"/>
        <w:numPr>
          <w:ilvl w:val="0"/>
          <w:numId w:val="27"/>
        </w:numPr>
        <w:rPr>
          <w:rFonts w:ascii="Times New Roman" w:hAnsi="Times New Roman"/>
          <w:noProof/>
          <w:sz w:val="24"/>
          <w:szCs w:val="24"/>
        </w:rPr>
      </w:pPr>
      <w:r w:rsidRPr="003D1E38">
        <w:rPr>
          <w:rFonts w:ascii="Times New Roman" w:hAnsi="Times New Roman"/>
          <w:noProof/>
          <w:sz w:val="24"/>
          <w:szCs w:val="24"/>
        </w:rPr>
        <w:t xml:space="preserve">Collaborate with federal partners including CDC and CMS to ensure synergistic efforts across related projects. </w:t>
      </w:r>
    </w:p>
    <w:p w:rsidR="000C21A5" w:rsidRPr="007213B7" w:rsidRDefault="000C21A5" w:rsidP="000C21A5">
      <w:pPr>
        <w:spacing w:before="100" w:beforeAutospacing="1" w:after="100" w:afterAutospacing="1"/>
        <w:rPr>
          <w:b/>
          <w:i/>
        </w:rPr>
      </w:pPr>
      <w:r>
        <w:rPr>
          <w:b/>
          <w:i/>
        </w:rPr>
        <w:t>Respondent Selection</w:t>
      </w:r>
      <w:r w:rsidRPr="007213B7">
        <w:rPr>
          <w:b/>
          <w:i/>
        </w:rPr>
        <w:t xml:space="preserve"> </w:t>
      </w:r>
      <w:bookmarkEnd w:id="7"/>
      <w:r>
        <w:rPr>
          <w:b/>
          <w:i/>
        </w:rPr>
        <w:t>and Sample Sizes</w:t>
      </w:r>
    </w:p>
    <w:p w:rsidR="000C21A5" w:rsidRDefault="000C21A5" w:rsidP="000C21A5">
      <w:r>
        <w:t>Cohort 1</w:t>
      </w:r>
      <w:r w:rsidRPr="000D507D">
        <w:t xml:space="preserve"> will perform as a pilot project to test the </w:t>
      </w:r>
      <w:r>
        <w:t xml:space="preserve">antibiotic stewardship </w:t>
      </w:r>
      <w:r w:rsidRPr="000D507D">
        <w:t xml:space="preserve">course design and intervention strategies. For the unit-level measures, including </w:t>
      </w:r>
      <w:r>
        <w:t>S</w:t>
      </w:r>
      <w:r w:rsidRPr="000D507D">
        <w:t xml:space="preserve">tructural </w:t>
      </w:r>
      <w:r>
        <w:t>A</w:t>
      </w:r>
      <w:r w:rsidRPr="000D507D">
        <w:t xml:space="preserve">ssessment, </w:t>
      </w:r>
      <w:r>
        <w:t xml:space="preserve">Team Antibiotic Review Form, </w:t>
      </w:r>
      <w:r w:rsidRPr="000D507D">
        <w:t xml:space="preserve">and </w:t>
      </w:r>
      <w:r>
        <w:t>EHR data</w:t>
      </w:r>
      <w:r w:rsidRPr="000D507D">
        <w:t xml:space="preserve">, </w:t>
      </w:r>
      <w:r>
        <w:t>the project</w:t>
      </w:r>
      <w:r w:rsidRPr="000D507D">
        <w:t xml:space="preserve"> will sample all the participating units. For the individual-level measure for </w:t>
      </w:r>
      <w:r>
        <w:t>the AHRQ Surveys on Patient Safety Culture, the project</w:t>
      </w:r>
      <w:r w:rsidRPr="000D507D">
        <w:t xml:space="preserve"> will sample all the eligible staff within each participating unit. </w:t>
      </w:r>
    </w:p>
    <w:p w:rsidR="000C21A5" w:rsidRDefault="000C21A5" w:rsidP="000C21A5"/>
    <w:p w:rsidR="000C21A5" w:rsidRDefault="000C21A5" w:rsidP="000C21A5">
      <w:r>
        <w:t>For the semi-structured qualitative interviews with the Cohort 1 IDS staff, the project will aim to</w:t>
      </w:r>
      <w:r w:rsidRPr="00C539A4">
        <w:t xml:space="preserve"> recruit respondents from two acute care facilities, two </w:t>
      </w:r>
      <w:r>
        <w:t>long-term care</w:t>
      </w:r>
      <w:r w:rsidRPr="00C539A4">
        <w:t xml:space="preserve"> facilities and two ambulatory care sites in each of the three IDSs for a total of 18 sites. At each institution, </w:t>
      </w:r>
      <w:r>
        <w:t>the project aims to</w:t>
      </w:r>
      <w:r w:rsidRPr="00C539A4">
        <w:t xml:space="preserve"> sample </w:t>
      </w:r>
      <w:r>
        <w:t>10</w:t>
      </w:r>
      <w:r w:rsidRPr="00C539A4">
        <w:t xml:space="preserve"> frontline health care workers and five Stewardship Leaders/Master Trainers, for a total of 270 respondents.</w:t>
      </w:r>
    </w:p>
    <w:p w:rsidR="000C21A5" w:rsidRDefault="000C21A5" w:rsidP="000C21A5">
      <w:pPr>
        <w:rPr>
          <w:i/>
        </w:rPr>
      </w:pPr>
    </w:p>
    <w:p w:rsidR="000C21A5" w:rsidRDefault="000C21A5" w:rsidP="000C21A5">
      <w:r>
        <w:t xml:space="preserve">For Cohort 2 (acute care), Cohort 3 (long-term care), and Cohort 4 (ambulatory care), the </w:t>
      </w:r>
      <w:r>
        <w:rPr>
          <w:i/>
        </w:rPr>
        <w:t xml:space="preserve">AHRQ Safety Program for Improving Antibiotic Use </w:t>
      </w:r>
      <w:r>
        <w:t xml:space="preserve">will </w:t>
      </w:r>
      <w:r w:rsidRPr="00901E1A">
        <w:t xml:space="preserve">collect data from all participating units when possible. </w:t>
      </w:r>
    </w:p>
    <w:p w:rsidR="000C21A5" w:rsidRDefault="000C21A5" w:rsidP="000C21A5">
      <w:pPr>
        <w:numPr>
          <w:ilvl w:val="0"/>
          <w:numId w:val="22"/>
        </w:numPr>
      </w:pPr>
      <w:r>
        <w:t>E</w:t>
      </w:r>
      <w:r w:rsidRPr="00901E1A">
        <w:t xml:space="preserve">ach </w:t>
      </w:r>
      <w:r>
        <w:t xml:space="preserve">facility </w:t>
      </w:r>
      <w:r w:rsidRPr="00901E1A">
        <w:t xml:space="preserve">lead </w:t>
      </w:r>
      <w:r>
        <w:t>will conduct t</w:t>
      </w:r>
      <w:r w:rsidRPr="00901E1A">
        <w:t xml:space="preserve">he structural assessment at pre- and post- intervention in order to track changes in facility infrastructure and policy related to antibiotic use (i.e. </w:t>
      </w:r>
      <w:r>
        <w:t>per</w:t>
      </w:r>
      <w:r w:rsidRPr="00901E1A">
        <w:t xml:space="preserve"> the survey design, </w:t>
      </w:r>
      <w:r>
        <w:t xml:space="preserve">the project will collect </w:t>
      </w:r>
      <w:r w:rsidRPr="00901E1A">
        <w:t xml:space="preserve">site-level data twice). </w:t>
      </w:r>
    </w:p>
    <w:p w:rsidR="000C21A5" w:rsidRDefault="000C21A5" w:rsidP="000C21A5">
      <w:pPr>
        <w:numPr>
          <w:ilvl w:val="0"/>
          <w:numId w:val="22"/>
        </w:numPr>
      </w:pPr>
      <w:r w:rsidRPr="000D507D">
        <w:t xml:space="preserve">For the unit-level measures, </w:t>
      </w:r>
      <w:r>
        <w:t xml:space="preserve">including the Team Antibiotic Review Form </w:t>
      </w:r>
      <w:r w:rsidRPr="000D507D">
        <w:t xml:space="preserve">and </w:t>
      </w:r>
      <w:r>
        <w:t>EHR data</w:t>
      </w:r>
      <w:r w:rsidRPr="000D507D">
        <w:t xml:space="preserve">, </w:t>
      </w:r>
      <w:r>
        <w:t>the project</w:t>
      </w:r>
      <w:r w:rsidRPr="000D507D">
        <w:t xml:space="preserve"> will sample all the participating units.</w:t>
      </w:r>
    </w:p>
    <w:p w:rsidR="000C21A5" w:rsidRDefault="000C21A5" w:rsidP="000C21A5">
      <w:pPr>
        <w:numPr>
          <w:ilvl w:val="0"/>
          <w:numId w:val="22"/>
        </w:numPr>
      </w:pPr>
      <w:r w:rsidRPr="000D507D">
        <w:t xml:space="preserve">For the individual-level measure for </w:t>
      </w:r>
      <w:r>
        <w:t>the AHRQ Surveys on Patient Safety Culture, the project</w:t>
      </w:r>
      <w:r w:rsidRPr="000D507D">
        <w:t xml:space="preserve"> will sample all the eligible staff</w:t>
      </w:r>
      <w:r>
        <w:t xml:space="preserve"> within each participating unit </w:t>
      </w:r>
      <w:r w:rsidRPr="00901E1A">
        <w:t xml:space="preserve">as instructed by the </w:t>
      </w:r>
      <w:r>
        <w:t xml:space="preserve">AHRQ </w:t>
      </w:r>
      <w:r w:rsidRPr="00901E1A">
        <w:t xml:space="preserve">survey user guide; </w:t>
      </w:r>
      <w:r>
        <w:t>because</w:t>
      </w:r>
      <w:r w:rsidRPr="00901E1A">
        <w:t xml:space="preserve"> unit size varies, </w:t>
      </w:r>
      <w:r>
        <w:t>the project</w:t>
      </w:r>
      <w:r w:rsidRPr="00901E1A">
        <w:t xml:space="preserve"> estimate</w:t>
      </w:r>
      <w:r>
        <w:t>s</w:t>
      </w:r>
      <w:r w:rsidRPr="00901E1A">
        <w:t xml:space="preserve"> the average </w:t>
      </w:r>
      <w:r>
        <w:t xml:space="preserve">number of </w:t>
      </w:r>
      <w:r w:rsidRPr="00901E1A">
        <w:t>respondents to be 25 for each unit</w:t>
      </w:r>
      <w:r>
        <w:t>.</w:t>
      </w:r>
    </w:p>
    <w:p w:rsidR="000C21A5" w:rsidRDefault="000C21A5" w:rsidP="000C21A5"/>
    <w:p w:rsidR="000C21A5" w:rsidRDefault="000C21A5" w:rsidP="000C21A5">
      <w:r>
        <w:t>Cohorts 2, 3 and 4</w:t>
      </w:r>
      <w:r w:rsidRPr="00952BC2">
        <w:t xml:space="preserve"> will </w:t>
      </w:r>
      <w:r>
        <w:t xml:space="preserve">include respondents at each participating unit as detailed in </w:t>
      </w:r>
      <w:r w:rsidRPr="00E86677">
        <w:t xml:space="preserve">Exhibit </w:t>
      </w:r>
      <w:r>
        <w:t>B.3</w:t>
      </w:r>
      <w:r w:rsidRPr="00E86677">
        <w:t xml:space="preserve"> below</w:t>
      </w:r>
      <w:r>
        <w:t>.</w:t>
      </w:r>
    </w:p>
    <w:p w:rsidR="000C21A5" w:rsidRDefault="000C21A5" w:rsidP="000C21A5">
      <w:pPr>
        <w:rPr>
          <w:rStyle w:val="NORCCaption-Color"/>
          <w:rFonts w:eastAsia="Calibri"/>
          <w:b w:val="0"/>
        </w:rPr>
      </w:pPr>
    </w:p>
    <w:p w:rsidR="000C21A5" w:rsidRPr="000D507D" w:rsidRDefault="000C21A5" w:rsidP="000C21A5">
      <w:r>
        <w:rPr>
          <w:rStyle w:val="NORCCaption-Color"/>
          <w:rFonts w:eastAsia="Calibri"/>
        </w:rPr>
        <w:t>Exhibit B.3</w:t>
      </w:r>
      <w:r w:rsidRPr="000D507D">
        <w:rPr>
          <w:rStyle w:val="NORCCaption-Color"/>
          <w:rFonts w:eastAsia="Calibri"/>
        </w:rPr>
        <w:t>:</w:t>
      </w:r>
      <w:r w:rsidRPr="000D507D">
        <w:t xml:space="preserve"> </w:t>
      </w:r>
      <w:r>
        <w:t xml:space="preserve">Cohort 2, 3, and 4: Respondent Universe </w:t>
      </w:r>
    </w:p>
    <w:tbl>
      <w:tblPr>
        <w:tblpPr w:leftFromText="180" w:rightFromText="180" w:vertAnchor="text" w:horzAnchor="margin"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2714"/>
        <w:gridCol w:w="4959"/>
      </w:tblGrid>
      <w:tr w:rsidR="000C21A5" w:rsidRPr="00B650E7" w:rsidTr="00B16E9D">
        <w:trPr>
          <w:cantSplit/>
          <w:trHeight w:val="152"/>
          <w:tblHeader/>
        </w:trPr>
        <w:tc>
          <w:tcPr>
            <w:tcW w:w="1183" w:type="dxa"/>
            <w:shd w:val="clear" w:color="auto" w:fill="8AB3A4"/>
          </w:tcPr>
          <w:p w:rsidR="000C21A5" w:rsidRPr="00B650E7" w:rsidRDefault="000C21A5" w:rsidP="00B16E9D">
            <w:pPr>
              <w:rPr>
                <w:rFonts w:eastAsia="Calibri"/>
                <w:b/>
                <w:sz w:val="20"/>
                <w:szCs w:val="20"/>
              </w:rPr>
            </w:pPr>
            <w:r w:rsidRPr="00B650E7">
              <w:rPr>
                <w:rFonts w:eastAsia="Calibri"/>
                <w:b/>
                <w:sz w:val="20"/>
                <w:szCs w:val="20"/>
              </w:rPr>
              <w:t>Setting</w:t>
            </w:r>
          </w:p>
        </w:tc>
        <w:tc>
          <w:tcPr>
            <w:tcW w:w="2714" w:type="dxa"/>
            <w:shd w:val="clear" w:color="auto" w:fill="8AB3A4"/>
          </w:tcPr>
          <w:p w:rsidR="000C21A5" w:rsidRPr="00B650E7" w:rsidRDefault="000C21A5" w:rsidP="00B16E9D">
            <w:pPr>
              <w:rPr>
                <w:rFonts w:eastAsia="Calibri"/>
                <w:b/>
                <w:sz w:val="20"/>
                <w:szCs w:val="20"/>
              </w:rPr>
            </w:pPr>
            <w:r w:rsidRPr="00B650E7">
              <w:rPr>
                <w:rFonts w:eastAsia="Calibri"/>
                <w:b/>
                <w:sz w:val="20"/>
                <w:szCs w:val="20"/>
              </w:rPr>
              <w:t>Respondent Universe</w:t>
            </w:r>
          </w:p>
        </w:tc>
        <w:tc>
          <w:tcPr>
            <w:tcW w:w="4959" w:type="dxa"/>
            <w:shd w:val="clear" w:color="auto" w:fill="8AB3A4"/>
          </w:tcPr>
          <w:p w:rsidR="000C21A5" w:rsidRPr="00B650E7" w:rsidRDefault="000C21A5" w:rsidP="00B16E9D">
            <w:pPr>
              <w:rPr>
                <w:rFonts w:eastAsia="Calibri"/>
                <w:b/>
                <w:sz w:val="20"/>
                <w:szCs w:val="20"/>
              </w:rPr>
            </w:pPr>
            <w:r w:rsidRPr="00B650E7">
              <w:rPr>
                <w:rFonts w:eastAsia="Calibri"/>
                <w:b/>
                <w:sz w:val="20"/>
                <w:szCs w:val="20"/>
              </w:rPr>
              <w:t>Additional Information</w:t>
            </w:r>
          </w:p>
        </w:tc>
      </w:tr>
      <w:tr w:rsidR="000C21A5" w:rsidRPr="00B650E7" w:rsidTr="00B16E9D">
        <w:trPr>
          <w:cantSplit/>
        </w:trPr>
        <w:tc>
          <w:tcPr>
            <w:tcW w:w="1183" w:type="dxa"/>
            <w:shd w:val="clear" w:color="auto" w:fill="E9E6E3"/>
          </w:tcPr>
          <w:p w:rsidR="000C21A5" w:rsidRPr="00B650E7" w:rsidRDefault="000C21A5" w:rsidP="00B16E9D">
            <w:pPr>
              <w:rPr>
                <w:rFonts w:eastAsia="Calibri"/>
                <w:sz w:val="20"/>
                <w:szCs w:val="20"/>
              </w:rPr>
            </w:pPr>
            <w:r w:rsidRPr="00B650E7">
              <w:rPr>
                <w:rFonts w:eastAsia="Calibri"/>
                <w:sz w:val="20"/>
                <w:szCs w:val="20"/>
              </w:rPr>
              <w:t>Acute care setting</w:t>
            </w:r>
          </w:p>
        </w:tc>
        <w:tc>
          <w:tcPr>
            <w:tcW w:w="2714" w:type="dxa"/>
            <w:shd w:val="clear" w:color="auto" w:fill="E9E6E3"/>
          </w:tcPr>
          <w:p w:rsidR="000C21A5" w:rsidRPr="00B650E7" w:rsidRDefault="000C21A5" w:rsidP="00B16E9D">
            <w:pPr>
              <w:rPr>
                <w:rFonts w:eastAsia="Calibri"/>
                <w:sz w:val="20"/>
                <w:szCs w:val="20"/>
              </w:rPr>
            </w:pPr>
            <w:r>
              <w:rPr>
                <w:rFonts w:eastAsia="Calibri"/>
                <w:sz w:val="20"/>
                <w:szCs w:val="20"/>
              </w:rPr>
              <w:t>T</w:t>
            </w:r>
            <w:r w:rsidRPr="00B650E7">
              <w:rPr>
                <w:rFonts w:eastAsia="Calibri"/>
                <w:sz w:val="20"/>
                <w:szCs w:val="20"/>
              </w:rPr>
              <w:t>here will be 3 levels of participants:</w:t>
            </w:r>
          </w:p>
          <w:p w:rsidR="000C21A5" w:rsidRPr="00B650E7" w:rsidRDefault="000C21A5" w:rsidP="00B16E9D">
            <w:pPr>
              <w:rPr>
                <w:rFonts w:eastAsia="Calibri"/>
                <w:sz w:val="20"/>
                <w:szCs w:val="20"/>
              </w:rPr>
            </w:pPr>
            <w:r w:rsidRPr="00B650E7">
              <w:rPr>
                <w:rFonts w:eastAsia="Calibri"/>
                <w:sz w:val="20"/>
                <w:szCs w:val="20"/>
              </w:rPr>
              <w:t>1.  Antibiotic Stewardship</w:t>
            </w:r>
            <w:r w:rsidRPr="00B650E7" w:rsidDel="00523C63">
              <w:rPr>
                <w:rFonts w:eastAsia="Calibri"/>
                <w:sz w:val="20"/>
                <w:szCs w:val="20"/>
              </w:rPr>
              <w:t xml:space="preserve"> </w:t>
            </w:r>
            <w:r w:rsidRPr="00B650E7">
              <w:rPr>
                <w:rFonts w:eastAsia="Calibri"/>
                <w:sz w:val="20"/>
                <w:szCs w:val="20"/>
              </w:rPr>
              <w:t xml:space="preserve"> Team</w:t>
            </w:r>
          </w:p>
          <w:p w:rsidR="000C21A5" w:rsidRPr="00B650E7" w:rsidRDefault="000C21A5" w:rsidP="00B16E9D">
            <w:pPr>
              <w:rPr>
                <w:rFonts w:eastAsia="Calibri"/>
                <w:sz w:val="20"/>
                <w:szCs w:val="20"/>
              </w:rPr>
            </w:pPr>
            <w:r w:rsidRPr="00B650E7">
              <w:rPr>
                <w:rFonts w:eastAsia="Calibri"/>
                <w:sz w:val="20"/>
                <w:szCs w:val="20"/>
              </w:rPr>
              <w:t>2. Unit champions (e.g., physician, pharmacist, and nurse lead)</w:t>
            </w:r>
          </w:p>
          <w:p w:rsidR="000C21A5" w:rsidRPr="00B650E7" w:rsidRDefault="000C21A5" w:rsidP="00B16E9D">
            <w:pPr>
              <w:rPr>
                <w:rFonts w:eastAsia="Calibri"/>
                <w:sz w:val="20"/>
                <w:szCs w:val="20"/>
              </w:rPr>
            </w:pPr>
            <w:r w:rsidRPr="00B650E7">
              <w:rPr>
                <w:rFonts w:eastAsia="Calibri"/>
                <w:sz w:val="20"/>
                <w:szCs w:val="20"/>
              </w:rPr>
              <w:t>3. Frontline staff</w:t>
            </w:r>
          </w:p>
        </w:tc>
        <w:tc>
          <w:tcPr>
            <w:tcW w:w="4959" w:type="dxa"/>
            <w:shd w:val="clear" w:color="auto" w:fill="E9E6E3"/>
          </w:tcPr>
          <w:p w:rsidR="000C21A5" w:rsidRPr="00B650E7" w:rsidRDefault="000C21A5" w:rsidP="00B16E9D">
            <w:pPr>
              <w:rPr>
                <w:rFonts w:eastAsia="Calibri"/>
                <w:sz w:val="20"/>
                <w:szCs w:val="20"/>
              </w:rPr>
            </w:pPr>
          </w:p>
        </w:tc>
      </w:tr>
      <w:tr w:rsidR="000C21A5" w:rsidRPr="00B650E7" w:rsidTr="00B16E9D">
        <w:trPr>
          <w:cantSplit/>
        </w:trPr>
        <w:tc>
          <w:tcPr>
            <w:tcW w:w="1183" w:type="dxa"/>
            <w:shd w:val="clear" w:color="auto" w:fill="E9E6E3"/>
          </w:tcPr>
          <w:p w:rsidR="000C21A5" w:rsidRPr="00B650E7" w:rsidRDefault="000C21A5" w:rsidP="00B16E9D">
            <w:pPr>
              <w:rPr>
                <w:rFonts w:eastAsia="Calibri"/>
                <w:sz w:val="20"/>
                <w:szCs w:val="20"/>
              </w:rPr>
            </w:pPr>
            <w:r w:rsidRPr="00B650E7">
              <w:rPr>
                <w:rFonts w:eastAsia="Calibri"/>
                <w:sz w:val="20"/>
                <w:szCs w:val="20"/>
              </w:rPr>
              <w:t>LTC setting</w:t>
            </w:r>
          </w:p>
        </w:tc>
        <w:tc>
          <w:tcPr>
            <w:tcW w:w="2714" w:type="dxa"/>
            <w:shd w:val="clear" w:color="auto" w:fill="E9E6E3"/>
          </w:tcPr>
          <w:p w:rsidR="000C21A5" w:rsidRPr="00B650E7" w:rsidRDefault="000C21A5" w:rsidP="00B16E9D">
            <w:pPr>
              <w:rPr>
                <w:rFonts w:eastAsia="Calibri"/>
                <w:sz w:val="20"/>
                <w:szCs w:val="20"/>
              </w:rPr>
            </w:pPr>
            <w:r w:rsidRPr="00B650E7">
              <w:rPr>
                <w:rFonts w:eastAsia="Calibri"/>
                <w:sz w:val="20"/>
                <w:szCs w:val="20"/>
              </w:rPr>
              <w:t xml:space="preserve">1. Antibiotic </w:t>
            </w:r>
            <w:r>
              <w:rPr>
                <w:rFonts w:eastAsia="Calibri"/>
                <w:sz w:val="20"/>
                <w:szCs w:val="20"/>
              </w:rPr>
              <w:t>Stewardship Team</w:t>
            </w:r>
          </w:p>
          <w:p w:rsidR="000C21A5" w:rsidRPr="00B650E7" w:rsidRDefault="000C21A5" w:rsidP="00B16E9D">
            <w:pPr>
              <w:rPr>
                <w:rFonts w:eastAsia="Calibri"/>
                <w:sz w:val="20"/>
                <w:szCs w:val="20"/>
              </w:rPr>
            </w:pPr>
            <w:r w:rsidRPr="00B650E7">
              <w:rPr>
                <w:rFonts w:eastAsia="Calibri"/>
                <w:sz w:val="20"/>
                <w:szCs w:val="20"/>
              </w:rPr>
              <w:t>2. Team leaders</w:t>
            </w:r>
          </w:p>
          <w:p w:rsidR="000C21A5" w:rsidRPr="00B650E7" w:rsidRDefault="000C21A5" w:rsidP="00B16E9D">
            <w:pPr>
              <w:rPr>
                <w:rFonts w:eastAsia="Calibri"/>
                <w:sz w:val="20"/>
                <w:szCs w:val="20"/>
              </w:rPr>
            </w:pPr>
            <w:r w:rsidRPr="00B650E7">
              <w:rPr>
                <w:rFonts w:eastAsia="Calibri"/>
                <w:sz w:val="20"/>
                <w:szCs w:val="20"/>
              </w:rPr>
              <w:t>3. Frontline staff</w:t>
            </w:r>
          </w:p>
        </w:tc>
        <w:tc>
          <w:tcPr>
            <w:tcW w:w="4959" w:type="dxa"/>
            <w:shd w:val="clear" w:color="auto" w:fill="E9E6E3"/>
          </w:tcPr>
          <w:p w:rsidR="000C21A5" w:rsidRPr="00B650E7" w:rsidRDefault="000C21A5" w:rsidP="00B16E9D">
            <w:pPr>
              <w:rPr>
                <w:rFonts w:eastAsia="Calibri"/>
                <w:sz w:val="20"/>
                <w:szCs w:val="20"/>
              </w:rPr>
            </w:pPr>
            <w:r w:rsidRPr="00B650E7">
              <w:rPr>
                <w:rFonts w:eastAsia="Calibri"/>
                <w:sz w:val="20"/>
                <w:szCs w:val="20"/>
              </w:rPr>
              <w:t>For LTC participating facilities without an existing stewardship team, team leaders will be trained to understand the principles of antibiotic stewardship.</w:t>
            </w:r>
          </w:p>
        </w:tc>
      </w:tr>
      <w:tr w:rsidR="000C21A5" w:rsidRPr="00B650E7" w:rsidTr="00B16E9D">
        <w:trPr>
          <w:cantSplit/>
        </w:trPr>
        <w:tc>
          <w:tcPr>
            <w:tcW w:w="1183" w:type="dxa"/>
            <w:shd w:val="clear" w:color="auto" w:fill="E9E6E3"/>
          </w:tcPr>
          <w:p w:rsidR="000C21A5" w:rsidRPr="00B650E7" w:rsidRDefault="000C21A5" w:rsidP="00B16E9D">
            <w:pPr>
              <w:rPr>
                <w:rFonts w:eastAsia="Calibri"/>
                <w:sz w:val="20"/>
                <w:szCs w:val="20"/>
              </w:rPr>
            </w:pPr>
            <w:r w:rsidRPr="00B650E7">
              <w:rPr>
                <w:rFonts w:eastAsia="Calibri"/>
                <w:sz w:val="20"/>
                <w:szCs w:val="20"/>
              </w:rPr>
              <w:t>Ambulatory care setting</w:t>
            </w:r>
          </w:p>
        </w:tc>
        <w:tc>
          <w:tcPr>
            <w:tcW w:w="2714" w:type="dxa"/>
            <w:shd w:val="clear" w:color="auto" w:fill="E9E6E3"/>
          </w:tcPr>
          <w:p w:rsidR="000C21A5" w:rsidRPr="00B650E7" w:rsidRDefault="000C21A5" w:rsidP="00B16E9D">
            <w:pPr>
              <w:rPr>
                <w:rFonts w:eastAsia="Calibri"/>
                <w:sz w:val="20"/>
                <w:szCs w:val="20"/>
              </w:rPr>
            </w:pPr>
            <w:r w:rsidRPr="00B650E7">
              <w:rPr>
                <w:rFonts w:eastAsia="Calibri"/>
                <w:sz w:val="20"/>
                <w:szCs w:val="20"/>
              </w:rPr>
              <w:t xml:space="preserve">The project will ask each ambulatory care participating </w:t>
            </w:r>
            <w:r>
              <w:rPr>
                <w:rFonts w:eastAsia="Calibri"/>
                <w:sz w:val="20"/>
                <w:szCs w:val="20"/>
              </w:rPr>
              <w:t>clinic</w:t>
            </w:r>
            <w:r w:rsidRPr="00B650E7">
              <w:rPr>
                <w:rFonts w:eastAsia="Calibri"/>
                <w:sz w:val="20"/>
                <w:szCs w:val="20"/>
              </w:rPr>
              <w:t xml:space="preserve"> to identify a “master trainer*.”</w:t>
            </w:r>
          </w:p>
        </w:tc>
        <w:tc>
          <w:tcPr>
            <w:tcW w:w="4959" w:type="dxa"/>
            <w:shd w:val="clear" w:color="auto" w:fill="E9E6E3"/>
          </w:tcPr>
          <w:p w:rsidR="000C21A5" w:rsidRPr="00B650E7" w:rsidRDefault="000C21A5" w:rsidP="00B16E9D">
            <w:pPr>
              <w:rPr>
                <w:rFonts w:eastAsia="Calibri"/>
                <w:sz w:val="20"/>
                <w:szCs w:val="20"/>
              </w:rPr>
            </w:pPr>
            <w:r w:rsidRPr="00B650E7">
              <w:rPr>
                <w:rFonts w:eastAsia="Calibri"/>
                <w:sz w:val="20"/>
                <w:szCs w:val="20"/>
              </w:rPr>
              <w:t>*A physician, nurse practitioner, and/or physician assistant.</w:t>
            </w:r>
          </w:p>
          <w:p w:rsidR="000C21A5" w:rsidRPr="00B650E7" w:rsidRDefault="000C21A5" w:rsidP="00B16E9D">
            <w:pPr>
              <w:rPr>
                <w:rFonts w:eastAsia="Calibri"/>
                <w:sz w:val="20"/>
                <w:szCs w:val="20"/>
              </w:rPr>
            </w:pPr>
            <w:r w:rsidRPr="00B650E7">
              <w:rPr>
                <w:rFonts w:eastAsia="Calibri"/>
                <w:sz w:val="20"/>
                <w:szCs w:val="20"/>
              </w:rPr>
              <w:t>Intended for primary care providers or urgent care clinics</w:t>
            </w:r>
          </w:p>
          <w:p w:rsidR="000C21A5" w:rsidRPr="00B650E7" w:rsidRDefault="000C21A5" w:rsidP="00B16E9D">
            <w:pPr>
              <w:rPr>
                <w:rFonts w:eastAsia="Calibri"/>
                <w:sz w:val="20"/>
                <w:szCs w:val="20"/>
              </w:rPr>
            </w:pPr>
            <w:r w:rsidRPr="00B650E7">
              <w:rPr>
                <w:rFonts w:eastAsia="Calibri"/>
                <w:sz w:val="20"/>
                <w:szCs w:val="20"/>
              </w:rPr>
              <w:t xml:space="preserve">All healthcare workers at each participating </w:t>
            </w:r>
            <w:r>
              <w:rPr>
                <w:rFonts w:eastAsia="Calibri"/>
                <w:sz w:val="20"/>
                <w:szCs w:val="20"/>
              </w:rPr>
              <w:t xml:space="preserve">clinic </w:t>
            </w:r>
            <w:r w:rsidRPr="00B650E7">
              <w:rPr>
                <w:rFonts w:eastAsia="Calibri"/>
                <w:sz w:val="20"/>
                <w:szCs w:val="20"/>
              </w:rPr>
              <w:t xml:space="preserve">will be encouraged to participate. </w:t>
            </w:r>
          </w:p>
        </w:tc>
      </w:tr>
    </w:tbl>
    <w:p w:rsidR="000C21A5" w:rsidRDefault="000C21A5" w:rsidP="000C21A5">
      <w:pPr>
        <w:rPr>
          <w:b/>
          <w:u w:val="single"/>
        </w:rPr>
      </w:pPr>
    </w:p>
    <w:p w:rsidR="000C21A5" w:rsidRDefault="000C21A5" w:rsidP="000C21A5"/>
    <w:p w:rsidR="000C21A5" w:rsidRDefault="000C21A5" w:rsidP="000C21A5">
      <w:pPr>
        <w:rPr>
          <w:b/>
          <w:i/>
        </w:rPr>
      </w:pPr>
      <w:bookmarkStart w:id="10" w:name="_Toc480833302"/>
      <w:r>
        <w:rPr>
          <w:b/>
          <w:i/>
        </w:rPr>
        <w:t>Response Rates</w:t>
      </w:r>
    </w:p>
    <w:p w:rsidR="000C21A5" w:rsidRDefault="000C21A5" w:rsidP="000C21A5">
      <w:r>
        <w:t xml:space="preserve">We anticipate a 90% cooperation rate from the participating facilities to the Structural Assessments, submission of EHR data (e.g., antibiotic use, </w:t>
      </w:r>
      <w:r w:rsidRPr="00A20589">
        <w:rPr>
          <w:i/>
        </w:rPr>
        <w:t>C. difficile</w:t>
      </w:r>
      <w:r>
        <w:t xml:space="preserve"> rates, urine cultures, etc.), response to qualitative interviews, and completion of Team Antibiotic Review forms. </w:t>
      </w:r>
    </w:p>
    <w:p w:rsidR="000C21A5" w:rsidRDefault="000C21A5" w:rsidP="000C21A5"/>
    <w:p w:rsidR="000C21A5" w:rsidRDefault="000C21A5" w:rsidP="000C21A5">
      <w:pPr>
        <w:rPr>
          <w:b/>
          <w:u w:val="single"/>
        </w:rPr>
      </w:pPr>
      <w:r>
        <w:t xml:space="preserve">Completion rates for the AHRQ Surveys on Patient Safety Culture, based on previous CUSP interventions focusing on VAP and CLABSI), are anticipated to range between 30-50%. For those interventions, the hospital or unit response rates for the AHRQ Patient Safety surveys varied from baseline to follow-up and from project to project. The response rates averaged 55% at baseline and between 16-28% at follow-up. </w:t>
      </w:r>
    </w:p>
    <w:p w:rsidR="000C21A5" w:rsidRPr="005F5C6F" w:rsidRDefault="000C21A5" w:rsidP="000C21A5">
      <w:pPr>
        <w:pStyle w:val="Heading2"/>
        <w:rPr>
          <w:sz w:val="24"/>
        </w:rPr>
      </w:pPr>
      <w:r w:rsidRPr="005F5C6F">
        <w:rPr>
          <w:sz w:val="24"/>
        </w:rPr>
        <w:t>2. Information Collection Procedures</w:t>
      </w:r>
      <w:bookmarkEnd w:id="8"/>
      <w:bookmarkEnd w:id="10"/>
    </w:p>
    <w:p w:rsidR="000C21A5" w:rsidRDefault="000C21A5" w:rsidP="000C21A5">
      <w:pPr>
        <w:spacing w:before="100" w:beforeAutospacing="1"/>
        <w:rPr>
          <w:b/>
          <w:i/>
        </w:rPr>
      </w:pPr>
      <w:r>
        <w:rPr>
          <w:b/>
          <w:i/>
        </w:rPr>
        <w:t>Primary Data Collection</w:t>
      </w:r>
    </w:p>
    <w:p w:rsidR="000C21A5" w:rsidRPr="00B31F06" w:rsidRDefault="000C21A5" w:rsidP="000C21A5">
      <w:pPr>
        <w:spacing w:after="100" w:afterAutospacing="1"/>
      </w:pPr>
      <w:r w:rsidRPr="00B31F06">
        <w:t xml:space="preserve">The </w:t>
      </w:r>
      <w:r>
        <w:t>project</w:t>
      </w:r>
      <w:r w:rsidRPr="00B31F06">
        <w:t xml:space="preserve"> will collect a range o</w:t>
      </w:r>
      <w:r>
        <w:t>f data to</w:t>
      </w:r>
      <w:r w:rsidRPr="00B31F06">
        <w:t xml:space="preserve"> contribute substantively to the evaluation and facilitate analysis of progress over time. </w:t>
      </w:r>
      <w:r>
        <w:t>P</w:t>
      </w:r>
      <w:r w:rsidRPr="00B31F06">
        <w:t>rimary data collection</w:t>
      </w:r>
      <w:r>
        <w:t xml:space="preserve"> includes </w:t>
      </w:r>
      <w:r w:rsidRPr="00B31F06">
        <w:t>surveys, assessment tools, and qualitative discussions</w:t>
      </w:r>
      <w:r>
        <w:t xml:space="preserve"> (see Exhibit B.4 below)</w:t>
      </w:r>
      <w:r w:rsidRPr="00B31F06">
        <w:t xml:space="preserve">. </w:t>
      </w:r>
      <w:r>
        <w:t xml:space="preserve">The project will analyze </w:t>
      </w:r>
      <w:r w:rsidRPr="00B31F06">
        <w:t xml:space="preserve">EHR data </w:t>
      </w:r>
      <w:r>
        <w:t xml:space="preserve">submitted </w:t>
      </w:r>
      <w:r w:rsidRPr="00B31F06">
        <w:t>from individual sites</w:t>
      </w:r>
      <w:r>
        <w:t xml:space="preserve"> as secondary data sources.</w:t>
      </w:r>
    </w:p>
    <w:p w:rsidR="000C21A5" w:rsidRPr="00B31F06" w:rsidRDefault="000C21A5" w:rsidP="000C21A5">
      <w:r w:rsidRPr="000D507D">
        <w:rPr>
          <w:rStyle w:val="NORCCaption-Color"/>
          <w:rFonts w:eastAsia="Calibri"/>
        </w:rPr>
        <w:t xml:space="preserve">Exhibit </w:t>
      </w:r>
      <w:r>
        <w:rPr>
          <w:rStyle w:val="NORCCaption-Color"/>
          <w:rFonts w:eastAsia="Calibri"/>
        </w:rPr>
        <w:t>B.4</w:t>
      </w:r>
      <w:r w:rsidRPr="000D507D">
        <w:rPr>
          <w:rStyle w:val="NORCCaption-Color"/>
          <w:rFonts w:eastAsia="Calibri"/>
        </w:rPr>
        <w:t>:</w:t>
      </w:r>
      <w:r w:rsidRPr="000D507D">
        <w:t xml:space="preserve"> </w:t>
      </w:r>
      <w:r w:rsidRPr="00B31F06">
        <w:t xml:space="preserve">Summary of Primary Data Collection </w:t>
      </w:r>
      <w:r>
        <w:t>Activities</w:t>
      </w:r>
      <w:r w:rsidRPr="000D507D">
        <w:t xml:space="preserve"> </w:t>
      </w:r>
    </w:p>
    <w:tbl>
      <w:tblPr>
        <w:tblW w:w="8482" w:type="dxa"/>
        <w:jc w:val="center"/>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88"/>
        <w:gridCol w:w="1747"/>
        <w:gridCol w:w="2160"/>
        <w:gridCol w:w="2387"/>
      </w:tblGrid>
      <w:tr w:rsidR="000C21A5" w:rsidRPr="00B650E7" w:rsidTr="00B16E9D">
        <w:trPr>
          <w:cantSplit/>
          <w:tblHeader/>
          <w:jc w:val="center"/>
        </w:trPr>
        <w:tc>
          <w:tcPr>
            <w:tcW w:w="2188" w:type="dxa"/>
            <w:shd w:val="clear" w:color="auto" w:fill="8AB3A4"/>
            <w:tcMar>
              <w:top w:w="0" w:type="dxa"/>
              <w:left w:w="108" w:type="dxa"/>
              <w:bottom w:w="0" w:type="dxa"/>
              <w:right w:w="108" w:type="dxa"/>
            </w:tcMar>
            <w:vAlign w:val="center"/>
            <w:hideMark/>
          </w:tcPr>
          <w:p w:rsidR="000C21A5" w:rsidRPr="00B650E7" w:rsidRDefault="000C21A5" w:rsidP="00B16E9D">
            <w:pPr>
              <w:pStyle w:val="NORCTableHeaderArial"/>
              <w:spacing w:line="276" w:lineRule="auto"/>
              <w:rPr>
                <w:rFonts w:ascii="Times New Roman" w:hAnsi="Times New Roman"/>
                <w:sz w:val="20"/>
                <w:szCs w:val="20"/>
              </w:rPr>
            </w:pPr>
            <w:r w:rsidRPr="00B650E7">
              <w:rPr>
                <w:rFonts w:ascii="Times New Roman" w:hAnsi="Times New Roman"/>
                <w:sz w:val="20"/>
                <w:szCs w:val="20"/>
              </w:rPr>
              <w:t>Primary Data Collection Sources</w:t>
            </w:r>
          </w:p>
        </w:tc>
        <w:tc>
          <w:tcPr>
            <w:tcW w:w="1747" w:type="dxa"/>
            <w:shd w:val="clear" w:color="auto" w:fill="8AB3A4"/>
            <w:tcMar>
              <w:top w:w="0" w:type="dxa"/>
              <w:left w:w="108" w:type="dxa"/>
              <w:bottom w:w="0" w:type="dxa"/>
              <w:right w:w="108" w:type="dxa"/>
            </w:tcMar>
            <w:vAlign w:val="center"/>
            <w:hideMark/>
          </w:tcPr>
          <w:p w:rsidR="000C21A5" w:rsidRPr="00B650E7" w:rsidRDefault="000C21A5" w:rsidP="00B16E9D">
            <w:pPr>
              <w:pStyle w:val="NORCTableHeaderArial"/>
              <w:spacing w:line="276" w:lineRule="auto"/>
              <w:rPr>
                <w:rFonts w:ascii="Times New Roman" w:hAnsi="Times New Roman"/>
                <w:sz w:val="20"/>
                <w:szCs w:val="20"/>
              </w:rPr>
            </w:pPr>
            <w:r w:rsidRPr="00B650E7">
              <w:rPr>
                <w:rFonts w:ascii="Times New Roman" w:hAnsi="Times New Roman"/>
                <w:sz w:val="20"/>
                <w:szCs w:val="20"/>
              </w:rPr>
              <w:t>Data Collection Tools</w:t>
            </w:r>
          </w:p>
        </w:tc>
        <w:tc>
          <w:tcPr>
            <w:tcW w:w="2160" w:type="dxa"/>
            <w:shd w:val="clear" w:color="auto" w:fill="8AB3A4"/>
            <w:vAlign w:val="center"/>
          </w:tcPr>
          <w:p w:rsidR="000C21A5" w:rsidRPr="00B650E7" w:rsidRDefault="000C21A5" w:rsidP="00B16E9D">
            <w:pPr>
              <w:pStyle w:val="NORCTableHeaderArial"/>
              <w:spacing w:line="276" w:lineRule="auto"/>
              <w:rPr>
                <w:rFonts w:ascii="Times New Roman" w:hAnsi="Times New Roman"/>
                <w:sz w:val="20"/>
                <w:szCs w:val="20"/>
              </w:rPr>
            </w:pPr>
            <w:r w:rsidRPr="00B650E7">
              <w:rPr>
                <w:rFonts w:ascii="Times New Roman" w:hAnsi="Times New Roman"/>
                <w:sz w:val="20"/>
                <w:szCs w:val="20"/>
              </w:rPr>
              <w:t>Target population</w:t>
            </w:r>
          </w:p>
        </w:tc>
        <w:tc>
          <w:tcPr>
            <w:tcW w:w="2387" w:type="dxa"/>
            <w:shd w:val="clear" w:color="auto" w:fill="8AB3A4"/>
            <w:vAlign w:val="center"/>
          </w:tcPr>
          <w:p w:rsidR="000C21A5" w:rsidRPr="00B650E7" w:rsidRDefault="000C21A5" w:rsidP="00B16E9D">
            <w:pPr>
              <w:pStyle w:val="NORCTableHeaderArial"/>
              <w:spacing w:line="276" w:lineRule="auto"/>
              <w:rPr>
                <w:rFonts w:ascii="Times New Roman" w:hAnsi="Times New Roman"/>
                <w:sz w:val="20"/>
                <w:szCs w:val="20"/>
              </w:rPr>
            </w:pPr>
            <w:r w:rsidRPr="00B650E7">
              <w:rPr>
                <w:rFonts w:ascii="Times New Roman" w:hAnsi="Times New Roman"/>
                <w:sz w:val="20"/>
                <w:szCs w:val="20"/>
              </w:rPr>
              <w:t>Data collection frequency</w:t>
            </w:r>
          </w:p>
        </w:tc>
      </w:tr>
      <w:tr w:rsidR="000C21A5" w:rsidRPr="00B650E7" w:rsidTr="00B16E9D">
        <w:trPr>
          <w:cantSplit/>
          <w:trHeight w:val="1277"/>
          <w:jc w:val="center"/>
        </w:trPr>
        <w:tc>
          <w:tcPr>
            <w:tcW w:w="2188" w:type="dxa"/>
            <w:shd w:val="clear" w:color="auto" w:fill="E9E6E3"/>
            <w:tcMar>
              <w:top w:w="0" w:type="dxa"/>
              <w:left w:w="108" w:type="dxa"/>
              <w:bottom w:w="0" w:type="dxa"/>
              <w:right w:w="108" w:type="dxa"/>
            </w:tcMar>
            <w:hideMark/>
          </w:tcPr>
          <w:p w:rsidR="000C21A5" w:rsidRPr="00B650E7" w:rsidRDefault="000C21A5" w:rsidP="00B16E9D">
            <w:pPr>
              <w:pStyle w:val="NORCTableBodyLeft"/>
              <w:rPr>
                <w:rFonts w:ascii="Times New Roman" w:hAnsi="Times New Roman"/>
                <w:sz w:val="20"/>
                <w:szCs w:val="20"/>
              </w:rPr>
            </w:pPr>
            <w:r w:rsidRPr="00B650E7">
              <w:rPr>
                <w:rFonts w:ascii="Times New Roman" w:hAnsi="Times New Roman"/>
                <w:sz w:val="20"/>
                <w:szCs w:val="20"/>
              </w:rPr>
              <w:t xml:space="preserve">Surveys </w:t>
            </w:r>
          </w:p>
        </w:tc>
        <w:tc>
          <w:tcPr>
            <w:tcW w:w="1747" w:type="dxa"/>
            <w:shd w:val="clear" w:color="auto" w:fill="E9E6E3"/>
            <w:tcMar>
              <w:top w:w="0" w:type="dxa"/>
              <w:left w:w="108" w:type="dxa"/>
              <w:bottom w:w="0" w:type="dxa"/>
              <w:right w:w="108" w:type="dxa"/>
            </w:tcMar>
            <w:hideMark/>
          </w:tcPr>
          <w:p w:rsidR="000C21A5" w:rsidRPr="00B650E7" w:rsidRDefault="000C21A5" w:rsidP="00B16E9D">
            <w:pPr>
              <w:pStyle w:val="NORCTableBodyLeft"/>
              <w:rPr>
                <w:rFonts w:ascii="Times New Roman" w:hAnsi="Times New Roman"/>
                <w:sz w:val="20"/>
                <w:szCs w:val="20"/>
              </w:rPr>
            </w:pPr>
            <w:r w:rsidRPr="00B650E7">
              <w:rPr>
                <w:rFonts w:ascii="Times New Roman" w:hAnsi="Times New Roman"/>
                <w:sz w:val="20"/>
                <w:szCs w:val="20"/>
              </w:rPr>
              <w:t xml:space="preserve">AHRQ Patient Safety Culture Change surveys: HSOPS, NHSOPS, MOSOPS </w:t>
            </w:r>
          </w:p>
          <w:p w:rsidR="000C21A5" w:rsidRPr="00B650E7" w:rsidRDefault="000C21A5" w:rsidP="00B16E9D">
            <w:pPr>
              <w:pStyle w:val="NORCTableBullet110ptNarrow"/>
              <w:framePr w:hSpace="0" w:wrap="auto" w:vAnchor="margin" w:hAnchor="text" w:yAlign="inline"/>
              <w:numPr>
                <w:ilvl w:val="0"/>
                <w:numId w:val="0"/>
              </w:numPr>
              <w:ind w:left="360"/>
              <w:suppressOverlap w:val="0"/>
              <w:rPr>
                <w:rFonts w:ascii="Times New Roman" w:hAnsi="Times New Roman"/>
              </w:rPr>
            </w:pPr>
          </w:p>
        </w:tc>
        <w:tc>
          <w:tcPr>
            <w:tcW w:w="2160" w:type="dxa"/>
            <w:shd w:val="clear" w:color="auto" w:fill="E9E6E3"/>
          </w:tcPr>
          <w:p w:rsidR="000C21A5" w:rsidRPr="00B650E7" w:rsidRDefault="000C21A5" w:rsidP="00B16E9D">
            <w:pPr>
              <w:pStyle w:val="NORCTableBullet110ptNarrow"/>
              <w:framePr w:hSpace="0" w:wrap="auto" w:vAnchor="margin" w:hAnchor="text" w:yAlign="inline"/>
              <w:numPr>
                <w:ilvl w:val="0"/>
                <w:numId w:val="0"/>
              </w:numPr>
              <w:tabs>
                <w:tab w:val="clear" w:pos="144"/>
                <w:tab w:val="left" w:pos="181"/>
              </w:tabs>
              <w:ind w:left="91"/>
              <w:suppressOverlap w:val="0"/>
              <w:rPr>
                <w:rFonts w:ascii="Times New Roman" w:hAnsi="Times New Roman"/>
              </w:rPr>
            </w:pPr>
            <w:r w:rsidRPr="00B650E7">
              <w:rPr>
                <w:rFonts w:ascii="Times New Roman" w:hAnsi="Times New Roman"/>
              </w:rPr>
              <w:t>All staff at the participating sites</w:t>
            </w:r>
          </w:p>
        </w:tc>
        <w:tc>
          <w:tcPr>
            <w:tcW w:w="2387" w:type="dxa"/>
            <w:shd w:val="clear" w:color="auto" w:fill="E9E6E3"/>
          </w:tcPr>
          <w:p w:rsidR="000C21A5" w:rsidRPr="00B650E7" w:rsidRDefault="000C21A5" w:rsidP="00B16E9D">
            <w:pPr>
              <w:pStyle w:val="NORCTableBullet110ptNarrow"/>
              <w:framePr w:hSpace="0" w:wrap="auto" w:vAnchor="margin" w:hAnchor="text" w:yAlign="inline"/>
              <w:ind w:left="221" w:hanging="159"/>
              <w:suppressOverlap w:val="0"/>
              <w:rPr>
                <w:rFonts w:ascii="Times New Roman" w:hAnsi="Times New Roman"/>
              </w:rPr>
            </w:pPr>
            <w:r w:rsidRPr="00B650E7">
              <w:rPr>
                <w:rFonts w:ascii="Times New Roman" w:hAnsi="Times New Roman"/>
              </w:rPr>
              <w:t>At baseline (pre-intervention)</w:t>
            </w:r>
          </w:p>
          <w:p w:rsidR="000C21A5" w:rsidRPr="00B650E7" w:rsidRDefault="000C21A5" w:rsidP="00B16E9D">
            <w:pPr>
              <w:pStyle w:val="NORCTableBullet110ptNarrow"/>
              <w:framePr w:hSpace="0" w:wrap="auto" w:vAnchor="margin" w:hAnchor="text" w:yAlign="inline"/>
              <w:ind w:left="221" w:hanging="159"/>
              <w:suppressOverlap w:val="0"/>
              <w:rPr>
                <w:rFonts w:ascii="Times New Roman" w:hAnsi="Times New Roman"/>
              </w:rPr>
            </w:pPr>
            <w:r w:rsidRPr="00B650E7">
              <w:rPr>
                <w:rFonts w:ascii="Times New Roman" w:hAnsi="Times New Roman"/>
              </w:rPr>
              <w:t>End of intervention</w:t>
            </w:r>
          </w:p>
          <w:p w:rsidR="000C21A5" w:rsidRPr="00B650E7" w:rsidRDefault="000C21A5" w:rsidP="00B16E9D">
            <w:pPr>
              <w:pStyle w:val="NORCTableBullet110ptNarrow"/>
              <w:framePr w:hSpace="0" w:wrap="auto" w:vAnchor="margin" w:hAnchor="text" w:yAlign="inline"/>
              <w:numPr>
                <w:ilvl w:val="0"/>
                <w:numId w:val="0"/>
              </w:numPr>
              <w:ind w:left="360" w:hanging="360"/>
              <w:suppressOverlap w:val="0"/>
              <w:rPr>
                <w:rFonts w:ascii="Times New Roman" w:hAnsi="Times New Roman"/>
              </w:rPr>
            </w:pPr>
          </w:p>
        </w:tc>
      </w:tr>
      <w:tr w:rsidR="000C21A5" w:rsidRPr="00B650E7" w:rsidTr="00B16E9D">
        <w:trPr>
          <w:cantSplit/>
          <w:trHeight w:val="1475"/>
          <w:jc w:val="center"/>
        </w:trPr>
        <w:tc>
          <w:tcPr>
            <w:tcW w:w="2188" w:type="dxa"/>
            <w:shd w:val="clear" w:color="auto" w:fill="E9E6E3"/>
            <w:tcMar>
              <w:top w:w="0" w:type="dxa"/>
              <w:left w:w="108" w:type="dxa"/>
              <w:bottom w:w="0" w:type="dxa"/>
              <w:right w:w="108" w:type="dxa"/>
            </w:tcMar>
          </w:tcPr>
          <w:p w:rsidR="000C21A5" w:rsidRPr="00B650E7" w:rsidRDefault="000C21A5" w:rsidP="00B16E9D">
            <w:pPr>
              <w:pStyle w:val="NORCTableBodyLeft"/>
              <w:rPr>
                <w:rFonts w:ascii="Times New Roman" w:hAnsi="Times New Roman"/>
                <w:sz w:val="20"/>
                <w:szCs w:val="20"/>
              </w:rPr>
            </w:pPr>
            <w:r w:rsidRPr="00B650E7">
              <w:rPr>
                <w:rFonts w:ascii="Times New Roman" w:hAnsi="Times New Roman"/>
                <w:sz w:val="20"/>
                <w:szCs w:val="20"/>
              </w:rPr>
              <w:t>Assessment Tools</w:t>
            </w:r>
          </w:p>
        </w:tc>
        <w:tc>
          <w:tcPr>
            <w:tcW w:w="1747" w:type="dxa"/>
            <w:shd w:val="clear" w:color="auto" w:fill="E9E6E3"/>
            <w:tcMar>
              <w:top w:w="0" w:type="dxa"/>
              <w:left w:w="108" w:type="dxa"/>
              <w:bottom w:w="0" w:type="dxa"/>
              <w:right w:w="108" w:type="dxa"/>
            </w:tcMar>
          </w:tcPr>
          <w:p w:rsidR="000C21A5" w:rsidRPr="00B650E7" w:rsidRDefault="000C21A5" w:rsidP="00B16E9D">
            <w:pPr>
              <w:pStyle w:val="NORCTableBodyLeft"/>
              <w:rPr>
                <w:rFonts w:ascii="Times New Roman" w:hAnsi="Times New Roman"/>
                <w:sz w:val="20"/>
                <w:szCs w:val="20"/>
              </w:rPr>
            </w:pPr>
            <w:r w:rsidRPr="00B650E7">
              <w:rPr>
                <w:rFonts w:ascii="Times New Roman" w:hAnsi="Times New Roman"/>
                <w:sz w:val="20"/>
                <w:szCs w:val="20"/>
              </w:rPr>
              <w:t>Structural Assessment Tool (different tools for acute care, long term care, and ambulatory care settings)</w:t>
            </w:r>
          </w:p>
          <w:p w:rsidR="000C21A5" w:rsidRPr="00B650E7" w:rsidRDefault="000C21A5" w:rsidP="00B16E9D">
            <w:pPr>
              <w:pStyle w:val="NORCTableBullet110ptNarrow"/>
              <w:framePr w:hSpace="0" w:wrap="auto" w:vAnchor="margin" w:hAnchor="text" w:yAlign="inline"/>
              <w:numPr>
                <w:ilvl w:val="0"/>
                <w:numId w:val="0"/>
              </w:numPr>
              <w:suppressOverlap w:val="0"/>
              <w:rPr>
                <w:rFonts w:ascii="Times New Roman" w:hAnsi="Times New Roman"/>
              </w:rPr>
            </w:pPr>
          </w:p>
          <w:p w:rsidR="000C21A5" w:rsidRPr="00B650E7" w:rsidRDefault="000C21A5" w:rsidP="00B16E9D">
            <w:pPr>
              <w:pStyle w:val="NORCTableBullet110ptNarrow"/>
              <w:framePr w:hSpace="0" w:wrap="auto" w:vAnchor="margin" w:hAnchor="text" w:yAlign="inline"/>
              <w:numPr>
                <w:ilvl w:val="0"/>
                <w:numId w:val="0"/>
              </w:numPr>
              <w:suppressOverlap w:val="0"/>
              <w:rPr>
                <w:rFonts w:ascii="Times New Roman" w:hAnsi="Times New Roman"/>
              </w:rPr>
            </w:pPr>
          </w:p>
        </w:tc>
        <w:tc>
          <w:tcPr>
            <w:tcW w:w="2160" w:type="dxa"/>
            <w:shd w:val="clear" w:color="auto" w:fill="E9E6E3"/>
          </w:tcPr>
          <w:p w:rsidR="000C21A5" w:rsidRPr="00B650E7" w:rsidRDefault="000C21A5" w:rsidP="00B16E9D">
            <w:pPr>
              <w:pStyle w:val="NORCTableBullet110ptNarrow"/>
              <w:framePr w:hSpace="0" w:wrap="auto" w:vAnchor="margin" w:hAnchor="text" w:yAlign="inline"/>
              <w:numPr>
                <w:ilvl w:val="0"/>
                <w:numId w:val="0"/>
              </w:numPr>
              <w:tabs>
                <w:tab w:val="clear" w:pos="144"/>
                <w:tab w:val="left" w:pos="181"/>
              </w:tabs>
              <w:ind w:left="91"/>
              <w:suppressOverlap w:val="0"/>
              <w:rPr>
                <w:rFonts w:ascii="Times New Roman" w:hAnsi="Times New Roman"/>
              </w:rPr>
            </w:pPr>
            <w:r w:rsidRPr="00B650E7">
              <w:rPr>
                <w:rFonts w:ascii="Times New Roman" w:hAnsi="Times New Roman"/>
              </w:rPr>
              <w:t>Unit leader at the  participating sites</w:t>
            </w:r>
          </w:p>
        </w:tc>
        <w:tc>
          <w:tcPr>
            <w:tcW w:w="2387" w:type="dxa"/>
            <w:shd w:val="clear" w:color="auto" w:fill="E9E6E3"/>
          </w:tcPr>
          <w:p w:rsidR="000C21A5" w:rsidRPr="00B650E7" w:rsidRDefault="000C21A5" w:rsidP="00B16E9D">
            <w:pPr>
              <w:pStyle w:val="NORCTableBullet110ptNarrow"/>
              <w:framePr w:hSpace="0" w:wrap="auto" w:vAnchor="margin" w:hAnchor="text" w:yAlign="inline"/>
              <w:ind w:left="221" w:hanging="159"/>
              <w:suppressOverlap w:val="0"/>
              <w:rPr>
                <w:rFonts w:ascii="Times New Roman" w:hAnsi="Times New Roman"/>
              </w:rPr>
            </w:pPr>
            <w:r w:rsidRPr="00B650E7">
              <w:rPr>
                <w:rFonts w:ascii="Times New Roman" w:hAnsi="Times New Roman"/>
              </w:rPr>
              <w:t>At baseline (pre-intervention)</w:t>
            </w:r>
          </w:p>
          <w:p w:rsidR="000C21A5" w:rsidRPr="00B650E7" w:rsidRDefault="000C21A5" w:rsidP="00B16E9D">
            <w:pPr>
              <w:pStyle w:val="NORCTableBullet110ptNarrow"/>
              <w:framePr w:hSpace="0" w:wrap="auto" w:vAnchor="margin" w:hAnchor="text" w:yAlign="inline"/>
              <w:ind w:left="221" w:hanging="159"/>
              <w:suppressOverlap w:val="0"/>
              <w:rPr>
                <w:rFonts w:ascii="Times New Roman" w:hAnsi="Times New Roman"/>
              </w:rPr>
            </w:pPr>
            <w:r w:rsidRPr="00B650E7">
              <w:rPr>
                <w:rFonts w:ascii="Times New Roman" w:hAnsi="Times New Roman"/>
              </w:rPr>
              <w:t>At the end of intervention (during/post)</w:t>
            </w:r>
          </w:p>
          <w:p w:rsidR="000C21A5" w:rsidRPr="00B650E7" w:rsidRDefault="000C21A5" w:rsidP="00B16E9D">
            <w:pPr>
              <w:pStyle w:val="NORCTableBullet110ptNarrow"/>
              <w:framePr w:hSpace="0" w:wrap="auto" w:vAnchor="margin" w:hAnchor="text" w:yAlign="inline"/>
              <w:numPr>
                <w:ilvl w:val="0"/>
                <w:numId w:val="0"/>
              </w:numPr>
              <w:ind w:left="221"/>
              <w:suppressOverlap w:val="0"/>
              <w:rPr>
                <w:rFonts w:ascii="Times New Roman" w:hAnsi="Times New Roman"/>
              </w:rPr>
            </w:pPr>
          </w:p>
        </w:tc>
      </w:tr>
      <w:tr w:rsidR="000C21A5" w:rsidRPr="00B650E7" w:rsidTr="00B16E9D">
        <w:trPr>
          <w:cantSplit/>
          <w:trHeight w:val="1475"/>
          <w:jc w:val="center"/>
        </w:trPr>
        <w:tc>
          <w:tcPr>
            <w:tcW w:w="2188" w:type="dxa"/>
            <w:shd w:val="clear" w:color="auto" w:fill="E9E6E3"/>
            <w:tcMar>
              <w:top w:w="0" w:type="dxa"/>
              <w:left w:w="108" w:type="dxa"/>
              <w:bottom w:w="0" w:type="dxa"/>
              <w:right w:w="108" w:type="dxa"/>
            </w:tcMar>
          </w:tcPr>
          <w:p w:rsidR="000C21A5" w:rsidRPr="00742356" w:rsidRDefault="000C21A5" w:rsidP="00B16E9D">
            <w:pPr>
              <w:pStyle w:val="NORCTableBodyLeft"/>
              <w:rPr>
                <w:rFonts w:ascii="Times New Roman" w:hAnsi="Times New Roman"/>
                <w:sz w:val="20"/>
                <w:szCs w:val="20"/>
              </w:rPr>
            </w:pPr>
            <w:r w:rsidRPr="00742356">
              <w:rPr>
                <w:rFonts w:ascii="Times New Roman" w:hAnsi="Times New Roman"/>
                <w:sz w:val="20"/>
                <w:szCs w:val="20"/>
              </w:rPr>
              <w:t>Antibiotic Appropriateness Assessment Data</w:t>
            </w:r>
          </w:p>
        </w:tc>
        <w:tc>
          <w:tcPr>
            <w:tcW w:w="1747" w:type="dxa"/>
            <w:shd w:val="clear" w:color="auto" w:fill="E9E6E3"/>
            <w:tcMar>
              <w:top w:w="0" w:type="dxa"/>
              <w:left w:w="108" w:type="dxa"/>
              <w:bottom w:w="0" w:type="dxa"/>
              <w:right w:w="108" w:type="dxa"/>
            </w:tcMar>
          </w:tcPr>
          <w:p w:rsidR="000C21A5" w:rsidRPr="00742356" w:rsidRDefault="000C21A5" w:rsidP="00B16E9D">
            <w:pPr>
              <w:pStyle w:val="NORCTableBullet110ptNarrow"/>
              <w:framePr w:hSpace="0" w:wrap="auto" w:vAnchor="margin" w:hAnchor="text" w:yAlign="inline"/>
              <w:numPr>
                <w:ilvl w:val="0"/>
                <w:numId w:val="0"/>
              </w:numPr>
              <w:suppressOverlap w:val="0"/>
              <w:rPr>
                <w:rFonts w:ascii="Times New Roman" w:hAnsi="Times New Roman"/>
              </w:rPr>
            </w:pPr>
            <w:r w:rsidRPr="00742356">
              <w:rPr>
                <w:rFonts w:ascii="Times New Roman" w:hAnsi="Times New Roman"/>
              </w:rPr>
              <w:t>Team Antibio</w:t>
            </w:r>
            <w:r>
              <w:rPr>
                <w:rFonts w:ascii="Times New Roman" w:hAnsi="Times New Roman"/>
              </w:rPr>
              <w:t>tic Review Form (assessment by Stewardship Team</w:t>
            </w:r>
            <w:r w:rsidRPr="00742356">
              <w:rPr>
                <w:rStyle w:val="FootnoteReference"/>
                <w:rFonts w:ascii="Times New Roman" w:hAnsi="Times New Roman"/>
              </w:rPr>
              <w:footnoteReference w:id="1"/>
            </w:r>
            <w:r w:rsidRPr="00742356">
              <w:rPr>
                <w:rFonts w:ascii="Times New Roman" w:hAnsi="Times New Roman"/>
              </w:rPr>
              <w:t>)</w:t>
            </w:r>
          </w:p>
          <w:p w:rsidR="000C21A5" w:rsidRPr="00742356" w:rsidRDefault="000C21A5" w:rsidP="00B16E9D">
            <w:pPr>
              <w:pStyle w:val="NORCTableBodyLeft"/>
              <w:rPr>
                <w:rFonts w:ascii="Times New Roman" w:hAnsi="Times New Roman"/>
                <w:sz w:val="20"/>
                <w:szCs w:val="20"/>
              </w:rPr>
            </w:pPr>
          </w:p>
        </w:tc>
        <w:tc>
          <w:tcPr>
            <w:tcW w:w="2160" w:type="dxa"/>
            <w:shd w:val="clear" w:color="auto" w:fill="E9E6E3"/>
          </w:tcPr>
          <w:p w:rsidR="000C21A5" w:rsidRPr="00742356" w:rsidRDefault="000C21A5" w:rsidP="00B16E9D">
            <w:pPr>
              <w:pStyle w:val="NORCTableBullet110ptNarrow"/>
              <w:framePr w:hSpace="0" w:wrap="auto" w:vAnchor="margin" w:hAnchor="text" w:yAlign="inline"/>
              <w:numPr>
                <w:ilvl w:val="0"/>
                <w:numId w:val="0"/>
              </w:numPr>
              <w:tabs>
                <w:tab w:val="clear" w:pos="144"/>
                <w:tab w:val="left" w:pos="181"/>
              </w:tabs>
              <w:ind w:left="91"/>
              <w:suppressOverlap w:val="0"/>
              <w:rPr>
                <w:rFonts w:ascii="Times New Roman" w:hAnsi="Times New Roman"/>
              </w:rPr>
            </w:pPr>
            <w:r w:rsidRPr="00742356">
              <w:rPr>
                <w:rFonts w:ascii="Times New Roman" w:hAnsi="Times New Roman"/>
              </w:rPr>
              <w:t xml:space="preserve">Patients who are prescribed antibiotics at the participating sites (data will be collected by </w:t>
            </w:r>
            <w:r>
              <w:rPr>
                <w:rFonts w:ascii="Times New Roman" w:hAnsi="Times New Roman"/>
              </w:rPr>
              <w:t>S</w:t>
            </w:r>
            <w:r w:rsidRPr="00742356">
              <w:rPr>
                <w:rFonts w:ascii="Times New Roman" w:hAnsi="Times New Roman"/>
              </w:rPr>
              <w:t xml:space="preserve">tewardship </w:t>
            </w:r>
            <w:r>
              <w:rPr>
                <w:rFonts w:ascii="Times New Roman" w:hAnsi="Times New Roman"/>
              </w:rPr>
              <w:t>T</w:t>
            </w:r>
            <w:r w:rsidRPr="00742356">
              <w:rPr>
                <w:rFonts w:ascii="Times New Roman" w:hAnsi="Times New Roman"/>
              </w:rPr>
              <w:t>eam and will not contain protected health information)</w:t>
            </w:r>
          </w:p>
        </w:tc>
        <w:tc>
          <w:tcPr>
            <w:tcW w:w="2387" w:type="dxa"/>
            <w:shd w:val="clear" w:color="auto" w:fill="E9E6E3"/>
          </w:tcPr>
          <w:p w:rsidR="000C21A5" w:rsidRPr="00742356" w:rsidRDefault="000C21A5" w:rsidP="00B16E9D">
            <w:pPr>
              <w:pStyle w:val="NORCTableBullet110ptNarrow"/>
              <w:framePr w:hSpace="0" w:wrap="auto" w:vAnchor="margin" w:hAnchor="text" w:yAlign="inline"/>
              <w:ind w:left="221" w:hanging="159"/>
              <w:suppressOverlap w:val="0"/>
              <w:rPr>
                <w:rFonts w:ascii="Times New Roman" w:hAnsi="Times New Roman"/>
              </w:rPr>
            </w:pPr>
            <w:r w:rsidRPr="00742356">
              <w:rPr>
                <w:rFonts w:ascii="Times New Roman" w:hAnsi="Times New Roman"/>
              </w:rPr>
              <w:t>Every month from the beginning of intervention (acute care and long-term care only)</w:t>
            </w:r>
          </w:p>
        </w:tc>
      </w:tr>
      <w:tr w:rsidR="000C21A5" w:rsidRPr="00B650E7" w:rsidTr="00B16E9D">
        <w:trPr>
          <w:cantSplit/>
          <w:trHeight w:val="1835"/>
          <w:jc w:val="center"/>
        </w:trPr>
        <w:tc>
          <w:tcPr>
            <w:tcW w:w="2188" w:type="dxa"/>
            <w:shd w:val="clear" w:color="auto" w:fill="E9E6E3"/>
            <w:tcMar>
              <w:top w:w="0" w:type="dxa"/>
              <w:left w:w="108" w:type="dxa"/>
              <w:bottom w:w="0" w:type="dxa"/>
              <w:right w:w="108" w:type="dxa"/>
            </w:tcMar>
            <w:hideMark/>
          </w:tcPr>
          <w:p w:rsidR="000C21A5" w:rsidRPr="00B650E7" w:rsidRDefault="000C21A5" w:rsidP="00B16E9D">
            <w:pPr>
              <w:pStyle w:val="NORCTableBodyLeft"/>
              <w:rPr>
                <w:rFonts w:ascii="Times New Roman" w:hAnsi="Times New Roman"/>
                <w:sz w:val="20"/>
                <w:szCs w:val="20"/>
              </w:rPr>
            </w:pPr>
            <w:r w:rsidRPr="00B650E7">
              <w:rPr>
                <w:rFonts w:ascii="Times New Roman" w:hAnsi="Times New Roman"/>
                <w:sz w:val="20"/>
                <w:szCs w:val="20"/>
              </w:rPr>
              <w:t>Qualitative, In-Person Interviews (Cohort 1 only)</w:t>
            </w:r>
          </w:p>
        </w:tc>
        <w:tc>
          <w:tcPr>
            <w:tcW w:w="1747" w:type="dxa"/>
            <w:shd w:val="clear" w:color="auto" w:fill="E9E6E3"/>
            <w:tcMar>
              <w:top w:w="0" w:type="dxa"/>
              <w:left w:w="108" w:type="dxa"/>
              <w:bottom w:w="0" w:type="dxa"/>
              <w:right w:w="108" w:type="dxa"/>
            </w:tcMar>
          </w:tcPr>
          <w:p w:rsidR="000C21A5" w:rsidRPr="00B650E7" w:rsidRDefault="000C21A5" w:rsidP="00B16E9D">
            <w:pPr>
              <w:pStyle w:val="NORCTableBullet110ptNarrow"/>
              <w:framePr w:hSpace="0" w:wrap="auto" w:vAnchor="margin" w:hAnchor="text" w:yAlign="inline"/>
              <w:numPr>
                <w:ilvl w:val="0"/>
                <w:numId w:val="0"/>
              </w:numPr>
              <w:suppressOverlap w:val="0"/>
              <w:rPr>
                <w:rFonts w:ascii="Times New Roman" w:hAnsi="Times New Roman"/>
              </w:rPr>
            </w:pPr>
            <w:r w:rsidRPr="00B650E7">
              <w:rPr>
                <w:rFonts w:ascii="Times New Roman" w:hAnsi="Times New Roman"/>
              </w:rPr>
              <w:t xml:space="preserve">A semi-structured discussion guide modified for the different stakeholder groups (frontline staff, unit champions, and the </w:t>
            </w:r>
            <w:r>
              <w:rPr>
                <w:rFonts w:ascii="Times New Roman" w:hAnsi="Times New Roman"/>
              </w:rPr>
              <w:t>Stewardship T</w:t>
            </w:r>
            <w:r w:rsidRPr="00B650E7">
              <w:rPr>
                <w:rFonts w:ascii="Times New Roman" w:hAnsi="Times New Roman"/>
              </w:rPr>
              <w:t>eam) and three different health care settings</w:t>
            </w:r>
          </w:p>
          <w:p w:rsidR="000C21A5" w:rsidRPr="00B650E7" w:rsidRDefault="000C21A5" w:rsidP="00B16E9D">
            <w:pPr>
              <w:pStyle w:val="NORCTableBullet110ptNarrow"/>
              <w:framePr w:hSpace="0" w:wrap="auto" w:vAnchor="margin" w:hAnchor="text" w:yAlign="inline"/>
              <w:numPr>
                <w:ilvl w:val="0"/>
                <w:numId w:val="0"/>
              </w:numPr>
              <w:tabs>
                <w:tab w:val="clear" w:pos="144"/>
                <w:tab w:val="left" w:pos="1530"/>
              </w:tabs>
              <w:suppressOverlap w:val="0"/>
              <w:rPr>
                <w:rFonts w:ascii="Times New Roman" w:hAnsi="Times New Roman"/>
              </w:rPr>
            </w:pPr>
            <w:r w:rsidRPr="00B650E7">
              <w:rPr>
                <w:rFonts w:ascii="Times New Roman" w:hAnsi="Times New Roman"/>
              </w:rPr>
              <w:tab/>
            </w:r>
          </w:p>
        </w:tc>
        <w:tc>
          <w:tcPr>
            <w:tcW w:w="2160" w:type="dxa"/>
            <w:shd w:val="clear" w:color="auto" w:fill="E9E6E3"/>
          </w:tcPr>
          <w:p w:rsidR="000C21A5" w:rsidRPr="00B650E7" w:rsidRDefault="000C21A5" w:rsidP="00B16E9D">
            <w:pPr>
              <w:pStyle w:val="NORCTableBullet110ptNarrow"/>
              <w:framePr w:hSpace="0" w:wrap="auto" w:vAnchor="margin" w:hAnchor="text" w:yAlign="inline"/>
              <w:ind w:left="144" w:hanging="144"/>
              <w:suppressOverlap w:val="0"/>
              <w:rPr>
                <w:rFonts w:ascii="Times New Roman" w:hAnsi="Times New Roman"/>
              </w:rPr>
            </w:pPr>
            <w:r w:rsidRPr="00B650E7">
              <w:rPr>
                <w:rFonts w:ascii="Times New Roman" w:hAnsi="Times New Roman"/>
              </w:rPr>
              <w:t xml:space="preserve">Frontline staff, unit leaders, antibiotic </w:t>
            </w:r>
            <w:r>
              <w:rPr>
                <w:rFonts w:ascii="Times New Roman" w:hAnsi="Times New Roman"/>
              </w:rPr>
              <w:t>Stewardship Team</w:t>
            </w:r>
            <w:r w:rsidRPr="00B650E7">
              <w:rPr>
                <w:rFonts w:ascii="Times New Roman" w:hAnsi="Times New Roman"/>
              </w:rPr>
              <w:t xml:space="preserve"> and organizational leaders from the three IDSs</w:t>
            </w:r>
          </w:p>
          <w:p w:rsidR="000C21A5" w:rsidRPr="00B650E7" w:rsidRDefault="000C21A5" w:rsidP="00B16E9D">
            <w:pPr>
              <w:pStyle w:val="NORCTableBullet110ptNarrow"/>
              <w:framePr w:hSpace="0" w:wrap="auto" w:vAnchor="margin" w:hAnchor="text" w:yAlign="inline"/>
              <w:ind w:left="144" w:hanging="144"/>
              <w:suppressOverlap w:val="0"/>
              <w:rPr>
                <w:rFonts w:ascii="Times New Roman" w:hAnsi="Times New Roman"/>
              </w:rPr>
            </w:pPr>
            <w:r w:rsidRPr="00B650E7">
              <w:rPr>
                <w:rFonts w:ascii="Times New Roman" w:hAnsi="Times New Roman"/>
              </w:rPr>
              <w:t xml:space="preserve">Recruit respondents from two acute care facilities, two long-term care facilities, and two ambulatory care facilities in each IDS for a total of 18 sites. At each institution, aim to sample 10 frontline staff and five stewardship champions/leaders </w:t>
            </w:r>
          </w:p>
        </w:tc>
        <w:tc>
          <w:tcPr>
            <w:tcW w:w="2387" w:type="dxa"/>
            <w:shd w:val="clear" w:color="auto" w:fill="E9E6E3"/>
          </w:tcPr>
          <w:p w:rsidR="000C21A5" w:rsidRPr="00B650E7" w:rsidRDefault="000C21A5" w:rsidP="00B16E9D">
            <w:pPr>
              <w:pStyle w:val="NORCTableBullet110ptNarrow"/>
              <w:framePr w:hSpace="0" w:wrap="auto" w:vAnchor="margin" w:hAnchor="text" w:yAlign="inline"/>
              <w:ind w:left="221" w:hanging="159"/>
              <w:suppressOverlap w:val="0"/>
              <w:rPr>
                <w:rFonts w:ascii="Times New Roman" w:hAnsi="Times New Roman"/>
              </w:rPr>
            </w:pPr>
            <w:r w:rsidRPr="00B650E7">
              <w:rPr>
                <w:rFonts w:ascii="Times New Roman" w:hAnsi="Times New Roman"/>
              </w:rPr>
              <w:t xml:space="preserve">At the beginning of the intervention </w:t>
            </w:r>
          </w:p>
          <w:p w:rsidR="000C21A5" w:rsidRPr="00B650E7" w:rsidRDefault="000C21A5" w:rsidP="00B16E9D">
            <w:pPr>
              <w:pStyle w:val="NORCTableBullet110ptNarrow"/>
              <w:framePr w:hSpace="0" w:wrap="auto" w:vAnchor="margin" w:hAnchor="text" w:yAlign="inline"/>
              <w:ind w:left="221" w:hanging="159"/>
              <w:suppressOverlap w:val="0"/>
              <w:rPr>
                <w:rFonts w:ascii="Times New Roman" w:hAnsi="Times New Roman"/>
              </w:rPr>
            </w:pPr>
            <w:r w:rsidRPr="00B650E7">
              <w:rPr>
                <w:rFonts w:ascii="Times New Roman" w:hAnsi="Times New Roman"/>
              </w:rPr>
              <w:t>End of the intervention period</w:t>
            </w:r>
          </w:p>
        </w:tc>
      </w:tr>
    </w:tbl>
    <w:p w:rsidR="000C21A5" w:rsidRDefault="000C21A5" w:rsidP="000C21A5">
      <w:pPr>
        <w:spacing w:before="100" w:beforeAutospacing="1" w:after="100" w:afterAutospacing="1"/>
      </w:pPr>
      <w:r w:rsidRPr="00B31F06">
        <w:rPr>
          <w:b/>
          <w:i/>
        </w:rPr>
        <w:t>Surveys.</w:t>
      </w:r>
      <w:r w:rsidRPr="00B31F06">
        <w:rPr>
          <w:i/>
        </w:rPr>
        <w:t xml:space="preserve"> </w:t>
      </w:r>
      <w:r w:rsidRPr="00B31F06">
        <w:t xml:space="preserve">The </w:t>
      </w:r>
      <w:r>
        <w:t xml:space="preserve">project will administer the </w:t>
      </w:r>
      <w:r w:rsidRPr="00B31F06">
        <w:t>AHRQ Patient Safety Culture Chang</w:t>
      </w:r>
      <w:r>
        <w:t>e survey</w:t>
      </w:r>
      <w:r w:rsidRPr="00B31F06">
        <w:rPr>
          <w:b/>
        </w:rPr>
        <w:t xml:space="preserve"> </w:t>
      </w:r>
      <w:r w:rsidRPr="00B31F06">
        <w:t xml:space="preserve">to all </w:t>
      </w:r>
      <w:r w:rsidRPr="006A7B81">
        <w:rPr>
          <w:i/>
        </w:rPr>
        <w:t>AHRQ Safety Program for Improving Antibiotic Use</w:t>
      </w:r>
      <w:r w:rsidRPr="00B31F06">
        <w:t xml:space="preserve"> participating staff at the beginning and end of the intervention. This survey has three versions, adapted for the three types of health care settings where the </w:t>
      </w:r>
      <w:r w:rsidRPr="00855B69">
        <w:rPr>
          <w:i/>
        </w:rPr>
        <w:t>AHRQ Safety Program for Improving Antibiotic Use</w:t>
      </w:r>
      <w:r w:rsidRPr="00B31F06">
        <w:t xml:space="preserve"> </w:t>
      </w:r>
      <w:r>
        <w:t>will be</w:t>
      </w:r>
      <w:r w:rsidRPr="00B31F06">
        <w:t xml:space="preserve"> implemented</w:t>
      </w:r>
      <w:r>
        <w:t>:</w:t>
      </w:r>
      <w:r w:rsidRPr="00B31F06">
        <w:t xml:space="preserve"> </w:t>
      </w:r>
    </w:p>
    <w:p w:rsidR="000C21A5" w:rsidRDefault="000C21A5" w:rsidP="000C21A5">
      <w:pPr>
        <w:numPr>
          <w:ilvl w:val="0"/>
          <w:numId w:val="11"/>
        </w:numPr>
        <w:spacing w:before="100" w:beforeAutospacing="1" w:after="100" w:afterAutospacing="1"/>
      </w:pPr>
      <w:r w:rsidRPr="00B31F06">
        <w:t>The Hospital Survey on Patient Safety (HSOPS) will be utilized to evaluate safety cu</w:t>
      </w:r>
      <w:r>
        <w:t xml:space="preserve">lture for acute care hospitals (see </w:t>
      </w:r>
      <w:r w:rsidRPr="00A20589">
        <w:rPr>
          <w:b/>
        </w:rPr>
        <w:t xml:space="preserve">Attachment </w:t>
      </w:r>
      <w:r>
        <w:rPr>
          <w:b/>
        </w:rPr>
        <w:t>F</w:t>
      </w:r>
      <w:r>
        <w:t>).</w:t>
      </w:r>
    </w:p>
    <w:p w:rsidR="000C21A5" w:rsidRDefault="000C21A5" w:rsidP="000C21A5">
      <w:pPr>
        <w:numPr>
          <w:ilvl w:val="0"/>
          <w:numId w:val="11"/>
        </w:numPr>
        <w:spacing w:before="100" w:beforeAutospacing="1" w:after="100" w:afterAutospacing="1"/>
      </w:pPr>
      <w:r>
        <w:t>T</w:t>
      </w:r>
      <w:r w:rsidRPr="00B31F06">
        <w:t>he Nursing Home Survey on Patient Safety (NHSOPS) will be administered in long term care</w:t>
      </w:r>
      <w:r>
        <w:t xml:space="preserve"> (see </w:t>
      </w:r>
      <w:r w:rsidRPr="00A20589">
        <w:rPr>
          <w:b/>
        </w:rPr>
        <w:t>Attachment G</w:t>
      </w:r>
      <w:r>
        <w:t>).</w:t>
      </w:r>
    </w:p>
    <w:p w:rsidR="000C21A5" w:rsidRDefault="000C21A5" w:rsidP="000C21A5">
      <w:pPr>
        <w:numPr>
          <w:ilvl w:val="0"/>
          <w:numId w:val="11"/>
        </w:numPr>
        <w:spacing w:before="100" w:beforeAutospacing="1" w:after="100" w:afterAutospacing="1"/>
      </w:pPr>
      <w:r>
        <w:t>T</w:t>
      </w:r>
      <w:r w:rsidRPr="00B31F06">
        <w:t>he Medical Office Survey on Patient Safety (MOSOPS) will be administ</w:t>
      </w:r>
      <w:r>
        <w:t xml:space="preserve">ered in ambulatory care centers (see </w:t>
      </w:r>
      <w:r w:rsidRPr="00A20589">
        <w:rPr>
          <w:b/>
        </w:rPr>
        <w:t xml:space="preserve">Attachment </w:t>
      </w:r>
      <w:r>
        <w:rPr>
          <w:b/>
        </w:rPr>
        <w:t>H</w:t>
      </w:r>
      <w:r>
        <w:t>)</w:t>
      </w:r>
      <w:r w:rsidRPr="00B31F06">
        <w:t xml:space="preserve">. </w:t>
      </w:r>
    </w:p>
    <w:p w:rsidR="000C21A5" w:rsidRDefault="000C21A5" w:rsidP="000C21A5">
      <w:pPr>
        <w:spacing w:before="100" w:beforeAutospacing="1"/>
      </w:pPr>
      <w:r w:rsidRPr="00B31F06">
        <w:t>Each survey asks questions about patient safety issues, medical error, and event reporting in the respective setting.</w:t>
      </w:r>
      <w:r w:rsidRPr="00CF1253">
        <w:t xml:space="preserve"> </w:t>
      </w:r>
      <w:r w:rsidRPr="007B314A">
        <w:t xml:space="preserve">For patient safety culture surveys, </w:t>
      </w:r>
      <w:r>
        <w:t xml:space="preserve">the project will reach out to </w:t>
      </w:r>
      <w:r w:rsidRPr="007B314A">
        <w:t xml:space="preserve">all eligible providers and staff in order to collect data according to AHRQ’s User Guide. </w:t>
      </w:r>
      <w:r>
        <w:t xml:space="preserve">All staff on the unit that is implementing the </w:t>
      </w:r>
      <w:r w:rsidRPr="00C8638B">
        <w:rPr>
          <w:bCs/>
          <w:i/>
          <w:color w:val="000000"/>
        </w:rPr>
        <w:t>AHRQ Safety Program for Improving Antibiotic Use</w:t>
      </w:r>
      <w:r>
        <w:t xml:space="preserve"> will be asked to complete the survey. As unit size varies, the project</w:t>
      </w:r>
      <w:r w:rsidRPr="00901E1A">
        <w:t xml:space="preserve"> estimate</w:t>
      </w:r>
      <w:r>
        <w:t>s</w:t>
      </w:r>
      <w:r w:rsidRPr="00901E1A">
        <w:t xml:space="preserve"> the average </w:t>
      </w:r>
      <w:r>
        <w:t xml:space="preserve">number of </w:t>
      </w:r>
      <w:r w:rsidRPr="00901E1A">
        <w:t>respondents to be 25 for each unit</w:t>
      </w:r>
      <w:r>
        <w:t>.</w:t>
      </w:r>
      <w:r w:rsidRPr="007B314A">
        <w:t xml:space="preserve"> Participating staff should have enough knowledge about the day-to-day activities in the unit and interact regularly with other staff working in the unit in order to provide informed answers. These staff members, who spend all or most of their time at work within the unit, may include</w:t>
      </w:r>
      <w:r>
        <w:t xml:space="preserve"> the following</w:t>
      </w:r>
      <w:r w:rsidRPr="007B314A">
        <w:t>:</w:t>
      </w:r>
    </w:p>
    <w:p w:rsidR="000C21A5" w:rsidRDefault="000C21A5" w:rsidP="000C21A5">
      <w:pPr>
        <w:numPr>
          <w:ilvl w:val="0"/>
          <w:numId w:val="12"/>
        </w:numPr>
        <w:spacing w:before="100" w:beforeAutospacing="1" w:after="100" w:afterAutospacing="1"/>
      </w:pPr>
      <w:r w:rsidRPr="007B314A">
        <w:t xml:space="preserve">Staff who have direct contact or interaction with patients; </w:t>
      </w:r>
    </w:p>
    <w:p w:rsidR="000C21A5" w:rsidRDefault="000C21A5" w:rsidP="000C21A5">
      <w:pPr>
        <w:numPr>
          <w:ilvl w:val="0"/>
          <w:numId w:val="12"/>
        </w:numPr>
        <w:spacing w:before="100" w:beforeAutospacing="1" w:after="100" w:afterAutospacing="1"/>
      </w:pPr>
      <w:r w:rsidRPr="007B314A">
        <w:t xml:space="preserve">Staff who may not have direct contact or interaction with patients but whose work directly affects patient care; </w:t>
      </w:r>
    </w:p>
    <w:p w:rsidR="000C21A5" w:rsidRPr="00956016" w:rsidRDefault="000C21A5" w:rsidP="000C21A5">
      <w:pPr>
        <w:spacing w:before="100" w:beforeAutospacing="1"/>
        <w:rPr>
          <w:b/>
          <w:i/>
        </w:rPr>
      </w:pPr>
      <w:r w:rsidRPr="00956016">
        <w:rPr>
          <w:b/>
          <w:i/>
        </w:rPr>
        <w:t>Assessment Tools</w:t>
      </w:r>
    </w:p>
    <w:p w:rsidR="000C21A5" w:rsidRPr="00B31F06" w:rsidRDefault="000C21A5" w:rsidP="000C21A5">
      <w:pPr>
        <w:spacing w:after="100" w:afterAutospacing="1"/>
      </w:pPr>
      <w:r w:rsidRPr="00B31F06">
        <w:t xml:space="preserve">The </w:t>
      </w:r>
      <w:r>
        <w:t>project will mainly collect</w:t>
      </w:r>
      <w:r w:rsidRPr="00B31F06">
        <w:t xml:space="preserve"> primary data </w:t>
      </w:r>
      <w:r>
        <w:t>by</w:t>
      </w:r>
      <w:r w:rsidRPr="00B31F06">
        <w:t xml:space="preserve"> </w:t>
      </w:r>
      <w:r>
        <w:t xml:space="preserve">administering </w:t>
      </w:r>
      <w:r w:rsidRPr="00B31F06">
        <w:t xml:space="preserve">assessment tools to staff members involved with the </w:t>
      </w:r>
      <w:r w:rsidRPr="00855B69">
        <w:rPr>
          <w:i/>
        </w:rPr>
        <w:t>AHRQ Safety Program for Improving Antibiotic Use</w:t>
      </w:r>
      <w:r>
        <w:t xml:space="preserve"> at each IDS:</w:t>
      </w:r>
      <w:r w:rsidRPr="00B31F06">
        <w:t xml:space="preserve"> </w:t>
      </w:r>
    </w:p>
    <w:p w:rsidR="000C21A5" w:rsidRPr="00B31F06" w:rsidRDefault="000C21A5" w:rsidP="000C21A5">
      <w:pPr>
        <w:spacing w:before="100" w:beforeAutospacing="1" w:after="100" w:afterAutospacing="1"/>
        <w:rPr>
          <w:b/>
        </w:rPr>
      </w:pPr>
      <w:r>
        <w:rPr>
          <w:b/>
          <w:i/>
        </w:rPr>
        <w:t xml:space="preserve">Structural </w:t>
      </w:r>
      <w:r w:rsidRPr="00B31F06">
        <w:rPr>
          <w:b/>
          <w:i/>
        </w:rPr>
        <w:t>Assessment.</w:t>
      </w:r>
      <w:r w:rsidRPr="00B31F06">
        <w:rPr>
          <w:i/>
        </w:rPr>
        <w:t xml:space="preserve"> </w:t>
      </w:r>
      <w:r>
        <w:t>The project</w:t>
      </w:r>
      <w:r w:rsidRPr="00B31F06">
        <w:t xml:space="preserve"> will administer the Structural Assessme</w:t>
      </w:r>
      <w:r>
        <w:t>nt t</w:t>
      </w:r>
      <w:r w:rsidRPr="00B31F06">
        <w:t>ool</w:t>
      </w:r>
      <w:r w:rsidRPr="00B31F06">
        <w:rPr>
          <w:b/>
        </w:rPr>
        <w:t xml:space="preserve"> </w:t>
      </w:r>
      <w:r w:rsidRPr="00CF1253">
        <w:t xml:space="preserve">to the </w:t>
      </w:r>
      <w:r>
        <w:t>Stewardship Team</w:t>
      </w:r>
      <w:r w:rsidRPr="00CF1253">
        <w:t xml:space="preserve"> in all three settings at baseline (pre-intervention)</w:t>
      </w:r>
      <w:r>
        <w:t xml:space="preserve"> and</w:t>
      </w:r>
      <w:r w:rsidRPr="00CF1253">
        <w:t xml:space="preserve"> at the end of t</w:t>
      </w:r>
      <w:r w:rsidRPr="00B31F06">
        <w:t xml:space="preserve">he intervention period (see </w:t>
      </w:r>
      <w:r w:rsidRPr="00A20589">
        <w:rPr>
          <w:b/>
        </w:rPr>
        <w:t xml:space="preserve">Attachment </w:t>
      </w:r>
      <w:r>
        <w:rPr>
          <w:b/>
        </w:rPr>
        <w:t>A through C</w:t>
      </w:r>
      <w:r w:rsidRPr="00B31F06">
        <w:t xml:space="preserve"> for assessment tool</w:t>
      </w:r>
      <w:r>
        <w:t>s</w:t>
      </w:r>
      <w:r w:rsidRPr="00B31F06">
        <w:t xml:space="preserve"> for each of the three settings). </w:t>
      </w:r>
      <w:r>
        <w:t>T</w:t>
      </w:r>
      <w:r w:rsidRPr="00B31F06">
        <w:t xml:space="preserve">his online assessment tool will ask </w:t>
      </w:r>
      <w:r>
        <w:t>the Stewardship Team lead</w:t>
      </w:r>
      <w:r w:rsidRPr="00B31F06">
        <w:t xml:space="preserve"> five to seven questions to understand facility infrastructure and capacity to carry out the </w:t>
      </w:r>
      <w:r w:rsidRPr="00855B69">
        <w:rPr>
          <w:i/>
        </w:rPr>
        <w:t>AHRQ Safety Program for Improving Antibiotic Use</w:t>
      </w:r>
      <w:r w:rsidRPr="00B31F06">
        <w:t xml:space="preserve">.  </w:t>
      </w:r>
    </w:p>
    <w:p w:rsidR="000C21A5" w:rsidRPr="00B31F06" w:rsidRDefault="000C21A5" w:rsidP="000C21A5">
      <w:pPr>
        <w:spacing w:before="100" w:beforeAutospacing="1" w:after="100" w:afterAutospacing="1"/>
      </w:pPr>
      <w:r>
        <w:rPr>
          <w:b/>
          <w:i/>
        </w:rPr>
        <w:t xml:space="preserve">Team Antibiotic Review Form. </w:t>
      </w:r>
      <w:r w:rsidRPr="00B31F06">
        <w:t xml:space="preserve">Additionally, the </w:t>
      </w:r>
      <w:r>
        <w:t>Stewardship Team</w:t>
      </w:r>
      <w:r w:rsidRPr="00B31F06">
        <w:t xml:space="preserve"> will conduct a monthly assessment to achieve a better understanding of the use of antibiotics being prescribed in acute care settings (see </w:t>
      </w:r>
      <w:r w:rsidRPr="00A20589">
        <w:rPr>
          <w:b/>
        </w:rPr>
        <w:t xml:space="preserve">Attachment </w:t>
      </w:r>
      <w:r>
        <w:rPr>
          <w:b/>
        </w:rPr>
        <w:t>D</w:t>
      </w:r>
      <w:r w:rsidRPr="00B31F06">
        <w:t xml:space="preserve"> for the antibiotic use review form)</w:t>
      </w:r>
      <w:r>
        <w:t xml:space="preserve"> and in long-term care settings</w:t>
      </w:r>
      <w:r w:rsidRPr="00B31F06">
        <w:t xml:space="preserve">. Every four weeks, the </w:t>
      </w:r>
      <w:r>
        <w:t>Stewardship Team</w:t>
      </w:r>
      <w:r w:rsidRPr="00B31F06">
        <w:t xml:space="preserve"> will review at least 10 patients’ medical records and fill out </w:t>
      </w:r>
      <w:r>
        <w:t xml:space="preserve">the </w:t>
      </w:r>
      <w:r w:rsidRPr="00B31F06">
        <w:t xml:space="preserve">appropriateness assessment tool to see if the CUSP “four moments of antibiotic prescribing” </w:t>
      </w:r>
      <w:r>
        <w:t>were considered</w:t>
      </w:r>
      <w:r w:rsidRPr="00B31F06">
        <w:t xml:space="preserve">. </w:t>
      </w:r>
    </w:p>
    <w:p w:rsidR="000C21A5" w:rsidRPr="00EB1F51" w:rsidRDefault="000C21A5" w:rsidP="000C21A5">
      <w:pPr>
        <w:spacing w:before="100" w:beforeAutospacing="1"/>
        <w:rPr>
          <w:b/>
          <w:i/>
        </w:rPr>
      </w:pPr>
      <w:r w:rsidRPr="00EB1F51">
        <w:rPr>
          <w:b/>
          <w:i/>
        </w:rPr>
        <w:t xml:space="preserve">Secondary Data </w:t>
      </w:r>
      <w:r>
        <w:rPr>
          <w:b/>
          <w:i/>
        </w:rPr>
        <w:t>Collection</w:t>
      </w:r>
    </w:p>
    <w:p w:rsidR="000C21A5" w:rsidRPr="00EB1F51" w:rsidRDefault="000C21A5" w:rsidP="000C21A5">
      <w:pPr>
        <w:spacing w:before="100" w:beforeAutospacing="1"/>
      </w:pPr>
      <w:r>
        <w:rPr>
          <w:b/>
          <w:i/>
        </w:rPr>
        <w:t xml:space="preserve">EHR Data Extracts. </w:t>
      </w:r>
      <w:r>
        <w:t xml:space="preserve">The </w:t>
      </w:r>
      <w:r w:rsidRPr="00CF1253">
        <w:rPr>
          <w:i/>
        </w:rPr>
        <w:t>AHRQ Safety Program for Improving Antibiotic Use</w:t>
      </w:r>
      <w:r>
        <w:rPr>
          <w:i/>
        </w:rPr>
        <w:t xml:space="preserve"> </w:t>
      </w:r>
      <w:r>
        <w:t xml:space="preserve">project, </w:t>
      </w:r>
      <w:r w:rsidRPr="00EB1F51">
        <w:t xml:space="preserve">upon review and approval from </w:t>
      </w:r>
      <w:r>
        <w:t>our Technical Expert Panel (</w:t>
      </w:r>
      <w:r w:rsidRPr="00EB1F51">
        <w:t>TEP</w:t>
      </w:r>
      <w:r>
        <w:t>)</w:t>
      </w:r>
      <w:r w:rsidRPr="00EB1F51">
        <w:t xml:space="preserve">, identified the following unit-level antibiotic usage and clinical measures related to antibiotic stewardship for each type of setting, which will be used to evaluate the effectiveness of the </w:t>
      </w:r>
      <w:r>
        <w:t>program</w:t>
      </w:r>
      <w:r w:rsidRPr="00EB1F51">
        <w:t xml:space="preserve">. To be specific, </w:t>
      </w:r>
      <w:r>
        <w:t>the project</w:t>
      </w:r>
      <w:r w:rsidRPr="00EB1F51">
        <w:t xml:space="preserve"> will use these measures to answer </w:t>
      </w:r>
      <w:r>
        <w:t>1) i</w:t>
      </w:r>
      <w:r w:rsidRPr="00EB1F51">
        <w:t xml:space="preserve">f the AHRQ Safety Program for Improving Antibiotic Use is effective to improve antibiotic use, and </w:t>
      </w:r>
      <w:r>
        <w:t>2) t</w:t>
      </w:r>
      <w:r w:rsidRPr="00EB1F51">
        <w:t xml:space="preserve">he extent of the improvement. </w:t>
      </w:r>
      <w:r>
        <w:t>The TEP identified t</w:t>
      </w:r>
      <w:r w:rsidRPr="00EB1F51">
        <w:t xml:space="preserve">hese measures as appropriate AS measures or </w:t>
      </w:r>
      <w:r>
        <w:t xml:space="preserve">these measures </w:t>
      </w:r>
      <w:r w:rsidRPr="00EB1F51">
        <w:t>have been used in public reporting to monitor antibiotic use (e.g., CDC NHSN</w:t>
      </w:r>
      <w:r>
        <w:t xml:space="preserve"> AUR Module</w:t>
      </w:r>
      <w:r>
        <w:rPr>
          <w:rStyle w:val="FootnoteReference"/>
        </w:rPr>
        <w:footnoteReference w:id="2"/>
      </w:r>
      <w:r w:rsidRPr="00EB1F51">
        <w:t xml:space="preserve">). </w:t>
      </w:r>
    </w:p>
    <w:p w:rsidR="000C21A5" w:rsidRDefault="000C21A5" w:rsidP="000C21A5">
      <w:pPr>
        <w:spacing w:before="100" w:beforeAutospacing="1"/>
      </w:pPr>
      <w:r w:rsidRPr="00EB1F51">
        <w:t xml:space="preserve">Every month between baseline (the three month period prior to the beginning of intervention) and the end of the intervention (after the nine month intervention period), each onsite data coordinator (with assistance from local IT) will extract the measures via their EHR system, and </w:t>
      </w:r>
      <w:r>
        <w:t>submit</w:t>
      </w:r>
      <w:r w:rsidRPr="00EB1F51">
        <w:t xml:space="preserve"> the data </w:t>
      </w:r>
      <w:r>
        <w:t>to</w:t>
      </w:r>
      <w:r w:rsidRPr="00EB1F51">
        <w:t xml:space="preserve"> </w:t>
      </w:r>
      <w:r>
        <w:t>t</w:t>
      </w:r>
      <w:r w:rsidRPr="00EB1F51">
        <w:t xml:space="preserve">he </w:t>
      </w:r>
      <w:r>
        <w:t xml:space="preserve">project </w:t>
      </w:r>
      <w:r w:rsidRPr="00EB1F51">
        <w:t xml:space="preserve">evaluation team. </w:t>
      </w:r>
      <w:r>
        <w:t xml:space="preserve">The data will include the rates of antibiotic use by class and unit; CDI lab events for acute care hospitals; rates of antibiotic use by class, rates of starts by class, and CDI events for long-term care facilities; and ICD-10 codes for ambulatory care facilities. </w:t>
      </w:r>
      <w:r w:rsidRPr="0068206B">
        <w:rPr>
          <w:b/>
        </w:rPr>
        <w:t xml:space="preserve">Attachment </w:t>
      </w:r>
      <w:r>
        <w:rPr>
          <w:b/>
        </w:rPr>
        <w:t>K</w:t>
      </w:r>
      <w:r w:rsidRPr="0068206B">
        <w:rPr>
          <w:b/>
        </w:rPr>
        <w:t xml:space="preserve"> </w:t>
      </w:r>
      <w:r>
        <w:t xml:space="preserve">contains the clinical measure template and </w:t>
      </w:r>
      <w:r w:rsidRPr="0068206B">
        <w:rPr>
          <w:b/>
        </w:rPr>
        <w:t xml:space="preserve">Attachment </w:t>
      </w:r>
      <w:r>
        <w:rPr>
          <w:b/>
        </w:rPr>
        <w:t>L</w:t>
      </w:r>
      <w:r>
        <w:t xml:space="preserve"> contains the instructions for conducting the data extract. </w:t>
      </w:r>
    </w:p>
    <w:p w:rsidR="000C21A5" w:rsidRDefault="000C21A5" w:rsidP="000C21A5">
      <w:pPr>
        <w:spacing w:before="100" w:beforeAutospacing="1"/>
      </w:pPr>
      <w:r w:rsidRPr="00C44378">
        <w:t xml:space="preserve">Exhibit </w:t>
      </w:r>
      <w:r>
        <w:t>B.5</w:t>
      </w:r>
      <w:r w:rsidRPr="00EB1F51">
        <w:t xml:space="preserve"> describes the related clinical measures for the </w:t>
      </w:r>
      <w:r w:rsidRPr="0059152C">
        <w:rPr>
          <w:i/>
        </w:rPr>
        <w:t>AHRQ Safety Program for Improving Antibiotic Use</w:t>
      </w:r>
      <w:r w:rsidRPr="00EB1F51">
        <w:t xml:space="preserve"> (including the appropriateness of antibio</w:t>
      </w:r>
      <w:r>
        <w:t>tic use which will be collected using the Team Antibiotic Review Forms described above</w:t>
      </w:r>
      <w:r w:rsidRPr="00EB1F51">
        <w:t>)</w:t>
      </w:r>
      <w:r>
        <w:t>,</w:t>
      </w:r>
      <w:r w:rsidRPr="00EB1F51">
        <w:t xml:space="preserve"> by setting. </w:t>
      </w:r>
    </w:p>
    <w:p w:rsidR="000C21A5" w:rsidRPr="00EB1F51" w:rsidRDefault="000C21A5" w:rsidP="000C21A5">
      <w:pPr>
        <w:rPr>
          <w:b/>
        </w:rPr>
      </w:pPr>
    </w:p>
    <w:p w:rsidR="000C21A5" w:rsidRDefault="000C21A5" w:rsidP="000C21A5">
      <w:r w:rsidRPr="000D507D">
        <w:rPr>
          <w:rStyle w:val="NORCCaption-Color"/>
          <w:rFonts w:eastAsia="Calibri"/>
        </w:rPr>
        <w:t xml:space="preserve">Exhibit </w:t>
      </w:r>
      <w:r>
        <w:rPr>
          <w:rStyle w:val="NORCCaption-Color"/>
          <w:rFonts w:eastAsia="Calibri"/>
        </w:rPr>
        <w:t>B.5</w:t>
      </w:r>
      <w:r w:rsidRPr="000D507D">
        <w:rPr>
          <w:rStyle w:val="NORCCaption-Color"/>
          <w:rFonts w:eastAsia="Calibri"/>
        </w:rPr>
        <w:t>:</w:t>
      </w:r>
      <w:r w:rsidRPr="000D507D">
        <w:t xml:space="preserve"> </w:t>
      </w:r>
      <w:r w:rsidRPr="00EB1F51">
        <w:t xml:space="preserve">Clinical Measures for the </w:t>
      </w:r>
      <w:r w:rsidRPr="0059152C">
        <w:rPr>
          <w:i/>
        </w:rPr>
        <w:t>AHRQ Safety Program for Improving Antibiotic Use</w:t>
      </w:r>
    </w:p>
    <w:tbl>
      <w:tblPr>
        <w:tblpPr w:leftFromText="180" w:rightFromText="180" w:vertAnchor="text" w:horzAnchor="margin" w:tblpY="7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2717"/>
        <w:gridCol w:w="4956"/>
      </w:tblGrid>
      <w:tr w:rsidR="000C21A5" w:rsidRPr="00B650E7" w:rsidTr="00B16E9D">
        <w:trPr>
          <w:cantSplit/>
          <w:trHeight w:val="152"/>
          <w:tblHeader/>
        </w:trPr>
        <w:tc>
          <w:tcPr>
            <w:tcW w:w="1046" w:type="dxa"/>
            <w:shd w:val="clear" w:color="auto" w:fill="8AB3A4"/>
          </w:tcPr>
          <w:p w:rsidR="000C21A5" w:rsidRPr="00B650E7" w:rsidRDefault="000C21A5" w:rsidP="00B16E9D">
            <w:pPr>
              <w:rPr>
                <w:rFonts w:eastAsia="Calibri"/>
                <w:b/>
                <w:sz w:val="20"/>
                <w:szCs w:val="20"/>
              </w:rPr>
            </w:pPr>
            <w:r w:rsidRPr="00B650E7">
              <w:rPr>
                <w:rFonts w:eastAsia="Calibri"/>
                <w:b/>
                <w:sz w:val="20"/>
                <w:szCs w:val="20"/>
              </w:rPr>
              <w:t>Setting</w:t>
            </w:r>
          </w:p>
        </w:tc>
        <w:tc>
          <w:tcPr>
            <w:tcW w:w="2874" w:type="dxa"/>
            <w:shd w:val="clear" w:color="auto" w:fill="8AB3A4"/>
          </w:tcPr>
          <w:p w:rsidR="000C21A5" w:rsidRPr="00B650E7" w:rsidRDefault="000C21A5" w:rsidP="00B16E9D">
            <w:pPr>
              <w:rPr>
                <w:rFonts w:eastAsia="Calibri"/>
                <w:b/>
                <w:sz w:val="20"/>
                <w:szCs w:val="20"/>
              </w:rPr>
            </w:pPr>
            <w:r w:rsidRPr="00B650E7">
              <w:rPr>
                <w:rFonts w:eastAsia="Calibri"/>
                <w:b/>
                <w:sz w:val="20"/>
                <w:szCs w:val="20"/>
              </w:rPr>
              <w:t>Clinical measures</w:t>
            </w:r>
          </w:p>
        </w:tc>
        <w:tc>
          <w:tcPr>
            <w:tcW w:w="5319" w:type="dxa"/>
            <w:shd w:val="clear" w:color="auto" w:fill="8AB3A4"/>
          </w:tcPr>
          <w:p w:rsidR="000C21A5" w:rsidRPr="00B650E7" w:rsidRDefault="000C21A5" w:rsidP="00B16E9D">
            <w:pPr>
              <w:rPr>
                <w:rFonts w:eastAsia="Calibri"/>
                <w:b/>
                <w:sz w:val="20"/>
                <w:szCs w:val="20"/>
              </w:rPr>
            </w:pPr>
            <w:r w:rsidRPr="00B650E7">
              <w:rPr>
                <w:rFonts w:eastAsia="Calibri"/>
                <w:b/>
                <w:sz w:val="20"/>
                <w:szCs w:val="20"/>
              </w:rPr>
              <w:t>Description</w:t>
            </w:r>
          </w:p>
        </w:tc>
      </w:tr>
      <w:tr w:rsidR="000C21A5" w:rsidRPr="00B650E7" w:rsidTr="00B16E9D">
        <w:trPr>
          <w:cantSplit/>
        </w:trPr>
        <w:tc>
          <w:tcPr>
            <w:tcW w:w="1046" w:type="dxa"/>
            <w:vMerge w:val="restart"/>
            <w:shd w:val="clear" w:color="auto" w:fill="E9E6E3"/>
          </w:tcPr>
          <w:p w:rsidR="000C21A5" w:rsidRPr="00B650E7" w:rsidRDefault="000C21A5" w:rsidP="00B16E9D">
            <w:pPr>
              <w:rPr>
                <w:rFonts w:eastAsia="Calibri"/>
                <w:sz w:val="20"/>
                <w:szCs w:val="20"/>
              </w:rPr>
            </w:pPr>
            <w:r w:rsidRPr="00B650E7">
              <w:rPr>
                <w:rFonts w:eastAsia="Calibri"/>
                <w:sz w:val="20"/>
                <w:szCs w:val="20"/>
              </w:rPr>
              <w:t>Acute care setting</w:t>
            </w:r>
          </w:p>
        </w:tc>
        <w:tc>
          <w:tcPr>
            <w:tcW w:w="2874" w:type="dxa"/>
            <w:shd w:val="clear" w:color="auto" w:fill="E9E6E3"/>
          </w:tcPr>
          <w:p w:rsidR="000C21A5" w:rsidRPr="00B650E7" w:rsidRDefault="000C21A5" w:rsidP="00B16E9D">
            <w:pPr>
              <w:rPr>
                <w:rFonts w:eastAsia="Calibri"/>
                <w:sz w:val="20"/>
                <w:szCs w:val="20"/>
              </w:rPr>
            </w:pPr>
            <w:r w:rsidRPr="00B650E7">
              <w:rPr>
                <w:rFonts w:eastAsia="Calibri"/>
                <w:sz w:val="20"/>
                <w:szCs w:val="20"/>
              </w:rPr>
              <w:t xml:space="preserve">Days of antibiotic therapy (DOTs) per 1,000 </w:t>
            </w:r>
            <w:r>
              <w:rPr>
                <w:rFonts w:eastAsia="Calibri"/>
                <w:sz w:val="20"/>
                <w:szCs w:val="20"/>
              </w:rPr>
              <w:t>days present</w:t>
            </w:r>
          </w:p>
        </w:tc>
        <w:tc>
          <w:tcPr>
            <w:tcW w:w="5319" w:type="dxa"/>
            <w:shd w:val="clear" w:color="auto" w:fill="E9E6E3"/>
          </w:tcPr>
          <w:p w:rsidR="000C21A5" w:rsidRPr="00B650E7" w:rsidRDefault="000C21A5" w:rsidP="00B16E9D">
            <w:pPr>
              <w:rPr>
                <w:rFonts w:eastAsia="Calibri"/>
                <w:sz w:val="20"/>
                <w:szCs w:val="20"/>
              </w:rPr>
            </w:pPr>
            <w:r w:rsidRPr="00B650E7">
              <w:rPr>
                <w:rFonts w:eastAsia="Calibri"/>
                <w:sz w:val="20"/>
                <w:szCs w:val="20"/>
              </w:rPr>
              <w:t xml:space="preserve">A day of antibiotic therapy is defined by any amount of an antibiotic administered to a patient on a single calendar day. Each drug is counted independently. </w:t>
            </w:r>
            <w:r>
              <w:rPr>
                <w:rFonts w:eastAsia="Calibri"/>
                <w:sz w:val="20"/>
                <w:szCs w:val="20"/>
              </w:rPr>
              <w:t>Days present</w:t>
            </w:r>
            <w:r w:rsidRPr="00B650E7">
              <w:rPr>
                <w:rFonts w:eastAsia="Calibri"/>
                <w:sz w:val="20"/>
                <w:szCs w:val="20"/>
              </w:rPr>
              <w:t xml:space="preserve"> are defined as the aggregate number of days patients were admitted to that hospital unit.</w:t>
            </w:r>
          </w:p>
        </w:tc>
      </w:tr>
      <w:tr w:rsidR="000C21A5" w:rsidRPr="00B650E7" w:rsidTr="00B16E9D">
        <w:trPr>
          <w:cantSplit/>
        </w:trPr>
        <w:tc>
          <w:tcPr>
            <w:tcW w:w="1046" w:type="dxa"/>
            <w:vMerge/>
            <w:shd w:val="clear" w:color="auto" w:fill="E9E6E3"/>
          </w:tcPr>
          <w:p w:rsidR="000C21A5" w:rsidRPr="00B650E7" w:rsidRDefault="000C21A5" w:rsidP="00B16E9D">
            <w:pPr>
              <w:rPr>
                <w:rFonts w:eastAsia="Calibri"/>
                <w:sz w:val="20"/>
                <w:szCs w:val="20"/>
              </w:rPr>
            </w:pPr>
          </w:p>
        </w:tc>
        <w:tc>
          <w:tcPr>
            <w:tcW w:w="2874" w:type="dxa"/>
            <w:shd w:val="clear" w:color="auto" w:fill="E9E6E3"/>
          </w:tcPr>
          <w:p w:rsidR="000C21A5" w:rsidRPr="00B650E7" w:rsidRDefault="000C21A5" w:rsidP="00B16E9D">
            <w:pPr>
              <w:pStyle w:val="NORCTableBullet110ptNarrow"/>
              <w:framePr w:hSpace="0" w:wrap="auto" w:vAnchor="margin" w:hAnchor="text" w:yAlign="inline"/>
              <w:numPr>
                <w:ilvl w:val="0"/>
                <w:numId w:val="0"/>
              </w:numPr>
              <w:tabs>
                <w:tab w:val="clear" w:pos="144"/>
                <w:tab w:val="left" w:pos="0"/>
              </w:tabs>
              <w:suppressOverlap w:val="0"/>
              <w:rPr>
                <w:rFonts w:ascii="Times New Roman" w:eastAsia="Calibri" w:hAnsi="Times New Roman"/>
              </w:rPr>
            </w:pPr>
            <w:r w:rsidRPr="00B650E7">
              <w:rPr>
                <w:rFonts w:ascii="Times New Roman" w:eastAsia="Calibri" w:hAnsi="Times New Roman"/>
                <w:i/>
              </w:rPr>
              <w:t>Clostridium difficile</w:t>
            </w:r>
            <w:r w:rsidRPr="00B650E7">
              <w:rPr>
                <w:rFonts w:ascii="Times New Roman" w:eastAsia="Calibri" w:hAnsi="Times New Roman"/>
              </w:rPr>
              <w:t xml:space="preserve"> laboratory event episodes per 10,000 patient days by unit (quarterly measure)</w:t>
            </w:r>
          </w:p>
          <w:p w:rsidR="000C21A5" w:rsidRPr="00B650E7" w:rsidRDefault="000C21A5" w:rsidP="00B16E9D">
            <w:pPr>
              <w:rPr>
                <w:rFonts w:eastAsia="Calibri"/>
                <w:sz w:val="20"/>
                <w:szCs w:val="20"/>
              </w:rPr>
            </w:pPr>
          </w:p>
        </w:tc>
        <w:tc>
          <w:tcPr>
            <w:tcW w:w="5319" w:type="dxa"/>
            <w:shd w:val="clear" w:color="auto" w:fill="E9E6E3"/>
          </w:tcPr>
          <w:p w:rsidR="000C21A5" w:rsidRPr="00B650E7" w:rsidRDefault="000C21A5" w:rsidP="00B16E9D">
            <w:pPr>
              <w:rPr>
                <w:rFonts w:eastAsia="Calibri"/>
                <w:sz w:val="20"/>
                <w:szCs w:val="20"/>
              </w:rPr>
            </w:pPr>
            <w:r w:rsidRPr="00B650E7">
              <w:rPr>
                <w:rFonts w:eastAsia="Calibri"/>
                <w:sz w:val="20"/>
                <w:szCs w:val="20"/>
              </w:rPr>
              <w:t xml:space="preserve">As prior antibiotic use is the risk factor with the greatest association for </w:t>
            </w:r>
            <w:r w:rsidRPr="00B650E7">
              <w:rPr>
                <w:rFonts w:eastAsia="Calibri"/>
                <w:i/>
                <w:sz w:val="20"/>
                <w:szCs w:val="20"/>
              </w:rPr>
              <w:t xml:space="preserve">C. difficile </w:t>
            </w:r>
            <w:r w:rsidRPr="00B650E7">
              <w:rPr>
                <w:rFonts w:eastAsia="Calibri"/>
                <w:sz w:val="20"/>
                <w:szCs w:val="20"/>
              </w:rPr>
              <w:t xml:space="preserve">infections, </w:t>
            </w:r>
            <w:r w:rsidRPr="00B650E7">
              <w:rPr>
                <w:rFonts w:eastAsia="Calibri"/>
                <w:i/>
                <w:sz w:val="20"/>
                <w:szCs w:val="20"/>
              </w:rPr>
              <w:t>C. difficile</w:t>
            </w:r>
            <w:r w:rsidRPr="00B650E7">
              <w:rPr>
                <w:rFonts w:eastAsia="Calibri"/>
                <w:sz w:val="20"/>
                <w:szCs w:val="20"/>
              </w:rPr>
              <w:t xml:space="preserve"> rates will be evaluated on a quarterly basis during the base and intervention period. These data are currently reportable to CDC's National Healthcare Safety Network on a quarterly basis by acute care facilities in the United States. </w:t>
            </w:r>
          </w:p>
          <w:p w:rsidR="000C21A5" w:rsidRPr="00B650E7" w:rsidRDefault="000C21A5" w:rsidP="00B16E9D">
            <w:pPr>
              <w:rPr>
                <w:rFonts w:eastAsia="Calibri"/>
                <w:sz w:val="20"/>
                <w:szCs w:val="20"/>
              </w:rPr>
            </w:pPr>
            <w:r w:rsidRPr="00B650E7">
              <w:rPr>
                <w:rFonts w:eastAsia="Calibri"/>
                <w:i/>
                <w:sz w:val="20"/>
                <w:szCs w:val="20"/>
              </w:rPr>
              <w:t xml:space="preserve">C. difficile </w:t>
            </w:r>
            <w:r w:rsidRPr="00B650E7">
              <w:rPr>
                <w:rFonts w:eastAsia="Calibri"/>
                <w:sz w:val="20"/>
                <w:szCs w:val="20"/>
              </w:rPr>
              <w:t xml:space="preserve">laboratory event is defined as the number of all non-duplicate </w:t>
            </w:r>
            <w:r w:rsidRPr="00B650E7">
              <w:rPr>
                <w:rFonts w:eastAsia="Calibri"/>
                <w:i/>
                <w:sz w:val="20"/>
                <w:szCs w:val="20"/>
              </w:rPr>
              <w:t>c. diffic</w:t>
            </w:r>
            <w:r>
              <w:rPr>
                <w:rFonts w:eastAsia="Calibri"/>
                <w:i/>
                <w:sz w:val="20"/>
                <w:szCs w:val="20"/>
              </w:rPr>
              <w:t>i</w:t>
            </w:r>
            <w:r w:rsidRPr="00B650E7">
              <w:rPr>
                <w:rFonts w:eastAsia="Calibri"/>
                <w:i/>
                <w:sz w:val="20"/>
                <w:szCs w:val="20"/>
              </w:rPr>
              <w:t>le</w:t>
            </w:r>
            <w:r w:rsidRPr="00B650E7">
              <w:rPr>
                <w:rFonts w:eastAsia="Calibri"/>
                <w:sz w:val="20"/>
                <w:szCs w:val="20"/>
              </w:rPr>
              <w:t xml:space="preserve"> toxin-positive laboratory results. Patient-days are defined as the aggregate number of days patients were admitted to that hospital unit.</w:t>
            </w:r>
          </w:p>
        </w:tc>
      </w:tr>
      <w:tr w:rsidR="000C21A5" w:rsidRPr="00B650E7" w:rsidTr="00B16E9D">
        <w:trPr>
          <w:cantSplit/>
        </w:trPr>
        <w:tc>
          <w:tcPr>
            <w:tcW w:w="1046" w:type="dxa"/>
            <w:vMerge/>
            <w:shd w:val="clear" w:color="auto" w:fill="E9E6E3"/>
          </w:tcPr>
          <w:p w:rsidR="000C21A5" w:rsidRPr="00B650E7" w:rsidRDefault="000C21A5" w:rsidP="00B16E9D">
            <w:pPr>
              <w:rPr>
                <w:rFonts w:eastAsia="Calibri"/>
                <w:sz w:val="20"/>
                <w:szCs w:val="20"/>
              </w:rPr>
            </w:pPr>
          </w:p>
        </w:tc>
        <w:tc>
          <w:tcPr>
            <w:tcW w:w="2874" w:type="dxa"/>
            <w:shd w:val="clear" w:color="auto" w:fill="E9E6E3"/>
          </w:tcPr>
          <w:p w:rsidR="000C21A5" w:rsidRPr="00B650E7" w:rsidRDefault="000C21A5" w:rsidP="00B16E9D">
            <w:pPr>
              <w:rPr>
                <w:rFonts w:eastAsia="Calibri"/>
                <w:sz w:val="20"/>
                <w:szCs w:val="20"/>
              </w:rPr>
            </w:pPr>
            <w:r w:rsidRPr="00B650E7">
              <w:rPr>
                <w:rFonts w:eastAsia="Calibri"/>
                <w:sz w:val="20"/>
                <w:szCs w:val="20"/>
              </w:rPr>
              <w:t>Appropriate use of antibiotics (through primary data collection; only during intervention period)</w:t>
            </w:r>
          </w:p>
        </w:tc>
        <w:tc>
          <w:tcPr>
            <w:tcW w:w="5319" w:type="dxa"/>
            <w:shd w:val="clear" w:color="auto" w:fill="E9E6E3"/>
          </w:tcPr>
          <w:p w:rsidR="000C21A5" w:rsidRPr="00B650E7" w:rsidRDefault="000C21A5" w:rsidP="00B16E9D">
            <w:pPr>
              <w:rPr>
                <w:rFonts w:eastAsia="Calibri"/>
                <w:sz w:val="20"/>
                <w:szCs w:val="20"/>
              </w:rPr>
            </w:pPr>
            <w:r w:rsidRPr="00B650E7">
              <w:rPr>
                <w:rFonts w:eastAsia="Calibri"/>
                <w:sz w:val="20"/>
                <w:szCs w:val="20"/>
              </w:rPr>
              <w:t xml:space="preserve">The </w:t>
            </w:r>
            <w:r>
              <w:rPr>
                <w:rFonts w:eastAsia="Calibri"/>
                <w:sz w:val="20"/>
                <w:szCs w:val="20"/>
              </w:rPr>
              <w:t>Stewardship Team</w:t>
            </w:r>
            <w:r w:rsidRPr="00B650E7">
              <w:rPr>
                <w:rFonts w:eastAsia="Calibri"/>
                <w:sz w:val="20"/>
                <w:szCs w:val="20"/>
              </w:rPr>
              <w:t xml:space="preserve"> will review antibiotic use with the </w:t>
            </w:r>
            <w:r>
              <w:rPr>
                <w:rFonts w:eastAsia="Calibri"/>
                <w:sz w:val="20"/>
                <w:szCs w:val="20"/>
              </w:rPr>
              <w:t>frontline team</w:t>
            </w:r>
            <w:r w:rsidRPr="00B650E7">
              <w:rPr>
                <w:rFonts w:eastAsia="Calibri"/>
                <w:sz w:val="20"/>
                <w:szCs w:val="20"/>
              </w:rPr>
              <w:t xml:space="preserve"> on at least 10 patients per month. The </w:t>
            </w:r>
            <w:r>
              <w:rPr>
                <w:rFonts w:eastAsia="Calibri"/>
                <w:sz w:val="20"/>
                <w:szCs w:val="20"/>
              </w:rPr>
              <w:t>Stewardship Team</w:t>
            </w:r>
            <w:r w:rsidRPr="00B650E7">
              <w:rPr>
                <w:rFonts w:eastAsia="Calibri"/>
                <w:sz w:val="20"/>
                <w:szCs w:val="20"/>
              </w:rPr>
              <w:t xml:space="preserve"> will fill out </w:t>
            </w:r>
            <w:r>
              <w:rPr>
                <w:rFonts w:eastAsia="Calibri"/>
                <w:sz w:val="20"/>
                <w:szCs w:val="20"/>
              </w:rPr>
              <w:t xml:space="preserve">the Team Antibiotic Review Form </w:t>
            </w:r>
            <w:r w:rsidRPr="00B650E7">
              <w:rPr>
                <w:rFonts w:eastAsia="Calibri"/>
                <w:sz w:val="20"/>
                <w:szCs w:val="20"/>
              </w:rPr>
              <w:t>(Appendix B) which will not contain any PHI.  The team will utilize the tool to assess if the four moments in antibiotic prescribing were considered.</w:t>
            </w:r>
          </w:p>
        </w:tc>
      </w:tr>
      <w:tr w:rsidR="000C21A5" w:rsidRPr="00B650E7" w:rsidTr="00B16E9D">
        <w:trPr>
          <w:cantSplit/>
        </w:trPr>
        <w:tc>
          <w:tcPr>
            <w:tcW w:w="1046" w:type="dxa"/>
            <w:vMerge w:val="restart"/>
            <w:shd w:val="clear" w:color="auto" w:fill="E9E6E3"/>
          </w:tcPr>
          <w:p w:rsidR="000C21A5" w:rsidRPr="00B650E7" w:rsidRDefault="000C21A5" w:rsidP="00B16E9D">
            <w:pPr>
              <w:rPr>
                <w:rFonts w:eastAsia="Calibri"/>
                <w:sz w:val="20"/>
                <w:szCs w:val="20"/>
              </w:rPr>
            </w:pPr>
            <w:r w:rsidRPr="00B650E7">
              <w:rPr>
                <w:rFonts w:eastAsia="Calibri"/>
                <w:sz w:val="20"/>
                <w:szCs w:val="20"/>
              </w:rPr>
              <w:t>Long term care setting</w:t>
            </w:r>
          </w:p>
        </w:tc>
        <w:tc>
          <w:tcPr>
            <w:tcW w:w="2874" w:type="dxa"/>
            <w:shd w:val="clear" w:color="auto" w:fill="E9E6E3"/>
          </w:tcPr>
          <w:p w:rsidR="000C21A5" w:rsidRPr="00B650E7" w:rsidRDefault="000C21A5" w:rsidP="00B16E9D">
            <w:pPr>
              <w:rPr>
                <w:rFonts w:eastAsia="Calibri"/>
                <w:sz w:val="20"/>
                <w:szCs w:val="20"/>
              </w:rPr>
            </w:pPr>
            <w:r w:rsidRPr="00B650E7">
              <w:rPr>
                <w:rFonts w:eastAsia="Calibri"/>
                <w:sz w:val="20"/>
                <w:szCs w:val="20"/>
              </w:rPr>
              <w:t xml:space="preserve">Days of antibiotic therapy (DOTs) per 1,000 </w:t>
            </w:r>
            <w:r>
              <w:rPr>
                <w:rFonts w:eastAsia="Calibri"/>
                <w:sz w:val="20"/>
                <w:szCs w:val="20"/>
              </w:rPr>
              <w:t>resident</w:t>
            </w:r>
            <w:r w:rsidRPr="00B650E7">
              <w:rPr>
                <w:rFonts w:eastAsia="Calibri"/>
                <w:sz w:val="20"/>
                <w:szCs w:val="20"/>
              </w:rPr>
              <w:t>-days</w:t>
            </w:r>
          </w:p>
        </w:tc>
        <w:tc>
          <w:tcPr>
            <w:tcW w:w="5319" w:type="dxa"/>
            <w:shd w:val="clear" w:color="auto" w:fill="E9E6E3"/>
          </w:tcPr>
          <w:p w:rsidR="000C21A5" w:rsidRPr="00B650E7" w:rsidRDefault="000C21A5" w:rsidP="00B16E9D">
            <w:pPr>
              <w:rPr>
                <w:rFonts w:eastAsia="Calibri"/>
                <w:sz w:val="20"/>
                <w:szCs w:val="20"/>
              </w:rPr>
            </w:pPr>
            <w:r w:rsidRPr="00B650E7">
              <w:rPr>
                <w:rFonts w:eastAsia="Calibri"/>
                <w:sz w:val="20"/>
                <w:szCs w:val="20"/>
              </w:rPr>
              <w:t>A day of antibiotic therapy is defined by any amount of an antibiotic administered to a patient on a single calendar day. Each drug is counted independently. Patient-days are defined as the aggregate number of days that patients resided in the long-term care setting.</w:t>
            </w:r>
          </w:p>
        </w:tc>
      </w:tr>
      <w:tr w:rsidR="000C21A5" w:rsidRPr="00B650E7" w:rsidTr="00B16E9D">
        <w:trPr>
          <w:cantSplit/>
        </w:trPr>
        <w:tc>
          <w:tcPr>
            <w:tcW w:w="1046" w:type="dxa"/>
            <w:vMerge/>
            <w:shd w:val="clear" w:color="auto" w:fill="E9E6E3"/>
          </w:tcPr>
          <w:p w:rsidR="000C21A5" w:rsidRPr="00B650E7" w:rsidRDefault="000C21A5" w:rsidP="00B16E9D">
            <w:pPr>
              <w:rPr>
                <w:rFonts w:eastAsia="Calibri"/>
                <w:sz w:val="20"/>
                <w:szCs w:val="20"/>
              </w:rPr>
            </w:pPr>
          </w:p>
        </w:tc>
        <w:tc>
          <w:tcPr>
            <w:tcW w:w="2874" w:type="dxa"/>
            <w:shd w:val="clear" w:color="auto" w:fill="E9E6E3"/>
          </w:tcPr>
          <w:p w:rsidR="000C21A5" w:rsidRPr="00B650E7" w:rsidRDefault="000C21A5" w:rsidP="00B16E9D">
            <w:pPr>
              <w:rPr>
                <w:rFonts w:eastAsia="Calibri"/>
                <w:sz w:val="20"/>
                <w:szCs w:val="20"/>
              </w:rPr>
            </w:pPr>
            <w:r w:rsidRPr="00B650E7">
              <w:rPr>
                <w:rFonts w:eastAsia="Calibri"/>
                <w:sz w:val="20"/>
                <w:szCs w:val="20"/>
              </w:rPr>
              <w:t xml:space="preserve">Rate of new antibiotic starts initiated in nursing home per 1,000 patient-days </w:t>
            </w:r>
          </w:p>
        </w:tc>
        <w:tc>
          <w:tcPr>
            <w:tcW w:w="5319" w:type="dxa"/>
            <w:shd w:val="clear" w:color="auto" w:fill="E9E6E3"/>
          </w:tcPr>
          <w:p w:rsidR="000C21A5" w:rsidRPr="00B650E7" w:rsidRDefault="000C21A5" w:rsidP="00B16E9D">
            <w:pPr>
              <w:rPr>
                <w:rFonts w:eastAsia="Calibri"/>
                <w:sz w:val="20"/>
                <w:szCs w:val="20"/>
              </w:rPr>
            </w:pPr>
            <w:r w:rsidRPr="00B650E7">
              <w:rPr>
                <w:rFonts w:eastAsia="Calibri"/>
                <w:sz w:val="20"/>
                <w:szCs w:val="20"/>
              </w:rPr>
              <w:t>Antibiotic starts is defined as prescriptions written after the resident has been admitted to the long-term care setting. Patient-days are defined as the aggregate number of days patients resided in the long-term care setting.</w:t>
            </w:r>
          </w:p>
        </w:tc>
      </w:tr>
      <w:tr w:rsidR="000C21A5" w:rsidRPr="00B650E7" w:rsidTr="00B16E9D">
        <w:trPr>
          <w:cantSplit/>
        </w:trPr>
        <w:tc>
          <w:tcPr>
            <w:tcW w:w="1046" w:type="dxa"/>
            <w:vMerge/>
            <w:shd w:val="clear" w:color="auto" w:fill="E9E6E3"/>
          </w:tcPr>
          <w:p w:rsidR="000C21A5" w:rsidRPr="00B650E7" w:rsidRDefault="000C21A5" w:rsidP="00B16E9D">
            <w:pPr>
              <w:rPr>
                <w:rFonts w:eastAsia="Calibri"/>
                <w:sz w:val="20"/>
                <w:szCs w:val="20"/>
              </w:rPr>
            </w:pPr>
          </w:p>
        </w:tc>
        <w:tc>
          <w:tcPr>
            <w:tcW w:w="2874" w:type="dxa"/>
            <w:shd w:val="clear" w:color="auto" w:fill="E9E6E3"/>
          </w:tcPr>
          <w:p w:rsidR="000C21A5" w:rsidRPr="00B650E7" w:rsidRDefault="000C21A5" w:rsidP="00B16E9D">
            <w:pPr>
              <w:pStyle w:val="NORCTableBullet110ptNarrow"/>
              <w:framePr w:hSpace="0" w:wrap="auto" w:vAnchor="margin" w:hAnchor="text" w:yAlign="inline"/>
              <w:numPr>
                <w:ilvl w:val="0"/>
                <w:numId w:val="0"/>
              </w:numPr>
              <w:tabs>
                <w:tab w:val="clear" w:pos="144"/>
                <w:tab w:val="left" w:pos="0"/>
              </w:tabs>
              <w:suppressOverlap w:val="0"/>
              <w:rPr>
                <w:rFonts w:ascii="Times New Roman" w:eastAsia="Calibri" w:hAnsi="Times New Roman"/>
              </w:rPr>
            </w:pPr>
            <w:r w:rsidRPr="00B650E7">
              <w:rPr>
                <w:rFonts w:ascii="Times New Roman" w:eastAsia="Calibri" w:hAnsi="Times New Roman"/>
                <w:i/>
              </w:rPr>
              <w:t>Clostridium difficile</w:t>
            </w:r>
            <w:r w:rsidRPr="00B650E7">
              <w:rPr>
                <w:rFonts w:ascii="Times New Roman" w:eastAsia="Calibri" w:hAnsi="Times New Roman"/>
              </w:rPr>
              <w:t xml:space="preserve"> laboratory event episodes per 10,000 </w:t>
            </w:r>
            <w:r>
              <w:rPr>
                <w:rFonts w:ascii="Times New Roman" w:eastAsia="Calibri" w:hAnsi="Times New Roman"/>
              </w:rPr>
              <w:t>resident</w:t>
            </w:r>
            <w:r w:rsidRPr="00B650E7">
              <w:rPr>
                <w:rFonts w:ascii="Times New Roman" w:eastAsia="Calibri" w:hAnsi="Times New Roman"/>
              </w:rPr>
              <w:t xml:space="preserve"> days by unit (quarterly measure)</w:t>
            </w:r>
          </w:p>
          <w:p w:rsidR="000C21A5" w:rsidRPr="00B650E7" w:rsidRDefault="000C21A5" w:rsidP="00B16E9D">
            <w:pPr>
              <w:rPr>
                <w:rFonts w:eastAsia="Calibri"/>
                <w:sz w:val="20"/>
                <w:szCs w:val="20"/>
              </w:rPr>
            </w:pPr>
          </w:p>
        </w:tc>
        <w:tc>
          <w:tcPr>
            <w:tcW w:w="5319" w:type="dxa"/>
            <w:shd w:val="clear" w:color="auto" w:fill="E9E6E3"/>
          </w:tcPr>
          <w:p w:rsidR="000C21A5" w:rsidRPr="00B650E7" w:rsidRDefault="000C21A5" w:rsidP="00B16E9D">
            <w:pPr>
              <w:rPr>
                <w:rFonts w:eastAsia="Calibri"/>
                <w:sz w:val="20"/>
                <w:szCs w:val="20"/>
              </w:rPr>
            </w:pPr>
            <w:r w:rsidRPr="00B650E7">
              <w:rPr>
                <w:rFonts w:eastAsia="Calibri"/>
                <w:sz w:val="20"/>
                <w:szCs w:val="20"/>
              </w:rPr>
              <w:t xml:space="preserve">As prior antibiotic use is the risk factor with the greatest association for </w:t>
            </w:r>
            <w:r w:rsidRPr="00B650E7">
              <w:rPr>
                <w:rFonts w:eastAsia="Calibri"/>
                <w:i/>
                <w:sz w:val="20"/>
                <w:szCs w:val="20"/>
              </w:rPr>
              <w:t xml:space="preserve">C. difficile </w:t>
            </w:r>
            <w:r w:rsidRPr="00B650E7">
              <w:rPr>
                <w:rFonts w:eastAsia="Calibri"/>
                <w:sz w:val="20"/>
                <w:szCs w:val="20"/>
              </w:rPr>
              <w:t xml:space="preserve">infections, </w:t>
            </w:r>
            <w:r w:rsidRPr="00B650E7">
              <w:rPr>
                <w:rFonts w:eastAsia="Calibri"/>
                <w:i/>
                <w:sz w:val="20"/>
                <w:szCs w:val="20"/>
              </w:rPr>
              <w:t>C. difficile</w:t>
            </w:r>
            <w:r w:rsidRPr="00B650E7">
              <w:rPr>
                <w:rFonts w:eastAsia="Calibri"/>
                <w:sz w:val="20"/>
                <w:szCs w:val="20"/>
              </w:rPr>
              <w:t xml:space="preserve"> rates will be evaluated on a quarterly basis during the base and intervention period. </w:t>
            </w:r>
            <w:r w:rsidRPr="00B650E7">
              <w:rPr>
                <w:rFonts w:eastAsia="Calibri"/>
                <w:i/>
                <w:sz w:val="20"/>
                <w:szCs w:val="20"/>
              </w:rPr>
              <w:t xml:space="preserve">C. difficile </w:t>
            </w:r>
            <w:r w:rsidRPr="00B650E7">
              <w:rPr>
                <w:rFonts w:eastAsia="Calibri"/>
                <w:sz w:val="20"/>
                <w:szCs w:val="20"/>
              </w:rPr>
              <w:t xml:space="preserve">laboratory event is defined as the number of all non-duplicate </w:t>
            </w:r>
            <w:r w:rsidRPr="00B650E7">
              <w:rPr>
                <w:rFonts w:eastAsia="Calibri"/>
                <w:i/>
                <w:sz w:val="20"/>
                <w:szCs w:val="20"/>
              </w:rPr>
              <w:t>c. diffic</w:t>
            </w:r>
            <w:r>
              <w:rPr>
                <w:rFonts w:eastAsia="Calibri"/>
                <w:i/>
                <w:sz w:val="20"/>
                <w:szCs w:val="20"/>
              </w:rPr>
              <w:t>i</w:t>
            </w:r>
            <w:r w:rsidRPr="00B650E7">
              <w:rPr>
                <w:rFonts w:eastAsia="Calibri"/>
                <w:i/>
                <w:sz w:val="20"/>
                <w:szCs w:val="20"/>
              </w:rPr>
              <w:t>le</w:t>
            </w:r>
            <w:r w:rsidRPr="00B650E7">
              <w:rPr>
                <w:rFonts w:eastAsia="Calibri"/>
                <w:sz w:val="20"/>
                <w:szCs w:val="20"/>
              </w:rPr>
              <w:t xml:space="preserve"> toxin-positive laboratory results. Patient-days are defined as the aggregate number of days patients resided in the long-term care setting.</w:t>
            </w:r>
          </w:p>
        </w:tc>
      </w:tr>
      <w:tr w:rsidR="000C21A5" w:rsidRPr="00B650E7" w:rsidTr="00B16E9D">
        <w:trPr>
          <w:cantSplit/>
        </w:trPr>
        <w:tc>
          <w:tcPr>
            <w:tcW w:w="1046" w:type="dxa"/>
            <w:vMerge/>
            <w:shd w:val="clear" w:color="auto" w:fill="E9E6E3"/>
          </w:tcPr>
          <w:p w:rsidR="000C21A5" w:rsidRPr="00B650E7" w:rsidRDefault="000C21A5" w:rsidP="00B16E9D">
            <w:pPr>
              <w:rPr>
                <w:rFonts w:eastAsia="Calibri"/>
                <w:sz w:val="20"/>
                <w:szCs w:val="20"/>
              </w:rPr>
            </w:pPr>
          </w:p>
        </w:tc>
        <w:tc>
          <w:tcPr>
            <w:tcW w:w="2874" w:type="dxa"/>
            <w:shd w:val="clear" w:color="auto" w:fill="E9E6E3"/>
          </w:tcPr>
          <w:p w:rsidR="000C21A5" w:rsidRPr="00B650E7" w:rsidRDefault="000C21A5" w:rsidP="00B16E9D">
            <w:pPr>
              <w:rPr>
                <w:rFonts w:eastAsia="Calibri"/>
                <w:sz w:val="20"/>
                <w:szCs w:val="20"/>
              </w:rPr>
            </w:pPr>
            <w:r w:rsidRPr="00B650E7">
              <w:rPr>
                <w:rFonts w:eastAsia="Calibri"/>
                <w:sz w:val="20"/>
                <w:szCs w:val="20"/>
              </w:rPr>
              <w:t xml:space="preserve">Number of urine cultures obtained per 1,000 </w:t>
            </w:r>
            <w:r>
              <w:rPr>
                <w:rFonts w:eastAsia="Calibri"/>
                <w:sz w:val="20"/>
                <w:szCs w:val="20"/>
              </w:rPr>
              <w:t>resident</w:t>
            </w:r>
            <w:r w:rsidRPr="00B650E7">
              <w:rPr>
                <w:rFonts w:eastAsia="Calibri"/>
                <w:sz w:val="20"/>
                <w:szCs w:val="20"/>
              </w:rPr>
              <w:t>-days</w:t>
            </w:r>
          </w:p>
        </w:tc>
        <w:tc>
          <w:tcPr>
            <w:tcW w:w="5319" w:type="dxa"/>
            <w:shd w:val="clear" w:color="auto" w:fill="E9E6E3"/>
          </w:tcPr>
          <w:p w:rsidR="000C21A5" w:rsidRPr="00B650E7" w:rsidRDefault="000C21A5" w:rsidP="00B16E9D">
            <w:pPr>
              <w:rPr>
                <w:rFonts w:eastAsia="Calibri"/>
                <w:sz w:val="20"/>
                <w:szCs w:val="20"/>
              </w:rPr>
            </w:pPr>
            <w:r w:rsidRPr="00B650E7">
              <w:rPr>
                <w:rFonts w:eastAsia="Calibri"/>
                <w:sz w:val="20"/>
                <w:szCs w:val="20"/>
              </w:rPr>
              <w:t>Urine culture collection is defined as the number of urine cultures obtained.  Patient-days are defined as the aggregate number of days patients resided in the long-term care setting.</w:t>
            </w:r>
          </w:p>
        </w:tc>
      </w:tr>
      <w:tr w:rsidR="000C21A5" w:rsidRPr="00B650E7" w:rsidTr="00B16E9D">
        <w:trPr>
          <w:cantSplit/>
        </w:trPr>
        <w:tc>
          <w:tcPr>
            <w:tcW w:w="1046" w:type="dxa"/>
            <w:vMerge w:val="restart"/>
            <w:shd w:val="clear" w:color="auto" w:fill="E9E6E3"/>
          </w:tcPr>
          <w:p w:rsidR="000C21A5" w:rsidRPr="00B650E7" w:rsidRDefault="000C21A5" w:rsidP="00B16E9D">
            <w:pPr>
              <w:rPr>
                <w:rFonts w:eastAsia="Calibri"/>
                <w:sz w:val="20"/>
                <w:szCs w:val="20"/>
              </w:rPr>
            </w:pPr>
            <w:r w:rsidRPr="00B650E7">
              <w:rPr>
                <w:rFonts w:eastAsia="Calibri"/>
                <w:sz w:val="20"/>
                <w:szCs w:val="20"/>
              </w:rPr>
              <w:t>Ambulatory care setting</w:t>
            </w:r>
          </w:p>
        </w:tc>
        <w:tc>
          <w:tcPr>
            <w:tcW w:w="2874" w:type="dxa"/>
            <w:shd w:val="clear" w:color="auto" w:fill="E9E6E3"/>
          </w:tcPr>
          <w:p w:rsidR="000C21A5" w:rsidRPr="00B650E7" w:rsidRDefault="000C21A5" w:rsidP="00B16E9D">
            <w:pPr>
              <w:rPr>
                <w:rFonts w:eastAsia="Calibri"/>
                <w:sz w:val="20"/>
                <w:szCs w:val="20"/>
              </w:rPr>
            </w:pPr>
            <w:r w:rsidRPr="00B650E7">
              <w:rPr>
                <w:rFonts w:eastAsia="Calibri"/>
                <w:sz w:val="20"/>
                <w:szCs w:val="20"/>
              </w:rPr>
              <w:t>Antibiotic therapy prescription per 100 patient visits</w:t>
            </w:r>
          </w:p>
        </w:tc>
        <w:tc>
          <w:tcPr>
            <w:tcW w:w="5319" w:type="dxa"/>
            <w:shd w:val="clear" w:color="auto" w:fill="E9E6E3"/>
          </w:tcPr>
          <w:p w:rsidR="000C21A5" w:rsidRPr="00B650E7" w:rsidRDefault="000C21A5" w:rsidP="00B16E9D">
            <w:pPr>
              <w:rPr>
                <w:rFonts w:eastAsia="Calibri"/>
                <w:sz w:val="20"/>
                <w:szCs w:val="20"/>
              </w:rPr>
            </w:pPr>
            <w:r w:rsidRPr="00B650E7">
              <w:rPr>
                <w:rFonts w:eastAsia="Calibri"/>
                <w:sz w:val="20"/>
                <w:szCs w:val="20"/>
              </w:rPr>
              <w:t>An antibiotic therapy prescription is defined by any amount of an antibiotic administered to a patient on a single calendar day. Each drug is counted independently. Patient-visits are defined as the aggregate number of visits made by any patient to an ambulatory care setting.</w:t>
            </w:r>
          </w:p>
        </w:tc>
      </w:tr>
      <w:tr w:rsidR="000C21A5" w:rsidRPr="00B650E7" w:rsidTr="00B16E9D">
        <w:trPr>
          <w:cantSplit/>
        </w:trPr>
        <w:tc>
          <w:tcPr>
            <w:tcW w:w="1046" w:type="dxa"/>
            <w:vMerge/>
            <w:shd w:val="clear" w:color="auto" w:fill="E9E6E3"/>
          </w:tcPr>
          <w:p w:rsidR="000C21A5" w:rsidRPr="00B650E7" w:rsidRDefault="000C21A5" w:rsidP="00B16E9D">
            <w:pPr>
              <w:rPr>
                <w:rFonts w:eastAsia="Calibri"/>
                <w:sz w:val="20"/>
                <w:szCs w:val="20"/>
              </w:rPr>
            </w:pPr>
          </w:p>
        </w:tc>
        <w:tc>
          <w:tcPr>
            <w:tcW w:w="2874" w:type="dxa"/>
            <w:shd w:val="clear" w:color="auto" w:fill="E9E6E3"/>
          </w:tcPr>
          <w:p w:rsidR="000C21A5" w:rsidRPr="00B650E7" w:rsidRDefault="000C21A5" w:rsidP="00B16E9D">
            <w:pPr>
              <w:rPr>
                <w:rFonts w:eastAsia="Calibri"/>
                <w:sz w:val="20"/>
                <w:szCs w:val="20"/>
              </w:rPr>
            </w:pPr>
            <w:r w:rsidRPr="00B650E7">
              <w:rPr>
                <w:rFonts w:eastAsia="Calibri"/>
                <w:sz w:val="20"/>
                <w:szCs w:val="20"/>
              </w:rPr>
              <w:t>Proportion of antibiotic use by non-antibiotic appropriate respiratory condition</w:t>
            </w:r>
          </w:p>
        </w:tc>
        <w:tc>
          <w:tcPr>
            <w:tcW w:w="5319" w:type="dxa"/>
            <w:shd w:val="clear" w:color="auto" w:fill="E9E6E3"/>
          </w:tcPr>
          <w:p w:rsidR="000C21A5" w:rsidRPr="00B650E7" w:rsidRDefault="000C21A5" w:rsidP="00B16E9D">
            <w:pPr>
              <w:rPr>
                <w:rFonts w:eastAsia="Calibri"/>
                <w:sz w:val="20"/>
                <w:szCs w:val="20"/>
              </w:rPr>
            </w:pPr>
            <w:r w:rsidRPr="00B650E7">
              <w:rPr>
                <w:rFonts w:eastAsia="Calibri"/>
                <w:sz w:val="20"/>
                <w:szCs w:val="20"/>
              </w:rPr>
              <w:t xml:space="preserve">Proportion of patients with ICD-10 codes for non-antibiotic-appropriate respiratory conditions (non-specific URIs, acute bronchitis, influenza) prescribed antibiotic.  </w:t>
            </w:r>
          </w:p>
        </w:tc>
      </w:tr>
    </w:tbl>
    <w:p w:rsidR="000C21A5" w:rsidRDefault="000C21A5" w:rsidP="000C21A5">
      <w:pPr>
        <w:spacing w:before="100" w:beforeAutospacing="1"/>
      </w:pPr>
    </w:p>
    <w:p w:rsidR="000C21A5" w:rsidRPr="00086F7F" w:rsidRDefault="000C21A5" w:rsidP="000C21A5">
      <w:pPr>
        <w:rPr>
          <w:b/>
          <w:i/>
        </w:rPr>
      </w:pPr>
      <w:r>
        <w:rPr>
          <w:b/>
          <w:i/>
        </w:rPr>
        <w:t>Evaluation Design</w:t>
      </w:r>
    </w:p>
    <w:p w:rsidR="000C21A5" w:rsidRDefault="000C21A5" w:rsidP="000C21A5">
      <w:r w:rsidRPr="001463D4">
        <w:t xml:space="preserve">The pre-intervention baseline will be three months, and the during/post-intervention period will be nine months. </w:t>
      </w:r>
      <w:r>
        <w:t xml:space="preserve">The </w:t>
      </w:r>
      <w:r w:rsidRPr="008C4521">
        <w:rPr>
          <w:i/>
        </w:rPr>
        <w:t>AHRQ Safety Program for Improving Antibiotic Use</w:t>
      </w:r>
      <w:r w:rsidRPr="001463D4">
        <w:t xml:space="preserve"> propose</w:t>
      </w:r>
      <w:r>
        <w:t>s</w:t>
      </w:r>
      <w:r w:rsidRPr="001463D4">
        <w:t xml:space="preserve"> a pre-post evaluation design, comparing </w:t>
      </w:r>
      <w:r>
        <w:t>the S</w:t>
      </w:r>
      <w:r w:rsidRPr="001463D4">
        <w:t xml:space="preserve">tructural </w:t>
      </w:r>
      <w:r>
        <w:t>A</w:t>
      </w:r>
      <w:r w:rsidRPr="001463D4">
        <w:t>ssessment</w:t>
      </w:r>
      <w:r>
        <w:t>s and</w:t>
      </w:r>
      <w:r w:rsidRPr="001463D4">
        <w:t xml:space="preserve"> </w:t>
      </w:r>
      <w:r>
        <w:t xml:space="preserve">AHRQ Surveys on Patient Safety Culture </w:t>
      </w:r>
      <w:r w:rsidRPr="001463D4">
        <w:t xml:space="preserve">data from each of the three facility </w:t>
      </w:r>
      <w:r>
        <w:t>settings</w:t>
      </w:r>
      <w:r w:rsidRPr="001463D4">
        <w:t xml:space="preserve"> to themselves from pre-intervention/baseline to post-intervention/end of intervention. </w:t>
      </w:r>
      <w:r>
        <w:t>The project</w:t>
      </w:r>
      <w:r w:rsidRPr="000D507D">
        <w:t xml:space="preserve"> will examine the change from baseline to post-intervention and investigate the impacts of other factors on those changes. For data elements that are collected monthly</w:t>
      </w:r>
      <w:r>
        <w:t xml:space="preserve"> </w:t>
      </w:r>
      <w:r w:rsidRPr="000D507D">
        <w:t xml:space="preserve">(i.e. </w:t>
      </w:r>
      <w:r>
        <w:t>Team Antibiotic Review Forms</w:t>
      </w:r>
      <w:r w:rsidRPr="000D507D">
        <w:t xml:space="preserve"> and </w:t>
      </w:r>
      <w:r>
        <w:t>EHR data</w:t>
      </w:r>
      <w:r w:rsidRPr="000D507D">
        <w:t xml:space="preserve">), </w:t>
      </w:r>
      <w:r>
        <w:t>the project</w:t>
      </w:r>
      <w:r w:rsidRPr="000D507D">
        <w:t xml:space="preserve"> will apply an </w:t>
      </w:r>
      <w:r>
        <w:t>interrupted time series (</w:t>
      </w:r>
      <w:r w:rsidRPr="000D507D">
        <w:t>ITS</w:t>
      </w:r>
      <w:r>
        <w:t>)</w:t>
      </w:r>
      <w:r w:rsidRPr="000D507D">
        <w:t xml:space="preserve"> </w:t>
      </w:r>
      <w:r>
        <w:t>analysis</w:t>
      </w:r>
      <w:r w:rsidRPr="000D507D">
        <w:t xml:space="preserve"> to investigate the </w:t>
      </w:r>
      <w:r w:rsidRPr="001463D4">
        <w:t>performance of antibiotic usage and clinical outcomes over time</w:t>
      </w:r>
      <w:r w:rsidRPr="000D507D">
        <w:t xml:space="preserve"> and the impact from the </w:t>
      </w:r>
      <w:r w:rsidRPr="00086F7F">
        <w:rPr>
          <w:i/>
        </w:rPr>
        <w:t>AHRQ Safety Program for Improving Antibiotic Use</w:t>
      </w:r>
      <w:r>
        <w:t>,</w:t>
      </w:r>
      <w:r w:rsidRPr="001463D4">
        <w:t xml:space="preserve"> because the scope of the </w:t>
      </w:r>
      <w:r>
        <w:t>project</w:t>
      </w:r>
      <w:r w:rsidRPr="001463D4">
        <w:t xml:space="preserve"> neither includes selection of external comparison sites nor access to EHR data from non-participating sites. </w:t>
      </w:r>
    </w:p>
    <w:p w:rsidR="000C21A5" w:rsidRDefault="000C21A5" w:rsidP="000C21A5">
      <w:pPr>
        <w:spacing w:before="240"/>
        <w:rPr>
          <w:u w:val="single"/>
        </w:rPr>
      </w:pPr>
      <w:r>
        <w:rPr>
          <w:u w:val="single"/>
        </w:rPr>
        <w:t>Cohort 1 (Pilot Facilities)</w:t>
      </w:r>
    </w:p>
    <w:p w:rsidR="000C21A5" w:rsidRDefault="000C21A5" w:rsidP="000C21A5"/>
    <w:p w:rsidR="000C21A5" w:rsidRDefault="000C21A5" w:rsidP="000C21A5">
      <w:r>
        <w:t>The Cohort 1 pilot implementation data collection</w:t>
      </w:r>
      <w:r w:rsidRPr="00C424B2">
        <w:t xml:space="preserve"> is designed to be powered at 80% to detect </w:t>
      </w:r>
      <w:r>
        <w:t>a decrease</w:t>
      </w:r>
      <w:r>
        <w:rPr>
          <w:rStyle w:val="FootnoteReference"/>
        </w:rPr>
        <w:footnoteReference w:id="3"/>
      </w:r>
      <w:r>
        <w:t xml:space="preserve"> from baseline to post-intervention period</w:t>
      </w:r>
      <w:r>
        <w:rPr>
          <w:rStyle w:val="FootnoteReference"/>
        </w:rPr>
        <w:footnoteReference w:id="4"/>
      </w:r>
      <w:r>
        <w:t xml:space="preserve"> for: </w:t>
      </w:r>
      <w:r w:rsidRPr="0036672F">
        <w:t xml:space="preserve">1) </w:t>
      </w:r>
      <w:r>
        <w:t>61 d</w:t>
      </w:r>
      <w:r w:rsidRPr="0036672F">
        <w:t>ays of antibiotic therapy (DOT) per 1,000 patient-days in acute care settings,</w:t>
      </w:r>
      <w:r>
        <w:rPr>
          <w:rStyle w:val="FootnoteReference"/>
        </w:rPr>
        <w:footnoteReference w:id="5"/>
      </w:r>
      <w:r w:rsidRPr="0036672F">
        <w:t xml:space="preserve"> 2) </w:t>
      </w:r>
      <w:r>
        <w:t xml:space="preserve">24 </w:t>
      </w:r>
      <w:r w:rsidRPr="0036672F">
        <w:t>DOT per 1,000 patient-days in long-term settings,</w:t>
      </w:r>
      <w:r>
        <w:rPr>
          <w:rStyle w:val="FootnoteReference"/>
        </w:rPr>
        <w:footnoteReference w:id="6"/>
      </w:r>
      <w:r w:rsidRPr="0036672F">
        <w:t xml:space="preserve"> and 3) </w:t>
      </w:r>
      <w:r>
        <w:t xml:space="preserve">2.9 </w:t>
      </w:r>
      <w:r w:rsidRPr="0036672F">
        <w:t>antibiotic prescription</w:t>
      </w:r>
      <w:r>
        <w:t>s</w:t>
      </w:r>
      <w:r w:rsidRPr="0036672F">
        <w:t xml:space="preserve"> per 100 patient-visits in ambulatory care settings.</w:t>
      </w:r>
      <w:r>
        <w:rPr>
          <w:rStyle w:val="FootnoteReference"/>
        </w:rPr>
        <w:footnoteReference w:id="7"/>
      </w:r>
      <w:r w:rsidRPr="0036672F">
        <w:t xml:space="preserve"> </w:t>
      </w:r>
      <w:r>
        <w:t>The f</w:t>
      </w:r>
      <w:r w:rsidRPr="00C424B2">
        <w:t>ollowing assumptions</w:t>
      </w:r>
      <w:r>
        <w:t xml:space="preserve"> were used in the power calculations</w:t>
      </w:r>
      <w:r w:rsidRPr="00C424B2">
        <w:t xml:space="preserve">: 1) </w:t>
      </w:r>
      <w:r>
        <w:t>1</w:t>
      </w:r>
      <w:r w:rsidRPr="00C424B2">
        <w:t>-sided significant level of 0.05</w:t>
      </w:r>
      <w:r>
        <w:rPr>
          <w:rStyle w:val="FootnoteReference"/>
          <w:rFonts w:eastAsia="Calibri"/>
          <w:szCs w:val="22"/>
        </w:rPr>
        <w:footnoteReference w:id="8"/>
      </w:r>
      <w:r w:rsidRPr="00C424B2">
        <w:t xml:space="preserve">, 2) </w:t>
      </w:r>
      <w:r>
        <w:t>ten</w:t>
      </w:r>
      <w:r w:rsidRPr="00C424B2">
        <w:t xml:space="preserve"> units from each type of </w:t>
      </w:r>
      <w:r>
        <w:t>settings</w:t>
      </w:r>
      <w:r w:rsidRPr="00C424B2">
        <w:t xml:space="preserve">, </w:t>
      </w:r>
      <w:r>
        <w:t>and 3</w:t>
      </w:r>
      <w:r w:rsidRPr="00C424B2">
        <w:t>) within-unit correlation of 0.</w:t>
      </w:r>
      <w:r>
        <w:t>4</w:t>
      </w:r>
      <w:r>
        <w:rPr>
          <w:rStyle w:val="FootnoteReference"/>
        </w:rPr>
        <w:footnoteReference w:id="9"/>
      </w:r>
      <w:r w:rsidRPr="00C424B2">
        <w:t xml:space="preserve">. </w:t>
      </w:r>
    </w:p>
    <w:p w:rsidR="000C21A5" w:rsidRPr="00C424B2" w:rsidRDefault="000C21A5" w:rsidP="000C21A5"/>
    <w:p w:rsidR="000C21A5" w:rsidRDefault="000C21A5" w:rsidP="000C21A5">
      <w:r>
        <w:t>Exhibit B.6 below</w:t>
      </w:r>
      <w:r w:rsidRPr="00C424B2">
        <w:t xml:space="preserve"> provides the power and the corresponding </w:t>
      </w:r>
      <w:r>
        <w:t>mean difference</w:t>
      </w:r>
      <w:r w:rsidRPr="00C424B2">
        <w:t xml:space="preserve"> that </w:t>
      </w:r>
      <w:r>
        <w:t xml:space="preserve">the project will be able </w:t>
      </w:r>
      <w:r w:rsidRPr="00C424B2">
        <w:t xml:space="preserve">to detect from the </w:t>
      </w:r>
      <w:r>
        <w:t>baseline to post-intervention period,</w:t>
      </w:r>
      <w:r w:rsidRPr="00C424B2">
        <w:t xml:space="preserve"> given different level</w:t>
      </w:r>
      <w:r>
        <w:t>s</w:t>
      </w:r>
      <w:r w:rsidRPr="00C424B2">
        <w:t xml:space="preserve"> of significance</w:t>
      </w:r>
      <w:r>
        <w:t xml:space="preserve"> and within-unit</w:t>
      </w:r>
      <w:r w:rsidRPr="00C424B2">
        <w:t xml:space="preserve"> correlations based on the primary outcomes </w:t>
      </w:r>
      <w:r>
        <w:t>for each type of settings</w:t>
      </w:r>
      <w:r w:rsidRPr="00C424B2">
        <w:t>.</w:t>
      </w:r>
      <w:r>
        <w:t xml:space="preserve"> </w:t>
      </w:r>
      <w:r>
        <w:rPr>
          <w:i/>
          <w:iCs/>
        </w:rPr>
        <w:t>Please note that we have included these illustrative power calculations in the spirit of transparency. The Pilot Period is intended to help test instrumentation and feasibility of our data collection schema, which will inform our Option Period data collection/analysis design, for which we have developed pro forma power calculations.</w:t>
      </w:r>
    </w:p>
    <w:p w:rsidR="000C21A5" w:rsidRPr="00C424B2" w:rsidRDefault="000C21A5" w:rsidP="000C21A5"/>
    <w:p w:rsidR="000C21A5" w:rsidRPr="00541593" w:rsidRDefault="000C21A5" w:rsidP="00DB09DA">
      <w:pPr>
        <w:keepNext/>
        <w:keepLines/>
        <w:rPr>
          <w:b/>
        </w:rPr>
      </w:pPr>
      <w:r>
        <w:rPr>
          <w:rStyle w:val="NORCCaption-Color"/>
          <w:rFonts w:eastAsia="Calibri"/>
        </w:rPr>
        <w:t>Exhibit B.6</w:t>
      </w:r>
      <w:r w:rsidRPr="000D507D">
        <w:rPr>
          <w:rStyle w:val="NORCCaption-Color"/>
          <w:rFonts w:eastAsia="Calibri"/>
        </w:rPr>
        <w:t>:</w:t>
      </w:r>
      <w:r w:rsidRPr="000D507D">
        <w:t xml:space="preserve"> </w:t>
      </w:r>
      <w:r w:rsidRPr="00ED75BE">
        <w:t xml:space="preserve">Power Analysis for Cohort 1 (n=10, for </w:t>
      </w:r>
      <w:r>
        <w:t xml:space="preserve">each </w:t>
      </w:r>
      <w:r w:rsidRPr="00ED75BE">
        <w:t>setting)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730"/>
        <w:gridCol w:w="1004"/>
        <w:gridCol w:w="937"/>
        <w:gridCol w:w="1252"/>
        <w:gridCol w:w="703"/>
        <w:gridCol w:w="937"/>
        <w:gridCol w:w="852"/>
        <w:gridCol w:w="1344"/>
      </w:tblGrid>
      <w:tr w:rsidR="000C21A5" w:rsidRPr="00E85413" w:rsidTr="00B16E9D">
        <w:tc>
          <w:tcPr>
            <w:tcW w:w="619" w:type="pct"/>
            <w:vMerge w:val="restart"/>
            <w:shd w:val="clear" w:color="auto" w:fill="auto"/>
          </w:tcPr>
          <w:p w:rsidR="000C21A5" w:rsidRPr="00E85413" w:rsidRDefault="000C21A5" w:rsidP="00DB09DA">
            <w:pPr>
              <w:keepNext/>
              <w:keepLines/>
              <w:jc w:val="center"/>
              <w:rPr>
                <w:rFonts w:ascii="Arial Narrow" w:eastAsia="Calibri" w:hAnsi="Arial Narrow"/>
                <w:sz w:val="20"/>
                <w:szCs w:val="20"/>
              </w:rPr>
            </w:pPr>
            <w:r w:rsidRPr="00E85413">
              <w:rPr>
                <w:rFonts w:ascii="Arial Narrow" w:eastAsia="Calibri" w:hAnsi="Arial Narrow"/>
                <w:sz w:val="20"/>
                <w:szCs w:val="20"/>
              </w:rPr>
              <w:t>Correlation within unit</w:t>
            </w:r>
          </w:p>
        </w:tc>
        <w:tc>
          <w:tcPr>
            <w:tcW w:w="2215" w:type="pct"/>
            <w:gridSpan w:val="4"/>
          </w:tcPr>
          <w:p w:rsidR="000C21A5" w:rsidRPr="00E85413" w:rsidRDefault="000C21A5" w:rsidP="00DB09DA">
            <w:pPr>
              <w:keepNext/>
              <w:keepLines/>
              <w:jc w:val="center"/>
              <w:rPr>
                <w:rFonts w:ascii="Arial Narrow" w:eastAsia="Calibri" w:hAnsi="Arial Narrow"/>
                <w:sz w:val="20"/>
                <w:szCs w:val="20"/>
              </w:rPr>
            </w:pPr>
            <w:r w:rsidRPr="00E85413">
              <w:rPr>
                <w:rFonts w:ascii="Arial Narrow" w:eastAsia="Calibri" w:hAnsi="Arial Narrow"/>
                <w:sz w:val="20"/>
                <w:szCs w:val="20"/>
              </w:rPr>
              <w:t>1-sided significance of 0.05</w:t>
            </w:r>
          </w:p>
        </w:tc>
        <w:tc>
          <w:tcPr>
            <w:tcW w:w="2166" w:type="pct"/>
            <w:gridSpan w:val="4"/>
          </w:tcPr>
          <w:p w:rsidR="000C21A5" w:rsidRPr="00E85413" w:rsidRDefault="000C21A5" w:rsidP="00DB09DA">
            <w:pPr>
              <w:keepNext/>
              <w:keepLines/>
              <w:jc w:val="center"/>
              <w:rPr>
                <w:rFonts w:ascii="Arial Narrow" w:eastAsia="Calibri" w:hAnsi="Arial Narrow"/>
                <w:sz w:val="20"/>
                <w:szCs w:val="20"/>
              </w:rPr>
            </w:pPr>
            <w:r w:rsidRPr="00E85413">
              <w:rPr>
                <w:rFonts w:ascii="Arial Narrow" w:eastAsia="Calibri" w:hAnsi="Arial Narrow"/>
                <w:sz w:val="20"/>
                <w:szCs w:val="20"/>
              </w:rPr>
              <w:t>2-sided significance of 0.05</w:t>
            </w:r>
          </w:p>
        </w:tc>
      </w:tr>
      <w:tr w:rsidR="00DB09DA" w:rsidRPr="00E85413" w:rsidTr="00290E53">
        <w:tc>
          <w:tcPr>
            <w:tcW w:w="619" w:type="pct"/>
            <w:vMerge/>
            <w:shd w:val="clear" w:color="auto" w:fill="auto"/>
          </w:tcPr>
          <w:p w:rsidR="00DB09DA" w:rsidRPr="00E85413" w:rsidRDefault="00DB09DA" w:rsidP="00DB09DA">
            <w:pPr>
              <w:keepNext/>
              <w:keepLines/>
              <w:rPr>
                <w:rFonts w:ascii="Arial Narrow" w:eastAsia="Calibri" w:hAnsi="Arial Narrow"/>
                <w:sz w:val="20"/>
                <w:szCs w:val="20"/>
              </w:rPr>
            </w:pPr>
          </w:p>
        </w:tc>
        <w:tc>
          <w:tcPr>
            <w:tcW w:w="412" w:type="pct"/>
            <w:vMerge w:val="restart"/>
          </w:tcPr>
          <w:p w:rsidR="00DB09DA" w:rsidRPr="00E85413" w:rsidRDefault="00DB09DA" w:rsidP="00DB09DA">
            <w:pPr>
              <w:keepNext/>
              <w:keepLines/>
              <w:jc w:val="center"/>
              <w:rPr>
                <w:rFonts w:ascii="Arial Narrow" w:eastAsia="Calibri" w:hAnsi="Arial Narrow"/>
                <w:sz w:val="20"/>
                <w:szCs w:val="20"/>
              </w:rPr>
            </w:pPr>
            <w:r w:rsidRPr="00E85413">
              <w:rPr>
                <w:rFonts w:ascii="Arial Narrow" w:eastAsia="Calibri" w:hAnsi="Arial Narrow"/>
                <w:sz w:val="20"/>
                <w:szCs w:val="20"/>
              </w:rPr>
              <w:t>Power</w:t>
            </w:r>
          </w:p>
        </w:tc>
        <w:tc>
          <w:tcPr>
            <w:tcW w:w="1803" w:type="pct"/>
            <w:gridSpan w:val="3"/>
          </w:tcPr>
          <w:p w:rsidR="00DB09DA" w:rsidRPr="006972E9" w:rsidRDefault="00267512" w:rsidP="00DB09DA">
            <w:pPr>
              <w:keepNext/>
              <w:keepLines/>
              <w:jc w:val="center"/>
              <w:rPr>
                <w:rFonts w:ascii="Arial Narrow" w:eastAsia="Calibri" w:hAnsi="Arial Narrow"/>
                <w:sz w:val="20"/>
                <w:szCs w:val="20"/>
              </w:rPr>
            </w:pPr>
            <w:r w:rsidRPr="006972E9">
              <w:rPr>
                <w:rFonts w:ascii="Arial Narrow" w:eastAsia="Calibri" w:hAnsi="Arial Narrow"/>
                <w:sz w:val="20"/>
                <w:szCs w:val="20"/>
              </w:rPr>
              <w:t xml:space="preserve">Detectable </w:t>
            </w:r>
            <w:r w:rsidR="00DB09DA" w:rsidRPr="006972E9">
              <w:rPr>
                <w:rFonts w:ascii="Arial Narrow" w:eastAsia="Calibri" w:hAnsi="Arial Narrow"/>
                <w:sz w:val="20"/>
                <w:szCs w:val="20"/>
              </w:rPr>
              <w:t>Difference</w:t>
            </w:r>
          </w:p>
        </w:tc>
        <w:tc>
          <w:tcPr>
            <w:tcW w:w="397" w:type="pct"/>
            <w:vMerge w:val="restart"/>
            <w:shd w:val="clear" w:color="auto" w:fill="auto"/>
          </w:tcPr>
          <w:p w:rsidR="00DB09DA" w:rsidRPr="006972E9" w:rsidRDefault="00DB09DA" w:rsidP="00DB09DA">
            <w:pPr>
              <w:keepNext/>
              <w:keepLines/>
              <w:jc w:val="center"/>
              <w:rPr>
                <w:rFonts w:ascii="Arial Narrow" w:eastAsia="Calibri" w:hAnsi="Arial Narrow"/>
                <w:sz w:val="20"/>
                <w:szCs w:val="20"/>
              </w:rPr>
            </w:pPr>
            <w:r w:rsidRPr="006972E9">
              <w:rPr>
                <w:rFonts w:ascii="Arial Narrow" w:eastAsia="Calibri" w:hAnsi="Arial Narrow"/>
                <w:sz w:val="20"/>
                <w:szCs w:val="20"/>
              </w:rPr>
              <w:t>Power</w:t>
            </w:r>
          </w:p>
        </w:tc>
        <w:tc>
          <w:tcPr>
            <w:tcW w:w="1769" w:type="pct"/>
            <w:gridSpan w:val="3"/>
            <w:shd w:val="clear" w:color="auto" w:fill="auto"/>
          </w:tcPr>
          <w:p w:rsidR="00DB09DA" w:rsidRPr="006972E9" w:rsidRDefault="00267512" w:rsidP="00DB09DA">
            <w:pPr>
              <w:keepNext/>
              <w:keepLines/>
              <w:jc w:val="center"/>
              <w:rPr>
                <w:rFonts w:ascii="Arial Narrow" w:eastAsia="Calibri" w:hAnsi="Arial Narrow"/>
                <w:sz w:val="20"/>
                <w:szCs w:val="20"/>
              </w:rPr>
            </w:pPr>
            <w:r w:rsidRPr="006972E9">
              <w:rPr>
                <w:rFonts w:ascii="Arial Narrow" w:eastAsia="Calibri" w:hAnsi="Arial Narrow"/>
                <w:sz w:val="20"/>
                <w:szCs w:val="20"/>
              </w:rPr>
              <w:t>Detectable Difference</w:t>
            </w:r>
          </w:p>
        </w:tc>
      </w:tr>
      <w:tr w:rsidR="00DB09DA" w:rsidRPr="00E85413" w:rsidTr="00B16E9D">
        <w:tc>
          <w:tcPr>
            <w:tcW w:w="619" w:type="pct"/>
            <w:vMerge/>
            <w:shd w:val="clear" w:color="auto" w:fill="auto"/>
          </w:tcPr>
          <w:p w:rsidR="00DB09DA" w:rsidRPr="00E85413" w:rsidRDefault="00DB09DA" w:rsidP="00DB09DA">
            <w:pPr>
              <w:keepNext/>
              <w:keepLines/>
              <w:rPr>
                <w:rFonts w:ascii="Arial Narrow" w:eastAsia="Calibri" w:hAnsi="Arial Narrow"/>
                <w:sz w:val="20"/>
                <w:szCs w:val="20"/>
              </w:rPr>
            </w:pPr>
          </w:p>
        </w:tc>
        <w:tc>
          <w:tcPr>
            <w:tcW w:w="412" w:type="pct"/>
            <w:vMerge/>
          </w:tcPr>
          <w:p w:rsidR="00DB09DA" w:rsidRPr="00E85413" w:rsidRDefault="00DB09DA" w:rsidP="00DB09DA">
            <w:pPr>
              <w:keepNext/>
              <w:keepLines/>
              <w:jc w:val="center"/>
              <w:rPr>
                <w:rFonts w:ascii="Arial Narrow" w:eastAsia="Calibri" w:hAnsi="Arial Narrow"/>
                <w:sz w:val="20"/>
                <w:szCs w:val="20"/>
              </w:rPr>
            </w:pPr>
          </w:p>
        </w:tc>
        <w:tc>
          <w:tcPr>
            <w:tcW w:w="567" w:type="pct"/>
          </w:tcPr>
          <w:p w:rsidR="00DB09DA" w:rsidRPr="00E85413" w:rsidRDefault="00DB09DA" w:rsidP="00DB09DA">
            <w:pPr>
              <w:keepNext/>
              <w:keepLines/>
              <w:jc w:val="center"/>
              <w:rPr>
                <w:rFonts w:ascii="Arial Narrow" w:eastAsia="Calibri" w:hAnsi="Arial Narrow"/>
                <w:sz w:val="20"/>
                <w:szCs w:val="20"/>
              </w:rPr>
            </w:pPr>
            <w:r w:rsidRPr="00E85413">
              <w:rPr>
                <w:rFonts w:ascii="Arial Narrow" w:eastAsia="Calibri" w:hAnsi="Arial Narrow"/>
                <w:sz w:val="20"/>
                <w:szCs w:val="20"/>
              </w:rPr>
              <w:t>DOT per 1,000 patient-day</w:t>
            </w:r>
            <w:r>
              <w:rPr>
                <w:rFonts w:ascii="Arial Narrow" w:eastAsia="Calibri" w:hAnsi="Arial Narrow"/>
                <w:sz w:val="20"/>
                <w:szCs w:val="20"/>
              </w:rPr>
              <w:t>s</w:t>
            </w:r>
            <w:r w:rsidRPr="00E85413">
              <w:rPr>
                <w:rFonts w:ascii="Arial Narrow" w:eastAsia="Calibri" w:hAnsi="Arial Narrow"/>
                <w:sz w:val="20"/>
                <w:szCs w:val="20"/>
              </w:rPr>
              <w:t xml:space="preserve"> for acute care setting</w:t>
            </w:r>
          </w:p>
        </w:tc>
        <w:tc>
          <w:tcPr>
            <w:tcW w:w="529" w:type="pct"/>
          </w:tcPr>
          <w:p w:rsidR="00DB09DA" w:rsidRPr="00E85413" w:rsidRDefault="00DB09DA" w:rsidP="00DB09DA">
            <w:pPr>
              <w:keepNext/>
              <w:keepLines/>
              <w:jc w:val="center"/>
              <w:rPr>
                <w:rFonts w:ascii="Arial Narrow" w:eastAsia="Calibri" w:hAnsi="Arial Narrow"/>
                <w:sz w:val="20"/>
                <w:szCs w:val="20"/>
              </w:rPr>
            </w:pPr>
            <w:r w:rsidRPr="00E85413">
              <w:rPr>
                <w:rFonts w:ascii="Arial Narrow" w:eastAsia="Calibri" w:hAnsi="Arial Narrow"/>
                <w:sz w:val="20"/>
                <w:szCs w:val="20"/>
              </w:rPr>
              <w:t>DOT per 1,000 patient-days for LTC setting</w:t>
            </w:r>
          </w:p>
        </w:tc>
        <w:tc>
          <w:tcPr>
            <w:tcW w:w="707" w:type="pct"/>
          </w:tcPr>
          <w:p w:rsidR="00DB09DA" w:rsidRPr="00E85413" w:rsidRDefault="00DB09DA" w:rsidP="00DB09DA">
            <w:pPr>
              <w:keepNext/>
              <w:keepLines/>
              <w:jc w:val="center"/>
              <w:rPr>
                <w:rFonts w:ascii="Arial Narrow" w:eastAsia="Calibri" w:hAnsi="Arial Narrow"/>
                <w:sz w:val="20"/>
                <w:szCs w:val="20"/>
              </w:rPr>
            </w:pPr>
            <w:r w:rsidRPr="00E85413">
              <w:rPr>
                <w:rFonts w:ascii="Arial Narrow" w:eastAsia="Calibri" w:hAnsi="Arial Narrow"/>
                <w:sz w:val="20"/>
                <w:szCs w:val="20"/>
              </w:rPr>
              <w:t>Number of antibiotic prescription per 100 patient visits for ambulatory care setting</w:t>
            </w:r>
          </w:p>
        </w:tc>
        <w:tc>
          <w:tcPr>
            <w:tcW w:w="397" w:type="pct"/>
            <w:vMerge/>
            <w:shd w:val="clear" w:color="auto" w:fill="auto"/>
          </w:tcPr>
          <w:p w:rsidR="00DB09DA" w:rsidRPr="00E85413" w:rsidRDefault="00DB09DA" w:rsidP="00DB09DA">
            <w:pPr>
              <w:keepNext/>
              <w:keepLines/>
              <w:jc w:val="center"/>
              <w:rPr>
                <w:rFonts w:ascii="Arial Narrow" w:eastAsia="Calibri" w:hAnsi="Arial Narrow"/>
                <w:sz w:val="20"/>
                <w:szCs w:val="20"/>
              </w:rPr>
            </w:pPr>
          </w:p>
        </w:tc>
        <w:tc>
          <w:tcPr>
            <w:tcW w:w="529" w:type="pct"/>
            <w:shd w:val="clear" w:color="auto" w:fill="auto"/>
          </w:tcPr>
          <w:p w:rsidR="00DB09DA" w:rsidRPr="00E85413" w:rsidRDefault="00DB09DA" w:rsidP="00DB09DA">
            <w:pPr>
              <w:keepNext/>
              <w:keepLines/>
              <w:jc w:val="center"/>
              <w:rPr>
                <w:rFonts w:ascii="Arial Narrow" w:eastAsia="Calibri" w:hAnsi="Arial Narrow"/>
                <w:sz w:val="20"/>
                <w:szCs w:val="20"/>
              </w:rPr>
            </w:pPr>
            <w:r w:rsidRPr="00E85413">
              <w:rPr>
                <w:rFonts w:ascii="Arial Narrow" w:eastAsia="Calibri" w:hAnsi="Arial Narrow"/>
                <w:sz w:val="20"/>
                <w:szCs w:val="20"/>
              </w:rPr>
              <w:t>DOT per 1,000 patient-day</w:t>
            </w:r>
            <w:r>
              <w:rPr>
                <w:rFonts w:ascii="Arial Narrow" w:eastAsia="Calibri" w:hAnsi="Arial Narrow"/>
                <w:sz w:val="20"/>
                <w:szCs w:val="20"/>
              </w:rPr>
              <w:t>s</w:t>
            </w:r>
            <w:r w:rsidRPr="00E85413">
              <w:rPr>
                <w:rFonts w:ascii="Arial Narrow" w:eastAsia="Calibri" w:hAnsi="Arial Narrow"/>
                <w:sz w:val="20"/>
                <w:szCs w:val="20"/>
              </w:rPr>
              <w:t xml:space="preserve"> for acute care setting</w:t>
            </w:r>
          </w:p>
        </w:tc>
        <w:tc>
          <w:tcPr>
            <w:tcW w:w="481" w:type="pct"/>
            <w:shd w:val="clear" w:color="auto" w:fill="auto"/>
          </w:tcPr>
          <w:p w:rsidR="00DB09DA" w:rsidRPr="00E85413" w:rsidRDefault="00DB09DA" w:rsidP="00DB09DA">
            <w:pPr>
              <w:keepNext/>
              <w:keepLines/>
              <w:jc w:val="center"/>
              <w:rPr>
                <w:rFonts w:ascii="Arial Narrow" w:eastAsia="Calibri" w:hAnsi="Arial Narrow"/>
                <w:sz w:val="20"/>
                <w:szCs w:val="20"/>
              </w:rPr>
            </w:pPr>
            <w:r w:rsidRPr="00E85413">
              <w:rPr>
                <w:rFonts w:ascii="Arial Narrow" w:eastAsia="Calibri" w:hAnsi="Arial Narrow"/>
                <w:sz w:val="20"/>
                <w:szCs w:val="20"/>
              </w:rPr>
              <w:t>DOT per 1,000 patient-days for LTC setting</w:t>
            </w:r>
          </w:p>
        </w:tc>
        <w:tc>
          <w:tcPr>
            <w:tcW w:w="759" w:type="pct"/>
            <w:shd w:val="clear" w:color="auto" w:fill="auto"/>
          </w:tcPr>
          <w:p w:rsidR="00DB09DA" w:rsidRPr="00E85413" w:rsidRDefault="00DB09DA" w:rsidP="00DB09DA">
            <w:pPr>
              <w:keepNext/>
              <w:keepLines/>
              <w:jc w:val="center"/>
              <w:rPr>
                <w:rFonts w:ascii="Arial Narrow" w:eastAsia="Calibri" w:hAnsi="Arial Narrow"/>
                <w:sz w:val="20"/>
                <w:szCs w:val="20"/>
              </w:rPr>
            </w:pPr>
            <w:r w:rsidRPr="00E85413">
              <w:rPr>
                <w:rFonts w:ascii="Arial Narrow" w:eastAsia="Calibri" w:hAnsi="Arial Narrow"/>
                <w:sz w:val="20"/>
                <w:szCs w:val="20"/>
              </w:rPr>
              <w:t>Number of antibiotic prescription per 100 patient visits for ambulatory care setting</w:t>
            </w:r>
          </w:p>
        </w:tc>
      </w:tr>
      <w:tr w:rsidR="000C21A5" w:rsidRPr="00E85413" w:rsidTr="00B16E9D">
        <w:tc>
          <w:tcPr>
            <w:tcW w:w="619" w:type="pct"/>
            <w:vMerge w:val="restart"/>
            <w:shd w:val="clear" w:color="auto" w:fill="auto"/>
            <w:vAlign w:val="center"/>
          </w:tcPr>
          <w:p w:rsidR="000C21A5" w:rsidRPr="00E85413" w:rsidRDefault="000C21A5" w:rsidP="00DB09DA">
            <w:pPr>
              <w:keepNext/>
              <w:keepLines/>
              <w:jc w:val="center"/>
              <w:rPr>
                <w:rFonts w:ascii="Arial Narrow" w:eastAsia="Calibri" w:hAnsi="Arial Narrow"/>
                <w:sz w:val="20"/>
                <w:szCs w:val="20"/>
              </w:rPr>
            </w:pPr>
            <w:r w:rsidRPr="00E85413">
              <w:rPr>
                <w:rFonts w:ascii="Arial Narrow" w:eastAsia="Calibri" w:hAnsi="Arial Narrow"/>
                <w:sz w:val="20"/>
                <w:szCs w:val="20"/>
              </w:rPr>
              <w:t>0.2</w:t>
            </w:r>
          </w:p>
        </w:tc>
        <w:tc>
          <w:tcPr>
            <w:tcW w:w="412" w:type="pct"/>
          </w:tcPr>
          <w:p w:rsidR="000C21A5" w:rsidRPr="00E85413" w:rsidRDefault="000C21A5" w:rsidP="00DB09DA">
            <w:pPr>
              <w:keepNext/>
              <w:keepLines/>
              <w:jc w:val="center"/>
              <w:rPr>
                <w:rFonts w:ascii="Arial Narrow" w:eastAsia="Calibri" w:hAnsi="Arial Narrow"/>
                <w:sz w:val="20"/>
                <w:szCs w:val="20"/>
              </w:rPr>
            </w:pPr>
            <w:r w:rsidRPr="00E85413">
              <w:rPr>
                <w:rFonts w:ascii="Arial Narrow" w:eastAsia="Calibri" w:hAnsi="Arial Narrow"/>
                <w:sz w:val="20"/>
                <w:szCs w:val="20"/>
              </w:rPr>
              <w:t>60%</w:t>
            </w:r>
          </w:p>
        </w:tc>
        <w:tc>
          <w:tcPr>
            <w:tcW w:w="567" w:type="pct"/>
          </w:tcPr>
          <w:p w:rsidR="000C21A5" w:rsidRPr="00E85413" w:rsidRDefault="000C21A5" w:rsidP="00DB09DA">
            <w:pPr>
              <w:keepNext/>
              <w:keepLines/>
              <w:jc w:val="center"/>
              <w:rPr>
                <w:rFonts w:ascii="Arial Narrow" w:eastAsia="Calibri" w:hAnsi="Arial Narrow"/>
                <w:sz w:val="20"/>
                <w:szCs w:val="20"/>
              </w:rPr>
            </w:pPr>
            <w:r>
              <w:rPr>
                <w:rFonts w:ascii="Arial Narrow" w:eastAsia="Calibri" w:hAnsi="Arial Narrow"/>
                <w:sz w:val="20"/>
                <w:szCs w:val="20"/>
              </w:rPr>
              <w:t>53.7</w:t>
            </w:r>
          </w:p>
        </w:tc>
        <w:tc>
          <w:tcPr>
            <w:tcW w:w="529" w:type="pct"/>
          </w:tcPr>
          <w:p w:rsidR="000C21A5" w:rsidRPr="00E85413" w:rsidRDefault="000C21A5" w:rsidP="00DB09DA">
            <w:pPr>
              <w:keepNext/>
              <w:keepLines/>
              <w:jc w:val="center"/>
              <w:rPr>
                <w:rFonts w:ascii="Arial Narrow" w:eastAsia="Calibri" w:hAnsi="Arial Narrow"/>
                <w:sz w:val="20"/>
                <w:szCs w:val="20"/>
              </w:rPr>
            </w:pPr>
            <w:r>
              <w:rPr>
                <w:rFonts w:ascii="Arial Narrow" w:eastAsia="Calibri" w:hAnsi="Arial Narrow"/>
                <w:sz w:val="20"/>
                <w:szCs w:val="20"/>
              </w:rPr>
              <w:t>21.5</w:t>
            </w:r>
          </w:p>
        </w:tc>
        <w:tc>
          <w:tcPr>
            <w:tcW w:w="707" w:type="pct"/>
          </w:tcPr>
          <w:p w:rsidR="000C21A5" w:rsidRPr="00E85413" w:rsidRDefault="000C21A5" w:rsidP="00DB09DA">
            <w:pPr>
              <w:keepNext/>
              <w:keepLines/>
              <w:jc w:val="center"/>
              <w:rPr>
                <w:rFonts w:ascii="Arial Narrow" w:eastAsia="Calibri" w:hAnsi="Arial Narrow"/>
                <w:sz w:val="20"/>
                <w:szCs w:val="20"/>
              </w:rPr>
            </w:pPr>
            <w:r>
              <w:rPr>
                <w:rFonts w:ascii="Arial Narrow" w:eastAsia="Calibri" w:hAnsi="Arial Narrow"/>
                <w:sz w:val="20"/>
                <w:szCs w:val="20"/>
              </w:rPr>
              <w:t>2.6</w:t>
            </w:r>
          </w:p>
        </w:tc>
        <w:tc>
          <w:tcPr>
            <w:tcW w:w="397" w:type="pct"/>
            <w:shd w:val="clear" w:color="auto" w:fill="auto"/>
          </w:tcPr>
          <w:p w:rsidR="000C21A5" w:rsidRPr="00E85413" w:rsidRDefault="000C21A5" w:rsidP="00DB09DA">
            <w:pPr>
              <w:keepNext/>
              <w:keepLines/>
              <w:jc w:val="center"/>
              <w:rPr>
                <w:rFonts w:ascii="Arial Narrow" w:eastAsia="Calibri" w:hAnsi="Arial Narrow"/>
                <w:sz w:val="20"/>
                <w:szCs w:val="20"/>
              </w:rPr>
            </w:pPr>
            <w:r w:rsidRPr="00E85413">
              <w:rPr>
                <w:rFonts w:ascii="Arial Narrow" w:eastAsia="Calibri" w:hAnsi="Arial Narrow"/>
                <w:sz w:val="20"/>
                <w:szCs w:val="20"/>
              </w:rPr>
              <w:t>60%</w:t>
            </w:r>
          </w:p>
        </w:tc>
        <w:tc>
          <w:tcPr>
            <w:tcW w:w="529" w:type="pct"/>
            <w:shd w:val="clear" w:color="auto" w:fill="auto"/>
          </w:tcPr>
          <w:p w:rsidR="000C21A5" w:rsidRPr="00E85413" w:rsidRDefault="000C21A5" w:rsidP="00DB09DA">
            <w:pPr>
              <w:keepNext/>
              <w:keepLines/>
              <w:jc w:val="center"/>
              <w:rPr>
                <w:rFonts w:ascii="Arial Narrow" w:eastAsia="Calibri" w:hAnsi="Arial Narrow"/>
                <w:sz w:val="20"/>
                <w:szCs w:val="20"/>
              </w:rPr>
            </w:pPr>
            <w:r>
              <w:rPr>
                <w:rFonts w:ascii="Arial Narrow" w:eastAsia="Calibri" w:hAnsi="Arial Narrow"/>
                <w:sz w:val="20"/>
                <w:szCs w:val="20"/>
              </w:rPr>
              <w:t>62.6</w:t>
            </w:r>
          </w:p>
        </w:tc>
        <w:tc>
          <w:tcPr>
            <w:tcW w:w="481" w:type="pct"/>
            <w:shd w:val="clear" w:color="auto" w:fill="auto"/>
          </w:tcPr>
          <w:p w:rsidR="000C21A5" w:rsidRPr="00E85413" w:rsidRDefault="000C21A5" w:rsidP="00DB09DA">
            <w:pPr>
              <w:keepNext/>
              <w:keepLines/>
              <w:jc w:val="center"/>
              <w:rPr>
                <w:rFonts w:ascii="Arial Narrow" w:eastAsia="Calibri" w:hAnsi="Arial Narrow"/>
                <w:sz w:val="20"/>
                <w:szCs w:val="20"/>
              </w:rPr>
            </w:pPr>
            <w:r>
              <w:rPr>
                <w:rFonts w:ascii="Arial Narrow" w:eastAsia="Calibri" w:hAnsi="Arial Narrow"/>
                <w:sz w:val="20"/>
                <w:szCs w:val="20"/>
              </w:rPr>
              <w:t>25.0</w:t>
            </w:r>
          </w:p>
        </w:tc>
        <w:tc>
          <w:tcPr>
            <w:tcW w:w="759" w:type="pct"/>
            <w:shd w:val="clear" w:color="auto" w:fill="auto"/>
          </w:tcPr>
          <w:p w:rsidR="000C21A5" w:rsidRPr="00E85413" w:rsidRDefault="000C21A5" w:rsidP="00DB09DA">
            <w:pPr>
              <w:keepNext/>
              <w:keepLines/>
              <w:jc w:val="center"/>
              <w:rPr>
                <w:rFonts w:ascii="Arial Narrow" w:eastAsia="Calibri" w:hAnsi="Arial Narrow"/>
                <w:sz w:val="20"/>
                <w:szCs w:val="20"/>
              </w:rPr>
            </w:pPr>
            <w:r>
              <w:rPr>
                <w:rFonts w:ascii="Arial Narrow" w:eastAsia="Calibri" w:hAnsi="Arial Narrow"/>
                <w:sz w:val="20"/>
                <w:szCs w:val="20"/>
              </w:rPr>
              <w:t>3.0</w:t>
            </w:r>
          </w:p>
        </w:tc>
      </w:tr>
      <w:tr w:rsidR="000C21A5" w:rsidRPr="00E85413" w:rsidTr="00B16E9D">
        <w:tc>
          <w:tcPr>
            <w:tcW w:w="619" w:type="pct"/>
            <w:vMerge/>
            <w:shd w:val="clear" w:color="auto" w:fill="auto"/>
            <w:vAlign w:val="center"/>
          </w:tcPr>
          <w:p w:rsidR="000C21A5" w:rsidRPr="00E85413" w:rsidRDefault="000C21A5" w:rsidP="00B16E9D">
            <w:pPr>
              <w:jc w:val="center"/>
              <w:rPr>
                <w:rFonts w:ascii="Arial Narrow" w:eastAsia="Calibri" w:hAnsi="Arial Narrow"/>
                <w:sz w:val="20"/>
                <w:szCs w:val="20"/>
              </w:rPr>
            </w:pP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70%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61.4</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24.5</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2.9</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70%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70.3</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28.1</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3.4</w:t>
            </w:r>
          </w:p>
        </w:tc>
      </w:tr>
      <w:tr w:rsidR="000C21A5" w:rsidRPr="00E85413" w:rsidTr="00B16E9D">
        <w:tc>
          <w:tcPr>
            <w:tcW w:w="619" w:type="pct"/>
            <w:vMerge/>
            <w:shd w:val="clear" w:color="auto" w:fill="auto"/>
            <w:vAlign w:val="center"/>
          </w:tcPr>
          <w:p w:rsidR="000C21A5" w:rsidRPr="00E85413" w:rsidRDefault="000C21A5" w:rsidP="00B16E9D">
            <w:pPr>
              <w:jc w:val="center"/>
              <w:rPr>
                <w:rFonts w:ascii="Arial Narrow" w:eastAsia="Calibri" w:hAnsi="Arial Narrow"/>
                <w:sz w:val="20"/>
                <w:szCs w:val="20"/>
              </w:rPr>
            </w:pP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80%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70.3</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28.1</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3.4</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80%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79.2</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31.7</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3.8</w:t>
            </w:r>
          </w:p>
        </w:tc>
      </w:tr>
      <w:tr w:rsidR="000C21A5" w:rsidRPr="00E85413" w:rsidTr="00B16E9D">
        <w:tc>
          <w:tcPr>
            <w:tcW w:w="619" w:type="pct"/>
            <w:vMerge/>
            <w:shd w:val="clear" w:color="auto" w:fill="auto"/>
            <w:vAlign w:val="center"/>
          </w:tcPr>
          <w:p w:rsidR="000C21A5" w:rsidRPr="00E85413" w:rsidRDefault="000C21A5" w:rsidP="00B16E9D">
            <w:pPr>
              <w:jc w:val="center"/>
              <w:rPr>
                <w:rFonts w:ascii="Arial Narrow" w:eastAsia="Calibri" w:hAnsi="Arial Narrow"/>
                <w:sz w:val="20"/>
                <w:szCs w:val="20"/>
              </w:rPr>
            </w:pP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90%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82.8</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33.1</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4.0</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90%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91.7</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36.7</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4.4</w:t>
            </w:r>
          </w:p>
        </w:tc>
      </w:tr>
      <w:tr w:rsidR="000C21A5" w:rsidRPr="00E85413" w:rsidTr="00B16E9D">
        <w:tc>
          <w:tcPr>
            <w:tcW w:w="619" w:type="pct"/>
            <w:vMerge w:val="restart"/>
            <w:shd w:val="clear" w:color="auto" w:fill="auto"/>
            <w:vAlign w:val="center"/>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0.4</w:t>
            </w: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60%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46.5</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18.6</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2.2</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60%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54.2</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21.7</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2.6</w:t>
            </w:r>
          </w:p>
        </w:tc>
      </w:tr>
      <w:tr w:rsidR="000C21A5" w:rsidRPr="00E85413" w:rsidTr="00B16E9D">
        <w:tc>
          <w:tcPr>
            <w:tcW w:w="619" w:type="pct"/>
            <w:vMerge/>
            <w:shd w:val="clear" w:color="auto" w:fill="auto"/>
            <w:vAlign w:val="center"/>
          </w:tcPr>
          <w:p w:rsidR="000C21A5" w:rsidRPr="00E85413" w:rsidRDefault="000C21A5" w:rsidP="00B16E9D">
            <w:pPr>
              <w:jc w:val="center"/>
              <w:rPr>
                <w:rFonts w:ascii="Arial Narrow" w:eastAsia="Calibri" w:hAnsi="Arial Narrow"/>
                <w:sz w:val="20"/>
                <w:szCs w:val="20"/>
              </w:rPr>
            </w:pP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70%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53.1</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21.3</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2.6</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70%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60.9</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24.3</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2.9</w:t>
            </w:r>
          </w:p>
        </w:tc>
      </w:tr>
      <w:tr w:rsidR="000C21A5" w:rsidRPr="00E85413" w:rsidTr="00B16E9D">
        <w:tc>
          <w:tcPr>
            <w:tcW w:w="619" w:type="pct"/>
            <w:vMerge/>
            <w:shd w:val="clear" w:color="auto" w:fill="auto"/>
            <w:vAlign w:val="center"/>
          </w:tcPr>
          <w:p w:rsidR="000C21A5" w:rsidRPr="00E85413" w:rsidRDefault="000C21A5" w:rsidP="00B16E9D">
            <w:pPr>
              <w:jc w:val="center"/>
              <w:rPr>
                <w:rFonts w:ascii="Arial Narrow" w:eastAsia="Calibri" w:hAnsi="Arial Narrow"/>
                <w:sz w:val="20"/>
                <w:szCs w:val="20"/>
              </w:rPr>
            </w:pP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80%</w:t>
            </w:r>
          </w:p>
        </w:tc>
        <w:tc>
          <w:tcPr>
            <w:tcW w:w="567" w:type="pct"/>
          </w:tcPr>
          <w:p w:rsidR="000C21A5" w:rsidRPr="008F4DD1" w:rsidRDefault="000C21A5" w:rsidP="00B16E9D">
            <w:pPr>
              <w:jc w:val="center"/>
              <w:rPr>
                <w:rFonts w:ascii="Arial Narrow" w:eastAsia="Calibri" w:hAnsi="Arial Narrow"/>
                <w:b/>
                <w:sz w:val="20"/>
                <w:szCs w:val="20"/>
              </w:rPr>
            </w:pPr>
            <w:r w:rsidRPr="008F4DD1">
              <w:rPr>
                <w:rFonts w:ascii="Arial Narrow" w:eastAsia="Calibri" w:hAnsi="Arial Narrow"/>
                <w:b/>
                <w:sz w:val="20"/>
                <w:szCs w:val="20"/>
              </w:rPr>
              <w:t>60.9</w:t>
            </w:r>
          </w:p>
        </w:tc>
        <w:tc>
          <w:tcPr>
            <w:tcW w:w="529" w:type="pct"/>
          </w:tcPr>
          <w:p w:rsidR="000C21A5" w:rsidRPr="008F4DD1" w:rsidRDefault="000C21A5" w:rsidP="00B16E9D">
            <w:pPr>
              <w:jc w:val="center"/>
              <w:rPr>
                <w:rFonts w:ascii="Arial Narrow" w:eastAsia="Calibri" w:hAnsi="Arial Narrow"/>
                <w:b/>
                <w:sz w:val="20"/>
                <w:szCs w:val="20"/>
              </w:rPr>
            </w:pPr>
            <w:r w:rsidRPr="008F4DD1">
              <w:rPr>
                <w:rFonts w:ascii="Arial Narrow" w:eastAsia="Calibri" w:hAnsi="Arial Narrow"/>
                <w:b/>
                <w:sz w:val="20"/>
                <w:szCs w:val="20"/>
              </w:rPr>
              <w:t>24.4</w:t>
            </w:r>
          </w:p>
        </w:tc>
        <w:tc>
          <w:tcPr>
            <w:tcW w:w="707" w:type="pct"/>
          </w:tcPr>
          <w:p w:rsidR="000C21A5" w:rsidRPr="008F4DD1" w:rsidRDefault="000C21A5" w:rsidP="00B16E9D">
            <w:pPr>
              <w:jc w:val="center"/>
              <w:rPr>
                <w:rFonts w:ascii="Arial Narrow" w:eastAsia="Calibri" w:hAnsi="Arial Narrow"/>
                <w:b/>
                <w:sz w:val="20"/>
                <w:szCs w:val="20"/>
              </w:rPr>
            </w:pPr>
            <w:r w:rsidRPr="008F4DD1">
              <w:rPr>
                <w:rFonts w:ascii="Arial Narrow" w:eastAsia="Calibri" w:hAnsi="Arial Narrow"/>
                <w:b/>
                <w:sz w:val="20"/>
                <w:szCs w:val="20"/>
              </w:rPr>
              <w:t>2.9</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80%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68.6</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27.4</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3.3</w:t>
            </w:r>
          </w:p>
        </w:tc>
      </w:tr>
      <w:tr w:rsidR="000C21A5" w:rsidRPr="00E85413" w:rsidTr="00B16E9D">
        <w:tc>
          <w:tcPr>
            <w:tcW w:w="619" w:type="pct"/>
            <w:vMerge/>
            <w:shd w:val="clear" w:color="auto" w:fill="auto"/>
            <w:vAlign w:val="center"/>
          </w:tcPr>
          <w:p w:rsidR="000C21A5" w:rsidRPr="00E85413" w:rsidRDefault="000C21A5" w:rsidP="00B16E9D">
            <w:pPr>
              <w:jc w:val="center"/>
              <w:rPr>
                <w:rFonts w:ascii="Arial Narrow" w:eastAsia="Calibri" w:hAnsi="Arial Narrow"/>
                <w:sz w:val="20"/>
                <w:szCs w:val="20"/>
              </w:rPr>
            </w:pP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90%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71.7</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28.7</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3.4</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90%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79.4</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31.8</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3.8</w:t>
            </w:r>
          </w:p>
        </w:tc>
      </w:tr>
      <w:tr w:rsidR="000C21A5" w:rsidRPr="00E85413" w:rsidTr="00B16E9D">
        <w:tc>
          <w:tcPr>
            <w:tcW w:w="619" w:type="pct"/>
            <w:vMerge w:val="restart"/>
            <w:shd w:val="clear" w:color="auto" w:fill="auto"/>
            <w:vAlign w:val="center"/>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0.6</w:t>
            </w: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60%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38.0</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15.2</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1.8</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60%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44.3</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17.7</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2.1</w:t>
            </w:r>
          </w:p>
        </w:tc>
      </w:tr>
      <w:tr w:rsidR="000C21A5" w:rsidRPr="00E85413" w:rsidTr="00B16E9D">
        <w:tc>
          <w:tcPr>
            <w:tcW w:w="619" w:type="pct"/>
            <w:vMerge/>
            <w:shd w:val="clear" w:color="auto" w:fill="auto"/>
          </w:tcPr>
          <w:p w:rsidR="000C21A5" w:rsidRPr="00E85413" w:rsidRDefault="000C21A5" w:rsidP="00B16E9D">
            <w:pPr>
              <w:jc w:val="center"/>
              <w:rPr>
                <w:rFonts w:ascii="Arial Narrow" w:eastAsia="Calibri" w:hAnsi="Arial Narrow"/>
                <w:sz w:val="20"/>
                <w:szCs w:val="20"/>
              </w:rPr>
            </w:pP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70%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43.4</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17.4</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2.1</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70%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49.7</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19.9</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2.4</w:t>
            </w:r>
          </w:p>
        </w:tc>
      </w:tr>
      <w:tr w:rsidR="000C21A5" w:rsidRPr="00E85413" w:rsidTr="00B16E9D">
        <w:tc>
          <w:tcPr>
            <w:tcW w:w="619" w:type="pct"/>
            <w:vMerge/>
            <w:shd w:val="clear" w:color="auto" w:fill="auto"/>
          </w:tcPr>
          <w:p w:rsidR="000C21A5" w:rsidRPr="00E85413" w:rsidRDefault="000C21A5" w:rsidP="00B16E9D">
            <w:pPr>
              <w:jc w:val="center"/>
              <w:rPr>
                <w:rFonts w:ascii="Arial Narrow" w:eastAsia="Calibri" w:hAnsi="Arial Narrow"/>
                <w:sz w:val="20"/>
                <w:szCs w:val="20"/>
              </w:rPr>
            </w:pP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80%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49.7</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19.9</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2.4</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80%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56.0</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22.4</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2.7</w:t>
            </w:r>
          </w:p>
        </w:tc>
      </w:tr>
      <w:tr w:rsidR="000C21A5" w:rsidRPr="00E85413" w:rsidTr="00B16E9D">
        <w:tc>
          <w:tcPr>
            <w:tcW w:w="619" w:type="pct"/>
            <w:vMerge/>
            <w:shd w:val="clear" w:color="auto" w:fill="auto"/>
          </w:tcPr>
          <w:p w:rsidR="000C21A5" w:rsidRPr="00E85413" w:rsidRDefault="000C21A5" w:rsidP="00B16E9D">
            <w:pPr>
              <w:jc w:val="center"/>
              <w:rPr>
                <w:rFonts w:ascii="Arial Narrow" w:eastAsia="Calibri" w:hAnsi="Arial Narrow"/>
                <w:sz w:val="20"/>
                <w:szCs w:val="20"/>
              </w:rPr>
            </w:pP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90%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58.5</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23.4</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2.8</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90%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64.8</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25.9</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3.1</w:t>
            </w:r>
          </w:p>
        </w:tc>
      </w:tr>
    </w:tbl>
    <w:p w:rsidR="000C21A5" w:rsidRDefault="000C21A5" w:rsidP="000C21A5"/>
    <w:p w:rsidR="000C21A5" w:rsidRDefault="000C21A5" w:rsidP="000C21A5">
      <w:pPr>
        <w:rPr>
          <w:u w:val="single"/>
        </w:rPr>
      </w:pPr>
      <w:r w:rsidRPr="007461FB">
        <w:rPr>
          <w:u w:val="single"/>
        </w:rPr>
        <w:t xml:space="preserve">Cohort 2 </w:t>
      </w:r>
      <w:r>
        <w:rPr>
          <w:u w:val="single"/>
        </w:rPr>
        <w:t>(Acute C</w:t>
      </w:r>
      <w:r w:rsidRPr="007461FB">
        <w:rPr>
          <w:u w:val="single"/>
        </w:rPr>
        <w:t>are</w:t>
      </w:r>
      <w:r>
        <w:rPr>
          <w:u w:val="single"/>
        </w:rPr>
        <w:t xml:space="preserve"> H</w:t>
      </w:r>
      <w:r w:rsidRPr="007461FB">
        <w:rPr>
          <w:u w:val="single"/>
        </w:rPr>
        <w:t>ospitals</w:t>
      </w:r>
      <w:r>
        <w:rPr>
          <w:u w:val="single"/>
        </w:rPr>
        <w:t xml:space="preserve">), </w:t>
      </w:r>
      <w:r w:rsidRPr="007461FB">
        <w:rPr>
          <w:u w:val="single"/>
        </w:rPr>
        <w:t xml:space="preserve">Cohort 3 </w:t>
      </w:r>
      <w:r>
        <w:rPr>
          <w:u w:val="single"/>
        </w:rPr>
        <w:t>(Long-Term C</w:t>
      </w:r>
      <w:r w:rsidRPr="007461FB">
        <w:rPr>
          <w:u w:val="single"/>
        </w:rPr>
        <w:t xml:space="preserve">are </w:t>
      </w:r>
      <w:r>
        <w:rPr>
          <w:u w:val="single"/>
        </w:rPr>
        <w:t>F</w:t>
      </w:r>
      <w:r w:rsidRPr="007461FB">
        <w:rPr>
          <w:u w:val="single"/>
        </w:rPr>
        <w:t>acilities</w:t>
      </w:r>
      <w:r>
        <w:rPr>
          <w:u w:val="single"/>
        </w:rPr>
        <w:t>) and Cohort 4 (Ambulatory Care Facilities)</w:t>
      </w:r>
    </w:p>
    <w:p w:rsidR="000C21A5" w:rsidRDefault="000C21A5" w:rsidP="000C21A5"/>
    <w:p w:rsidR="000C21A5" w:rsidRDefault="000C21A5" w:rsidP="000C21A5">
      <w:r>
        <w:t xml:space="preserve">The Cohort 2, 3, and 4 implementation data collection is </w:t>
      </w:r>
      <w:r w:rsidRPr="00C424B2">
        <w:t xml:space="preserve">designed to be powered at 80% to detect </w:t>
      </w:r>
      <w:r>
        <w:t xml:space="preserve">a decrease from baseline to post-intervention period for: </w:t>
      </w:r>
      <w:r w:rsidRPr="00E74E63">
        <w:t xml:space="preserve">1) </w:t>
      </w:r>
      <w:r>
        <w:t xml:space="preserve">12.8 </w:t>
      </w:r>
      <w:r w:rsidRPr="00E74E63">
        <w:t xml:space="preserve">DOT per 1,000 patient-days in acute care settings, 2) </w:t>
      </w:r>
      <w:r>
        <w:t xml:space="preserve">5.1 </w:t>
      </w:r>
      <w:r w:rsidRPr="00E74E63">
        <w:t xml:space="preserve">DOT per 1,000 patient-days in LTC settings, and 3) </w:t>
      </w:r>
      <w:r>
        <w:t>0.6</w:t>
      </w:r>
      <w:r w:rsidRPr="00E74E63">
        <w:t xml:space="preserve"> antibiotic prescription</w:t>
      </w:r>
      <w:r>
        <w:t>s</w:t>
      </w:r>
      <w:r w:rsidRPr="00E74E63">
        <w:t xml:space="preserve"> per 100 patient-visits in ambulatory care settings.</w:t>
      </w:r>
      <w:r>
        <w:t xml:space="preserve"> The f</w:t>
      </w:r>
      <w:r w:rsidRPr="00C424B2">
        <w:t>ollowing assumptions</w:t>
      </w:r>
      <w:r>
        <w:t xml:space="preserve"> were used in the power calculations</w:t>
      </w:r>
      <w:r w:rsidRPr="00C424B2">
        <w:t xml:space="preserve">: 1) </w:t>
      </w:r>
      <w:r>
        <w:t>1</w:t>
      </w:r>
      <w:r w:rsidRPr="00C424B2">
        <w:t xml:space="preserve">-sided significant level of 0.05, 2) </w:t>
      </w:r>
      <w:r>
        <w:t>250 units</w:t>
      </w:r>
      <w:r w:rsidRPr="00C424B2">
        <w:t xml:space="preserve"> from each </w:t>
      </w:r>
      <w:r>
        <w:t>type of settings</w:t>
      </w:r>
      <w:r w:rsidRPr="00C424B2">
        <w:t xml:space="preserve">, </w:t>
      </w:r>
      <w:r>
        <w:t>3</w:t>
      </w:r>
      <w:r w:rsidRPr="00C424B2">
        <w:t>) within-unit correlation of 0.</w:t>
      </w:r>
      <w:r>
        <w:t>4, and 4) response rate of 90%</w:t>
      </w:r>
      <w:r w:rsidRPr="00C424B2">
        <w:t xml:space="preserve">. </w:t>
      </w:r>
    </w:p>
    <w:p w:rsidR="000C21A5" w:rsidRPr="00C424B2" w:rsidRDefault="000C21A5" w:rsidP="000C21A5"/>
    <w:p w:rsidR="000C21A5" w:rsidRDefault="000C21A5" w:rsidP="000C21A5">
      <w:r>
        <w:t>Exhibit B.7 below</w:t>
      </w:r>
      <w:r w:rsidRPr="00C424B2">
        <w:t xml:space="preserve"> provides the power and the corresponding effect size th</w:t>
      </w:r>
      <w:r>
        <w:t>e</w:t>
      </w:r>
      <w:r w:rsidRPr="00C424B2">
        <w:t xml:space="preserve"> </w:t>
      </w:r>
      <w:r>
        <w:t xml:space="preserve">project will be able </w:t>
      </w:r>
      <w:r w:rsidRPr="00C424B2">
        <w:t xml:space="preserve">to detect from </w:t>
      </w:r>
      <w:r>
        <w:t>baseline to post-intervention period,</w:t>
      </w:r>
      <w:r w:rsidRPr="00C424B2">
        <w:t xml:space="preserve"> given different level</w:t>
      </w:r>
      <w:r>
        <w:t>s</w:t>
      </w:r>
      <w:r w:rsidRPr="00C424B2">
        <w:t xml:space="preserve"> of significance</w:t>
      </w:r>
      <w:r>
        <w:t xml:space="preserve"> and within-unit</w:t>
      </w:r>
      <w:r w:rsidRPr="00C424B2">
        <w:t xml:space="preserve"> correlations</w:t>
      </w:r>
      <w:r>
        <w:t xml:space="preserve"> </w:t>
      </w:r>
      <w:r w:rsidRPr="00C424B2">
        <w:t xml:space="preserve">based on the primary outcomes </w:t>
      </w:r>
      <w:r>
        <w:t>for each type of settings</w:t>
      </w:r>
      <w:r w:rsidRPr="00C424B2">
        <w:t>.</w:t>
      </w:r>
    </w:p>
    <w:p w:rsidR="000C21A5" w:rsidRDefault="000C21A5" w:rsidP="000C21A5"/>
    <w:p w:rsidR="000C21A5" w:rsidRPr="00EC1724" w:rsidRDefault="000C21A5" w:rsidP="000C21A5">
      <w:r>
        <w:rPr>
          <w:rStyle w:val="NORCCaption-Color"/>
          <w:rFonts w:eastAsia="Calibri"/>
        </w:rPr>
        <w:t>Exhibit B.7</w:t>
      </w:r>
      <w:r w:rsidRPr="000D507D">
        <w:rPr>
          <w:rStyle w:val="NORCCaption-Color"/>
          <w:rFonts w:eastAsia="Calibri"/>
        </w:rPr>
        <w:t>:</w:t>
      </w:r>
      <w:r w:rsidRPr="000D507D">
        <w:t xml:space="preserve"> </w:t>
      </w:r>
      <w:r w:rsidRPr="00EC1724">
        <w:t xml:space="preserve">Power Analysis for </w:t>
      </w:r>
      <w:r>
        <w:t>Cohorts 2, 3, and 4</w:t>
      </w:r>
      <w:r w:rsidRPr="00EC1724">
        <w:t xml:space="preserve"> (n=250</w:t>
      </w:r>
      <w:r>
        <w:t>*0.9</w:t>
      </w:r>
      <w:r w:rsidRPr="00EC1724">
        <w:t xml:space="preserve">, for </w:t>
      </w:r>
      <w:r>
        <w:t>one</w:t>
      </w:r>
      <w:r w:rsidRPr="00EC1724">
        <w:t xml:space="preserve"> setting</w:t>
      </w:r>
      <w:r w:rsidRPr="00AC68B5">
        <w:rPr>
          <w:vertAlign w:val="superscript"/>
        </w:rPr>
        <w:t>*</w:t>
      </w:r>
      <w:r w:rsidRPr="00EC1724">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730"/>
        <w:gridCol w:w="1004"/>
        <w:gridCol w:w="937"/>
        <w:gridCol w:w="1252"/>
        <w:gridCol w:w="703"/>
        <w:gridCol w:w="937"/>
        <w:gridCol w:w="852"/>
        <w:gridCol w:w="1344"/>
      </w:tblGrid>
      <w:tr w:rsidR="000C21A5" w:rsidRPr="00E85413" w:rsidTr="00B16E9D">
        <w:tc>
          <w:tcPr>
            <w:tcW w:w="619" w:type="pct"/>
            <w:vMerge w:val="restar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Correlation within unit</w:t>
            </w:r>
          </w:p>
        </w:tc>
        <w:tc>
          <w:tcPr>
            <w:tcW w:w="2215" w:type="pct"/>
            <w:gridSpan w:val="4"/>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1-sided significance of 0.05</w:t>
            </w:r>
          </w:p>
        </w:tc>
        <w:tc>
          <w:tcPr>
            <w:tcW w:w="2166" w:type="pct"/>
            <w:gridSpan w:val="4"/>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2-sided significance of 0.05</w:t>
            </w:r>
          </w:p>
        </w:tc>
      </w:tr>
      <w:tr w:rsidR="00DB09DA" w:rsidRPr="00E85413" w:rsidTr="00290E53">
        <w:tc>
          <w:tcPr>
            <w:tcW w:w="619" w:type="pct"/>
            <w:vMerge/>
            <w:shd w:val="clear" w:color="auto" w:fill="auto"/>
          </w:tcPr>
          <w:p w:rsidR="00DB09DA" w:rsidRPr="00E85413" w:rsidRDefault="00DB09DA" w:rsidP="00B16E9D">
            <w:pPr>
              <w:rPr>
                <w:rFonts w:ascii="Arial Narrow" w:eastAsia="Calibri" w:hAnsi="Arial Narrow"/>
                <w:sz w:val="20"/>
                <w:szCs w:val="20"/>
              </w:rPr>
            </w:pPr>
          </w:p>
        </w:tc>
        <w:tc>
          <w:tcPr>
            <w:tcW w:w="412" w:type="pct"/>
            <w:vMerge w:val="restart"/>
          </w:tcPr>
          <w:p w:rsidR="00DB09DA" w:rsidRPr="006972E9" w:rsidRDefault="00DB09DA" w:rsidP="00B16E9D">
            <w:pPr>
              <w:jc w:val="center"/>
              <w:rPr>
                <w:rFonts w:ascii="Arial Narrow" w:eastAsia="Calibri" w:hAnsi="Arial Narrow"/>
                <w:sz w:val="20"/>
                <w:szCs w:val="20"/>
              </w:rPr>
            </w:pPr>
            <w:r w:rsidRPr="006972E9">
              <w:rPr>
                <w:rFonts w:ascii="Arial Narrow" w:eastAsia="Calibri" w:hAnsi="Arial Narrow"/>
                <w:sz w:val="20"/>
                <w:szCs w:val="20"/>
              </w:rPr>
              <w:t>Power</w:t>
            </w:r>
          </w:p>
        </w:tc>
        <w:tc>
          <w:tcPr>
            <w:tcW w:w="1803" w:type="pct"/>
            <w:gridSpan w:val="3"/>
          </w:tcPr>
          <w:p w:rsidR="00DB09DA" w:rsidRPr="006972E9" w:rsidRDefault="00267512" w:rsidP="00B16E9D">
            <w:pPr>
              <w:jc w:val="center"/>
              <w:rPr>
                <w:rFonts w:ascii="Arial Narrow" w:eastAsia="Calibri" w:hAnsi="Arial Narrow"/>
                <w:sz w:val="20"/>
                <w:szCs w:val="20"/>
              </w:rPr>
            </w:pPr>
            <w:r w:rsidRPr="006972E9">
              <w:rPr>
                <w:rFonts w:ascii="Arial Narrow" w:eastAsia="Calibri" w:hAnsi="Arial Narrow"/>
                <w:sz w:val="20"/>
                <w:szCs w:val="20"/>
              </w:rPr>
              <w:t>Detectable Difference</w:t>
            </w:r>
          </w:p>
        </w:tc>
        <w:tc>
          <w:tcPr>
            <w:tcW w:w="397" w:type="pct"/>
            <w:vMerge w:val="restart"/>
            <w:shd w:val="clear" w:color="auto" w:fill="auto"/>
          </w:tcPr>
          <w:p w:rsidR="00DB09DA" w:rsidRPr="006972E9" w:rsidRDefault="00DB09DA" w:rsidP="00B16E9D">
            <w:pPr>
              <w:jc w:val="center"/>
              <w:rPr>
                <w:rFonts w:ascii="Arial Narrow" w:eastAsia="Calibri" w:hAnsi="Arial Narrow"/>
                <w:sz w:val="20"/>
                <w:szCs w:val="20"/>
              </w:rPr>
            </w:pPr>
            <w:r w:rsidRPr="006972E9">
              <w:rPr>
                <w:rFonts w:ascii="Arial Narrow" w:eastAsia="Calibri" w:hAnsi="Arial Narrow"/>
                <w:sz w:val="20"/>
                <w:szCs w:val="20"/>
              </w:rPr>
              <w:t>Power</w:t>
            </w:r>
          </w:p>
        </w:tc>
        <w:tc>
          <w:tcPr>
            <w:tcW w:w="1769" w:type="pct"/>
            <w:gridSpan w:val="3"/>
            <w:shd w:val="clear" w:color="auto" w:fill="auto"/>
          </w:tcPr>
          <w:p w:rsidR="00DB09DA" w:rsidRPr="006972E9" w:rsidRDefault="00267512" w:rsidP="00B16E9D">
            <w:pPr>
              <w:jc w:val="center"/>
              <w:rPr>
                <w:rFonts w:ascii="Arial Narrow" w:eastAsia="Calibri" w:hAnsi="Arial Narrow"/>
                <w:sz w:val="20"/>
                <w:szCs w:val="20"/>
              </w:rPr>
            </w:pPr>
            <w:r w:rsidRPr="006972E9">
              <w:rPr>
                <w:rFonts w:ascii="Arial Narrow" w:eastAsia="Calibri" w:hAnsi="Arial Narrow"/>
                <w:sz w:val="20"/>
                <w:szCs w:val="20"/>
              </w:rPr>
              <w:t>Detectable Difference</w:t>
            </w:r>
          </w:p>
        </w:tc>
      </w:tr>
      <w:tr w:rsidR="00DB09DA" w:rsidRPr="00E85413" w:rsidTr="00B16E9D">
        <w:tc>
          <w:tcPr>
            <w:tcW w:w="619" w:type="pct"/>
            <w:vMerge/>
            <w:shd w:val="clear" w:color="auto" w:fill="auto"/>
          </w:tcPr>
          <w:p w:rsidR="00DB09DA" w:rsidRPr="00E85413" w:rsidRDefault="00DB09DA" w:rsidP="00B16E9D">
            <w:pPr>
              <w:rPr>
                <w:rFonts w:ascii="Arial Narrow" w:eastAsia="Calibri" w:hAnsi="Arial Narrow"/>
                <w:sz w:val="20"/>
                <w:szCs w:val="20"/>
              </w:rPr>
            </w:pPr>
          </w:p>
        </w:tc>
        <w:tc>
          <w:tcPr>
            <w:tcW w:w="412" w:type="pct"/>
            <w:vMerge/>
          </w:tcPr>
          <w:p w:rsidR="00DB09DA" w:rsidRPr="00E85413" w:rsidRDefault="00DB09DA" w:rsidP="00B16E9D">
            <w:pPr>
              <w:jc w:val="center"/>
              <w:rPr>
                <w:rFonts w:ascii="Arial Narrow" w:eastAsia="Calibri" w:hAnsi="Arial Narrow"/>
                <w:sz w:val="20"/>
                <w:szCs w:val="20"/>
              </w:rPr>
            </w:pPr>
          </w:p>
        </w:tc>
        <w:tc>
          <w:tcPr>
            <w:tcW w:w="567" w:type="pct"/>
          </w:tcPr>
          <w:p w:rsidR="00DB09DA" w:rsidRPr="00E85413" w:rsidRDefault="00DB09DA" w:rsidP="00B16E9D">
            <w:pPr>
              <w:jc w:val="center"/>
              <w:rPr>
                <w:rFonts w:ascii="Arial Narrow" w:eastAsia="Calibri" w:hAnsi="Arial Narrow"/>
                <w:sz w:val="20"/>
                <w:szCs w:val="20"/>
              </w:rPr>
            </w:pPr>
            <w:r w:rsidRPr="00E85413">
              <w:rPr>
                <w:rFonts w:ascii="Arial Narrow" w:eastAsia="Calibri" w:hAnsi="Arial Narrow"/>
                <w:sz w:val="20"/>
                <w:szCs w:val="20"/>
              </w:rPr>
              <w:t>DOT per 1,000 patient-day</w:t>
            </w:r>
            <w:r>
              <w:rPr>
                <w:rFonts w:ascii="Arial Narrow" w:eastAsia="Calibri" w:hAnsi="Arial Narrow"/>
                <w:sz w:val="20"/>
                <w:szCs w:val="20"/>
              </w:rPr>
              <w:t>s</w:t>
            </w:r>
            <w:r w:rsidRPr="00E85413">
              <w:rPr>
                <w:rFonts w:ascii="Arial Narrow" w:eastAsia="Calibri" w:hAnsi="Arial Narrow"/>
                <w:sz w:val="20"/>
                <w:szCs w:val="20"/>
              </w:rPr>
              <w:t xml:space="preserve"> for acute care setting</w:t>
            </w:r>
          </w:p>
        </w:tc>
        <w:tc>
          <w:tcPr>
            <w:tcW w:w="529" w:type="pct"/>
          </w:tcPr>
          <w:p w:rsidR="00DB09DA" w:rsidRPr="00E85413" w:rsidRDefault="00DB09DA" w:rsidP="00B16E9D">
            <w:pPr>
              <w:jc w:val="center"/>
              <w:rPr>
                <w:rFonts w:ascii="Arial Narrow" w:eastAsia="Calibri" w:hAnsi="Arial Narrow"/>
                <w:sz w:val="20"/>
                <w:szCs w:val="20"/>
              </w:rPr>
            </w:pPr>
            <w:r w:rsidRPr="00E85413">
              <w:rPr>
                <w:rFonts w:ascii="Arial Narrow" w:eastAsia="Calibri" w:hAnsi="Arial Narrow"/>
                <w:sz w:val="20"/>
                <w:szCs w:val="20"/>
              </w:rPr>
              <w:t>DOT per 1,000 patient-days for LTC setting</w:t>
            </w:r>
          </w:p>
        </w:tc>
        <w:tc>
          <w:tcPr>
            <w:tcW w:w="707" w:type="pct"/>
          </w:tcPr>
          <w:p w:rsidR="00DB09DA" w:rsidRPr="00E85413" w:rsidRDefault="00DB09DA" w:rsidP="00B16E9D">
            <w:pPr>
              <w:jc w:val="center"/>
              <w:rPr>
                <w:rFonts w:ascii="Arial Narrow" w:eastAsia="Calibri" w:hAnsi="Arial Narrow"/>
                <w:sz w:val="20"/>
                <w:szCs w:val="20"/>
              </w:rPr>
            </w:pPr>
            <w:r w:rsidRPr="00E85413">
              <w:rPr>
                <w:rFonts w:ascii="Arial Narrow" w:eastAsia="Calibri" w:hAnsi="Arial Narrow"/>
                <w:sz w:val="20"/>
                <w:szCs w:val="20"/>
              </w:rPr>
              <w:t>Number of antibiotic prescription per 100 patient visits for ambulatory care setting</w:t>
            </w:r>
          </w:p>
        </w:tc>
        <w:tc>
          <w:tcPr>
            <w:tcW w:w="397" w:type="pct"/>
            <w:vMerge/>
            <w:shd w:val="clear" w:color="auto" w:fill="auto"/>
          </w:tcPr>
          <w:p w:rsidR="00DB09DA" w:rsidRPr="00E85413" w:rsidRDefault="00DB09DA" w:rsidP="00B16E9D">
            <w:pPr>
              <w:jc w:val="center"/>
              <w:rPr>
                <w:rFonts w:ascii="Arial Narrow" w:eastAsia="Calibri" w:hAnsi="Arial Narrow"/>
                <w:sz w:val="20"/>
                <w:szCs w:val="20"/>
              </w:rPr>
            </w:pPr>
          </w:p>
        </w:tc>
        <w:tc>
          <w:tcPr>
            <w:tcW w:w="529" w:type="pct"/>
            <w:shd w:val="clear" w:color="auto" w:fill="auto"/>
          </w:tcPr>
          <w:p w:rsidR="00DB09DA" w:rsidRPr="00E85413" w:rsidRDefault="00DB09DA" w:rsidP="00B16E9D">
            <w:pPr>
              <w:jc w:val="center"/>
              <w:rPr>
                <w:rFonts w:ascii="Arial Narrow" w:eastAsia="Calibri" w:hAnsi="Arial Narrow"/>
                <w:sz w:val="20"/>
                <w:szCs w:val="20"/>
              </w:rPr>
            </w:pPr>
            <w:r w:rsidRPr="00E85413">
              <w:rPr>
                <w:rFonts w:ascii="Arial Narrow" w:eastAsia="Calibri" w:hAnsi="Arial Narrow"/>
                <w:sz w:val="20"/>
                <w:szCs w:val="20"/>
              </w:rPr>
              <w:t>DOT per 1,000 patient-day</w:t>
            </w:r>
            <w:r>
              <w:rPr>
                <w:rFonts w:ascii="Arial Narrow" w:eastAsia="Calibri" w:hAnsi="Arial Narrow"/>
                <w:sz w:val="20"/>
                <w:szCs w:val="20"/>
              </w:rPr>
              <w:t>s</w:t>
            </w:r>
            <w:r w:rsidRPr="00E85413">
              <w:rPr>
                <w:rFonts w:ascii="Arial Narrow" w:eastAsia="Calibri" w:hAnsi="Arial Narrow"/>
                <w:sz w:val="20"/>
                <w:szCs w:val="20"/>
              </w:rPr>
              <w:t xml:space="preserve"> for acute care setting</w:t>
            </w:r>
          </w:p>
        </w:tc>
        <w:tc>
          <w:tcPr>
            <w:tcW w:w="481" w:type="pct"/>
            <w:shd w:val="clear" w:color="auto" w:fill="auto"/>
          </w:tcPr>
          <w:p w:rsidR="00DB09DA" w:rsidRPr="00E85413" w:rsidRDefault="00DB09DA" w:rsidP="00B16E9D">
            <w:pPr>
              <w:jc w:val="center"/>
              <w:rPr>
                <w:rFonts w:ascii="Arial Narrow" w:eastAsia="Calibri" w:hAnsi="Arial Narrow"/>
                <w:sz w:val="20"/>
                <w:szCs w:val="20"/>
              </w:rPr>
            </w:pPr>
            <w:r w:rsidRPr="00E85413">
              <w:rPr>
                <w:rFonts w:ascii="Arial Narrow" w:eastAsia="Calibri" w:hAnsi="Arial Narrow"/>
                <w:sz w:val="20"/>
                <w:szCs w:val="20"/>
              </w:rPr>
              <w:t>DOT per 1,000 patient-days for LTC setting</w:t>
            </w:r>
          </w:p>
        </w:tc>
        <w:tc>
          <w:tcPr>
            <w:tcW w:w="759" w:type="pct"/>
            <w:shd w:val="clear" w:color="auto" w:fill="auto"/>
          </w:tcPr>
          <w:p w:rsidR="00DB09DA" w:rsidRPr="00E85413" w:rsidRDefault="00DB09DA" w:rsidP="00B16E9D">
            <w:pPr>
              <w:jc w:val="center"/>
              <w:rPr>
                <w:rFonts w:ascii="Arial Narrow" w:eastAsia="Calibri" w:hAnsi="Arial Narrow"/>
                <w:sz w:val="20"/>
                <w:szCs w:val="20"/>
              </w:rPr>
            </w:pPr>
            <w:r w:rsidRPr="00E85413">
              <w:rPr>
                <w:rFonts w:ascii="Arial Narrow" w:eastAsia="Calibri" w:hAnsi="Arial Narrow"/>
                <w:sz w:val="20"/>
                <w:szCs w:val="20"/>
              </w:rPr>
              <w:t>Number of antibiotic prescription per 100 patient visits for ambulatory care setting</w:t>
            </w:r>
          </w:p>
        </w:tc>
      </w:tr>
      <w:tr w:rsidR="000C21A5" w:rsidRPr="00E85413" w:rsidTr="00B16E9D">
        <w:tc>
          <w:tcPr>
            <w:tcW w:w="619" w:type="pct"/>
            <w:vMerge w:val="restart"/>
            <w:shd w:val="clear" w:color="auto" w:fill="auto"/>
            <w:vAlign w:val="center"/>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0.2</w:t>
            </w: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60%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11.3</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4.5</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0.5</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60%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13.2</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5.3</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0.6</w:t>
            </w:r>
          </w:p>
        </w:tc>
      </w:tr>
      <w:tr w:rsidR="000C21A5" w:rsidRPr="00E85413" w:rsidTr="00B16E9D">
        <w:tc>
          <w:tcPr>
            <w:tcW w:w="619" w:type="pct"/>
            <w:vMerge/>
            <w:shd w:val="clear" w:color="auto" w:fill="auto"/>
            <w:vAlign w:val="center"/>
          </w:tcPr>
          <w:p w:rsidR="000C21A5" w:rsidRPr="00E85413" w:rsidRDefault="000C21A5" w:rsidP="00B16E9D">
            <w:pPr>
              <w:jc w:val="center"/>
              <w:rPr>
                <w:rFonts w:ascii="Arial Narrow" w:eastAsia="Calibri" w:hAnsi="Arial Narrow"/>
                <w:sz w:val="20"/>
                <w:szCs w:val="20"/>
              </w:rPr>
            </w:pP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70%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12.9</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5.2</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0.6</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70%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14.8</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5.9</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0.7</w:t>
            </w:r>
          </w:p>
        </w:tc>
      </w:tr>
      <w:tr w:rsidR="000C21A5" w:rsidRPr="00E85413" w:rsidTr="00B16E9D">
        <w:tc>
          <w:tcPr>
            <w:tcW w:w="619" w:type="pct"/>
            <w:vMerge/>
            <w:shd w:val="clear" w:color="auto" w:fill="auto"/>
            <w:vAlign w:val="center"/>
          </w:tcPr>
          <w:p w:rsidR="000C21A5" w:rsidRPr="00E85413" w:rsidRDefault="000C21A5" w:rsidP="00B16E9D">
            <w:pPr>
              <w:jc w:val="center"/>
              <w:rPr>
                <w:rFonts w:ascii="Arial Narrow" w:eastAsia="Calibri" w:hAnsi="Arial Narrow"/>
                <w:sz w:val="20"/>
                <w:szCs w:val="20"/>
              </w:rPr>
            </w:pP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80%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14.8</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5.9</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0.7</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80%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16.7</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6.7</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0.8</w:t>
            </w:r>
          </w:p>
        </w:tc>
      </w:tr>
      <w:tr w:rsidR="000C21A5" w:rsidRPr="00E85413" w:rsidTr="00B16E9D">
        <w:tc>
          <w:tcPr>
            <w:tcW w:w="619" w:type="pct"/>
            <w:vMerge/>
            <w:shd w:val="clear" w:color="auto" w:fill="auto"/>
            <w:vAlign w:val="center"/>
          </w:tcPr>
          <w:p w:rsidR="000C21A5" w:rsidRPr="00E85413" w:rsidRDefault="000C21A5" w:rsidP="00B16E9D">
            <w:pPr>
              <w:jc w:val="center"/>
              <w:rPr>
                <w:rFonts w:ascii="Arial Narrow" w:eastAsia="Calibri" w:hAnsi="Arial Narrow"/>
                <w:sz w:val="20"/>
                <w:szCs w:val="20"/>
              </w:rPr>
            </w:pP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90%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17.4</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7.0</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0.8</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90%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19.3</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7.7</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0.9</w:t>
            </w:r>
          </w:p>
        </w:tc>
      </w:tr>
      <w:tr w:rsidR="000C21A5" w:rsidRPr="00E85413" w:rsidTr="00B16E9D">
        <w:tc>
          <w:tcPr>
            <w:tcW w:w="619" w:type="pct"/>
            <w:vMerge w:val="restart"/>
            <w:shd w:val="clear" w:color="auto" w:fill="auto"/>
            <w:vAlign w:val="center"/>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0.4</w:t>
            </w: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60%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9.8</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3.9</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0.5</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60%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11.4</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4.6</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0.5</w:t>
            </w:r>
          </w:p>
        </w:tc>
      </w:tr>
      <w:tr w:rsidR="000C21A5" w:rsidRPr="00E85413" w:rsidTr="00B16E9D">
        <w:tc>
          <w:tcPr>
            <w:tcW w:w="619" w:type="pct"/>
            <w:vMerge/>
            <w:shd w:val="clear" w:color="auto" w:fill="auto"/>
            <w:vAlign w:val="center"/>
          </w:tcPr>
          <w:p w:rsidR="000C21A5" w:rsidRPr="00E85413" w:rsidRDefault="000C21A5" w:rsidP="00B16E9D">
            <w:pPr>
              <w:jc w:val="center"/>
              <w:rPr>
                <w:rFonts w:ascii="Arial Narrow" w:eastAsia="Calibri" w:hAnsi="Arial Narrow"/>
                <w:sz w:val="20"/>
                <w:szCs w:val="20"/>
              </w:rPr>
            </w:pP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70%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11.2</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4.5</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0.5</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70%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12.8</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5.1</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0.6</w:t>
            </w:r>
          </w:p>
        </w:tc>
      </w:tr>
      <w:tr w:rsidR="000C21A5" w:rsidRPr="00E85413" w:rsidTr="00B16E9D">
        <w:tc>
          <w:tcPr>
            <w:tcW w:w="619" w:type="pct"/>
            <w:vMerge/>
            <w:shd w:val="clear" w:color="auto" w:fill="auto"/>
            <w:vAlign w:val="center"/>
          </w:tcPr>
          <w:p w:rsidR="000C21A5" w:rsidRPr="00E85413" w:rsidRDefault="000C21A5" w:rsidP="00B16E9D">
            <w:pPr>
              <w:jc w:val="center"/>
              <w:rPr>
                <w:rFonts w:ascii="Arial Narrow" w:eastAsia="Calibri" w:hAnsi="Arial Narrow"/>
                <w:sz w:val="20"/>
                <w:szCs w:val="20"/>
              </w:rPr>
            </w:pP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80%</w:t>
            </w:r>
          </w:p>
        </w:tc>
        <w:tc>
          <w:tcPr>
            <w:tcW w:w="567" w:type="pct"/>
          </w:tcPr>
          <w:p w:rsidR="000C21A5" w:rsidRPr="008F4DD1" w:rsidRDefault="000C21A5" w:rsidP="00B16E9D">
            <w:pPr>
              <w:jc w:val="center"/>
              <w:rPr>
                <w:rFonts w:ascii="Arial Narrow" w:eastAsia="Calibri" w:hAnsi="Arial Narrow"/>
                <w:b/>
                <w:sz w:val="20"/>
                <w:szCs w:val="20"/>
              </w:rPr>
            </w:pPr>
            <w:r w:rsidRPr="008F4DD1">
              <w:rPr>
                <w:rFonts w:ascii="Arial Narrow" w:eastAsia="Calibri" w:hAnsi="Arial Narrow"/>
                <w:b/>
                <w:sz w:val="20"/>
                <w:szCs w:val="20"/>
              </w:rPr>
              <w:t>12.8</w:t>
            </w:r>
          </w:p>
        </w:tc>
        <w:tc>
          <w:tcPr>
            <w:tcW w:w="529" w:type="pct"/>
          </w:tcPr>
          <w:p w:rsidR="000C21A5" w:rsidRPr="008F4DD1" w:rsidRDefault="000C21A5" w:rsidP="00B16E9D">
            <w:pPr>
              <w:jc w:val="center"/>
              <w:rPr>
                <w:rFonts w:ascii="Arial Narrow" w:eastAsia="Calibri" w:hAnsi="Arial Narrow"/>
                <w:b/>
                <w:sz w:val="20"/>
                <w:szCs w:val="20"/>
              </w:rPr>
            </w:pPr>
            <w:r w:rsidRPr="008F4DD1">
              <w:rPr>
                <w:rFonts w:ascii="Arial Narrow" w:eastAsia="Calibri" w:hAnsi="Arial Narrow"/>
                <w:b/>
                <w:sz w:val="20"/>
                <w:szCs w:val="20"/>
              </w:rPr>
              <w:t>5.1</w:t>
            </w:r>
          </w:p>
        </w:tc>
        <w:tc>
          <w:tcPr>
            <w:tcW w:w="707" w:type="pct"/>
          </w:tcPr>
          <w:p w:rsidR="000C21A5" w:rsidRPr="008F4DD1" w:rsidRDefault="000C21A5" w:rsidP="00B16E9D">
            <w:pPr>
              <w:jc w:val="center"/>
              <w:rPr>
                <w:rFonts w:ascii="Arial Narrow" w:eastAsia="Calibri" w:hAnsi="Arial Narrow"/>
                <w:b/>
                <w:sz w:val="20"/>
                <w:szCs w:val="20"/>
              </w:rPr>
            </w:pPr>
            <w:r w:rsidRPr="008F4DD1">
              <w:rPr>
                <w:rFonts w:ascii="Arial Narrow" w:eastAsia="Calibri" w:hAnsi="Arial Narrow"/>
                <w:b/>
                <w:sz w:val="20"/>
                <w:szCs w:val="20"/>
              </w:rPr>
              <w:t>0.6</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80%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14.5</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5.8</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0.7</w:t>
            </w:r>
          </w:p>
        </w:tc>
      </w:tr>
      <w:tr w:rsidR="000C21A5" w:rsidRPr="00E85413" w:rsidTr="00B16E9D">
        <w:tc>
          <w:tcPr>
            <w:tcW w:w="619" w:type="pct"/>
            <w:vMerge/>
            <w:shd w:val="clear" w:color="auto" w:fill="auto"/>
            <w:vAlign w:val="center"/>
          </w:tcPr>
          <w:p w:rsidR="000C21A5" w:rsidRPr="00E85413" w:rsidRDefault="000C21A5" w:rsidP="00B16E9D">
            <w:pPr>
              <w:jc w:val="center"/>
              <w:rPr>
                <w:rFonts w:ascii="Arial Narrow" w:eastAsia="Calibri" w:hAnsi="Arial Narrow"/>
                <w:sz w:val="20"/>
                <w:szCs w:val="20"/>
              </w:rPr>
            </w:pP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90%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15.1</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6.0</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0.7</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90%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16.7</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6.7</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0.8</w:t>
            </w:r>
          </w:p>
        </w:tc>
      </w:tr>
      <w:tr w:rsidR="000C21A5" w:rsidRPr="00E85413" w:rsidTr="00B16E9D">
        <w:tc>
          <w:tcPr>
            <w:tcW w:w="619" w:type="pct"/>
            <w:vMerge w:val="restart"/>
            <w:shd w:val="clear" w:color="auto" w:fill="auto"/>
            <w:vAlign w:val="center"/>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0.6</w:t>
            </w: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60%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8.0</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3.2</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0.4</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60%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9.3</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3.7</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0.4</w:t>
            </w:r>
          </w:p>
        </w:tc>
      </w:tr>
      <w:tr w:rsidR="000C21A5" w:rsidRPr="00E85413" w:rsidTr="00B16E9D">
        <w:tc>
          <w:tcPr>
            <w:tcW w:w="619" w:type="pct"/>
            <w:vMerge/>
            <w:shd w:val="clear" w:color="auto" w:fill="auto"/>
          </w:tcPr>
          <w:p w:rsidR="000C21A5" w:rsidRPr="00E85413" w:rsidRDefault="000C21A5" w:rsidP="00B16E9D">
            <w:pPr>
              <w:jc w:val="center"/>
              <w:rPr>
                <w:rFonts w:ascii="Arial Narrow" w:eastAsia="Calibri" w:hAnsi="Arial Narrow"/>
                <w:sz w:val="20"/>
                <w:szCs w:val="20"/>
              </w:rPr>
            </w:pP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70%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9.1</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3.7</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0.4</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70%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10.5</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4.2</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0.5</w:t>
            </w:r>
          </w:p>
        </w:tc>
      </w:tr>
      <w:tr w:rsidR="000C21A5" w:rsidRPr="00E85413" w:rsidTr="00B16E9D">
        <w:tc>
          <w:tcPr>
            <w:tcW w:w="619" w:type="pct"/>
            <w:vMerge/>
            <w:shd w:val="clear" w:color="auto" w:fill="auto"/>
          </w:tcPr>
          <w:p w:rsidR="000C21A5" w:rsidRPr="00E85413" w:rsidRDefault="000C21A5" w:rsidP="00B16E9D">
            <w:pPr>
              <w:jc w:val="center"/>
              <w:rPr>
                <w:rFonts w:ascii="Arial Narrow" w:eastAsia="Calibri" w:hAnsi="Arial Narrow"/>
                <w:sz w:val="20"/>
                <w:szCs w:val="20"/>
              </w:rPr>
            </w:pP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80%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10.5</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4.2</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0.5</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80%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11.8</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4.7</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0.6</w:t>
            </w:r>
          </w:p>
        </w:tc>
      </w:tr>
      <w:tr w:rsidR="000C21A5" w:rsidRPr="00E85413" w:rsidTr="00B16E9D">
        <w:tc>
          <w:tcPr>
            <w:tcW w:w="619" w:type="pct"/>
            <w:vMerge/>
            <w:shd w:val="clear" w:color="auto" w:fill="auto"/>
          </w:tcPr>
          <w:p w:rsidR="000C21A5" w:rsidRPr="00E85413" w:rsidRDefault="000C21A5" w:rsidP="00B16E9D">
            <w:pPr>
              <w:jc w:val="center"/>
              <w:rPr>
                <w:rFonts w:ascii="Arial Narrow" w:eastAsia="Calibri" w:hAnsi="Arial Narrow"/>
                <w:sz w:val="20"/>
                <w:szCs w:val="20"/>
              </w:rPr>
            </w:pPr>
          </w:p>
        </w:tc>
        <w:tc>
          <w:tcPr>
            <w:tcW w:w="412" w:type="pct"/>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90%</w:t>
            </w:r>
          </w:p>
        </w:tc>
        <w:tc>
          <w:tcPr>
            <w:tcW w:w="56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12.3</w:t>
            </w:r>
          </w:p>
        </w:tc>
        <w:tc>
          <w:tcPr>
            <w:tcW w:w="529"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4.9</w:t>
            </w:r>
          </w:p>
        </w:tc>
        <w:tc>
          <w:tcPr>
            <w:tcW w:w="707" w:type="pct"/>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0.6</w:t>
            </w:r>
          </w:p>
        </w:tc>
        <w:tc>
          <w:tcPr>
            <w:tcW w:w="397" w:type="pct"/>
            <w:shd w:val="clear" w:color="auto" w:fill="auto"/>
          </w:tcPr>
          <w:p w:rsidR="000C21A5" w:rsidRPr="00E85413" w:rsidRDefault="000C21A5" w:rsidP="00B16E9D">
            <w:pPr>
              <w:jc w:val="center"/>
              <w:rPr>
                <w:rFonts w:ascii="Arial Narrow" w:eastAsia="Calibri" w:hAnsi="Arial Narrow"/>
                <w:sz w:val="20"/>
                <w:szCs w:val="20"/>
              </w:rPr>
            </w:pPr>
            <w:r w:rsidRPr="00E85413">
              <w:rPr>
                <w:rFonts w:ascii="Arial Narrow" w:eastAsia="Calibri" w:hAnsi="Arial Narrow"/>
                <w:sz w:val="20"/>
                <w:szCs w:val="20"/>
              </w:rPr>
              <w:t>90%</w:t>
            </w:r>
          </w:p>
        </w:tc>
        <w:tc>
          <w:tcPr>
            <w:tcW w:w="52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13.7</w:t>
            </w:r>
          </w:p>
        </w:tc>
        <w:tc>
          <w:tcPr>
            <w:tcW w:w="481"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5.5</w:t>
            </w:r>
          </w:p>
        </w:tc>
        <w:tc>
          <w:tcPr>
            <w:tcW w:w="759" w:type="pct"/>
            <w:shd w:val="clear" w:color="auto" w:fill="auto"/>
          </w:tcPr>
          <w:p w:rsidR="000C21A5" w:rsidRPr="00E85413" w:rsidRDefault="000C21A5" w:rsidP="00B16E9D">
            <w:pPr>
              <w:jc w:val="center"/>
              <w:rPr>
                <w:rFonts w:ascii="Arial Narrow" w:eastAsia="Calibri" w:hAnsi="Arial Narrow"/>
                <w:sz w:val="20"/>
                <w:szCs w:val="20"/>
              </w:rPr>
            </w:pPr>
            <w:r>
              <w:rPr>
                <w:rFonts w:ascii="Arial Narrow" w:eastAsia="Calibri" w:hAnsi="Arial Narrow"/>
                <w:sz w:val="20"/>
                <w:szCs w:val="20"/>
              </w:rPr>
              <w:t>0.7</w:t>
            </w:r>
          </w:p>
        </w:tc>
      </w:tr>
    </w:tbl>
    <w:p w:rsidR="000C21A5" w:rsidRPr="00EC1724" w:rsidRDefault="000C21A5" w:rsidP="000C21A5">
      <w:pPr>
        <w:rPr>
          <w:sz w:val="20"/>
          <w:szCs w:val="20"/>
        </w:rPr>
      </w:pPr>
      <w:r>
        <w:rPr>
          <w:vertAlign w:val="superscript"/>
        </w:rPr>
        <w:t>*</w:t>
      </w:r>
      <w:r>
        <w:t xml:space="preserve"> </w:t>
      </w:r>
      <w:r w:rsidRPr="00EC1724">
        <w:rPr>
          <w:sz w:val="20"/>
          <w:szCs w:val="20"/>
        </w:rPr>
        <w:t xml:space="preserve">For Cohorts 2, 3, and 4, the project plans to recruit 250 to 500 facilities for each type of setting (acute care, ambulatory care, LTC). The power analysis is based on the lower end of the projections (250 facilities per type). </w:t>
      </w:r>
      <w:r>
        <w:rPr>
          <w:sz w:val="20"/>
          <w:szCs w:val="20"/>
        </w:rPr>
        <w:t xml:space="preserve">The analysis </w:t>
      </w:r>
      <w:r w:rsidRPr="00EC1724">
        <w:rPr>
          <w:sz w:val="20"/>
          <w:szCs w:val="20"/>
        </w:rPr>
        <w:t xml:space="preserve">will be able to detect smaller </w:t>
      </w:r>
      <w:r>
        <w:rPr>
          <w:sz w:val="20"/>
          <w:szCs w:val="20"/>
        </w:rPr>
        <w:t>change</w:t>
      </w:r>
      <w:r w:rsidRPr="00EC1724">
        <w:rPr>
          <w:sz w:val="20"/>
          <w:szCs w:val="20"/>
        </w:rPr>
        <w:t xml:space="preserve"> </w:t>
      </w:r>
      <w:r>
        <w:rPr>
          <w:sz w:val="20"/>
          <w:szCs w:val="20"/>
        </w:rPr>
        <w:t>as</w:t>
      </w:r>
      <w:r w:rsidRPr="00EC1724">
        <w:rPr>
          <w:sz w:val="20"/>
          <w:szCs w:val="20"/>
        </w:rPr>
        <w:t xml:space="preserve"> the sample size increases. </w:t>
      </w:r>
    </w:p>
    <w:p w:rsidR="000C21A5" w:rsidRDefault="000C21A5" w:rsidP="000C21A5"/>
    <w:p w:rsidR="000C21A5" w:rsidRPr="001463D4" w:rsidRDefault="000C21A5" w:rsidP="000C21A5">
      <w:pPr>
        <w:spacing w:after="240"/>
      </w:pPr>
      <w:r>
        <w:rPr>
          <w:b/>
          <w:i/>
        </w:rPr>
        <w:t>Qualitative Analysis (Cohort 1 only).</w:t>
      </w:r>
      <w:r w:rsidRPr="001463D4">
        <w:t xml:space="preserve"> </w:t>
      </w:r>
      <w:r>
        <w:t xml:space="preserve">The </w:t>
      </w:r>
      <w:r w:rsidRPr="00BB32BE">
        <w:t xml:space="preserve">project </w:t>
      </w:r>
      <w:r w:rsidRPr="001463D4">
        <w:t xml:space="preserve">will also </w:t>
      </w:r>
      <w:r>
        <w:t>conduct</w:t>
      </w:r>
      <w:r w:rsidRPr="001463D4">
        <w:t xml:space="preserve"> semi-structured </w:t>
      </w:r>
      <w:r>
        <w:t>qualitative interviews</w:t>
      </w:r>
      <w:r w:rsidRPr="001463D4">
        <w:t xml:space="preserve"> </w:t>
      </w:r>
      <w:r>
        <w:t xml:space="preserve">during Cohort 1 </w:t>
      </w:r>
      <w:r w:rsidRPr="001463D4">
        <w:t xml:space="preserve">to assess the factors, including site-specific social norms and prescribing behavior, which facilitate/hinder implementation of the intervention. These one-on-one in-depth discussions will occur during three one-week site visits, one at each of the IDS locations, with stewardship champions/organizational leaders and frontline staff in the units where the </w:t>
      </w:r>
      <w:r>
        <w:t>program</w:t>
      </w:r>
      <w:r w:rsidRPr="001463D4">
        <w:t xml:space="preserve"> is being implemented. </w:t>
      </w:r>
      <w:r w:rsidRPr="009744C8">
        <w:t xml:space="preserve">Stewardship champions/organizational leaders will include the individuals who are charged with implementing the </w:t>
      </w:r>
      <w:r w:rsidRPr="00086F7F">
        <w:rPr>
          <w:i/>
        </w:rPr>
        <w:t>AHRQ Safety Program for Improving Antibiotic Use</w:t>
      </w:r>
      <w:r w:rsidRPr="009744C8">
        <w:t xml:space="preserve"> at each site as well as other facility managers or leaders as deemed relevant. Frontline healthcare workers will include physicians, pharmacists, nurse practitioners, physician assistants, nurses and others deemed relevant to prescribing by setting (e.g.</w:t>
      </w:r>
      <w:r>
        <w:t>,</w:t>
      </w:r>
      <w:r w:rsidRPr="009744C8">
        <w:t xml:space="preserve"> we will sample more nurses in the LTC setting than in other settings).</w:t>
      </w:r>
      <w:r>
        <w:t xml:space="preserve">  </w:t>
      </w:r>
      <w:r w:rsidRPr="001463D4">
        <w:t>These site visits will occur during the three-month baseline period</w:t>
      </w:r>
      <w:r>
        <w:t xml:space="preserve"> and</w:t>
      </w:r>
      <w:r w:rsidRPr="001463D4">
        <w:t xml:space="preserve"> at the end of the </w:t>
      </w:r>
      <w:r>
        <w:t>Cohort 1</w:t>
      </w:r>
      <w:r w:rsidRPr="001463D4">
        <w:t xml:space="preserve"> intervention period.  </w:t>
      </w:r>
    </w:p>
    <w:p w:rsidR="000C21A5" w:rsidRPr="005F5C6F" w:rsidRDefault="000C21A5" w:rsidP="000C21A5">
      <w:pPr>
        <w:pStyle w:val="Heading2"/>
        <w:rPr>
          <w:sz w:val="24"/>
        </w:rPr>
      </w:pPr>
      <w:bookmarkStart w:id="11" w:name="_Toc151782201"/>
      <w:bookmarkStart w:id="12" w:name="_Toc158526237"/>
      <w:bookmarkStart w:id="13" w:name="_Toc480833303"/>
      <w:r w:rsidRPr="005F5C6F">
        <w:rPr>
          <w:sz w:val="24"/>
        </w:rPr>
        <w:t>3. Methods to Maximize Response Rates</w:t>
      </w:r>
      <w:bookmarkEnd w:id="11"/>
      <w:bookmarkEnd w:id="12"/>
      <w:bookmarkEnd w:id="13"/>
    </w:p>
    <w:p w:rsidR="000C21A5" w:rsidRDefault="000C21A5" w:rsidP="000C21A5">
      <w:r>
        <w:t xml:space="preserve">The data collection planned under this project is part of an evaluation to assess the adoption of the CUSP for AS in </w:t>
      </w:r>
      <w:r w:rsidRPr="00C8638B">
        <w:t>acute care, long-term care and ambulatory care settings</w:t>
      </w:r>
      <w:r>
        <w:t xml:space="preserve">. The results of the evaluation will be used to inform the CUSP for AS program; they will not yield generalizable results or be used for statistical estimation purposes. The project will recruit facilities that have indicated a willingness to participate in the project and meet the inclusion criteria, and who will supportive of and likely to spread the CUSP for AS model. </w:t>
      </w:r>
    </w:p>
    <w:p w:rsidR="000C21A5" w:rsidRDefault="000C21A5" w:rsidP="000C21A5"/>
    <w:p w:rsidR="000C21A5" w:rsidRDefault="000C21A5" w:rsidP="000C21A5">
      <w:r>
        <w:t xml:space="preserve">To encourage the participating facilities to complete and submit the Structural Assessments, Team Antibiotic Review Forms, AHRQ Surveys on Patient Safety, and EHR data, the project will implement the following strategies: </w:t>
      </w:r>
    </w:p>
    <w:p w:rsidR="000C21A5" w:rsidRPr="00A20589" w:rsidRDefault="000C21A5" w:rsidP="000C21A5">
      <w:pPr>
        <w:numPr>
          <w:ilvl w:val="0"/>
          <w:numId w:val="24"/>
        </w:numPr>
        <w:spacing w:line="252" w:lineRule="auto"/>
        <w:contextualSpacing/>
      </w:pPr>
      <w:r w:rsidRPr="00A20589">
        <w:t>Ensure team understands the value of data collection for their ongoing efforts to sustain their antibiotic stewardship efforts (</w:t>
      </w:r>
      <w:r>
        <w:t xml:space="preserve">i.e., share data reports and </w:t>
      </w:r>
      <w:r w:rsidRPr="00A20589">
        <w:t>performance results with unit staff).</w:t>
      </w:r>
    </w:p>
    <w:p w:rsidR="000C21A5" w:rsidRPr="00250C75" w:rsidRDefault="000C21A5" w:rsidP="000C21A5">
      <w:pPr>
        <w:numPr>
          <w:ilvl w:val="0"/>
          <w:numId w:val="24"/>
        </w:numPr>
        <w:spacing w:line="252" w:lineRule="auto"/>
        <w:contextualSpacing/>
      </w:pPr>
      <w:r w:rsidRPr="00250C75">
        <w:t>Offer technical assistance webinars and onboarding calls (including information related to submitting data) to participating sites</w:t>
      </w:r>
    </w:p>
    <w:p w:rsidR="000C21A5" w:rsidRPr="00250C75" w:rsidRDefault="000C21A5" w:rsidP="000C21A5">
      <w:pPr>
        <w:numPr>
          <w:ilvl w:val="0"/>
          <w:numId w:val="24"/>
        </w:numPr>
      </w:pPr>
      <w:r w:rsidRPr="00250C75">
        <w:t>Prompt the on-site data coordinator and unit/facility leader for feedback from each participating unit regarding the data collection activities and AS-related performance</w:t>
      </w:r>
    </w:p>
    <w:p w:rsidR="000C21A5" w:rsidRPr="00250C75" w:rsidRDefault="000C21A5" w:rsidP="000C21A5">
      <w:pPr>
        <w:numPr>
          <w:ilvl w:val="0"/>
          <w:numId w:val="24"/>
        </w:numPr>
        <w:spacing w:line="252" w:lineRule="auto"/>
        <w:contextualSpacing/>
      </w:pPr>
      <w:r w:rsidRPr="00250C75">
        <w:t>Work closely with each on-site data coordinator to address any data collection issues and develop site-specific data collection strategies when necessary</w:t>
      </w:r>
    </w:p>
    <w:p w:rsidR="000C21A5" w:rsidRPr="00250C75" w:rsidRDefault="000C21A5" w:rsidP="000C21A5">
      <w:pPr>
        <w:numPr>
          <w:ilvl w:val="0"/>
          <w:numId w:val="24"/>
        </w:numPr>
        <w:spacing w:line="252" w:lineRule="auto"/>
        <w:contextualSpacing/>
      </w:pPr>
      <w:r w:rsidRPr="00250C75">
        <w:t xml:space="preserve">Discuss data management and </w:t>
      </w:r>
      <w:r>
        <w:t>submission</w:t>
      </w:r>
      <w:r w:rsidRPr="00250C75">
        <w:t xml:space="preserve"> methods with the participating sites early in the process </w:t>
      </w:r>
    </w:p>
    <w:p w:rsidR="000C21A5" w:rsidRPr="00250C75" w:rsidRDefault="000C21A5" w:rsidP="000C21A5">
      <w:pPr>
        <w:numPr>
          <w:ilvl w:val="0"/>
          <w:numId w:val="24"/>
        </w:numPr>
        <w:spacing w:line="252" w:lineRule="auto"/>
        <w:contextualSpacing/>
      </w:pPr>
      <w:r w:rsidRPr="00250C75">
        <w:t xml:space="preserve">Provide sites flexibility to </w:t>
      </w:r>
      <w:r>
        <w:t>submit</w:t>
      </w:r>
      <w:r w:rsidRPr="00250C75">
        <w:t xml:space="preserve"> data (e.g.</w:t>
      </w:r>
      <w:r>
        <w:t>,</w:t>
      </w:r>
      <w:r w:rsidRPr="00250C75">
        <w:t xml:space="preserve"> via a central data collection platform, via IDS’s own data collection system, or using pre-coded password-protected spreadsheet)</w:t>
      </w:r>
    </w:p>
    <w:p w:rsidR="000C21A5" w:rsidRPr="00250C75" w:rsidRDefault="000C21A5" w:rsidP="000C21A5">
      <w:pPr>
        <w:numPr>
          <w:ilvl w:val="0"/>
          <w:numId w:val="24"/>
        </w:numPr>
      </w:pPr>
      <w:r w:rsidRPr="00250C75">
        <w:t>Provide step-by-step instructions on data sharing via the central data collection platform</w:t>
      </w:r>
    </w:p>
    <w:p w:rsidR="000C21A5" w:rsidRPr="00250C75" w:rsidRDefault="000C21A5" w:rsidP="000C21A5">
      <w:pPr>
        <w:numPr>
          <w:ilvl w:val="0"/>
          <w:numId w:val="24"/>
        </w:numPr>
        <w:rPr>
          <w:rFonts w:eastAsia="Calibri"/>
        </w:rPr>
      </w:pPr>
      <w:r w:rsidRPr="00250C75">
        <w:rPr>
          <w:rFonts w:eastAsia="Calibri"/>
        </w:rPr>
        <w:t>Ensure that data collection tools are simple, easy to use, and succinct</w:t>
      </w:r>
    </w:p>
    <w:p w:rsidR="000C21A5" w:rsidRDefault="000C21A5" w:rsidP="000C21A5">
      <w:pPr>
        <w:numPr>
          <w:ilvl w:val="0"/>
          <w:numId w:val="24"/>
        </w:numPr>
        <w:rPr>
          <w:rFonts w:eastAsia="Calibri"/>
        </w:rPr>
      </w:pPr>
      <w:r>
        <w:rPr>
          <w:rFonts w:eastAsia="Calibri"/>
        </w:rPr>
        <w:t>E</w:t>
      </w:r>
      <w:r w:rsidRPr="00250C75">
        <w:rPr>
          <w:rFonts w:eastAsia="Calibri"/>
        </w:rPr>
        <w:t xml:space="preserve">nsure missing or inaccurate data is identified early and that issues </w:t>
      </w:r>
      <w:r>
        <w:rPr>
          <w:rFonts w:eastAsia="Calibri"/>
        </w:rPr>
        <w:t>are</w:t>
      </w:r>
      <w:r w:rsidRPr="00250C75">
        <w:rPr>
          <w:rFonts w:eastAsia="Calibri"/>
        </w:rPr>
        <w:t xml:space="preserve"> resolved in a systematic, highly-reliable way</w:t>
      </w:r>
    </w:p>
    <w:p w:rsidR="000C21A5" w:rsidRDefault="000C21A5" w:rsidP="000C21A5">
      <w:pPr>
        <w:numPr>
          <w:ilvl w:val="0"/>
          <w:numId w:val="24"/>
        </w:numPr>
        <w:rPr>
          <w:rFonts w:eastAsia="Calibri"/>
        </w:rPr>
      </w:pPr>
      <w:r w:rsidRPr="00250C75">
        <w:rPr>
          <w:rFonts w:eastAsia="Calibri"/>
        </w:rPr>
        <w:t xml:space="preserve">Share data collection strategies/best practices to simplify processes through coaching </w:t>
      </w:r>
      <w:r>
        <w:rPr>
          <w:rFonts w:eastAsia="Calibri"/>
        </w:rPr>
        <w:t>calls</w:t>
      </w:r>
      <w:r w:rsidRPr="00250C75">
        <w:rPr>
          <w:rFonts w:eastAsia="Calibri"/>
        </w:rPr>
        <w:t xml:space="preserve"> </w:t>
      </w:r>
    </w:p>
    <w:p w:rsidR="000C21A5" w:rsidRPr="00250C75" w:rsidRDefault="000C21A5" w:rsidP="000C21A5">
      <w:pPr>
        <w:ind w:left="720"/>
        <w:rPr>
          <w:rFonts w:eastAsia="Calibri"/>
        </w:rPr>
      </w:pPr>
    </w:p>
    <w:p w:rsidR="000C21A5" w:rsidRPr="005F5C6F" w:rsidRDefault="000C21A5" w:rsidP="000C21A5">
      <w:pPr>
        <w:pStyle w:val="Heading2"/>
        <w:rPr>
          <w:sz w:val="24"/>
        </w:rPr>
      </w:pPr>
      <w:bookmarkStart w:id="14" w:name="_Toc151782202"/>
      <w:bookmarkStart w:id="15" w:name="_Toc158526238"/>
      <w:bookmarkStart w:id="16" w:name="_Toc480833304"/>
      <w:r w:rsidRPr="005F5C6F">
        <w:rPr>
          <w:sz w:val="24"/>
        </w:rPr>
        <w:t>4. Tests of Procedures</w:t>
      </w:r>
      <w:bookmarkStart w:id="17" w:name="_Toc151782203"/>
      <w:bookmarkStart w:id="18" w:name="_Toc158526239"/>
      <w:bookmarkEnd w:id="14"/>
      <w:bookmarkEnd w:id="15"/>
      <w:bookmarkEnd w:id="16"/>
    </w:p>
    <w:p w:rsidR="000C21A5" w:rsidRPr="000401E2" w:rsidRDefault="000C21A5" w:rsidP="000C21A5">
      <w:r w:rsidRPr="000401E2">
        <w:t xml:space="preserve">The Cohort 1 pilot period will perform as a pilot project to test the program design and implementation. The </w:t>
      </w:r>
      <w:r w:rsidRPr="000401E2">
        <w:rPr>
          <w:i/>
        </w:rPr>
        <w:t>AHRQ Safety Program for Improving Antibiotic Use</w:t>
      </w:r>
      <w:r w:rsidRPr="000401E2">
        <w:t xml:space="preserve"> will also conduct semi-structured qualitative interviews during Cohort 1 to assess the factors which facilitated/hindered implementation of the intervention. The information collected will</w:t>
      </w:r>
      <w:r>
        <w:t xml:space="preserve"> allow the project to</w:t>
      </w:r>
      <w:r w:rsidRPr="000401E2">
        <w:t>:</w:t>
      </w:r>
    </w:p>
    <w:p w:rsidR="000C21A5" w:rsidRPr="000401E2" w:rsidRDefault="000C21A5" w:rsidP="000C21A5">
      <w:pPr>
        <w:pStyle w:val="CommentText"/>
        <w:numPr>
          <w:ilvl w:val="0"/>
          <w:numId w:val="23"/>
        </w:numPr>
        <w:rPr>
          <w:rFonts w:ascii="Times New Roman" w:hAnsi="Times New Roman"/>
          <w:sz w:val="24"/>
          <w:szCs w:val="24"/>
        </w:rPr>
      </w:pPr>
      <w:r>
        <w:rPr>
          <w:rFonts w:ascii="Times New Roman" w:hAnsi="Times New Roman"/>
          <w:sz w:val="24"/>
          <w:szCs w:val="24"/>
        </w:rPr>
        <w:t>G</w:t>
      </w:r>
      <w:r w:rsidRPr="000401E2">
        <w:rPr>
          <w:rFonts w:ascii="Times New Roman" w:hAnsi="Times New Roman"/>
          <w:sz w:val="24"/>
          <w:szCs w:val="24"/>
        </w:rPr>
        <w:t>auge the feasibility of collecting the same information when the pilot scales</w:t>
      </w:r>
      <w:r>
        <w:rPr>
          <w:rFonts w:ascii="Times New Roman" w:hAnsi="Times New Roman"/>
          <w:sz w:val="24"/>
          <w:szCs w:val="24"/>
        </w:rPr>
        <w:t>.</w:t>
      </w:r>
    </w:p>
    <w:p w:rsidR="000C21A5" w:rsidRPr="000401E2" w:rsidRDefault="000C21A5" w:rsidP="000C21A5">
      <w:pPr>
        <w:pStyle w:val="CommentText"/>
        <w:numPr>
          <w:ilvl w:val="0"/>
          <w:numId w:val="23"/>
        </w:numPr>
        <w:rPr>
          <w:rFonts w:ascii="Times New Roman" w:hAnsi="Times New Roman"/>
          <w:sz w:val="24"/>
          <w:szCs w:val="24"/>
        </w:rPr>
      </w:pPr>
      <w:r>
        <w:rPr>
          <w:rFonts w:ascii="Times New Roman" w:hAnsi="Times New Roman"/>
          <w:sz w:val="24"/>
          <w:szCs w:val="24"/>
        </w:rPr>
        <w:t>Id</w:t>
      </w:r>
      <w:r w:rsidRPr="000401E2">
        <w:rPr>
          <w:rFonts w:ascii="Times New Roman" w:hAnsi="Times New Roman"/>
          <w:sz w:val="24"/>
          <w:szCs w:val="24"/>
        </w:rPr>
        <w:t>entify areas where staff wanted/needed more training</w:t>
      </w:r>
      <w:r>
        <w:rPr>
          <w:rFonts w:ascii="Times New Roman" w:hAnsi="Times New Roman"/>
          <w:sz w:val="24"/>
          <w:szCs w:val="24"/>
        </w:rPr>
        <w:t xml:space="preserve">. </w:t>
      </w:r>
    </w:p>
    <w:p w:rsidR="000C21A5" w:rsidRDefault="000C21A5" w:rsidP="000C21A5">
      <w:pPr>
        <w:pStyle w:val="CommentText"/>
        <w:numPr>
          <w:ilvl w:val="0"/>
          <w:numId w:val="23"/>
        </w:numPr>
        <w:rPr>
          <w:rFonts w:ascii="Times New Roman" w:hAnsi="Times New Roman"/>
          <w:sz w:val="24"/>
          <w:szCs w:val="24"/>
        </w:rPr>
      </w:pPr>
      <w:r w:rsidRPr="00B671CF">
        <w:rPr>
          <w:rFonts w:ascii="Times New Roman" w:hAnsi="Times New Roman"/>
          <w:sz w:val="24"/>
          <w:szCs w:val="24"/>
        </w:rPr>
        <w:t xml:space="preserve">Identify the challenges and barriers of implementing the </w:t>
      </w:r>
      <w:r w:rsidRPr="00B671CF">
        <w:rPr>
          <w:rFonts w:ascii="Times New Roman" w:hAnsi="Times New Roman"/>
          <w:i/>
          <w:sz w:val="24"/>
          <w:szCs w:val="24"/>
        </w:rPr>
        <w:t>AHRQ Safety Program for Improving Antibiotic Use</w:t>
      </w:r>
      <w:r w:rsidRPr="00B671CF">
        <w:rPr>
          <w:rFonts w:ascii="Times New Roman" w:hAnsi="Times New Roman"/>
          <w:sz w:val="24"/>
          <w:szCs w:val="24"/>
        </w:rPr>
        <w:t xml:space="preserve">. Findings will inform the implementation approach for the subsequent cohorts.  </w:t>
      </w:r>
    </w:p>
    <w:p w:rsidR="000C21A5" w:rsidRDefault="000C21A5" w:rsidP="000C21A5">
      <w:pPr>
        <w:pStyle w:val="CommentText"/>
        <w:rPr>
          <w:rFonts w:ascii="Times New Roman" w:hAnsi="Times New Roman"/>
          <w:sz w:val="24"/>
          <w:szCs w:val="24"/>
        </w:rPr>
      </w:pPr>
    </w:p>
    <w:p w:rsidR="000C21A5" w:rsidRDefault="000C21A5" w:rsidP="000C21A5">
      <w:r>
        <w:t xml:space="preserve">The AHRQ Surveys on Patient Safety Culture are publicly available and have been widely used to assess patient safety culture in a variety of health care settings. </w:t>
      </w:r>
    </w:p>
    <w:p w:rsidR="000C21A5" w:rsidRPr="00956016" w:rsidRDefault="000C21A5" w:rsidP="000C21A5">
      <w:pPr>
        <w:pStyle w:val="Heading2"/>
        <w:rPr>
          <w:sz w:val="24"/>
        </w:rPr>
      </w:pPr>
      <w:bookmarkStart w:id="19" w:name="_Toc480833305"/>
      <w:r w:rsidRPr="00956016">
        <w:rPr>
          <w:sz w:val="24"/>
        </w:rPr>
        <w:t>5. Statistical Consultants</w:t>
      </w:r>
      <w:bookmarkEnd w:id="17"/>
      <w:bookmarkEnd w:id="18"/>
      <w:bookmarkEnd w:id="19"/>
    </w:p>
    <w:p w:rsidR="000C21A5" w:rsidRDefault="000C21A5" w:rsidP="000C21A5">
      <w:pPr>
        <w:spacing w:after="100" w:afterAutospacing="1"/>
      </w:pPr>
      <w:r>
        <w:t>Johns Hopkins University and NORC at the University of Chicago will serve as the primary consultants for statistical aspects of the design and analysis of the evaluation data.</w:t>
      </w:r>
    </w:p>
    <w:p w:rsidR="000C21A5" w:rsidRDefault="000C21A5" w:rsidP="000C21A5">
      <w:r w:rsidRPr="000D507D">
        <w:rPr>
          <w:rStyle w:val="NORCCaption-Color"/>
          <w:rFonts w:eastAsia="Calibri"/>
        </w:rPr>
        <w:t xml:space="preserve">Exhibit </w:t>
      </w:r>
      <w:r>
        <w:rPr>
          <w:rStyle w:val="NORCCaption-Color"/>
          <w:rFonts w:eastAsia="Calibri"/>
        </w:rPr>
        <w:t>B.8</w:t>
      </w:r>
      <w:r w:rsidRPr="000D507D">
        <w:rPr>
          <w:rStyle w:val="NORCCaption-Color"/>
          <w:rFonts w:eastAsia="Calibri"/>
        </w:rPr>
        <w:t>:</w:t>
      </w:r>
      <w:r w:rsidRPr="000D507D">
        <w:t xml:space="preserve"> </w:t>
      </w:r>
      <w:r>
        <w:t>List of Statistical Consultants</w:t>
      </w:r>
    </w:p>
    <w:tbl>
      <w:tblPr>
        <w:tblW w:w="10281" w:type="dxa"/>
        <w:jc w:val="center"/>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43"/>
        <w:gridCol w:w="6248"/>
        <w:gridCol w:w="1990"/>
      </w:tblGrid>
      <w:tr w:rsidR="000C21A5" w:rsidRPr="00163110" w:rsidTr="00B16E9D">
        <w:trPr>
          <w:cantSplit/>
          <w:tblHeader/>
          <w:jc w:val="center"/>
        </w:trPr>
        <w:tc>
          <w:tcPr>
            <w:tcW w:w="2043" w:type="dxa"/>
            <w:shd w:val="clear" w:color="auto" w:fill="8AB3A4"/>
            <w:tcMar>
              <w:top w:w="0" w:type="dxa"/>
              <w:left w:w="108" w:type="dxa"/>
              <w:bottom w:w="0" w:type="dxa"/>
              <w:right w:w="108" w:type="dxa"/>
            </w:tcMar>
            <w:vAlign w:val="center"/>
            <w:hideMark/>
          </w:tcPr>
          <w:p w:rsidR="000C21A5" w:rsidRPr="00CF753D" w:rsidRDefault="000C21A5" w:rsidP="00B16E9D">
            <w:pPr>
              <w:pStyle w:val="NORCTableHeaderArial"/>
              <w:spacing w:line="276" w:lineRule="auto"/>
              <w:rPr>
                <w:rFonts w:ascii="Times New Roman" w:hAnsi="Times New Roman"/>
                <w:sz w:val="20"/>
                <w:szCs w:val="20"/>
              </w:rPr>
            </w:pPr>
            <w:r w:rsidRPr="00CF753D">
              <w:rPr>
                <w:rFonts w:ascii="Times New Roman" w:hAnsi="Times New Roman"/>
                <w:sz w:val="20"/>
                <w:szCs w:val="20"/>
              </w:rPr>
              <w:t>Name</w:t>
            </w:r>
          </w:p>
        </w:tc>
        <w:tc>
          <w:tcPr>
            <w:tcW w:w="6248" w:type="dxa"/>
            <w:shd w:val="clear" w:color="auto" w:fill="8AB3A4"/>
            <w:tcMar>
              <w:top w:w="0" w:type="dxa"/>
              <w:left w:w="108" w:type="dxa"/>
              <w:bottom w:w="0" w:type="dxa"/>
              <w:right w:w="108" w:type="dxa"/>
            </w:tcMar>
            <w:vAlign w:val="center"/>
            <w:hideMark/>
          </w:tcPr>
          <w:p w:rsidR="000C21A5" w:rsidRPr="00CF753D" w:rsidRDefault="000C21A5" w:rsidP="00B16E9D">
            <w:pPr>
              <w:pStyle w:val="NORCTableHeaderArial"/>
              <w:spacing w:line="276" w:lineRule="auto"/>
              <w:rPr>
                <w:rFonts w:ascii="Times New Roman" w:hAnsi="Times New Roman"/>
                <w:sz w:val="20"/>
                <w:szCs w:val="20"/>
              </w:rPr>
            </w:pPr>
            <w:r w:rsidRPr="00CF753D">
              <w:rPr>
                <w:rFonts w:ascii="Times New Roman" w:hAnsi="Times New Roman"/>
                <w:sz w:val="20"/>
                <w:szCs w:val="20"/>
              </w:rPr>
              <w:t>Title and Institution</w:t>
            </w:r>
          </w:p>
        </w:tc>
        <w:tc>
          <w:tcPr>
            <w:tcW w:w="1990" w:type="dxa"/>
            <w:shd w:val="clear" w:color="auto" w:fill="8AB3A4"/>
          </w:tcPr>
          <w:p w:rsidR="000C21A5" w:rsidRPr="00CF753D" w:rsidRDefault="000C21A5" w:rsidP="00B16E9D">
            <w:pPr>
              <w:pStyle w:val="NORCTableHeaderArial"/>
              <w:spacing w:line="276" w:lineRule="auto"/>
              <w:rPr>
                <w:rFonts w:ascii="Times New Roman" w:hAnsi="Times New Roman"/>
                <w:sz w:val="20"/>
                <w:szCs w:val="20"/>
              </w:rPr>
            </w:pPr>
            <w:r w:rsidRPr="00CF753D">
              <w:rPr>
                <w:rFonts w:ascii="Times New Roman" w:hAnsi="Times New Roman"/>
                <w:sz w:val="20"/>
                <w:szCs w:val="20"/>
              </w:rPr>
              <w:t>Telephone Number</w:t>
            </w:r>
          </w:p>
        </w:tc>
      </w:tr>
      <w:tr w:rsidR="000C21A5" w:rsidRPr="00163110" w:rsidTr="00B16E9D">
        <w:trPr>
          <w:cantSplit/>
          <w:trHeight w:val="260"/>
          <w:jc w:val="center"/>
        </w:trPr>
        <w:tc>
          <w:tcPr>
            <w:tcW w:w="2043" w:type="dxa"/>
            <w:shd w:val="clear" w:color="auto" w:fill="E9E6E3"/>
            <w:tcMar>
              <w:top w:w="0" w:type="dxa"/>
              <w:left w:w="108" w:type="dxa"/>
              <w:bottom w:w="0" w:type="dxa"/>
              <w:right w:w="108" w:type="dxa"/>
            </w:tcMar>
          </w:tcPr>
          <w:p w:rsidR="000C21A5" w:rsidRPr="0002299D" w:rsidRDefault="000C21A5" w:rsidP="00B16E9D">
            <w:pPr>
              <w:rPr>
                <w:sz w:val="20"/>
                <w:szCs w:val="20"/>
              </w:rPr>
            </w:pPr>
            <w:r w:rsidRPr="0002299D">
              <w:rPr>
                <w:sz w:val="20"/>
                <w:szCs w:val="20"/>
              </w:rPr>
              <w:t>Roy Ahn, ScD, MPH</w:t>
            </w:r>
          </w:p>
        </w:tc>
        <w:tc>
          <w:tcPr>
            <w:tcW w:w="6248" w:type="dxa"/>
            <w:shd w:val="clear" w:color="auto" w:fill="E9E6E3"/>
            <w:tcMar>
              <w:top w:w="0" w:type="dxa"/>
              <w:left w:w="108" w:type="dxa"/>
              <w:bottom w:w="0" w:type="dxa"/>
              <w:right w:w="108" w:type="dxa"/>
            </w:tcMar>
          </w:tcPr>
          <w:p w:rsidR="000C21A5" w:rsidRPr="008905AF" w:rsidRDefault="000C21A5" w:rsidP="00B16E9D">
            <w:pPr>
              <w:rPr>
                <w:sz w:val="20"/>
                <w:szCs w:val="20"/>
              </w:rPr>
            </w:pPr>
            <w:r w:rsidRPr="008905AF">
              <w:rPr>
                <w:sz w:val="20"/>
                <w:szCs w:val="20"/>
              </w:rPr>
              <w:t>Associate Director, NORC</w:t>
            </w:r>
          </w:p>
        </w:tc>
        <w:tc>
          <w:tcPr>
            <w:tcW w:w="1990" w:type="dxa"/>
            <w:shd w:val="clear" w:color="auto" w:fill="E9E6E3"/>
          </w:tcPr>
          <w:p w:rsidR="000C21A5" w:rsidRPr="00507017" w:rsidRDefault="000C21A5" w:rsidP="00B16E9D">
            <w:pPr>
              <w:rPr>
                <w:sz w:val="20"/>
                <w:szCs w:val="20"/>
              </w:rPr>
            </w:pPr>
            <w:r w:rsidRPr="00507017">
              <w:rPr>
                <w:sz w:val="20"/>
                <w:szCs w:val="20"/>
              </w:rPr>
              <w:t>312/759-4068</w:t>
            </w:r>
          </w:p>
        </w:tc>
      </w:tr>
      <w:tr w:rsidR="000C21A5" w:rsidRPr="00163110" w:rsidTr="00B16E9D">
        <w:trPr>
          <w:cantSplit/>
          <w:trHeight w:val="260"/>
          <w:jc w:val="center"/>
        </w:trPr>
        <w:tc>
          <w:tcPr>
            <w:tcW w:w="2043" w:type="dxa"/>
            <w:shd w:val="clear" w:color="auto" w:fill="E9E6E3"/>
            <w:tcMar>
              <w:top w:w="0" w:type="dxa"/>
              <w:left w:w="108" w:type="dxa"/>
              <w:bottom w:w="0" w:type="dxa"/>
              <w:right w:w="108" w:type="dxa"/>
            </w:tcMar>
          </w:tcPr>
          <w:p w:rsidR="000C21A5" w:rsidRPr="005F5367" w:rsidRDefault="000C21A5" w:rsidP="00B16E9D">
            <w:pPr>
              <w:rPr>
                <w:sz w:val="20"/>
                <w:szCs w:val="20"/>
              </w:rPr>
            </w:pPr>
            <w:r w:rsidRPr="008905AF">
              <w:rPr>
                <w:sz w:val="20"/>
                <w:szCs w:val="20"/>
              </w:rPr>
              <w:t>Pranita Tamma, MD</w:t>
            </w:r>
            <w:r w:rsidRPr="005F5367">
              <w:rPr>
                <w:sz w:val="20"/>
                <w:szCs w:val="20"/>
              </w:rPr>
              <w:t>, MHS</w:t>
            </w:r>
          </w:p>
        </w:tc>
        <w:tc>
          <w:tcPr>
            <w:tcW w:w="6248" w:type="dxa"/>
            <w:shd w:val="clear" w:color="auto" w:fill="E9E6E3"/>
            <w:tcMar>
              <w:top w:w="0" w:type="dxa"/>
              <w:left w:w="108" w:type="dxa"/>
              <w:bottom w:w="0" w:type="dxa"/>
              <w:right w:w="108" w:type="dxa"/>
            </w:tcMar>
          </w:tcPr>
          <w:p w:rsidR="000C21A5" w:rsidRPr="0036672F" w:rsidRDefault="000C21A5" w:rsidP="00B16E9D">
            <w:pPr>
              <w:rPr>
                <w:sz w:val="20"/>
                <w:szCs w:val="20"/>
              </w:rPr>
            </w:pPr>
            <w:r w:rsidRPr="0036672F">
              <w:rPr>
                <w:sz w:val="20"/>
                <w:szCs w:val="20"/>
              </w:rPr>
              <w:t>Assistant Professor of Pediatrics in Division of Infectious Diseases and Director of the Pediatric Antimicrobial Stewardship Program, John Hopkins University</w:t>
            </w:r>
          </w:p>
        </w:tc>
        <w:tc>
          <w:tcPr>
            <w:tcW w:w="1990" w:type="dxa"/>
            <w:shd w:val="clear" w:color="auto" w:fill="E9E6E3"/>
          </w:tcPr>
          <w:p w:rsidR="000C21A5" w:rsidRPr="00507017" w:rsidRDefault="000C21A5" w:rsidP="00B16E9D">
            <w:pPr>
              <w:rPr>
                <w:sz w:val="20"/>
                <w:szCs w:val="20"/>
              </w:rPr>
            </w:pPr>
            <w:r w:rsidRPr="00507017">
              <w:rPr>
                <w:sz w:val="20"/>
                <w:szCs w:val="20"/>
              </w:rPr>
              <w:t>410/614-1492</w:t>
            </w:r>
          </w:p>
          <w:p w:rsidR="000C21A5" w:rsidRPr="00507017" w:rsidRDefault="000C21A5" w:rsidP="00B16E9D">
            <w:pPr>
              <w:rPr>
                <w:sz w:val="20"/>
                <w:szCs w:val="20"/>
              </w:rPr>
            </w:pPr>
          </w:p>
        </w:tc>
      </w:tr>
      <w:tr w:rsidR="000C21A5" w:rsidRPr="00163110" w:rsidTr="00B16E9D">
        <w:trPr>
          <w:cantSplit/>
          <w:trHeight w:val="260"/>
          <w:jc w:val="center"/>
        </w:trPr>
        <w:tc>
          <w:tcPr>
            <w:tcW w:w="2043" w:type="dxa"/>
            <w:shd w:val="clear" w:color="auto" w:fill="E9E6E3"/>
            <w:tcMar>
              <w:top w:w="0" w:type="dxa"/>
              <w:left w:w="108" w:type="dxa"/>
              <w:bottom w:w="0" w:type="dxa"/>
              <w:right w:w="108" w:type="dxa"/>
            </w:tcMar>
          </w:tcPr>
          <w:p w:rsidR="000C21A5" w:rsidRPr="00E74E63" w:rsidRDefault="000C21A5" w:rsidP="00B16E9D">
            <w:pPr>
              <w:rPr>
                <w:sz w:val="20"/>
                <w:szCs w:val="20"/>
              </w:rPr>
            </w:pPr>
            <w:r w:rsidRPr="00E74E63">
              <w:rPr>
                <w:sz w:val="20"/>
                <w:szCs w:val="20"/>
              </w:rPr>
              <w:t>Sara Cosgrove, MD, MS, FSHEA, FIDSA</w:t>
            </w:r>
          </w:p>
        </w:tc>
        <w:tc>
          <w:tcPr>
            <w:tcW w:w="6248" w:type="dxa"/>
            <w:shd w:val="clear" w:color="auto" w:fill="E9E6E3"/>
            <w:tcMar>
              <w:top w:w="0" w:type="dxa"/>
              <w:left w:w="108" w:type="dxa"/>
              <w:bottom w:w="0" w:type="dxa"/>
              <w:right w:w="108" w:type="dxa"/>
            </w:tcMar>
          </w:tcPr>
          <w:p w:rsidR="000C21A5" w:rsidRPr="00C33CD0" w:rsidRDefault="000C21A5" w:rsidP="00B16E9D">
            <w:pPr>
              <w:rPr>
                <w:sz w:val="20"/>
                <w:szCs w:val="20"/>
              </w:rPr>
            </w:pPr>
            <w:r w:rsidRPr="00C33CD0">
              <w:rPr>
                <w:sz w:val="20"/>
                <w:szCs w:val="20"/>
              </w:rPr>
              <w:t>Professor of Medicine in the Division of Infectious Diseases and Director of the Department of Antimicrobial Stewardship, John Hopkins University</w:t>
            </w:r>
          </w:p>
        </w:tc>
        <w:tc>
          <w:tcPr>
            <w:tcW w:w="1990" w:type="dxa"/>
            <w:shd w:val="clear" w:color="auto" w:fill="E9E6E3"/>
          </w:tcPr>
          <w:p w:rsidR="000C21A5" w:rsidRPr="00507017" w:rsidRDefault="000C21A5" w:rsidP="00B16E9D">
            <w:pPr>
              <w:rPr>
                <w:sz w:val="20"/>
                <w:szCs w:val="20"/>
              </w:rPr>
            </w:pPr>
            <w:r w:rsidRPr="00507017">
              <w:rPr>
                <w:sz w:val="20"/>
                <w:szCs w:val="20"/>
              </w:rPr>
              <w:t>443/287-4590</w:t>
            </w:r>
          </w:p>
        </w:tc>
      </w:tr>
      <w:tr w:rsidR="000C21A5" w:rsidRPr="00163110" w:rsidTr="00B16E9D">
        <w:trPr>
          <w:cantSplit/>
          <w:trHeight w:val="260"/>
          <w:jc w:val="center"/>
        </w:trPr>
        <w:tc>
          <w:tcPr>
            <w:tcW w:w="2043" w:type="dxa"/>
            <w:shd w:val="clear" w:color="auto" w:fill="E9E6E3"/>
            <w:tcMar>
              <w:top w:w="0" w:type="dxa"/>
              <w:left w:w="108" w:type="dxa"/>
              <w:bottom w:w="0" w:type="dxa"/>
              <w:right w:w="108" w:type="dxa"/>
            </w:tcMar>
          </w:tcPr>
          <w:p w:rsidR="000C21A5" w:rsidRPr="00E74E63" w:rsidRDefault="000C21A5" w:rsidP="00B16E9D">
            <w:pPr>
              <w:rPr>
                <w:sz w:val="20"/>
                <w:szCs w:val="20"/>
              </w:rPr>
            </w:pPr>
            <w:r>
              <w:rPr>
                <w:sz w:val="20"/>
                <w:szCs w:val="20"/>
              </w:rPr>
              <w:t>Sai Loganathan</w:t>
            </w:r>
          </w:p>
        </w:tc>
        <w:tc>
          <w:tcPr>
            <w:tcW w:w="6248" w:type="dxa"/>
            <w:shd w:val="clear" w:color="auto" w:fill="E9E6E3"/>
            <w:tcMar>
              <w:top w:w="0" w:type="dxa"/>
              <w:left w:w="108" w:type="dxa"/>
              <w:bottom w:w="0" w:type="dxa"/>
              <w:right w:w="108" w:type="dxa"/>
            </w:tcMar>
          </w:tcPr>
          <w:p w:rsidR="000C21A5" w:rsidRPr="00C33CD0" w:rsidRDefault="000C21A5" w:rsidP="00B16E9D">
            <w:pPr>
              <w:rPr>
                <w:sz w:val="20"/>
                <w:szCs w:val="20"/>
              </w:rPr>
            </w:pPr>
            <w:r>
              <w:rPr>
                <w:sz w:val="20"/>
                <w:szCs w:val="20"/>
              </w:rPr>
              <w:t>Senior Research Scientist, NORC</w:t>
            </w:r>
          </w:p>
        </w:tc>
        <w:tc>
          <w:tcPr>
            <w:tcW w:w="1990" w:type="dxa"/>
            <w:shd w:val="clear" w:color="auto" w:fill="E9E6E3"/>
          </w:tcPr>
          <w:p w:rsidR="000C21A5" w:rsidRPr="00507017" w:rsidRDefault="000C21A5" w:rsidP="00B16E9D">
            <w:pPr>
              <w:rPr>
                <w:sz w:val="20"/>
                <w:szCs w:val="20"/>
              </w:rPr>
            </w:pPr>
            <w:r>
              <w:rPr>
                <w:sz w:val="20"/>
                <w:szCs w:val="20"/>
              </w:rPr>
              <w:t>301/634-9346</w:t>
            </w:r>
          </w:p>
        </w:tc>
      </w:tr>
      <w:tr w:rsidR="000C21A5" w:rsidRPr="00163110" w:rsidTr="00B16E9D">
        <w:trPr>
          <w:cantSplit/>
          <w:trHeight w:val="260"/>
          <w:jc w:val="center"/>
        </w:trPr>
        <w:tc>
          <w:tcPr>
            <w:tcW w:w="2043" w:type="dxa"/>
            <w:shd w:val="clear" w:color="auto" w:fill="E9E6E3"/>
            <w:tcMar>
              <w:top w:w="0" w:type="dxa"/>
              <w:left w:w="108" w:type="dxa"/>
              <w:bottom w:w="0" w:type="dxa"/>
              <w:right w:w="108" w:type="dxa"/>
            </w:tcMar>
          </w:tcPr>
          <w:p w:rsidR="000C21A5" w:rsidRPr="00163110" w:rsidRDefault="000C21A5" w:rsidP="00B16E9D">
            <w:pPr>
              <w:rPr>
                <w:sz w:val="20"/>
                <w:szCs w:val="20"/>
              </w:rPr>
            </w:pPr>
            <w:r w:rsidRPr="00163110">
              <w:rPr>
                <w:sz w:val="20"/>
                <w:szCs w:val="20"/>
              </w:rPr>
              <w:t>Yue Gao, MPH</w:t>
            </w:r>
          </w:p>
        </w:tc>
        <w:tc>
          <w:tcPr>
            <w:tcW w:w="6248" w:type="dxa"/>
            <w:shd w:val="clear" w:color="auto" w:fill="E9E6E3"/>
            <w:tcMar>
              <w:top w:w="0" w:type="dxa"/>
              <w:left w:w="108" w:type="dxa"/>
              <w:bottom w:w="0" w:type="dxa"/>
              <w:right w:w="108" w:type="dxa"/>
            </w:tcMar>
          </w:tcPr>
          <w:p w:rsidR="000C21A5" w:rsidRPr="00163110" w:rsidRDefault="000C21A5" w:rsidP="00B16E9D">
            <w:pPr>
              <w:rPr>
                <w:sz w:val="20"/>
                <w:szCs w:val="20"/>
              </w:rPr>
            </w:pPr>
            <w:r w:rsidRPr="00163110">
              <w:rPr>
                <w:sz w:val="20"/>
                <w:szCs w:val="20"/>
              </w:rPr>
              <w:t>Research Scientist, NORC</w:t>
            </w:r>
          </w:p>
        </w:tc>
        <w:tc>
          <w:tcPr>
            <w:tcW w:w="1990" w:type="dxa"/>
            <w:shd w:val="clear" w:color="auto" w:fill="E9E6E3"/>
          </w:tcPr>
          <w:p w:rsidR="000C21A5" w:rsidRPr="00507017" w:rsidRDefault="000C21A5" w:rsidP="00B16E9D">
            <w:pPr>
              <w:rPr>
                <w:sz w:val="20"/>
                <w:szCs w:val="20"/>
              </w:rPr>
            </w:pPr>
            <w:r w:rsidRPr="00507017">
              <w:rPr>
                <w:sz w:val="20"/>
                <w:szCs w:val="20"/>
              </w:rPr>
              <w:t>301/634-9440</w:t>
            </w:r>
          </w:p>
        </w:tc>
      </w:tr>
      <w:tr w:rsidR="000C21A5" w:rsidRPr="00163110" w:rsidTr="00B16E9D">
        <w:trPr>
          <w:cantSplit/>
          <w:trHeight w:val="260"/>
          <w:jc w:val="center"/>
        </w:trPr>
        <w:tc>
          <w:tcPr>
            <w:tcW w:w="2043" w:type="dxa"/>
            <w:shd w:val="clear" w:color="auto" w:fill="E9E6E3"/>
            <w:tcMar>
              <w:top w:w="0" w:type="dxa"/>
              <w:left w:w="108" w:type="dxa"/>
              <w:bottom w:w="0" w:type="dxa"/>
              <w:right w:w="108" w:type="dxa"/>
            </w:tcMar>
          </w:tcPr>
          <w:p w:rsidR="000C21A5" w:rsidRPr="00163110" w:rsidRDefault="000C21A5" w:rsidP="00B16E9D">
            <w:pPr>
              <w:rPr>
                <w:sz w:val="20"/>
                <w:szCs w:val="20"/>
              </w:rPr>
            </w:pPr>
            <w:r w:rsidRPr="00163110">
              <w:rPr>
                <w:sz w:val="20"/>
                <w:szCs w:val="20"/>
              </w:rPr>
              <w:t>Michael Kohut, PhD</w:t>
            </w:r>
          </w:p>
        </w:tc>
        <w:tc>
          <w:tcPr>
            <w:tcW w:w="6248" w:type="dxa"/>
            <w:shd w:val="clear" w:color="auto" w:fill="E9E6E3"/>
            <w:tcMar>
              <w:top w:w="0" w:type="dxa"/>
              <w:left w:w="108" w:type="dxa"/>
              <w:bottom w:w="0" w:type="dxa"/>
              <w:right w:w="108" w:type="dxa"/>
            </w:tcMar>
          </w:tcPr>
          <w:p w:rsidR="000C21A5" w:rsidRPr="00163110" w:rsidRDefault="000C21A5" w:rsidP="00B16E9D">
            <w:pPr>
              <w:rPr>
                <w:sz w:val="20"/>
                <w:szCs w:val="20"/>
              </w:rPr>
            </w:pPr>
            <w:r w:rsidRPr="00163110">
              <w:rPr>
                <w:sz w:val="20"/>
                <w:szCs w:val="20"/>
              </w:rPr>
              <w:t>Qualitative Researcher, John Hopkins University</w:t>
            </w:r>
          </w:p>
        </w:tc>
        <w:tc>
          <w:tcPr>
            <w:tcW w:w="1990" w:type="dxa"/>
            <w:shd w:val="clear" w:color="auto" w:fill="E9E6E3"/>
          </w:tcPr>
          <w:p w:rsidR="000C21A5" w:rsidRPr="00507017" w:rsidRDefault="000C21A5" w:rsidP="00B16E9D">
            <w:pPr>
              <w:rPr>
                <w:sz w:val="20"/>
                <w:szCs w:val="20"/>
              </w:rPr>
            </w:pPr>
            <w:r w:rsidRPr="00507017">
              <w:rPr>
                <w:sz w:val="20"/>
                <w:szCs w:val="20"/>
              </w:rPr>
              <w:t>410/637-7228</w:t>
            </w:r>
          </w:p>
        </w:tc>
      </w:tr>
    </w:tbl>
    <w:p w:rsidR="000C21A5" w:rsidRDefault="000C21A5" w:rsidP="000C21A5"/>
    <w:p w:rsidR="000C21A5" w:rsidRPr="00F34C93" w:rsidRDefault="000C21A5" w:rsidP="000C21A5">
      <w:r>
        <w:t xml:space="preserve">The data will be collected by NORC at the University of Chicago. </w:t>
      </w:r>
    </w:p>
    <w:p w:rsidR="00A11278" w:rsidRDefault="00A11278"/>
    <w:sectPr w:rsidR="00A11278" w:rsidSect="005F5C6F">
      <w:footerReference w:type="defaul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1A5" w:rsidRDefault="000C21A5" w:rsidP="000C21A5">
      <w:r>
        <w:separator/>
      </w:r>
    </w:p>
  </w:endnote>
  <w:endnote w:type="continuationSeparator" w:id="0">
    <w:p w:rsidR="000C21A5" w:rsidRDefault="000C21A5" w:rsidP="000C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1A5" w:rsidRDefault="000C21A5"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21A5" w:rsidRDefault="000C21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1A5" w:rsidRDefault="000C21A5" w:rsidP="00874B68">
    <w:pPr>
      <w:pStyle w:val="Footer"/>
      <w:framePr w:wrap="around" w:vAnchor="text" w:hAnchor="margin" w:xAlign="center" w:y="1"/>
      <w:rPr>
        <w:rStyle w:val="PageNumber"/>
      </w:rPr>
    </w:pPr>
    <w:r>
      <w:rPr>
        <w:rStyle w:val="PageNumber"/>
      </w:rPr>
      <w:fldChar w:fldCharType="begin"/>
    </w:r>
    <w:r>
      <w:rPr>
        <w:rStyle w:val="PageNumber"/>
      </w:rPr>
      <w:instrText xml:space="preserve"> PAGE  \* roman </w:instrText>
    </w:r>
    <w:r>
      <w:rPr>
        <w:rStyle w:val="PageNumber"/>
      </w:rPr>
      <w:fldChar w:fldCharType="separate"/>
    </w:r>
    <w:r w:rsidR="00D2249D">
      <w:rPr>
        <w:rStyle w:val="PageNumber"/>
        <w:noProof/>
      </w:rPr>
      <w:t>ii</w:t>
    </w:r>
    <w:r>
      <w:rPr>
        <w:rStyle w:val="PageNumber"/>
      </w:rPr>
      <w:fldChar w:fldCharType="end"/>
    </w:r>
  </w:p>
  <w:p w:rsidR="000C21A5" w:rsidRDefault="000C21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C6F" w:rsidRDefault="00DC3971" w:rsidP="00874B68">
    <w:pPr>
      <w:pStyle w:val="Footer"/>
      <w:framePr w:wrap="around" w:vAnchor="text" w:hAnchor="margin" w:xAlign="center" w:y="1"/>
      <w:rPr>
        <w:rStyle w:val="PageNumber"/>
      </w:rPr>
    </w:pPr>
    <w:r>
      <w:rPr>
        <w:rStyle w:val="PageNumber"/>
      </w:rPr>
      <w:fldChar w:fldCharType="begin"/>
    </w:r>
    <w:r>
      <w:rPr>
        <w:rStyle w:val="PageNumber"/>
      </w:rPr>
      <w:instrText xml:space="preserve"> PAGE  \* Arabic </w:instrText>
    </w:r>
    <w:r>
      <w:rPr>
        <w:rStyle w:val="PageNumber"/>
      </w:rPr>
      <w:fldChar w:fldCharType="separate"/>
    </w:r>
    <w:r w:rsidR="009540FA">
      <w:rPr>
        <w:rStyle w:val="PageNumber"/>
        <w:noProof/>
      </w:rPr>
      <w:t>16</w:t>
    </w:r>
    <w:r>
      <w:rPr>
        <w:rStyle w:val="PageNumber"/>
      </w:rPr>
      <w:fldChar w:fldCharType="end"/>
    </w:r>
  </w:p>
  <w:p w:rsidR="005F5C6F" w:rsidRDefault="00D224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C6F" w:rsidRDefault="00DC3971">
    <w:pPr>
      <w:pStyle w:val="Footer"/>
      <w:jc w:val="center"/>
    </w:pPr>
    <w:r>
      <w:fldChar w:fldCharType="begin"/>
    </w:r>
    <w:r>
      <w:instrText xml:space="preserve"> PAGE  \* Arabic  \* MERGEFORMAT </w:instrText>
    </w:r>
    <w:r>
      <w:fldChar w:fldCharType="separate"/>
    </w:r>
    <w:r w:rsidR="009540FA">
      <w:rPr>
        <w:noProof/>
      </w:rPr>
      <w:t>3</w:t>
    </w:r>
    <w:r>
      <w:fldChar w:fldCharType="end"/>
    </w:r>
  </w:p>
  <w:p w:rsidR="005F5C6F" w:rsidRDefault="00D224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1A5" w:rsidRDefault="000C21A5" w:rsidP="000C21A5">
      <w:r>
        <w:separator/>
      </w:r>
    </w:p>
  </w:footnote>
  <w:footnote w:type="continuationSeparator" w:id="0">
    <w:p w:rsidR="000C21A5" w:rsidRDefault="000C21A5" w:rsidP="000C21A5">
      <w:r>
        <w:continuationSeparator/>
      </w:r>
    </w:p>
  </w:footnote>
  <w:footnote w:id="1">
    <w:p w:rsidR="000C21A5" w:rsidRPr="00855B69" w:rsidRDefault="000C21A5" w:rsidP="000C21A5">
      <w:pPr>
        <w:pStyle w:val="FootnoteText"/>
        <w:rPr>
          <w:rFonts w:ascii="Times New Roman" w:hAnsi="Times New Roman"/>
        </w:rPr>
      </w:pPr>
      <w:r w:rsidRPr="00842797">
        <w:rPr>
          <w:rStyle w:val="FootnoteReference"/>
          <w:rFonts w:ascii="Arial" w:hAnsi="Arial" w:cs="Arial"/>
        </w:rPr>
        <w:footnoteRef/>
      </w:r>
      <w:r w:rsidRPr="00842797">
        <w:rPr>
          <w:rFonts w:ascii="Arial" w:hAnsi="Arial" w:cs="Arial"/>
        </w:rPr>
        <w:t xml:space="preserve"> </w:t>
      </w:r>
      <w:r w:rsidRPr="00855B69">
        <w:rPr>
          <w:rFonts w:ascii="Times New Roman" w:hAnsi="Times New Roman"/>
        </w:rPr>
        <w:t xml:space="preserve">Please note this measure, as a component in antibiotic </w:t>
      </w:r>
      <w:r>
        <w:rPr>
          <w:rFonts w:ascii="Times New Roman" w:hAnsi="Times New Roman"/>
        </w:rPr>
        <w:t>prescribing appropriateness</w:t>
      </w:r>
      <w:r w:rsidRPr="00855B69">
        <w:rPr>
          <w:rFonts w:ascii="Times New Roman" w:hAnsi="Times New Roman"/>
        </w:rPr>
        <w:t>, will be collected via primary data collection. Other components, such as days of antibiotic therapy days per 1,000 patient days, will be collected via secondary data collection through EHR extraction and are included in the secondary data collection section.</w:t>
      </w:r>
    </w:p>
  </w:footnote>
  <w:footnote w:id="2">
    <w:p w:rsidR="000C21A5" w:rsidRDefault="000C21A5" w:rsidP="000C21A5">
      <w:pPr>
        <w:pStyle w:val="FootnoteText"/>
      </w:pPr>
      <w:r>
        <w:rPr>
          <w:rStyle w:val="FootnoteReference"/>
        </w:rPr>
        <w:footnoteRef/>
      </w:r>
      <w:r>
        <w:t xml:space="preserve"> </w:t>
      </w:r>
      <w:hyperlink r:id="rId1" w:history="1">
        <w:r w:rsidRPr="00670C5B">
          <w:rPr>
            <w:rStyle w:val="Hyperlink"/>
          </w:rPr>
          <w:t>https://www.cdc.gov/nhsn/pdfs/training/aur-training.pdf</w:t>
        </w:r>
      </w:hyperlink>
    </w:p>
    <w:p w:rsidR="000C21A5" w:rsidRDefault="000C21A5" w:rsidP="000C21A5">
      <w:pPr>
        <w:pStyle w:val="FootnoteText"/>
      </w:pPr>
    </w:p>
  </w:footnote>
  <w:footnote w:id="3">
    <w:p w:rsidR="000C21A5" w:rsidRDefault="000C21A5" w:rsidP="000C21A5">
      <w:pPr>
        <w:pStyle w:val="FootnoteText"/>
      </w:pPr>
      <w:r>
        <w:rPr>
          <w:rStyle w:val="FootnoteReference"/>
        </w:rPr>
        <w:footnoteRef/>
      </w:r>
      <w:r>
        <w:t xml:space="preserve"> Assuming the standard deviation is the same for baseline and post-intervention period. Based on prior studies, we set up the value as 50 for DOT per 1,000 patient-days in acute care setting, 20 for DOT per 1,000 patient-days in LTC setting and 2.4 for number of antibiotic prescriptions per 100 patient-visits in ambulatory care setting.</w:t>
      </w:r>
    </w:p>
  </w:footnote>
  <w:footnote w:id="4">
    <w:p w:rsidR="000C21A5" w:rsidRDefault="000C21A5" w:rsidP="000C21A5">
      <w:pPr>
        <w:pStyle w:val="FootnoteText"/>
      </w:pPr>
      <w:r>
        <w:rPr>
          <w:rStyle w:val="FootnoteReference"/>
        </w:rPr>
        <w:footnoteRef/>
      </w:r>
      <w:r>
        <w:t xml:space="preserve"> Of note, data will be kept in a longitudinal way to use all 12 repeated measures for each outcome in the analysis. We aim to detect the pre- and post- difference using interrupted time series method, which is a commonly used method in interventions for improving antibiotic use.</w:t>
      </w:r>
    </w:p>
  </w:footnote>
  <w:footnote w:id="5">
    <w:p w:rsidR="000C21A5" w:rsidRPr="00CB19F3" w:rsidRDefault="000C21A5" w:rsidP="000C21A5">
      <w:pPr>
        <w:pStyle w:val="FootnoteText"/>
      </w:pPr>
      <w:r>
        <w:rPr>
          <w:rStyle w:val="FootnoteReference"/>
        </w:rPr>
        <w:footnoteRef/>
      </w:r>
      <w:r>
        <w:t xml:space="preserve"> Morrill HJ, Caffrey AR, Gaitanis MM, LaPlante KL. Impact of a prospective audit and feedback antimicrobial stewardship program at a Veterans Affairs medical center: a six-point assessment. </w:t>
      </w:r>
      <w:r>
        <w:rPr>
          <w:i/>
        </w:rPr>
        <w:t>PLoS One.</w:t>
      </w:r>
      <w:r>
        <w:t xml:space="preserve"> 2016;11(3):e0150795.</w:t>
      </w:r>
    </w:p>
  </w:footnote>
  <w:footnote w:id="6">
    <w:p w:rsidR="000C21A5" w:rsidRPr="00CB19F3" w:rsidRDefault="000C21A5" w:rsidP="000C21A5">
      <w:pPr>
        <w:pStyle w:val="FootnoteText"/>
      </w:pPr>
      <w:r>
        <w:rPr>
          <w:rStyle w:val="FootnoteReference"/>
        </w:rPr>
        <w:footnoteRef/>
      </w:r>
      <w:r>
        <w:t xml:space="preserve"> Daneman N, Bornskill SE, Gruneir A, </w:t>
      </w:r>
      <w:r w:rsidRPr="001A01B2">
        <w:rPr>
          <w:i/>
        </w:rPr>
        <w:t>et al</w:t>
      </w:r>
      <w:r>
        <w:t xml:space="preserve">. Variability in antibiotic use across nursing homes and the risks of antibiotic-related adverse outcomes for individual residents. </w:t>
      </w:r>
      <w:r>
        <w:rPr>
          <w:i/>
        </w:rPr>
        <w:t>JAMA Intern Med.</w:t>
      </w:r>
      <w:r>
        <w:t xml:space="preserve"> 2015;175(8):1331-9.</w:t>
      </w:r>
    </w:p>
  </w:footnote>
  <w:footnote w:id="7">
    <w:p w:rsidR="000C21A5" w:rsidRPr="001A01B2" w:rsidRDefault="000C21A5" w:rsidP="000C21A5">
      <w:pPr>
        <w:pStyle w:val="FootnoteText"/>
      </w:pPr>
      <w:r>
        <w:rPr>
          <w:rStyle w:val="FootnoteReference"/>
        </w:rPr>
        <w:footnoteRef/>
      </w:r>
      <w:r>
        <w:t xml:space="preserve"> Fleming-Dutra KE, Hersh AL, Shapiro DJ, </w:t>
      </w:r>
      <w:r>
        <w:rPr>
          <w:i/>
        </w:rPr>
        <w:t>et al.</w:t>
      </w:r>
      <w:r>
        <w:t xml:space="preserve"> Prevalence of inappropriate antibiotic prescriptions among US ambulatory care visits, 2010-2011. </w:t>
      </w:r>
      <w:r>
        <w:rPr>
          <w:i/>
        </w:rPr>
        <w:t>JAMA.</w:t>
      </w:r>
      <w:r>
        <w:t xml:space="preserve"> 2016;315(17):1864-73.</w:t>
      </w:r>
    </w:p>
  </w:footnote>
  <w:footnote w:id="8">
    <w:p w:rsidR="000C21A5" w:rsidRDefault="000C21A5" w:rsidP="000C21A5">
      <w:pPr>
        <w:pStyle w:val="FootnoteText"/>
      </w:pPr>
      <w:r>
        <w:rPr>
          <w:rStyle w:val="FootnoteReference"/>
        </w:rPr>
        <w:footnoteRef/>
      </w:r>
      <w:r>
        <w:t xml:space="preserve"> We assumed a 1-sided significance level given that we expect the intervention would improve the outcome (very likely to be a positive change only). However, we also presented the result with an assumption of 2-sided significance level as a standard assumption.</w:t>
      </w:r>
    </w:p>
  </w:footnote>
  <w:footnote w:id="9">
    <w:p w:rsidR="000C21A5" w:rsidRPr="00040637" w:rsidRDefault="000C21A5" w:rsidP="000C21A5">
      <w:pPr>
        <w:pStyle w:val="FootnoteText"/>
      </w:pPr>
      <w:r>
        <w:rPr>
          <w:rStyle w:val="FootnoteReference"/>
        </w:rPr>
        <w:footnoteRef/>
      </w:r>
      <w:r>
        <w:t xml:space="preserve"> Campbell MK, Mollison J, Grimshaw JM. </w:t>
      </w:r>
      <w:r w:rsidRPr="00040637">
        <w:t>Cluster trials in implementation research: estimation of intracluster correlation coefficients and sample size.</w:t>
      </w:r>
      <w:r>
        <w:t xml:space="preserve"> </w:t>
      </w:r>
      <w:r>
        <w:rPr>
          <w:i/>
        </w:rPr>
        <w:t>Stat Med.</w:t>
      </w:r>
      <w:r>
        <w:t xml:space="preserve">  2001;20(3):391-9. In this reference, within-patient correlation is estimated as ICC = 0.47 (95% CI 0.29 to 0.65). Based on this reference, we assumed the within-unit correlation as 0.4 and range from 0.2 to 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F8CA3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FFA4F048"/>
    <w:lvl w:ilvl="0">
      <w:start w:val="1"/>
      <w:numFmt w:val="decimal"/>
      <w:pStyle w:val="ListNumber"/>
      <w:lvlText w:val="%1."/>
      <w:lvlJc w:val="left"/>
      <w:pPr>
        <w:tabs>
          <w:tab w:val="num" w:pos="360"/>
        </w:tabs>
        <w:ind w:left="360" w:hanging="360"/>
      </w:pPr>
    </w:lvl>
  </w:abstractNum>
  <w:abstractNum w:abstractNumId="2">
    <w:nsid w:val="025F1F76"/>
    <w:multiLevelType w:val="hybridMultilevel"/>
    <w:tmpl w:val="77882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BF3B0B"/>
    <w:multiLevelType w:val="hybridMultilevel"/>
    <w:tmpl w:val="9A3C7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0F0346"/>
    <w:multiLevelType w:val="hybridMultilevel"/>
    <w:tmpl w:val="364691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993A2E"/>
    <w:multiLevelType w:val="hybridMultilevel"/>
    <w:tmpl w:val="85708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110DFA"/>
    <w:multiLevelType w:val="hybridMultilevel"/>
    <w:tmpl w:val="D340F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30199F"/>
    <w:multiLevelType w:val="hybridMultilevel"/>
    <w:tmpl w:val="8AE850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2AF53BCD"/>
    <w:multiLevelType w:val="hybridMultilevel"/>
    <w:tmpl w:val="EDD24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EC5146"/>
    <w:multiLevelType w:val="hybridMultilevel"/>
    <w:tmpl w:val="5862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FC597F"/>
    <w:multiLevelType w:val="hybridMultilevel"/>
    <w:tmpl w:val="9FA4D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0F191B"/>
    <w:multiLevelType w:val="hybridMultilevel"/>
    <w:tmpl w:val="CA2CB3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9C4D57"/>
    <w:multiLevelType w:val="hybridMultilevel"/>
    <w:tmpl w:val="93FEE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1713042"/>
    <w:multiLevelType w:val="hybridMultilevel"/>
    <w:tmpl w:val="26644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C328EB"/>
    <w:multiLevelType w:val="hybridMultilevel"/>
    <w:tmpl w:val="0B1205F8"/>
    <w:lvl w:ilvl="0" w:tplc="4D9A6C16">
      <w:start w:val="1"/>
      <w:numFmt w:val="bullet"/>
      <w:lvlText w:val="•"/>
      <w:lvlJc w:val="left"/>
      <w:pPr>
        <w:tabs>
          <w:tab w:val="num" w:pos="720"/>
        </w:tabs>
        <w:ind w:left="720" w:hanging="360"/>
      </w:pPr>
      <w:rPr>
        <w:rFonts w:ascii="Arial" w:hAnsi="Arial" w:hint="default"/>
      </w:rPr>
    </w:lvl>
    <w:lvl w:ilvl="1" w:tplc="088EB258" w:tentative="1">
      <w:start w:val="1"/>
      <w:numFmt w:val="bullet"/>
      <w:lvlText w:val="•"/>
      <w:lvlJc w:val="left"/>
      <w:pPr>
        <w:tabs>
          <w:tab w:val="num" w:pos="1440"/>
        </w:tabs>
        <w:ind w:left="1440" w:hanging="360"/>
      </w:pPr>
      <w:rPr>
        <w:rFonts w:ascii="Arial" w:hAnsi="Arial" w:hint="default"/>
      </w:rPr>
    </w:lvl>
    <w:lvl w:ilvl="2" w:tplc="4D985732">
      <w:start w:val="1"/>
      <w:numFmt w:val="decimal"/>
      <w:lvlText w:val="%3."/>
      <w:lvlJc w:val="left"/>
      <w:pPr>
        <w:tabs>
          <w:tab w:val="num" w:pos="2160"/>
        </w:tabs>
        <w:ind w:left="2160" w:hanging="360"/>
      </w:pPr>
    </w:lvl>
    <w:lvl w:ilvl="3" w:tplc="69C40140" w:tentative="1">
      <w:start w:val="1"/>
      <w:numFmt w:val="bullet"/>
      <w:lvlText w:val="•"/>
      <w:lvlJc w:val="left"/>
      <w:pPr>
        <w:tabs>
          <w:tab w:val="num" w:pos="2880"/>
        </w:tabs>
        <w:ind w:left="2880" w:hanging="360"/>
      </w:pPr>
      <w:rPr>
        <w:rFonts w:ascii="Arial" w:hAnsi="Arial" w:hint="default"/>
      </w:rPr>
    </w:lvl>
    <w:lvl w:ilvl="4" w:tplc="42947536" w:tentative="1">
      <w:start w:val="1"/>
      <w:numFmt w:val="bullet"/>
      <w:lvlText w:val="•"/>
      <w:lvlJc w:val="left"/>
      <w:pPr>
        <w:tabs>
          <w:tab w:val="num" w:pos="3600"/>
        </w:tabs>
        <w:ind w:left="3600" w:hanging="360"/>
      </w:pPr>
      <w:rPr>
        <w:rFonts w:ascii="Arial" w:hAnsi="Arial" w:hint="default"/>
      </w:rPr>
    </w:lvl>
    <w:lvl w:ilvl="5" w:tplc="3A36969E" w:tentative="1">
      <w:start w:val="1"/>
      <w:numFmt w:val="bullet"/>
      <w:lvlText w:val="•"/>
      <w:lvlJc w:val="left"/>
      <w:pPr>
        <w:tabs>
          <w:tab w:val="num" w:pos="4320"/>
        </w:tabs>
        <w:ind w:left="4320" w:hanging="360"/>
      </w:pPr>
      <w:rPr>
        <w:rFonts w:ascii="Arial" w:hAnsi="Arial" w:hint="default"/>
      </w:rPr>
    </w:lvl>
    <w:lvl w:ilvl="6" w:tplc="B58C5402" w:tentative="1">
      <w:start w:val="1"/>
      <w:numFmt w:val="bullet"/>
      <w:lvlText w:val="•"/>
      <w:lvlJc w:val="left"/>
      <w:pPr>
        <w:tabs>
          <w:tab w:val="num" w:pos="5040"/>
        </w:tabs>
        <w:ind w:left="5040" w:hanging="360"/>
      </w:pPr>
      <w:rPr>
        <w:rFonts w:ascii="Arial" w:hAnsi="Arial" w:hint="default"/>
      </w:rPr>
    </w:lvl>
    <w:lvl w:ilvl="7" w:tplc="257C66E0" w:tentative="1">
      <w:start w:val="1"/>
      <w:numFmt w:val="bullet"/>
      <w:lvlText w:val="•"/>
      <w:lvlJc w:val="left"/>
      <w:pPr>
        <w:tabs>
          <w:tab w:val="num" w:pos="5760"/>
        </w:tabs>
        <w:ind w:left="5760" w:hanging="360"/>
      </w:pPr>
      <w:rPr>
        <w:rFonts w:ascii="Arial" w:hAnsi="Arial" w:hint="default"/>
      </w:rPr>
    </w:lvl>
    <w:lvl w:ilvl="8" w:tplc="1662FB6E" w:tentative="1">
      <w:start w:val="1"/>
      <w:numFmt w:val="bullet"/>
      <w:lvlText w:val="•"/>
      <w:lvlJc w:val="left"/>
      <w:pPr>
        <w:tabs>
          <w:tab w:val="num" w:pos="6480"/>
        </w:tabs>
        <w:ind w:left="6480" w:hanging="360"/>
      </w:pPr>
      <w:rPr>
        <w:rFonts w:ascii="Arial" w:hAnsi="Arial" w:hint="default"/>
      </w:rPr>
    </w:lvl>
  </w:abstractNum>
  <w:abstractNum w:abstractNumId="19">
    <w:nsid w:val="56F707B3"/>
    <w:multiLevelType w:val="hybridMultilevel"/>
    <w:tmpl w:val="1C1E0054"/>
    <w:lvl w:ilvl="0" w:tplc="F0129164">
      <w:start w:val="1"/>
      <w:numFmt w:val="bullet"/>
      <w:lvlText w:val="•"/>
      <w:lvlJc w:val="left"/>
      <w:pPr>
        <w:tabs>
          <w:tab w:val="num" w:pos="720"/>
        </w:tabs>
        <w:ind w:left="720" w:hanging="360"/>
      </w:pPr>
      <w:rPr>
        <w:rFonts w:ascii="Arial" w:hAnsi="Arial" w:hint="default"/>
      </w:rPr>
    </w:lvl>
    <w:lvl w:ilvl="1" w:tplc="28ACC10A" w:tentative="1">
      <w:start w:val="1"/>
      <w:numFmt w:val="bullet"/>
      <w:lvlText w:val="•"/>
      <w:lvlJc w:val="left"/>
      <w:pPr>
        <w:tabs>
          <w:tab w:val="num" w:pos="1440"/>
        </w:tabs>
        <w:ind w:left="1440" w:hanging="360"/>
      </w:pPr>
      <w:rPr>
        <w:rFonts w:ascii="Arial" w:hAnsi="Arial" w:hint="default"/>
      </w:rPr>
    </w:lvl>
    <w:lvl w:ilvl="2" w:tplc="36385EA8" w:tentative="1">
      <w:start w:val="1"/>
      <w:numFmt w:val="bullet"/>
      <w:lvlText w:val="•"/>
      <w:lvlJc w:val="left"/>
      <w:pPr>
        <w:tabs>
          <w:tab w:val="num" w:pos="2160"/>
        </w:tabs>
        <w:ind w:left="2160" w:hanging="360"/>
      </w:pPr>
      <w:rPr>
        <w:rFonts w:ascii="Arial" w:hAnsi="Arial" w:hint="default"/>
      </w:rPr>
    </w:lvl>
    <w:lvl w:ilvl="3" w:tplc="D062FF2A" w:tentative="1">
      <w:start w:val="1"/>
      <w:numFmt w:val="bullet"/>
      <w:lvlText w:val="•"/>
      <w:lvlJc w:val="left"/>
      <w:pPr>
        <w:tabs>
          <w:tab w:val="num" w:pos="2880"/>
        </w:tabs>
        <w:ind w:left="2880" w:hanging="360"/>
      </w:pPr>
      <w:rPr>
        <w:rFonts w:ascii="Arial" w:hAnsi="Arial" w:hint="default"/>
      </w:rPr>
    </w:lvl>
    <w:lvl w:ilvl="4" w:tplc="7FE62084" w:tentative="1">
      <w:start w:val="1"/>
      <w:numFmt w:val="bullet"/>
      <w:lvlText w:val="•"/>
      <w:lvlJc w:val="left"/>
      <w:pPr>
        <w:tabs>
          <w:tab w:val="num" w:pos="3600"/>
        </w:tabs>
        <w:ind w:left="3600" w:hanging="360"/>
      </w:pPr>
      <w:rPr>
        <w:rFonts w:ascii="Arial" w:hAnsi="Arial" w:hint="default"/>
      </w:rPr>
    </w:lvl>
    <w:lvl w:ilvl="5" w:tplc="DDB03024" w:tentative="1">
      <w:start w:val="1"/>
      <w:numFmt w:val="bullet"/>
      <w:lvlText w:val="•"/>
      <w:lvlJc w:val="left"/>
      <w:pPr>
        <w:tabs>
          <w:tab w:val="num" w:pos="4320"/>
        </w:tabs>
        <w:ind w:left="4320" w:hanging="360"/>
      </w:pPr>
      <w:rPr>
        <w:rFonts w:ascii="Arial" w:hAnsi="Arial" w:hint="default"/>
      </w:rPr>
    </w:lvl>
    <w:lvl w:ilvl="6" w:tplc="65D29A34" w:tentative="1">
      <w:start w:val="1"/>
      <w:numFmt w:val="bullet"/>
      <w:lvlText w:val="•"/>
      <w:lvlJc w:val="left"/>
      <w:pPr>
        <w:tabs>
          <w:tab w:val="num" w:pos="5040"/>
        </w:tabs>
        <w:ind w:left="5040" w:hanging="360"/>
      </w:pPr>
      <w:rPr>
        <w:rFonts w:ascii="Arial" w:hAnsi="Arial" w:hint="default"/>
      </w:rPr>
    </w:lvl>
    <w:lvl w:ilvl="7" w:tplc="694CE7A8" w:tentative="1">
      <w:start w:val="1"/>
      <w:numFmt w:val="bullet"/>
      <w:lvlText w:val="•"/>
      <w:lvlJc w:val="left"/>
      <w:pPr>
        <w:tabs>
          <w:tab w:val="num" w:pos="5760"/>
        </w:tabs>
        <w:ind w:left="5760" w:hanging="360"/>
      </w:pPr>
      <w:rPr>
        <w:rFonts w:ascii="Arial" w:hAnsi="Arial" w:hint="default"/>
      </w:rPr>
    </w:lvl>
    <w:lvl w:ilvl="8" w:tplc="969AFB24" w:tentative="1">
      <w:start w:val="1"/>
      <w:numFmt w:val="bullet"/>
      <w:lvlText w:val="•"/>
      <w:lvlJc w:val="left"/>
      <w:pPr>
        <w:tabs>
          <w:tab w:val="num" w:pos="6480"/>
        </w:tabs>
        <w:ind w:left="6480" w:hanging="360"/>
      </w:pPr>
      <w:rPr>
        <w:rFonts w:ascii="Arial" w:hAnsi="Arial" w:hint="default"/>
      </w:rPr>
    </w:lvl>
  </w:abstractNum>
  <w:abstractNum w:abstractNumId="20">
    <w:nsid w:val="58132377"/>
    <w:multiLevelType w:val="hybridMultilevel"/>
    <w:tmpl w:val="05329436"/>
    <w:lvl w:ilvl="0" w:tplc="4450FD14">
      <w:start w:val="1"/>
      <w:numFmt w:val="bullet"/>
      <w:pStyle w:val="NORCTableBullet110ptNarrow"/>
      <w:lvlText w:val="■"/>
      <w:lvlJc w:val="left"/>
      <w:pPr>
        <w:ind w:left="360" w:hanging="360"/>
      </w:pPr>
      <w:rPr>
        <w:rFonts w:ascii="Arial" w:hAnsi="Arial" w:hint="default"/>
        <w:color w:val="8AB3A4"/>
        <w:position w:val="2"/>
        <w:sz w:val="15"/>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8624C0"/>
    <w:multiLevelType w:val="hybridMultilevel"/>
    <w:tmpl w:val="494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953582"/>
    <w:multiLevelType w:val="hybridMultilevel"/>
    <w:tmpl w:val="13645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445DA9"/>
    <w:multiLevelType w:val="hybridMultilevel"/>
    <w:tmpl w:val="4CB40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4C240B"/>
    <w:multiLevelType w:val="hybridMultilevel"/>
    <w:tmpl w:val="E5CA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21"/>
  </w:num>
  <w:num w:numId="5">
    <w:abstractNumId w:val="15"/>
  </w:num>
  <w:num w:numId="6">
    <w:abstractNumId w:val="20"/>
  </w:num>
  <w:num w:numId="7">
    <w:abstractNumId w:val="1"/>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4"/>
  </w:num>
  <w:num w:numId="11">
    <w:abstractNumId w:val="7"/>
  </w:num>
  <w:num w:numId="12">
    <w:abstractNumId w:val="10"/>
  </w:num>
  <w:num w:numId="13">
    <w:abstractNumId w:val="23"/>
  </w:num>
  <w:num w:numId="14">
    <w:abstractNumId w:val="24"/>
  </w:num>
  <w:num w:numId="15">
    <w:abstractNumId w:val="17"/>
  </w:num>
  <w:num w:numId="16">
    <w:abstractNumId w:val="22"/>
  </w:num>
  <w:num w:numId="17">
    <w:abstractNumId w:val="13"/>
  </w:num>
  <w:num w:numId="18">
    <w:abstractNumId w:val="12"/>
  </w:num>
  <w:num w:numId="19">
    <w:abstractNumId w:val="9"/>
  </w:num>
  <w:num w:numId="20">
    <w:abstractNumId w:val="18"/>
  </w:num>
  <w:num w:numId="21">
    <w:abstractNumId w:val="19"/>
  </w:num>
  <w:num w:numId="22">
    <w:abstractNumId w:val="8"/>
  </w:num>
  <w:num w:numId="23">
    <w:abstractNumId w:val="5"/>
  </w:num>
  <w:num w:numId="24">
    <w:abstractNumId w:val="25"/>
  </w:num>
  <w:num w:numId="25">
    <w:abstractNumId w:val="0"/>
  </w:num>
  <w:num w:numId="26">
    <w:abstractNumId w:val="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1A5"/>
    <w:rsid w:val="000C21A5"/>
    <w:rsid w:val="00267512"/>
    <w:rsid w:val="00290E53"/>
    <w:rsid w:val="002A0ED0"/>
    <w:rsid w:val="006972E9"/>
    <w:rsid w:val="009540FA"/>
    <w:rsid w:val="00A11278"/>
    <w:rsid w:val="00D2249D"/>
    <w:rsid w:val="00DB09DA"/>
    <w:rsid w:val="00DC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1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21A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C21A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1A5"/>
    <w:rPr>
      <w:rFonts w:ascii="Arial" w:eastAsia="Times New Roman" w:hAnsi="Arial" w:cs="Arial"/>
      <w:b/>
      <w:bCs/>
      <w:kern w:val="32"/>
      <w:sz w:val="32"/>
      <w:szCs w:val="32"/>
    </w:rPr>
  </w:style>
  <w:style w:type="character" w:customStyle="1" w:styleId="Heading2Char">
    <w:name w:val="Heading 2 Char"/>
    <w:basedOn w:val="DefaultParagraphFont"/>
    <w:link w:val="Heading2"/>
    <w:rsid w:val="000C21A5"/>
    <w:rPr>
      <w:rFonts w:ascii="Arial" w:eastAsia="Times New Roman" w:hAnsi="Arial" w:cs="Arial"/>
      <w:b/>
      <w:bCs/>
      <w:i/>
      <w:iCs/>
      <w:sz w:val="28"/>
      <w:szCs w:val="28"/>
    </w:rPr>
  </w:style>
  <w:style w:type="character" w:styleId="Emphasis">
    <w:name w:val="Emphasis"/>
    <w:qFormat/>
    <w:rsid w:val="000C21A5"/>
    <w:rPr>
      <w:i/>
      <w:iCs/>
    </w:rPr>
  </w:style>
  <w:style w:type="paragraph" w:styleId="EndnoteText">
    <w:name w:val="endnote text"/>
    <w:basedOn w:val="Normal"/>
    <w:link w:val="EndnoteTextChar"/>
    <w:semiHidden/>
    <w:rsid w:val="000C21A5"/>
    <w:rPr>
      <w:sz w:val="20"/>
      <w:szCs w:val="20"/>
    </w:rPr>
  </w:style>
  <w:style w:type="character" w:customStyle="1" w:styleId="EndnoteTextChar">
    <w:name w:val="Endnote Text Char"/>
    <w:basedOn w:val="DefaultParagraphFont"/>
    <w:link w:val="EndnoteText"/>
    <w:semiHidden/>
    <w:rsid w:val="000C21A5"/>
    <w:rPr>
      <w:rFonts w:ascii="Times New Roman" w:eastAsia="Times New Roman" w:hAnsi="Times New Roman" w:cs="Times New Roman"/>
      <w:sz w:val="20"/>
      <w:szCs w:val="20"/>
    </w:rPr>
  </w:style>
  <w:style w:type="paragraph" w:styleId="TOC1">
    <w:name w:val="toc 1"/>
    <w:basedOn w:val="Normal"/>
    <w:next w:val="Normal"/>
    <w:autoRedefine/>
    <w:uiPriority w:val="39"/>
    <w:rsid w:val="000C21A5"/>
  </w:style>
  <w:style w:type="paragraph" w:styleId="TOC2">
    <w:name w:val="toc 2"/>
    <w:basedOn w:val="Normal"/>
    <w:next w:val="Normal"/>
    <w:autoRedefine/>
    <w:uiPriority w:val="39"/>
    <w:rsid w:val="000C21A5"/>
    <w:pPr>
      <w:ind w:left="240"/>
    </w:pPr>
  </w:style>
  <w:style w:type="character" w:styleId="Hyperlink">
    <w:name w:val="Hyperlink"/>
    <w:uiPriority w:val="99"/>
    <w:rsid w:val="000C21A5"/>
    <w:rPr>
      <w:color w:val="0000FF"/>
      <w:u w:val="single"/>
    </w:rPr>
  </w:style>
  <w:style w:type="paragraph" w:styleId="Footer">
    <w:name w:val="footer"/>
    <w:basedOn w:val="Normal"/>
    <w:link w:val="FooterChar"/>
    <w:uiPriority w:val="99"/>
    <w:rsid w:val="000C21A5"/>
    <w:pPr>
      <w:tabs>
        <w:tab w:val="center" w:pos="4320"/>
        <w:tab w:val="right" w:pos="8640"/>
      </w:tabs>
    </w:pPr>
  </w:style>
  <w:style w:type="character" w:customStyle="1" w:styleId="FooterChar">
    <w:name w:val="Footer Char"/>
    <w:basedOn w:val="DefaultParagraphFont"/>
    <w:link w:val="Footer"/>
    <w:uiPriority w:val="99"/>
    <w:rsid w:val="000C21A5"/>
    <w:rPr>
      <w:rFonts w:ascii="Times New Roman" w:eastAsia="Times New Roman" w:hAnsi="Times New Roman" w:cs="Times New Roman"/>
      <w:sz w:val="24"/>
      <w:szCs w:val="24"/>
    </w:rPr>
  </w:style>
  <w:style w:type="character" w:styleId="PageNumber">
    <w:name w:val="page number"/>
    <w:basedOn w:val="DefaultParagraphFont"/>
    <w:rsid w:val="000C21A5"/>
  </w:style>
  <w:style w:type="character" w:styleId="Strong">
    <w:name w:val="Strong"/>
    <w:qFormat/>
    <w:rsid w:val="000C21A5"/>
    <w:rPr>
      <w:b/>
      <w:bCs/>
    </w:rPr>
  </w:style>
  <w:style w:type="paragraph" w:styleId="BodyText">
    <w:name w:val="Body Text"/>
    <w:basedOn w:val="Normal"/>
    <w:link w:val="BodyTextChar"/>
    <w:uiPriority w:val="99"/>
    <w:rsid w:val="000C21A5"/>
    <w:pPr>
      <w:spacing w:after="240" w:line="360" w:lineRule="auto"/>
    </w:pPr>
    <w:rPr>
      <w:rFonts w:eastAsia="Calibri"/>
      <w:sz w:val="22"/>
      <w:szCs w:val="22"/>
    </w:rPr>
  </w:style>
  <w:style w:type="character" w:customStyle="1" w:styleId="BodyTextChar">
    <w:name w:val="Body Text Char"/>
    <w:basedOn w:val="DefaultParagraphFont"/>
    <w:link w:val="BodyText"/>
    <w:uiPriority w:val="99"/>
    <w:rsid w:val="000C21A5"/>
    <w:rPr>
      <w:rFonts w:ascii="Times New Roman" w:eastAsia="Calibri" w:hAnsi="Times New Roman" w:cs="Times New Roman"/>
    </w:rPr>
  </w:style>
  <w:style w:type="paragraph" w:customStyle="1" w:styleId="NORCTableSubheadingCenter10ptNarrow">
    <w:name w:val="NORC Table Subheading Center 10ptNarrow"/>
    <w:qFormat/>
    <w:rsid w:val="000C21A5"/>
    <w:pPr>
      <w:keepNext/>
      <w:spacing w:after="0" w:line="240" w:lineRule="auto"/>
      <w:jc w:val="center"/>
    </w:pPr>
    <w:rPr>
      <w:rFonts w:ascii="Arial Narrow" w:eastAsia="Times New Roman" w:hAnsi="Arial Narrow" w:cs="Times New Roman"/>
      <w:b/>
      <w:bCs/>
      <w:color w:val="000000"/>
      <w:sz w:val="20"/>
    </w:rPr>
  </w:style>
  <w:style w:type="paragraph" w:customStyle="1" w:styleId="NORCTableBodyLeft10ptNarrow">
    <w:name w:val="NORC Table Body Left (10ptNarrow)"/>
    <w:basedOn w:val="Normal"/>
    <w:qFormat/>
    <w:rsid w:val="000C21A5"/>
    <w:pPr>
      <w:tabs>
        <w:tab w:val="left" w:pos="144"/>
      </w:tabs>
    </w:pPr>
    <w:rPr>
      <w:rFonts w:ascii="Arial Narrow" w:hAnsi="Arial Narrow"/>
      <w:color w:val="000000"/>
      <w:sz w:val="20"/>
      <w:szCs w:val="20"/>
    </w:rPr>
  </w:style>
  <w:style w:type="character" w:customStyle="1" w:styleId="NORCCaption-Color">
    <w:name w:val="NORC Caption - Color"/>
    <w:qFormat/>
    <w:rsid w:val="000C21A5"/>
    <w:rPr>
      <w:rFonts w:ascii="Arial Narrow" w:hAnsi="Arial Narrow"/>
      <w:b/>
      <w:color w:val="8AB3A4"/>
      <w:sz w:val="22"/>
    </w:rPr>
  </w:style>
  <w:style w:type="paragraph" w:customStyle="1" w:styleId="NORCTableBullet110ptNarrow">
    <w:name w:val="NORC Table Bullet 1 (10ptNarrow)"/>
    <w:basedOn w:val="Normal"/>
    <w:qFormat/>
    <w:rsid w:val="000C21A5"/>
    <w:pPr>
      <w:framePr w:hSpace="180" w:wrap="around" w:vAnchor="text" w:hAnchor="margin" w:y="2375"/>
      <w:numPr>
        <w:numId w:val="6"/>
      </w:numPr>
      <w:tabs>
        <w:tab w:val="left" w:pos="144"/>
      </w:tabs>
      <w:suppressOverlap/>
    </w:pPr>
    <w:rPr>
      <w:rFonts w:ascii="Arial Narrow" w:hAnsi="Arial Narrow"/>
      <w:color w:val="000000"/>
      <w:sz w:val="20"/>
      <w:szCs w:val="20"/>
    </w:rPr>
  </w:style>
  <w:style w:type="paragraph" w:styleId="FootnoteText">
    <w:name w:val="footnote text"/>
    <w:basedOn w:val="Normal"/>
    <w:link w:val="FootnoteTextChar"/>
    <w:uiPriority w:val="99"/>
    <w:unhideWhenUsed/>
    <w:rsid w:val="000C21A5"/>
    <w:rPr>
      <w:rFonts w:ascii="Calibri" w:eastAsia="Calibri" w:hAnsi="Calibri"/>
      <w:sz w:val="20"/>
      <w:szCs w:val="20"/>
    </w:rPr>
  </w:style>
  <w:style w:type="character" w:customStyle="1" w:styleId="FootnoteTextChar">
    <w:name w:val="Footnote Text Char"/>
    <w:basedOn w:val="DefaultParagraphFont"/>
    <w:link w:val="FootnoteText"/>
    <w:uiPriority w:val="99"/>
    <w:rsid w:val="000C21A5"/>
    <w:rPr>
      <w:rFonts w:ascii="Calibri" w:eastAsia="Calibri" w:hAnsi="Calibri" w:cs="Times New Roman"/>
      <w:sz w:val="20"/>
      <w:szCs w:val="20"/>
    </w:rPr>
  </w:style>
  <w:style w:type="character" w:styleId="FootnoteReference">
    <w:name w:val="footnote reference"/>
    <w:uiPriority w:val="99"/>
    <w:unhideWhenUsed/>
    <w:rsid w:val="000C21A5"/>
    <w:rPr>
      <w:vertAlign w:val="superscript"/>
    </w:rPr>
  </w:style>
  <w:style w:type="paragraph" w:customStyle="1" w:styleId="NORCTableHeaderArial">
    <w:name w:val="NORC Table Header (Arial)"/>
    <w:basedOn w:val="Normal"/>
    <w:rsid w:val="000C21A5"/>
    <w:pPr>
      <w:keepNext/>
      <w:spacing w:before="40" w:after="40"/>
      <w:jc w:val="center"/>
    </w:pPr>
    <w:rPr>
      <w:rFonts w:ascii="Arial" w:eastAsia="Calibri" w:hAnsi="Arial"/>
      <w:b/>
      <w:color w:val="000000"/>
      <w:sz w:val="18"/>
      <w:szCs w:val="22"/>
    </w:rPr>
  </w:style>
  <w:style w:type="paragraph" w:customStyle="1" w:styleId="NORCTableBodyLeft">
    <w:name w:val="NORC Table Body Left"/>
    <w:basedOn w:val="Normal"/>
    <w:qFormat/>
    <w:rsid w:val="000C21A5"/>
    <w:pPr>
      <w:spacing w:before="40" w:after="40"/>
    </w:pPr>
    <w:rPr>
      <w:rFonts w:ascii="Arial" w:eastAsia="SimSun" w:hAnsi="Arial"/>
      <w:sz w:val="17"/>
      <w:szCs w:val="22"/>
    </w:rPr>
  </w:style>
  <w:style w:type="table" w:styleId="TableGrid">
    <w:name w:val="Table Grid"/>
    <w:basedOn w:val="TableNormal"/>
    <w:uiPriority w:val="39"/>
    <w:rsid w:val="000C21A5"/>
    <w:pPr>
      <w:spacing w:after="0" w:line="240" w:lineRule="auto"/>
    </w:pPr>
    <w:rPr>
      <w:rFonts w:ascii="Garamond" w:eastAsia="Calibri" w:hAnsi="Garamond"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0C21A5"/>
    <w:pPr>
      <w:keepLines/>
      <w:numPr>
        <w:numId w:val="7"/>
      </w:numPr>
      <w:tabs>
        <w:tab w:val="clear" w:pos="360"/>
      </w:tabs>
      <w:contextualSpacing/>
    </w:pPr>
    <w:rPr>
      <w:rFonts w:eastAsia="Calibri"/>
      <w:sz w:val="22"/>
      <w:szCs w:val="22"/>
    </w:rPr>
  </w:style>
  <w:style w:type="character" w:styleId="CommentReference">
    <w:name w:val="annotation reference"/>
    <w:uiPriority w:val="99"/>
    <w:unhideWhenUsed/>
    <w:rsid w:val="000C21A5"/>
    <w:rPr>
      <w:sz w:val="16"/>
      <w:szCs w:val="16"/>
    </w:rPr>
  </w:style>
  <w:style w:type="paragraph" w:styleId="CommentText">
    <w:name w:val="annotation text"/>
    <w:basedOn w:val="Normal"/>
    <w:link w:val="CommentTextChar"/>
    <w:uiPriority w:val="99"/>
    <w:rsid w:val="000C21A5"/>
    <w:rPr>
      <w:rFonts w:ascii="Calibri" w:hAnsi="Calibri"/>
      <w:sz w:val="22"/>
      <w:szCs w:val="20"/>
    </w:rPr>
  </w:style>
  <w:style w:type="character" w:customStyle="1" w:styleId="CommentTextChar">
    <w:name w:val="Comment Text Char"/>
    <w:basedOn w:val="DefaultParagraphFont"/>
    <w:link w:val="CommentText"/>
    <w:uiPriority w:val="99"/>
    <w:rsid w:val="000C21A5"/>
    <w:rPr>
      <w:rFonts w:ascii="Calibri" w:eastAsia="Times New Roman" w:hAnsi="Calibri" w:cs="Times New Roman"/>
      <w:szCs w:val="20"/>
    </w:rPr>
  </w:style>
  <w:style w:type="paragraph" w:styleId="BalloonText">
    <w:name w:val="Balloon Text"/>
    <w:basedOn w:val="Normal"/>
    <w:link w:val="BalloonTextChar"/>
    <w:rsid w:val="000C21A5"/>
    <w:rPr>
      <w:rFonts w:ascii="Segoe UI" w:hAnsi="Segoe UI" w:cs="Segoe UI"/>
      <w:sz w:val="18"/>
      <w:szCs w:val="18"/>
    </w:rPr>
  </w:style>
  <w:style w:type="character" w:customStyle="1" w:styleId="BalloonTextChar">
    <w:name w:val="Balloon Text Char"/>
    <w:basedOn w:val="DefaultParagraphFont"/>
    <w:link w:val="BalloonText"/>
    <w:rsid w:val="000C21A5"/>
    <w:rPr>
      <w:rFonts w:ascii="Segoe UI" w:eastAsia="Times New Roman" w:hAnsi="Segoe UI" w:cs="Segoe UI"/>
      <w:sz w:val="18"/>
      <w:szCs w:val="18"/>
    </w:rPr>
  </w:style>
  <w:style w:type="paragraph" w:styleId="Header">
    <w:name w:val="header"/>
    <w:basedOn w:val="Normal"/>
    <w:link w:val="HeaderChar"/>
    <w:rsid w:val="000C21A5"/>
    <w:pPr>
      <w:tabs>
        <w:tab w:val="center" w:pos="4680"/>
        <w:tab w:val="right" w:pos="9360"/>
      </w:tabs>
    </w:pPr>
  </w:style>
  <w:style w:type="character" w:customStyle="1" w:styleId="HeaderChar">
    <w:name w:val="Header Char"/>
    <w:basedOn w:val="DefaultParagraphFont"/>
    <w:link w:val="Header"/>
    <w:rsid w:val="000C21A5"/>
    <w:rPr>
      <w:rFonts w:ascii="Times New Roman" w:eastAsia="Times New Roman" w:hAnsi="Times New Roman" w:cs="Times New Roman"/>
      <w:sz w:val="24"/>
      <w:szCs w:val="24"/>
    </w:rPr>
  </w:style>
  <w:style w:type="paragraph" w:customStyle="1" w:styleId="GridTable31">
    <w:name w:val="Grid Table 31"/>
    <w:basedOn w:val="Heading1"/>
    <w:next w:val="Normal"/>
    <w:uiPriority w:val="39"/>
    <w:unhideWhenUsed/>
    <w:qFormat/>
    <w:rsid w:val="000C21A5"/>
    <w:pPr>
      <w:keepLines/>
      <w:spacing w:after="0" w:line="259" w:lineRule="auto"/>
      <w:outlineLvl w:val="9"/>
    </w:pPr>
    <w:rPr>
      <w:rFonts w:ascii="Calibri Light" w:hAnsi="Calibri Light" w:cs="Times New Roman"/>
      <w:b w:val="0"/>
      <w:bCs w:val="0"/>
      <w:color w:val="2E74B5"/>
      <w:kern w:val="0"/>
    </w:rPr>
  </w:style>
  <w:style w:type="paragraph" w:styleId="CommentSubject">
    <w:name w:val="annotation subject"/>
    <w:basedOn w:val="CommentText"/>
    <w:next w:val="CommentText"/>
    <w:link w:val="CommentSubjectChar"/>
    <w:rsid w:val="000C21A5"/>
    <w:rPr>
      <w:rFonts w:ascii="Times New Roman" w:hAnsi="Times New Roman"/>
      <w:b/>
      <w:bCs/>
      <w:sz w:val="20"/>
    </w:rPr>
  </w:style>
  <w:style w:type="character" w:customStyle="1" w:styleId="CommentSubjectChar">
    <w:name w:val="Comment Subject Char"/>
    <w:basedOn w:val="CommentTextChar"/>
    <w:link w:val="CommentSubject"/>
    <w:rsid w:val="000C21A5"/>
    <w:rPr>
      <w:rFonts w:ascii="Times New Roman" w:eastAsia="Times New Roman" w:hAnsi="Times New Roman" w:cs="Times New Roman"/>
      <w:b/>
      <w:bCs/>
      <w:sz w:val="20"/>
      <w:szCs w:val="20"/>
    </w:rPr>
  </w:style>
  <w:style w:type="paragraph" w:customStyle="1" w:styleId="Default">
    <w:name w:val="Default"/>
    <w:rsid w:val="000C21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CCaption-Exhibit">
    <w:name w:val="NORC Caption - Exhibit"/>
    <w:qFormat/>
    <w:rsid w:val="000C21A5"/>
    <w:pPr>
      <w:keepNext/>
      <w:keepLines/>
      <w:tabs>
        <w:tab w:val="left" w:pos="1296"/>
        <w:tab w:val="left" w:pos="1800"/>
      </w:tabs>
      <w:spacing w:before="320" w:after="120" w:line="240" w:lineRule="auto"/>
      <w:ind w:left="1296" w:hanging="1296"/>
    </w:pPr>
    <w:rPr>
      <w:rFonts w:ascii="Garamond" w:eastAsia="Times New Roman" w:hAnsi="Garamond" w:cs="AGaramond-Regular"/>
    </w:rPr>
  </w:style>
  <w:style w:type="paragraph" w:customStyle="1" w:styleId="NORCTableBodyCenterArial">
    <w:name w:val="NORC Table Body Center (Arial)"/>
    <w:basedOn w:val="Normal"/>
    <w:qFormat/>
    <w:rsid w:val="000C21A5"/>
    <w:pPr>
      <w:tabs>
        <w:tab w:val="left" w:pos="144"/>
      </w:tabs>
      <w:spacing w:before="20" w:after="20"/>
      <w:jc w:val="center"/>
    </w:pPr>
    <w:rPr>
      <w:rFonts w:ascii="Arial Narrow" w:hAnsi="Arial Narrow"/>
      <w:color w:val="000000"/>
      <w:sz w:val="20"/>
      <w:szCs w:val="20"/>
    </w:rPr>
  </w:style>
  <w:style w:type="paragraph" w:customStyle="1" w:styleId="NORCProposalBodyDoubleSpacing-Garamond">
    <w:name w:val="NORC Proposal Body Double Spacing - Garamond"/>
    <w:qFormat/>
    <w:rsid w:val="000C21A5"/>
    <w:pPr>
      <w:tabs>
        <w:tab w:val="right" w:pos="9360"/>
      </w:tabs>
      <w:spacing w:after="0" w:line="480" w:lineRule="auto"/>
      <w:ind w:firstLine="360"/>
      <w:textboxTightWrap w:val="allLines"/>
    </w:pPr>
    <w:rPr>
      <w:rFonts w:ascii="Garamond" w:eastAsia="Times New Roman" w:hAnsi="Garamond" w:cs="AGaramond-Regular"/>
      <w:szCs w:val="20"/>
    </w:rPr>
  </w:style>
  <w:style w:type="paragraph" w:styleId="ListParagraph">
    <w:name w:val="List Paragraph"/>
    <w:basedOn w:val="Normal"/>
    <w:uiPriority w:val="34"/>
    <w:qFormat/>
    <w:rsid w:val="000C21A5"/>
    <w:pPr>
      <w:ind w:left="720"/>
      <w:contextualSpacing/>
    </w:pPr>
    <w:rPr>
      <w:rFonts w:ascii="Garamond" w:eastAsia="Calibri" w:hAnsi="Garamond"/>
      <w:sz w:val="22"/>
      <w:szCs w:val="22"/>
    </w:rPr>
  </w:style>
  <w:style w:type="paragraph" w:styleId="Revision">
    <w:name w:val="Revision"/>
    <w:hidden/>
    <w:uiPriority w:val="99"/>
    <w:semiHidden/>
    <w:rsid w:val="000C21A5"/>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1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21A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C21A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1A5"/>
    <w:rPr>
      <w:rFonts w:ascii="Arial" w:eastAsia="Times New Roman" w:hAnsi="Arial" w:cs="Arial"/>
      <w:b/>
      <w:bCs/>
      <w:kern w:val="32"/>
      <w:sz w:val="32"/>
      <w:szCs w:val="32"/>
    </w:rPr>
  </w:style>
  <w:style w:type="character" w:customStyle="1" w:styleId="Heading2Char">
    <w:name w:val="Heading 2 Char"/>
    <w:basedOn w:val="DefaultParagraphFont"/>
    <w:link w:val="Heading2"/>
    <w:rsid w:val="000C21A5"/>
    <w:rPr>
      <w:rFonts w:ascii="Arial" w:eastAsia="Times New Roman" w:hAnsi="Arial" w:cs="Arial"/>
      <w:b/>
      <w:bCs/>
      <w:i/>
      <w:iCs/>
      <w:sz w:val="28"/>
      <w:szCs w:val="28"/>
    </w:rPr>
  </w:style>
  <w:style w:type="character" w:styleId="Emphasis">
    <w:name w:val="Emphasis"/>
    <w:qFormat/>
    <w:rsid w:val="000C21A5"/>
    <w:rPr>
      <w:i/>
      <w:iCs/>
    </w:rPr>
  </w:style>
  <w:style w:type="paragraph" w:styleId="EndnoteText">
    <w:name w:val="endnote text"/>
    <w:basedOn w:val="Normal"/>
    <w:link w:val="EndnoteTextChar"/>
    <w:semiHidden/>
    <w:rsid w:val="000C21A5"/>
    <w:rPr>
      <w:sz w:val="20"/>
      <w:szCs w:val="20"/>
    </w:rPr>
  </w:style>
  <w:style w:type="character" w:customStyle="1" w:styleId="EndnoteTextChar">
    <w:name w:val="Endnote Text Char"/>
    <w:basedOn w:val="DefaultParagraphFont"/>
    <w:link w:val="EndnoteText"/>
    <w:semiHidden/>
    <w:rsid w:val="000C21A5"/>
    <w:rPr>
      <w:rFonts w:ascii="Times New Roman" w:eastAsia="Times New Roman" w:hAnsi="Times New Roman" w:cs="Times New Roman"/>
      <w:sz w:val="20"/>
      <w:szCs w:val="20"/>
    </w:rPr>
  </w:style>
  <w:style w:type="paragraph" w:styleId="TOC1">
    <w:name w:val="toc 1"/>
    <w:basedOn w:val="Normal"/>
    <w:next w:val="Normal"/>
    <w:autoRedefine/>
    <w:uiPriority w:val="39"/>
    <w:rsid w:val="000C21A5"/>
  </w:style>
  <w:style w:type="paragraph" w:styleId="TOC2">
    <w:name w:val="toc 2"/>
    <w:basedOn w:val="Normal"/>
    <w:next w:val="Normal"/>
    <w:autoRedefine/>
    <w:uiPriority w:val="39"/>
    <w:rsid w:val="000C21A5"/>
    <w:pPr>
      <w:ind w:left="240"/>
    </w:pPr>
  </w:style>
  <w:style w:type="character" w:styleId="Hyperlink">
    <w:name w:val="Hyperlink"/>
    <w:uiPriority w:val="99"/>
    <w:rsid w:val="000C21A5"/>
    <w:rPr>
      <w:color w:val="0000FF"/>
      <w:u w:val="single"/>
    </w:rPr>
  </w:style>
  <w:style w:type="paragraph" w:styleId="Footer">
    <w:name w:val="footer"/>
    <w:basedOn w:val="Normal"/>
    <w:link w:val="FooterChar"/>
    <w:uiPriority w:val="99"/>
    <w:rsid w:val="000C21A5"/>
    <w:pPr>
      <w:tabs>
        <w:tab w:val="center" w:pos="4320"/>
        <w:tab w:val="right" w:pos="8640"/>
      </w:tabs>
    </w:pPr>
  </w:style>
  <w:style w:type="character" w:customStyle="1" w:styleId="FooterChar">
    <w:name w:val="Footer Char"/>
    <w:basedOn w:val="DefaultParagraphFont"/>
    <w:link w:val="Footer"/>
    <w:uiPriority w:val="99"/>
    <w:rsid w:val="000C21A5"/>
    <w:rPr>
      <w:rFonts w:ascii="Times New Roman" w:eastAsia="Times New Roman" w:hAnsi="Times New Roman" w:cs="Times New Roman"/>
      <w:sz w:val="24"/>
      <w:szCs w:val="24"/>
    </w:rPr>
  </w:style>
  <w:style w:type="character" w:styleId="PageNumber">
    <w:name w:val="page number"/>
    <w:basedOn w:val="DefaultParagraphFont"/>
    <w:rsid w:val="000C21A5"/>
  </w:style>
  <w:style w:type="character" w:styleId="Strong">
    <w:name w:val="Strong"/>
    <w:qFormat/>
    <w:rsid w:val="000C21A5"/>
    <w:rPr>
      <w:b/>
      <w:bCs/>
    </w:rPr>
  </w:style>
  <w:style w:type="paragraph" w:styleId="BodyText">
    <w:name w:val="Body Text"/>
    <w:basedOn w:val="Normal"/>
    <w:link w:val="BodyTextChar"/>
    <w:uiPriority w:val="99"/>
    <w:rsid w:val="000C21A5"/>
    <w:pPr>
      <w:spacing w:after="240" w:line="360" w:lineRule="auto"/>
    </w:pPr>
    <w:rPr>
      <w:rFonts w:eastAsia="Calibri"/>
      <w:sz w:val="22"/>
      <w:szCs w:val="22"/>
    </w:rPr>
  </w:style>
  <w:style w:type="character" w:customStyle="1" w:styleId="BodyTextChar">
    <w:name w:val="Body Text Char"/>
    <w:basedOn w:val="DefaultParagraphFont"/>
    <w:link w:val="BodyText"/>
    <w:uiPriority w:val="99"/>
    <w:rsid w:val="000C21A5"/>
    <w:rPr>
      <w:rFonts w:ascii="Times New Roman" w:eastAsia="Calibri" w:hAnsi="Times New Roman" w:cs="Times New Roman"/>
    </w:rPr>
  </w:style>
  <w:style w:type="paragraph" w:customStyle="1" w:styleId="NORCTableSubheadingCenter10ptNarrow">
    <w:name w:val="NORC Table Subheading Center 10ptNarrow"/>
    <w:qFormat/>
    <w:rsid w:val="000C21A5"/>
    <w:pPr>
      <w:keepNext/>
      <w:spacing w:after="0" w:line="240" w:lineRule="auto"/>
      <w:jc w:val="center"/>
    </w:pPr>
    <w:rPr>
      <w:rFonts w:ascii="Arial Narrow" w:eastAsia="Times New Roman" w:hAnsi="Arial Narrow" w:cs="Times New Roman"/>
      <w:b/>
      <w:bCs/>
      <w:color w:val="000000"/>
      <w:sz w:val="20"/>
    </w:rPr>
  </w:style>
  <w:style w:type="paragraph" w:customStyle="1" w:styleId="NORCTableBodyLeft10ptNarrow">
    <w:name w:val="NORC Table Body Left (10ptNarrow)"/>
    <w:basedOn w:val="Normal"/>
    <w:qFormat/>
    <w:rsid w:val="000C21A5"/>
    <w:pPr>
      <w:tabs>
        <w:tab w:val="left" w:pos="144"/>
      </w:tabs>
    </w:pPr>
    <w:rPr>
      <w:rFonts w:ascii="Arial Narrow" w:hAnsi="Arial Narrow"/>
      <w:color w:val="000000"/>
      <w:sz w:val="20"/>
      <w:szCs w:val="20"/>
    </w:rPr>
  </w:style>
  <w:style w:type="character" w:customStyle="1" w:styleId="NORCCaption-Color">
    <w:name w:val="NORC Caption - Color"/>
    <w:qFormat/>
    <w:rsid w:val="000C21A5"/>
    <w:rPr>
      <w:rFonts w:ascii="Arial Narrow" w:hAnsi="Arial Narrow"/>
      <w:b/>
      <w:color w:val="8AB3A4"/>
      <w:sz w:val="22"/>
    </w:rPr>
  </w:style>
  <w:style w:type="paragraph" w:customStyle="1" w:styleId="NORCTableBullet110ptNarrow">
    <w:name w:val="NORC Table Bullet 1 (10ptNarrow)"/>
    <w:basedOn w:val="Normal"/>
    <w:qFormat/>
    <w:rsid w:val="000C21A5"/>
    <w:pPr>
      <w:framePr w:hSpace="180" w:wrap="around" w:vAnchor="text" w:hAnchor="margin" w:y="2375"/>
      <w:numPr>
        <w:numId w:val="6"/>
      </w:numPr>
      <w:tabs>
        <w:tab w:val="left" w:pos="144"/>
      </w:tabs>
      <w:suppressOverlap/>
    </w:pPr>
    <w:rPr>
      <w:rFonts w:ascii="Arial Narrow" w:hAnsi="Arial Narrow"/>
      <w:color w:val="000000"/>
      <w:sz w:val="20"/>
      <w:szCs w:val="20"/>
    </w:rPr>
  </w:style>
  <w:style w:type="paragraph" w:styleId="FootnoteText">
    <w:name w:val="footnote text"/>
    <w:basedOn w:val="Normal"/>
    <w:link w:val="FootnoteTextChar"/>
    <w:uiPriority w:val="99"/>
    <w:unhideWhenUsed/>
    <w:rsid w:val="000C21A5"/>
    <w:rPr>
      <w:rFonts w:ascii="Calibri" w:eastAsia="Calibri" w:hAnsi="Calibri"/>
      <w:sz w:val="20"/>
      <w:szCs w:val="20"/>
    </w:rPr>
  </w:style>
  <w:style w:type="character" w:customStyle="1" w:styleId="FootnoteTextChar">
    <w:name w:val="Footnote Text Char"/>
    <w:basedOn w:val="DefaultParagraphFont"/>
    <w:link w:val="FootnoteText"/>
    <w:uiPriority w:val="99"/>
    <w:rsid w:val="000C21A5"/>
    <w:rPr>
      <w:rFonts w:ascii="Calibri" w:eastAsia="Calibri" w:hAnsi="Calibri" w:cs="Times New Roman"/>
      <w:sz w:val="20"/>
      <w:szCs w:val="20"/>
    </w:rPr>
  </w:style>
  <w:style w:type="character" w:styleId="FootnoteReference">
    <w:name w:val="footnote reference"/>
    <w:uiPriority w:val="99"/>
    <w:unhideWhenUsed/>
    <w:rsid w:val="000C21A5"/>
    <w:rPr>
      <w:vertAlign w:val="superscript"/>
    </w:rPr>
  </w:style>
  <w:style w:type="paragraph" w:customStyle="1" w:styleId="NORCTableHeaderArial">
    <w:name w:val="NORC Table Header (Arial)"/>
    <w:basedOn w:val="Normal"/>
    <w:rsid w:val="000C21A5"/>
    <w:pPr>
      <w:keepNext/>
      <w:spacing w:before="40" w:after="40"/>
      <w:jc w:val="center"/>
    </w:pPr>
    <w:rPr>
      <w:rFonts w:ascii="Arial" w:eastAsia="Calibri" w:hAnsi="Arial"/>
      <w:b/>
      <w:color w:val="000000"/>
      <w:sz w:val="18"/>
      <w:szCs w:val="22"/>
    </w:rPr>
  </w:style>
  <w:style w:type="paragraph" w:customStyle="1" w:styleId="NORCTableBodyLeft">
    <w:name w:val="NORC Table Body Left"/>
    <w:basedOn w:val="Normal"/>
    <w:qFormat/>
    <w:rsid w:val="000C21A5"/>
    <w:pPr>
      <w:spacing w:before="40" w:after="40"/>
    </w:pPr>
    <w:rPr>
      <w:rFonts w:ascii="Arial" w:eastAsia="SimSun" w:hAnsi="Arial"/>
      <w:sz w:val="17"/>
      <w:szCs w:val="22"/>
    </w:rPr>
  </w:style>
  <w:style w:type="table" w:styleId="TableGrid">
    <w:name w:val="Table Grid"/>
    <w:basedOn w:val="TableNormal"/>
    <w:uiPriority w:val="39"/>
    <w:rsid w:val="000C21A5"/>
    <w:pPr>
      <w:spacing w:after="0" w:line="240" w:lineRule="auto"/>
    </w:pPr>
    <w:rPr>
      <w:rFonts w:ascii="Garamond" w:eastAsia="Calibri" w:hAnsi="Garamond"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0C21A5"/>
    <w:pPr>
      <w:keepLines/>
      <w:numPr>
        <w:numId w:val="7"/>
      </w:numPr>
      <w:tabs>
        <w:tab w:val="clear" w:pos="360"/>
      </w:tabs>
      <w:contextualSpacing/>
    </w:pPr>
    <w:rPr>
      <w:rFonts w:eastAsia="Calibri"/>
      <w:sz w:val="22"/>
      <w:szCs w:val="22"/>
    </w:rPr>
  </w:style>
  <w:style w:type="character" w:styleId="CommentReference">
    <w:name w:val="annotation reference"/>
    <w:uiPriority w:val="99"/>
    <w:unhideWhenUsed/>
    <w:rsid w:val="000C21A5"/>
    <w:rPr>
      <w:sz w:val="16"/>
      <w:szCs w:val="16"/>
    </w:rPr>
  </w:style>
  <w:style w:type="paragraph" w:styleId="CommentText">
    <w:name w:val="annotation text"/>
    <w:basedOn w:val="Normal"/>
    <w:link w:val="CommentTextChar"/>
    <w:uiPriority w:val="99"/>
    <w:rsid w:val="000C21A5"/>
    <w:rPr>
      <w:rFonts w:ascii="Calibri" w:hAnsi="Calibri"/>
      <w:sz w:val="22"/>
      <w:szCs w:val="20"/>
    </w:rPr>
  </w:style>
  <w:style w:type="character" w:customStyle="1" w:styleId="CommentTextChar">
    <w:name w:val="Comment Text Char"/>
    <w:basedOn w:val="DefaultParagraphFont"/>
    <w:link w:val="CommentText"/>
    <w:uiPriority w:val="99"/>
    <w:rsid w:val="000C21A5"/>
    <w:rPr>
      <w:rFonts w:ascii="Calibri" w:eastAsia="Times New Roman" w:hAnsi="Calibri" w:cs="Times New Roman"/>
      <w:szCs w:val="20"/>
    </w:rPr>
  </w:style>
  <w:style w:type="paragraph" w:styleId="BalloonText">
    <w:name w:val="Balloon Text"/>
    <w:basedOn w:val="Normal"/>
    <w:link w:val="BalloonTextChar"/>
    <w:rsid w:val="000C21A5"/>
    <w:rPr>
      <w:rFonts w:ascii="Segoe UI" w:hAnsi="Segoe UI" w:cs="Segoe UI"/>
      <w:sz w:val="18"/>
      <w:szCs w:val="18"/>
    </w:rPr>
  </w:style>
  <w:style w:type="character" w:customStyle="1" w:styleId="BalloonTextChar">
    <w:name w:val="Balloon Text Char"/>
    <w:basedOn w:val="DefaultParagraphFont"/>
    <w:link w:val="BalloonText"/>
    <w:rsid w:val="000C21A5"/>
    <w:rPr>
      <w:rFonts w:ascii="Segoe UI" w:eastAsia="Times New Roman" w:hAnsi="Segoe UI" w:cs="Segoe UI"/>
      <w:sz w:val="18"/>
      <w:szCs w:val="18"/>
    </w:rPr>
  </w:style>
  <w:style w:type="paragraph" w:styleId="Header">
    <w:name w:val="header"/>
    <w:basedOn w:val="Normal"/>
    <w:link w:val="HeaderChar"/>
    <w:rsid w:val="000C21A5"/>
    <w:pPr>
      <w:tabs>
        <w:tab w:val="center" w:pos="4680"/>
        <w:tab w:val="right" w:pos="9360"/>
      </w:tabs>
    </w:pPr>
  </w:style>
  <w:style w:type="character" w:customStyle="1" w:styleId="HeaderChar">
    <w:name w:val="Header Char"/>
    <w:basedOn w:val="DefaultParagraphFont"/>
    <w:link w:val="Header"/>
    <w:rsid w:val="000C21A5"/>
    <w:rPr>
      <w:rFonts w:ascii="Times New Roman" w:eastAsia="Times New Roman" w:hAnsi="Times New Roman" w:cs="Times New Roman"/>
      <w:sz w:val="24"/>
      <w:szCs w:val="24"/>
    </w:rPr>
  </w:style>
  <w:style w:type="paragraph" w:customStyle="1" w:styleId="GridTable31">
    <w:name w:val="Grid Table 31"/>
    <w:basedOn w:val="Heading1"/>
    <w:next w:val="Normal"/>
    <w:uiPriority w:val="39"/>
    <w:unhideWhenUsed/>
    <w:qFormat/>
    <w:rsid w:val="000C21A5"/>
    <w:pPr>
      <w:keepLines/>
      <w:spacing w:after="0" w:line="259" w:lineRule="auto"/>
      <w:outlineLvl w:val="9"/>
    </w:pPr>
    <w:rPr>
      <w:rFonts w:ascii="Calibri Light" w:hAnsi="Calibri Light" w:cs="Times New Roman"/>
      <w:b w:val="0"/>
      <w:bCs w:val="0"/>
      <w:color w:val="2E74B5"/>
      <w:kern w:val="0"/>
    </w:rPr>
  </w:style>
  <w:style w:type="paragraph" w:styleId="CommentSubject">
    <w:name w:val="annotation subject"/>
    <w:basedOn w:val="CommentText"/>
    <w:next w:val="CommentText"/>
    <w:link w:val="CommentSubjectChar"/>
    <w:rsid w:val="000C21A5"/>
    <w:rPr>
      <w:rFonts w:ascii="Times New Roman" w:hAnsi="Times New Roman"/>
      <w:b/>
      <w:bCs/>
      <w:sz w:val="20"/>
    </w:rPr>
  </w:style>
  <w:style w:type="character" w:customStyle="1" w:styleId="CommentSubjectChar">
    <w:name w:val="Comment Subject Char"/>
    <w:basedOn w:val="CommentTextChar"/>
    <w:link w:val="CommentSubject"/>
    <w:rsid w:val="000C21A5"/>
    <w:rPr>
      <w:rFonts w:ascii="Times New Roman" w:eastAsia="Times New Roman" w:hAnsi="Times New Roman" w:cs="Times New Roman"/>
      <w:b/>
      <w:bCs/>
      <w:sz w:val="20"/>
      <w:szCs w:val="20"/>
    </w:rPr>
  </w:style>
  <w:style w:type="paragraph" w:customStyle="1" w:styleId="Default">
    <w:name w:val="Default"/>
    <w:rsid w:val="000C21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CCaption-Exhibit">
    <w:name w:val="NORC Caption - Exhibit"/>
    <w:qFormat/>
    <w:rsid w:val="000C21A5"/>
    <w:pPr>
      <w:keepNext/>
      <w:keepLines/>
      <w:tabs>
        <w:tab w:val="left" w:pos="1296"/>
        <w:tab w:val="left" w:pos="1800"/>
      </w:tabs>
      <w:spacing w:before="320" w:after="120" w:line="240" w:lineRule="auto"/>
      <w:ind w:left="1296" w:hanging="1296"/>
    </w:pPr>
    <w:rPr>
      <w:rFonts w:ascii="Garamond" w:eastAsia="Times New Roman" w:hAnsi="Garamond" w:cs="AGaramond-Regular"/>
    </w:rPr>
  </w:style>
  <w:style w:type="paragraph" w:customStyle="1" w:styleId="NORCTableBodyCenterArial">
    <w:name w:val="NORC Table Body Center (Arial)"/>
    <w:basedOn w:val="Normal"/>
    <w:qFormat/>
    <w:rsid w:val="000C21A5"/>
    <w:pPr>
      <w:tabs>
        <w:tab w:val="left" w:pos="144"/>
      </w:tabs>
      <w:spacing w:before="20" w:after="20"/>
      <w:jc w:val="center"/>
    </w:pPr>
    <w:rPr>
      <w:rFonts w:ascii="Arial Narrow" w:hAnsi="Arial Narrow"/>
      <w:color w:val="000000"/>
      <w:sz w:val="20"/>
      <w:szCs w:val="20"/>
    </w:rPr>
  </w:style>
  <w:style w:type="paragraph" w:customStyle="1" w:styleId="NORCProposalBodyDoubleSpacing-Garamond">
    <w:name w:val="NORC Proposal Body Double Spacing - Garamond"/>
    <w:qFormat/>
    <w:rsid w:val="000C21A5"/>
    <w:pPr>
      <w:tabs>
        <w:tab w:val="right" w:pos="9360"/>
      </w:tabs>
      <w:spacing w:after="0" w:line="480" w:lineRule="auto"/>
      <w:ind w:firstLine="360"/>
      <w:textboxTightWrap w:val="allLines"/>
    </w:pPr>
    <w:rPr>
      <w:rFonts w:ascii="Garamond" w:eastAsia="Times New Roman" w:hAnsi="Garamond" w:cs="AGaramond-Regular"/>
      <w:szCs w:val="20"/>
    </w:rPr>
  </w:style>
  <w:style w:type="paragraph" w:styleId="ListParagraph">
    <w:name w:val="List Paragraph"/>
    <w:basedOn w:val="Normal"/>
    <w:uiPriority w:val="34"/>
    <w:qFormat/>
    <w:rsid w:val="000C21A5"/>
    <w:pPr>
      <w:ind w:left="720"/>
      <w:contextualSpacing/>
    </w:pPr>
    <w:rPr>
      <w:rFonts w:ascii="Garamond" w:eastAsia="Calibri" w:hAnsi="Garamond"/>
      <w:sz w:val="22"/>
      <w:szCs w:val="22"/>
    </w:rPr>
  </w:style>
  <w:style w:type="paragraph" w:styleId="Revision">
    <w:name w:val="Revision"/>
    <w:hidden/>
    <w:uiPriority w:val="99"/>
    <w:semiHidden/>
    <w:rsid w:val="000C21A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nhsn/pdfs/training/aur-train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5117</Words>
  <Characters>29169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SChowdhury</dc:creator>
  <cp:lastModifiedBy>SYSTEM</cp:lastModifiedBy>
  <cp:revision>2</cp:revision>
  <dcterms:created xsi:type="dcterms:W3CDTF">2017-07-27T15:45:00Z</dcterms:created>
  <dcterms:modified xsi:type="dcterms:W3CDTF">2017-07-27T15:45:00Z</dcterms:modified>
</cp:coreProperties>
</file>