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4C9AB" w14:textId="16200886" w:rsidR="009E0D95" w:rsidRDefault="009E0D95" w:rsidP="00A2695A">
      <w:pPr>
        <w:pStyle w:val="BodyText"/>
        <w:jc w:val="center"/>
        <w:rPr>
          <w:sz w:val="24"/>
          <w:szCs w:val="24"/>
        </w:rPr>
      </w:pPr>
      <w:bookmarkStart w:id="0" w:name="_GoBack"/>
      <w:bookmarkEnd w:id="0"/>
    </w:p>
    <w:p w14:paraId="72577BC2" w14:textId="77777777" w:rsidR="00A2695A" w:rsidRDefault="00A2695A" w:rsidP="00A2695A">
      <w:pPr>
        <w:pStyle w:val="BodyText"/>
        <w:jc w:val="center"/>
        <w:rPr>
          <w:sz w:val="24"/>
          <w:szCs w:val="24"/>
        </w:rPr>
      </w:pPr>
      <w:r>
        <w:rPr>
          <w:sz w:val="24"/>
          <w:szCs w:val="24"/>
        </w:rPr>
        <w:t xml:space="preserve">CMS 10393 </w:t>
      </w:r>
      <w:r w:rsidRPr="00C46CD2">
        <w:rPr>
          <w:sz w:val="24"/>
          <w:szCs w:val="24"/>
        </w:rPr>
        <w:t xml:space="preserve">Supporting Statement – Part </w:t>
      </w:r>
      <w:r>
        <w:rPr>
          <w:sz w:val="24"/>
          <w:szCs w:val="24"/>
        </w:rPr>
        <w:t>B</w:t>
      </w:r>
    </w:p>
    <w:p w14:paraId="2133BC96" w14:textId="77777777" w:rsidR="00A2695A" w:rsidRPr="006703DD" w:rsidRDefault="00A2695A" w:rsidP="00A2695A">
      <w:pPr>
        <w:pStyle w:val="BodyText"/>
        <w:jc w:val="center"/>
        <w:rPr>
          <w:sz w:val="24"/>
          <w:szCs w:val="24"/>
        </w:rPr>
      </w:pPr>
    </w:p>
    <w:p w14:paraId="58D68AC0" w14:textId="3B4B81BD" w:rsidR="00A2695A" w:rsidRDefault="00A2695A" w:rsidP="00A2695A">
      <w:pPr>
        <w:pStyle w:val="BodyText"/>
        <w:jc w:val="center"/>
        <w:rPr>
          <w:sz w:val="24"/>
          <w:szCs w:val="24"/>
        </w:rPr>
      </w:pPr>
      <w:r w:rsidRPr="006703DD">
        <w:rPr>
          <w:sz w:val="24"/>
          <w:szCs w:val="24"/>
        </w:rPr>
        <w:t xml:space="preserve">Beneficiary and Family Centered Data Collection </w:t>
      </w:r>
    </w:p>
    <w:p w14:paraId="5ABD1064" w14:textId="77777777" w:rsidR="00A2695A" w:rsidRDefault="00A2695A" w:rsidP="00A2695A">
      <w:pPr>
        <w:pStyle w:val="BodyText"/>
        <w:jc w:val="center"/>
        <w:rPr>
          <w:sz w:val="24"/>
          <w:szCs w:val="24"/>
        </w:rPr>
      </w:pPr>
    </w:p>
    <w:p w14:paraId="71B5FC53" w14:textId="43EB101A" w:rsidR="00A2695A" w:rsidRPr="00A2695A" w:rsidRDefault="00A2695A" w:rsidP="00A2695A">
      <w:pPr>
        <w:pStyle w:val="BodyText"/>
        <w:jc w:val="center"/>
        <w:rPr>
          <w:sz w:val="24"/>
          <w:szCs w:val="24"/>
        </w:rPr>
      </w:pPr>
      <w:r w:rsidRPr="00A2695A">
        <w:rPr>
          <w:sz w:val="24"/>
          <w:szCs w:val="24"/>
        </w:rPr>
        <w:t>Collections of Information Employing Statistical Methods</w:t>
      </w:r>
    </w:p>
    <w:p w14:paraId="600D277F" w14:textId="6F497FBA" w:rsidR="00A2695A" w:rsidRPr="00AE3EC4" w:rsidRDefault="00A2695A" w:rsidP="00A2695A">
      <w:pPr>
        <w:pStyle w:val="ListParagraph"/>
        <w:keepNext/>
        <w:keepLines/>
        <w:numPr>
          <w:ilvl w:val="0"/>
          <w:numId w:val="26"/>
        </w:numPr>
        <w:spacing w:after="0" w:line="240" w:lineRule="auto"/>
        <w:ind w:left="360"/>
        <w:rPr>
          <w:rFonts w:ascii="Times New Roman" w:hAnsi="Times New Roman"/>
          <w:b/>
          <w:sz w:val="24"/>
          <w:szCs w:val="24"/>
        </w:rPr>
      </w:pPr>
      <w:r>
        <w:rPr>
          <w:rFonts w:ascii="Times New Roman" w:hAnsi="Times New Roman"/>
          <w:b/>
          <w:sz w:val="24"/>
          <w:szCs w:val="24"/>
        </w:rPr>
        <w:lastRenderedPageBreak/>
        <w:t>Respondent Universe and Sampling Methods</w:t>
      </w:r>
    </w:p>
    <w:p w14:paraId="73B12626" w14:textId="77777777" w:rsidR="00A2695A" w:rsidRDefault="00A2695A" w:rsidP="00A2695A">
      <w:pPr>
        <w:pStyle w:val="ListParagraph"/>
        <w:keepNext/>
        <w:keepLines/>
        <w:spacing w:after="0" w:line="240" w:lineRule="auto"/>
        <w:ind w:left="0"/>
        <w:rPr>
          <w:rFonts w:ascii="Times New Roman" w:hAnsi="Times New Roman"/>
          <w:b/>
          <w:sz w:val="24"/>
          <w:szCs w:val="24"/>
        </w:rPr>
      </w:pPr>
    </w:p>
    <w:p w14:paraId="6E117909" w14:textId="77777777" w:rsidR="00A2695A" w:rsidRDefault="00A2695A" w:rsidP="00A2695A">
      <w:pPr>
        <w:pStyle w:val="ListParagraph"/>
        <w:keepNext/>
        <w:keepLines/>
        <w:spacing w:after="0" w:line="240" w:lineRule="auto"/>
        <w:ind w:left="0"/>
        <w:rPr>
          <w:rFonts w:ascii="Times New Roman" w:hAnsi="Times New Roman"/>
          <w:sz w:val="24"/>
          <w:szCs w:val="24"/>
        </w:rPr>
      </w:pPr>
      <w:r>
        <w:rPr>
          <w:rFonts w:ascii="Times New Roman" w:hAnsi="Times New Roman"/>
          <w:sz w:val="24"/>
          <w:szCs w:val="24"/>
        </w:rPr>
        <w:t xml:space="preserve">The target populations for the data collection initiatives are Medicare beneficiaries and their representatives who have used the services of the Beneficiary and Family Centered Care Quality Improvement Organization (BFCC QIO). For analytic purposes, the population is divided into </w:t>
      </w:r>
      <w:r w:rsidRPr="00D70E1B">
        <w:rPr>
          <w:rFonts w:ascii="Times New Roman" w:hAnsi="Times New Roman"/>
          <w:sz w:val="24"/>
          <w:szCs w:val="24"/>
        </w:rPr>
        <w:t>four sub groups</w:t>
      </w:r>
      <w:r>
        <w:rPr>
          <w:rFonts w:ascii="Times New Roman" w:hAnsi="Times New Roman"/>
          <w:sz w:val="24"/>
          <w:szCs w:val="24"/>
        </w:rPr>
        <w:t xml:space="preserve"> as follows:</w:t>
      </w:r>
    </w:p>
    <w:p w14:paraId="2F5D4A94" w14:textId="77777777" w:rsidR="00A2695A" w:rsidRDefault="00A2695A" w:rsidP="00A2695A">
      <w:pPr>
        <w:pStyle w:val="ListParagraph"/>
        <w:keepNext/>
        <w:keepLines/>
        <w:spacing w:after="0" w:line="240" w:lineRule="auto"/>
        <w:ind w:left="0"/>
        <w:rPr>
          <w:rFonts w:ascii="Times New Roman" w:hAnsi="Times New Roman"/>
          <w:sz w:val="24"/>
          <w:szCs w:val="24"/>
        </w:rPr>
      </w:pPr>
    </w:p>
    <w:p w14:paraId="2902D06E" w14:textId="77777777" w:rsidR="00A2695A" w:rsidRDefault="00A2695A" w:rsidP="00A2695A">
      <w:pPr>
        <w:pStyle w:val="ListParagraph"/>
        <w:keepNext/>
        <w:keepLines/>
        <w:numPr>
          <w:ilvl w:val="0"/>
          <w:numId w:val="27"/>
        </w:numPr>
        <w:spacing w:after="0" w:line="240" w:lineRule="auto"/>
        <w:rPr>
          <w:rFonts w:ascii="Times New Roman" w:hAnsi="Times New Roman"/>
          <w:sz w:val="24"/>
          <w:szCs w:val="24"/>
        </w:rPr>
      </w:pPr>
      <w:r>
        <w:rPr>
          <w:rFonts w:ascii="Times New Roman" w:hAnsi="Times New Roman"/>
          <w:sz w:val="24"/>
          <w:szCs w:val="24"/>
        </w:rPr>
        <w:t>Filed an appeal;</w:t>
      </w:r>
    </w:p>
    <w:p w14:paraId="6C02DC6E" w14:textId="77777777" w:rsidR="00A2695A" w:rsidRDefault="00A2695A" w:rsidP="00A2695A">
      <w:pPr>
        <w:pStyle w:val="ListParagraph"/>
        <w:keepNext/>
        <w:keepLines/>
        <w:numPr>
          <w:ilvl w:val="0"/>
          <w:numId w:val="27"/>
        </w:numPr>
        <w:spacing w:after="0" w:line="240" w:lineRule="auto"/>
        <w:rPr>
          <w:rFonts w:ascii="Times New Roman" w:hAnsi="Times New Roman"/>
          <w:sz w:val="24"/>
          <w:szCs w:val="24"/>
        </w:rPr>
      </w:pPr>
      <w:r>
        <w:rPr>
          <w:rFonts w:ascii="Times New Roman" w:hAnsi="Times New Roman"/>
          <w:sz w:val="24"/>
          <w:szCs w:val="24"/>
        </w:rPr>
        <w:t xml:space="preserve">Filed a complaint that was addressed using a quality of care Medical Record Review; </w:t>
      </w:r>
    </w:p>
    <w:p w14:paraId="44CF6B4F" w14:textId="77777777" w:rsidR="00A2695A" w:rsidRDefault="00A2695A" w:rsidP="00A2695A">
      <w:pPr>
        <w:pStyle w:val="ListParagraph"/>
        <w:keepNext/>
        <w:keepLines/>
        <w:numPr>
          <w:ilvl w:val="0"/>
          <w:numId w:val="27"/>
        </w:numPr>
        <w:spacing w:after="0" w:line="240" w:lineRule="auto"/>
        <w:rPr>
          <w:rFonts w:ascii="Times New Roman" w:hAnsi="Times New Roman"/>
          <w:sz w:val="24"/>
          <w:szCs w:val="24"/>
        </w:rPr>
      </w:pPr>
      <w:r>
        <w:rPr>
          <w:rFonts w:ascii="Times New Roman" w:hAnsi="Times New Roman"/>
          <w:sz w:val="24"/>
          <w:szCs w:val="24"/>
        </w:rPr>
        <w:t>Filed a complaint that was addressed using Immediate Advocacy; and</w:t>
      </w:r>
    </w:p>
    <w:p w14:paraId="64549F92" w14:textId="77777777" w:rsidR="00A2695A" w:rsidRPr="00D70E1B" w:rsidRDefault="00A2695A" w:rsidP="00A2695A">
      <w:pPr>
        <w:pStyle w:val="ListParagraph"/>
        <w:keepNext/>
        <w:keepLines/>
        <w:numPr>
          <w:ilvl w:val="0"/>
          <w:numId w:val="27"/>
        </w:numPr>
        <w:spacing w:after="0" w:line="240" w:lineRule="auto"/>
        <w:rPr>
          <w:rFonts w:ascii="Times New Roman" w:hAnsi="Times New Roman"/>
          <w:sz w:val="24"/>
          <w:szCs w:val="24"/>
        </w:rPr>
      </w:pPr>
      <w:r w:rsidRPr="00D70E1B">
        <w:rPr>
          <w:rFonts w:ascii="Times New Roman" w:hAnsi="Times New Roman"/>
          <w:sz w:val="24"/>
          <w:szCs w:val="24"/>
        </w:rPr>
        <w:t>Did not formally file an appeal or complaint.</w:t>
      </w:r>
    </w:p>
    <w:p w14:paraId="1D7A9722" w14:textId="77777777" w:rsidR="00A2695A" w:rsidRPr="00A06913" w:rsidRDefault="00A2695A" w:rsidP="00A2695A">
      <w:pPr>
        <w:pStyle w:val="ListParagraph"/>
        <w:keepNext/>
        <w:keepLines/>
        <w:spacing w:after="0" w:line="240" w:lineRule="auto"/>
        <w:ind w:left="0"/>
        <w:rPr>
          <w:rFonts w:ascii="Times New Roman" w:hAnsi="Times New Roman"/>
          <w:sz w:val="24"/>
          <w:szCs w:val="24"/>
        </w:rPr>
      </w:pPr>
    </w:p>
    <w:p w14:paraId="0304A6D5" w14:textId="77777777" w:rsidR="00A2695A" w:rsidRDefault="00A2695A" w:rsidP="00A2695A">
      <w:pPr>
        <w:pStyle w:val="ListParagraph"/>
        <w:keepNext/>
        <w:keepLines/>
        <w:spacing w:after="0" w:line="240" w:lineRule="auto"/>
        <w:ind w:left="0"/>
        <w:rPr>
          <w:rFonts w:ascii="Times New Roman" w:hAnsi="Times New Roman"/>
          <w:sz w:val="24"/>
          <w:szCs w:val="24"/>
        </w:rPr>
      </w:pPr>
      <w:r>
        <w:rPr>
          <w:rFonts w:ascii="Times New Roman" w:hAnsi="Times New Roman"/>
          <w:sz w:val="24"/>
          <w:szCs w:val="24"/>
        </w:rPr>
        <w:t>Data collection initiatives include a range of approaches to support the parallel goals of providing CMS will valid and reliable data for QIO contract evaluation, and providing CMS and the QIOs necessary information for use in on-going quality improvement efforts including the design of future QIO scopes of work (SOWs). The data collection initiatives and their primary purposes are as follows:</w:t>
      </w:r>
    </w:p>
    <w:p w14:paraId="6480E4B0" w14:textId="77777777" w:rsidR="00A2695A" w:rsidRDefault="00A2695A" w:rsidP="00A2695A">
      <w:pPr>
        <w:pStyle w:val="ListParagraph"/>
        <w:keepNext/>
        <w:keepLines/>
        <w:spacing w:after="0" w:line="240" w:lineRule="auto"/>
        <w:ind w:left="0"/>
        <w:rPr>
          <w:rFonts w:ascii="Times New Roman" w:hAnsi="Times New Roman"/>
          <w:sz w:val="24"/>
          <w:szCs w:val="24"/>
        </w:rPr>
      </w:pPr>
    </w:p>
    <w:p w14:paraId="3FD20D54" w14:textId="77777777" w:rsidR="00A2695A" w:rsidRDefault="00A2695A" w:rsidP="00A2695A">
      <w:pPr>
        <w:pStyle w:val="ListParagraph"/>
        <w:keepNext/>
        <w:keepLines/>
        <w:numPr>
          <w:ilvl w:val="0"/>
          <w:numId w:val="28"/>
        </w:numPr>
        <w:spacing w:after="0" w:line="240" w:lineRule="auto"/>
        <w:rPr>
          <w:rFonts w:ascii="Times New Roman" w:hAnsi="Times New Roman"/>
          <w:sz w:val="24"/>
          <w:szCs w:val="24"/>
        </w:rPr>
      </w:pPr>
      <w:r>
        <w:rPr>
          <w:rFonts w:ascii="Times New Roman" w:hAnsi="Times New Roman"/>
          <w:sz w:val="24"/>
          <w:szCs w:val="24"/>
        </w:rPr>
        <w:t>Experience Survey (QIO contract evaluation);</w:t>
      </w:r>
    </w:p>
    <w:p w14:paraId="785634BE" w14:textId="77777777" w:rsidR="00A2695A" w:rsidRDefault="00A2695A" w:rsidP="00A2695A">
      <w:pPr>
        <w:pStyle w:val="ListParagraph"/>
        <w:keepNext/>
        <w:keepLines/>
        <w:numPr>
          <w:ilvl w:val="0"/>
          <w:numId w:val="28"/>
        </w:numPr>
        <w:spacing w:after="0" w:line="240" w:lineRule="auto"/>
        <w:rPr>
          <w:rFonts w:ascii="Times New Roman" w:hAnsi="Times New Roman"/>
          <w:sz w:val="24"/>
          <w:szCs w:val="24"/>
        </w:rPr>
      </w:pPr>
      <w:r>
        <w:rPr>
          <w:rFonts w:ascii="Times New Roman" w:hAnsi="Times New Roman"/>
          <w:sz w:val="24"/>
          <w:szCs w:val="24"/>
        </w:rPr>
        <w:t>Direct Follow-up (on-going quality improvement); and</w:t>
      </w:r>
    </w:p>
    <w:p w14:paraId="1E324613" w14:textId="77777777" w:rsidR="00A2695A" w:rsidRDefault="00A2695A" w:rsidP="00A2695A">
      <w:pPr>
        <w:pStyle w:val="ListParagraph"/>
        <w:keepNext/>
        <w:keepLines/>
        <w:numPr>
          <w:ilvl w:val="0"/>
          <w:numId w:val="28"/>
        </w:numPr>
        <w:spacing w:after="0" w:line="240" w:lineRule="auto"/>
        <w:rPr>
          <w:rFonts w:ascii="Times New Roman" w:hAnsi="Times New Roman"/>
          <w:sz w:val="24"/>
          <w:szCs w:val="24"/>
        </w:rPr>
      </w:pPr>
      <w:r>
        <w:rPr>
          <w:rFonts w:ascii="Times New Roman" w:hAnsi="Times New Roman"/>
          <w:sz w:val="24"/>
          <w:szCs w:val="24"/>
        </w:rPr>
        <w:t>General Feedback Web survey (providing an opportunity for every beneficiary to have a “voice”).</w:t>
      </w:r>
    </w:p>
    <w:p w14:paraId="09B713DB" w14:textId="77777777" w:rsidR="00A2695A" w:rsidRDefault="00A2695A" w:rsidP="00A2695A">
      <w:pPr>
        <w:pStyle w:val="ListParagraph"/>
        <w:keepNext/>
        <w:keepLines/>
        <w:spacing w:after="0" w:line="240" w:lineRule="auto"/>
        <w:ind w:left="0"/>
        <w:rPr>
          <w:rFonts w:ascii="Times New Roman" w:hAnsi="Times New Roman"/>
          <w:sz w:val="24"/>
          <w:szCs w:val="24"/>
        </w:rPr>
      </w:pPr>
    </w:p>
    <w:p w14:paraId="4F8180F0" w14:textId="77777777" w:rsidR="00A2695A" w:rsidRDefault="00A2695A" w:rsidP="00A2695A">
      <w:pPr>
        <w:pStyle w:val="ListParagraph"/>
        <w:keepNext/>
        <w:keepLines/>
        <w:spacing w:after="0" w:line="240" w:lineRule="auto"/>
        <w:ind w:left="0"/>
        <w:rPr>
          <w:rFonts w:ascii="Times New Roman" w:hAnsi="Times New Roman"/>
          <w:sz w:val="24"/>
          <w:szCs w:val="24"/>
        </w:rPr>
      </w:pPr>
      <w:r w:rsidRPr="008E5470">
        <w:rPr>
          <w:rFonts w:ascii="Times New Roman" w:hAnsi="Times New Roman"/>
          <w:sz w:val="24"/>
          <w:szCs w:val="24"/>
        </w:rPr>
        <w:t>The sampling</w:t>
      </w:r>
      <w:r>
        <w:rPr>
          <w:rFonts w:ascii="Times New Roman" w:hAnsi="Times New Roman"/>
          <w:sz w:val="24"/>
          <w:szCs w:val="24"/>
        </w:rPr>
        <w:t xml:space="preserve"> and data collection methodologies</w:t>
      </w:r>
      <w:r w:rsidRPr="008E5470">
        <w:rPr>
          <w:rFonts w:ascii="Times New Roman" w:hAnsi="Times New Roman"/>
          <w:sz w:val="24"/>
          <w:szCs w:val="24"/>
        </w:rPr>
        <w:t xml:space="preserve"> ha</w:t>
      </w:r>
      <w:r>
        <w:rPr>
          <w:rFonts w:ascii="Times New Roman" w:hAnsi="Times New Roman"/>
          <w:sz w:val="24"/>
          <w:szCs w:val="24"/>
        </w:rPr>
        <w:t>ve</w:t>
      </w:r>
      <w:r w:rsidRPr="008E5470">
        <w:rPr>
          <w:rFonts w:ascii="Times New Roman" w:hAnsi="Times New Roman"/>
          <w:sz w:val="24"/>
          <w:szCs w:val="24"/>
        </w:rPr>
        <w:t xml:space="preserve"> to be efficient, minimally burdensome for respondents, frequent enough for use in on-going quality improvement efforts, and rigorous enough to </w:t>
      </w:r>
      <w:r>
        <w:rPr>
          <w:rFonts w:ascii="Times New Roman" w:hAnsi="Times New Roman"/>
          <w:sz w:val="24"/>
          <w:szCs w:val="24"/>
        </w:rPr>
        <w:t>support</w:t>
      </w:r>
      <w:r w:rsidRPr="008E5470">
        <w:rPr>
          <w:rFonts w:ascii="Times New Roman" w:hAnsi="Times New Roman"/>
          <w:sz w:val="24"/>
          <w:szCs w:val="24"/>
        </w:rPr>
        <w:t xml:space="preserve"> scoring and reporting </w:t>
      </w:r>
      <w:r>
        <w:rPr>
          <w:rFonts w:ascii="Times New Roman" w:hAnsi="Times New Roman"/>
          <w:sz w:val="24"/>
          <w:szCs w:val="24"/>
        </w:rPr>
        <w:t xml:space="preserve">about QIO performance. </w:t>
      </w:r>
      <w:r w:rsidRPr="008E5470">
        <w:rPr>
          <w:rFonts w:ascii="Times New Roman" w:hAnsi="Times New Roman"/>
          <w:sz w:val="24"/>
          <w:szCs w:val="24"/>
        </w:rPr>
        <w:t xml:space="preserve">To achieve all of the above described goals, CMS will collect and report the data </w:t>
      </w:r>
      <w:r>
        <w:rPr>
          <w:rFonts w:ascii="Times New Roman" w:hAnsi="Times New Roman"/>
          <w:sz w:val="24"/>
          <w:szCs w:val="24"/>
        </w:rPr>
        <w:t>monthly with formal analysis and scoring conducted annually</w:t>
      </w:r>
      <w:r w:rsidRPr="008E5470">
        <w:rPr>
          <w:rFonts w:ascii="Times New Roman" w:hAnsi="Times New Roman"/>
          <w:sz w:val="24"/>
          <w:szCs w:val="24"/>
        </w:rPr>
        <w:t>.</w:t>
      </w:r>
      <w:r>
        <w:rPr>
          <w:rFonts w:ascii="Times New Roman" w:hAnsi="Times New Roman"/>
          <w:sz w:val="24"/>
          <w:szCs w:val="24"/>
        </w:rPr>
        <w:t xml:space="preserve"> </w:t>
      </w:r>
    </w:p>
    <w:p w14:paraId="363C62DC" w14:textId="77777777" w:rsidR="00A2695A" w:rsidRDefault="00A2695A" w:rsidP="00A2695A">
      <w:pPr>
        <w:keepNext/>
        <w:keepLines/>
        <w:kinsoku w:val="0"/>
        <w:overflowPunct w:val="0"/>
        <w:autoSpaceDE w:val="0"/>
        <w:autoSpaceDN w:val="0"/>
        <w:adjustRightInd w:val="0"/>
        <w:spacing w:line="245" w:lineRule="exact"/>
        <w:rPr>
          <w:b/>
          <w:szCs w:val="24"/>
        </w:rPr>
      </w:pPr>
    </w:p>
    <w:p w14:paraId="45A96C6F" w14:textId="349D0EC3" w:rsidR="00A2695A" w:rsidRDefault="00A2695A" w:rsidP="00A2695A">
      <w:pPr>
        <w:keepNext/>
        <w:keepLines/>
        <w:kinsoku w:val="0"/>
        <w:overflowPunct w:val="0"/>
        <w:autoSpaceDE w:val="0"/>
        <w:autoSpaceDN w:val="0"/>
        <w:adjustRightInd w:val="0"/>
        <w:rPr>
          <w:szCs w:val="24"/>
        </w:rPr>
      </w:pPr>
      <w:r w:rsidRPr="00C228D5">
        <w:rPr>
          <w:b/>
          <w:szCs w:val="24"/>
        </w:rPr>
        <w:t>The Experience Survey</w:t>
      </w:r>
      <w:r w:rsidRPr="00E919BD">
        <w:rPr>
          <w:szCs w:val="24"/>
        </w:rPr>
        <w:t xml:space="preserve"> (Attachment A) will be administered via telephone to beneficiaries/</w:t>
      </w:r>
      <w:r>
        <w:rPr>
          <w:szCs w:val="24"/>
        </w:rPr>
        <w:t xml:space="preserve"> </w:t>
      </w:r>
      <w:r w:rsidRPr="00E919BD">
        <w:rPr>
          <w:szCs w:val="24"/>
        </w:rPr>
        <w:t xml:space="preserve">representatives after the complaint/appeal case has been closed to assess their overall and specific experiences with the BFCC QIOs. </w:t>
      </w:r>
      <w:r w:rsidR="00D13899">
        <w:rPr>
          <w:szCs w:val="24"/>
        </w:rPr>
        <w:t xml:space="preserve">Given </w:t>
      </w:r>
      <w:r w:rsidR="00377C9B">
        <w:rPr>
          <w:szCs w:val="24"/>
        </w:rPr>
        <w:t>the desire to report survey findings for</w:t>
      </w:r>
      <w:r w:rsidR="00FD3A77">
        <w:rPr>
          <w:szCs w:val="24"/>
        </w:rPr>
        <w:t xml:space="preserve"> each of the 5 QIO Service A</w:t>
      </w:r>
      <w:r w:rsidR="00377C9B">
        <w:rPr>
          <w:szCs w:val="24"/>
        </w:rPr>
        <w:t xml:space="preserve">reas and </w:t>
      </w:r>
      <w:r w:rsidR="00D13899">
        <w:rPr>
          <w:szCs w:val="24"/>
        </w:rPr>
        <w:t xml:space="preserve">the relatively small annual total volume of complaints cases addressed using Medical Record Review (n~4,900) and complaints cases addressed using Immediate Advocacy (n~1,300), CMS will include a census of these cases in data collection. The annual total volume of appeals cases is much larger (n~147,000) so CMS will draw a </w:t>
      </w:r>
      <w:r w:rsidR="00B438BC">
        <w:rPr>
          <w:szCs w:val="24"/>
        </w:rPr>
        <w:t>stratifie</w:t>
      </w:r>
      <w:r w:rsidR="00326CCA">
        <w:rPr>
          <w:szCs w:val="24"/>
        </w:rPr>
        <w:t>d</w:t>
      </w:r>
      <w:r w:rsidR="00B438BC">
        <w:rPr>
          <w:szCs w:val="24"/>
        </w:rPr>
        <w:t xml:space="preserve"> sample using </w:t>
      </w:r>
      <w:r w:rsidR="00D13899">
        <w:rPr>
          <w:szCs w:val="24"/>
        </w:rPr>
        <w:t>simple random sampl</w:t>
      </w:r>
      <w:r w:rsidR="00B438BC">
        <w:rPr>
          <w:szCs w:val="24"/>
        </w:rPr>
        <w:t xml:space="preserve">ing within each of </w:t>
      </w:r>
      <w:r w:rsidR="00377C9B">
        <w:rPr>
          <w:szCs w:val="24"/>
        </w:rPr>
        <w:t xml:space="preserve">the five </w:t>
      </w:r>
      <w:r w:rsidR="00D13899">
        <w:rPr>
          <w:szCs w:val="24"/>
        </w:rPr>
        <w:t>QIO Service Area</w:t>
      </w:r>
      <w:r w:rsidR="00B438BC">
        <w:rPr>
          <w:szCs w:val="24"/>
        </w:rPr>
        <w:t>s</w:t>
      </w:r>
      <w:r w:rsidR="00D13899">
        <w:rPr>
          <w:szCs w:val="24"/>
        </w:rPr>
        <w:t xml:space="preserve">. </w:t>
      </w:r>
    </w:p>
    <w:p w14:paraId="0FB1C85A" w14:textId="77777777" w:rsidR="00A2695A" w:rsidRDefault="00A2695A" w:rsidP="00A2695A">
      <w:pPr>
        <w:keepNext/>
        <w:keepLines/>
        <w:kinsoku w:val="0"/>
        <w:overflowPunct w:val="0"/>
        <w:autoSpaceDE w:val="0"/>
        <w:autoSpaceDN w:val="0"/>
        <w:adjustRightInd w:val="0"/>
        <w:spacing w:line="245" w:lineRule="exact"/>
        <w:rPr>
          <w:szCs w:val="24"/>
        </w:rPr>
      </w:pPr>
    </w:p>
    <w:p w14:paraId="542A80F2" w14:textId="77777777" w:rsidR="00377C9B" w:rsidRDefault="00A2695A" w:rsidP="00A2695A">
      <w:pPr>
        <w:keepNext/>
        <w:keepLines/>
        <w:rPr>
          <w:szCs w:val="24"/>
        </w:rPr>
      </w:pPr>
      <w:r w:rsidRPr="00E919BD">
        <w:rPr>
          <w:szCs w:val="24"/>
        </w:rPr>
        <w:t>The Experience Survey</w:t>
      </w:r>
      <w:r>
        <w:rPr>
          <w:szCs w:val="24"/>
        </w:rPr>
        <w:t xml:space="preserve"> relies on </w:t>
      </w:r>
      <w:r w:rsidR="00D13899">
        <w:rPr>
          <w:szCs w:val="24"/>
        </w:rPr>
        <w:t xml:space="preserve">Service Area-stratified </w:t>
      </w:r>
      <w:r>
        <w:rPr>
          <w:szCs w:val="24"/>
        </w:rPr>
        <w:t xml:space="preserve">sampling </w:t>
      </w:r>
      <w:r w:rsidR="00D13899">
        <w:rPr>
          <w:szCs w:val="24"/>
        </w:rPr>
        <w:t xml:space="preserve">for appeals cases </w:t>
      </w:r>
      <w:r>
        <w:rPr>
          <w:szCs w:val="24"/>
        </w:rPr>
        <w:t>to obtain statistically valid and reliable quantitative data. The sample sizes reflect the goal of using survey data for QIO contract evaluation</w:t>
      </w:r>
      <w:r w:rsidR="00377C9B">
        <w:rPr>
          <w:szCs w:val="24"/>
        </w:rPr>
        <w:t xml:space="preserve"> and quality improvement efforts at the Service Area level</w:t>
      </w:r>
      <w:r>
        <w:rPr>
          <w:szCs w:val="24"/>
        </w:rPr>
        <w:t xml:space="preserve">. </w:t>
      </w:r>
    </w:p>
    <w:p w14:paraId="325FD8FF" w14:textId="6A65938B" w:rsidR="00A2695A" w:rsidRDefault="00A2695A" w:rsidP="00A2695A">
      <w:pPr>
        <w:keepNext/>
        <w:keepLines/>
        <w:rPr>
          <w:szCs w:val="24"/>
        </w:rPr>
      </w:pPr>
      <w:r w:rsidRPr="008E5470">
        <w:rPr>
          <w:szCs w:val="24"/>
        </w:rPr>
        <w:lastRenderedPageBreak/>
        <w:t xml:space="preserve">The sample design for beneficiaries who have filed a complaint </w:t>
      </w:r>
      <w:r w:rsidR="00377C9B">
        <w:rPr>
          <w:szCs w:val="24"/>
        </w:rPr>
        <w:t xml:space="preserve">(Medical Record Review or Immediate Advocacy) </w:t>
      </w:r>
      <w:r w:rsidRPr="008E5470">
        <w:rPr>
          <w:szCs w:val="24"/>
        </w:rPr>
        <w:t xml:space="preserve">is consistent with the design </w:t>
      </w:r>
      <w:r>
        <w:rPr>
          <w:szCs w:val="24"/>
        </w:rPr>
        <w:t>previously approved by OMB</w:t>
      </w:r>
      <w:r w:rsidRPr="008E5470">
        <w:rPr>
          <w:szCs w:val="24"/>
        </w:rPr>
        <w:t>. A census of complaints cases were fielded for data collection in order to produce a data set of an adequate size for national analysis</w:t>
      </w:r>
      <w:r>
        <w:rPr>
          <w:szCs w:val="24"/>
        </w:rPr>
        <w:t xml:space="preserve">. </w:t>
      </w:r>
      <w:r w:rsidRPr="008E5470">
        <w:rPr>
          <w:szCs w:val="24"/>
        </w:rPr>
        <w:t>There is no known reason to believe that the volume of complaints cases will change notably in the 1</w:t>
      </w:r>
      <w:r>
        <w:rPr>
          <w:szCs w:val="24"/>
        </w:rPr>
        <w:t>1</w:t>
      </w:r>
      <w:r w:rsidRPr="008E5470">
        <w:rPr>
          <w:szCs w:val="24"/>
          <w:vertAlign w:val="superscript"/>
        </w:rPr>
        <w:t>th</w:t>
      </w:r>
      <w:r w:rsidRPr="008E5470">
        <w:rPr>
          <w:szCs w:val="24"/>
        </w:rPr>
        <w:t xml:space="preserve"> SOW and</w:t>
      </w:r>
      <w:r>
        <w:rPr>
          <w:szCs w:val="24"/>
        </w:rPr>
        <w:t xml:space="preserve"> as such, a census of complain</w:t>
      </w:r>
      <w:r w:rsidRPr="008E5470">
        <w:rPr>
          <w:szCs w:val="24"/>
        </w:rPr>
        <w:t>ts cases are recommended for inclusion in data collection</w:t>
      </w:r>
      <w:r w:rsidR="0002311F">
        <w:rPr>
          <w:szCs w:val="24"/>
        </w:rPr>
        <w:t xml:space="preserve"> in order to support analysis at the Service Area level</w:t>
      </w:r>
      <w:r w:rsidRPr="008E5470">
        <w:rPr>
          <w:szCs w:val="24"/>
        </w:rPr>
        <w:t xml:space="preserve">. </w:t>
      </w:r>
      <w:r>
        <w:rPr>
          <w:szCs w:val="24"/>
        </w:rPr>
        <w:t>Again, as previously approved by OMB, we will field a sample of the much larger universe of appeals cases, approximately a six percent sample in order to obtain sufficient data to support analysis</w:t>
      </w:r>
      <w:r w:rsidR="0002311F">
        <w:rPr>
          <w:szCs w:val="24"/>
        </w:rPr>
        <w:t xml:space="preserve"> at the Service Area level</w:t>
      </w:r>
      <w:r>
        <w:rPr>
          <w:szCs w:val="24"/>
        </w:rPr>
        <w:t>.</w:t>
      </w:r>
    </w:p>
    <w:p w14:paraId="2214803C" w14:textId="77777777" w:rsidR="00A2695A" w:rsidRDefault="00A2695A" w:rsidP="00A2695A">
      <w:pPr>
        <w:keepNext/>
        <w:keepLines/>
        <w:rPr>
          <w:szCs w:val="24"/>
        </w:rPr>
      </w:pPr>
    </w:p>
    <w:p w14:paraId="07885039" w14:textId="77777777" w:rsidR="00A2695A" w:rsidRDefault="00A2695A" w:rsidP="00A2695A">
      <w:pPr>
        <w:pStyle w:val="ListParagraph"/>
        <w:keepNext/>
        <w:keepLines/>
        <w:numPr>
          <w:ilvl w:val="1"/>
          <w:numId w:val="30"/>
        </w:numPr>
        <w:spacing w:after="0" w:line="240" w:lineRule="auto"/>
        <w:ind w:left="720"/>
        <w:rPr>
          <w:rFonts w:ascii="Times New Roman" w:hAnsi="Times New Roman"/>
          <w:sz w:val="24"/>
          <w:szCs w:val="24"/>
        </w:rPr>
      </w:pPr>
      <w:r w:rsidRPr="00020576">
        <w:rPr>
          <w:rFonts w:ascii="Times New Roman" w:hAnsi="Times New Roman"/>
          <w:sz w:val="24"/>
          <w:szCs w:val="24"/>
        </w:rPr>
        <w:t xml:space="preserve">The survey will be administered to all (census) beneficiaries/representatives who file a complaint </w:t>
      </w:r>
      <w:r>
        <w:rPr>
          <w:rFonts w:ascii="Times New Roman" w:hAnsi="Times New Roman"/>
          <w:sz w:val="24"/>
          <w:szCs w:val="24"/>
        </w:rPr>
        <w:t>and have it addressed through medical record review</w:t>
      </w:r>
      <w:r w:rsidRPr="00020576">
        <w:rPr>
          <w:rFonts w:ascii="Times New Roman" w:hAnsi="Times New Roman"/>
          <w:sz w:val="24"/>
          <w:szCs w:val="24"/>
        </w:rPr>
        <w:t xml:space="preserve"> </w:t>
      </w:r>
      <w:r>
        <w:rPr>
          <w:rFonts w:ascii="Times New Roman" w:hAnsi="Times New Roman"/>
          <w:sz w:val="24"/>
          <w:szCs w:val="24"/>
        </w:rPr>
        <w:t>(</w:t>
      </w:r>
      <w:r w:rsidRPr="00020576">
        <w:rPr>
          <w:rFonts w:ascii="Times New Roman" w:hAnsi="Times New Roman"/>
          <w:sz w:val="24"/>
          <w:szCs w:val="24"/>
        </w:rPr>
        <w:t>n=</w:t>
      </w:r>
      <w:r>
        <w:rPr>
          <w:rFonts w:ascii="Times New Roman" w:hAnsi="Times New Roman"/>
          <w:sz w:val="24"/>
          <w:szCs w:val="24"/>
        </w:rPr>
        <w:t>4,900</w:t>
      </w:r>
      <w:r w:rsidRPr="00020576">
        <w:rPr>
          <w:rFonts w:ascii="Times New Roman" w:hAnsi="Times New Roman"/>
          <w:sz w:val="24"/>
          <w:szCs w:val="24"/>
        </w:rPr>
        <w:t>)</w:t>
      </w:r>
      <w:r>
        <w:rPr>
          <w:rFonts w:ascii="Times New Roman" w:hAnsi="Times New Roman"/>
          <w:sz w:val="24"/>
          <w:szCs w:val="24"/>
        </w:rPr>
        <w:t>.</w:t>
      </w:r>
    </w:p>
    <w:p w14:paraId="137A46B1" w14:textId="77777777" w:rsidR="00A2695A" w:rsidRDefault="00A2695A" w:rsidP="00A2695A">
      <w:pPr>
        <w:pStyle w:val="ListParagraph"/>
        <w:keepNext/>
        <w:keepLines/>
        <w:numPr>
          <w:ilvl w:val="1"/>
          <w:numId w:val="30"/>
        </w:numPr>
        <w:spacing w:after="0" w:line="240" w:lineRule="auto"/>
        <w:ind w:left="720"/>
        <w:rPr>
          <w:rFonts w:ascii="Times New Roman" w:hAnsi="Times New Roman"/>
          <w:sz w:val="24"/>
          <w:szCs w:val="24"/>
        </w:rPr>
      </w:pPr>
      <w:r>
        <w:rPr>
          <w:rFonts w:ascii="Times New Roman" w:hAnsi="Times New Roman"/>
          <w:sz w:val="24"/>
          <w:szCs w:val="24"/>
        </w:rPr>
        <w:t xml:space="preserve">The survey will be administered </w:t>
      </w:r>
      <w:r w:rsidRPr="00020576">
        <w:rPr>
          <w:rFonts w:ascii="Times New Roman" w:hAnsi="Times New Roman"/>
          <w:sz w:val="24"/>
          <w:szCs w:val="24"/>
        </w:rPr>
        <w:t xml:space="preserve">to all (census) beneficiaries/representatives who file a complaint </w:t>
      </w:r>
      <w:r>
        <w:rPr>
          <w:rFonts w:ascii="Times New Roman" w:hAnsi="Times New Roman"/>
          <w:sz w:val="24"/>
          <w:szCs w:val="24"/>
        </w:rPr>
        <w:t>and have it addressed through immediate advocacy</w:t>
      </w:r>
      <w:r w:rsidRPr="00020576">
        <w:rPr>
          <w:rFonts w:ascii="Times New Roman" w:hAnsi="Times New Roman"/>
          <w:sz w:val="24"/>
          <w:szCs w:val="24"/>
        </w:rPr>
        <w:t xml:space="preserve"> </w:t>
      </w:r>
      <w:r>
        <w:rPr>
          <w:rFonts w:ascii="Times New Roman" w:hAnsi="Times New Roman"/>
          <w:sz w:val="24"/>
          <w:szCs w:val="24"/>
        </w:rPr>
        <w:t>(</w:t>
      </w:r>
      <w:r w:rsidRPr="00020576">
        <w:rPr>
          <w:rFonts w:ascii="Times New Roman" w:hAnsi="Times New Roman"/>
          <w:sz w:val="24"/>
          <w:szCs w:val="24"/>
        </w:rPr>
        <w:t>n=</w:t>
      </w:r>
      <w:r>
        <w:rPr>
          <w:rFonts w:ascii="Times New Roman" w:hAnsi="Times New Roman"/>
          <w:sz w:val="24"/>
          <w:szCs w:val="24"/>
        </w:rPr>
        <w:t>1,300</w:t>
      </w:r>
      <w:r w:rsidRPr="00020576">
        <w:rPr>
          <w:rFonts w:ascii="Times New Roman" w:hAnsi="Times New Roman"/>
          <w:sz w:val="24"/>
          <w:szCs w:val="24"/>
        </w:rPr>
        <w:t>)</w:t>
      </w:r>
      <w:r>
        <w:rPr>
          <w:rFonts w:ascii="Times New Roman" w:hAnsi="Times New Roman"/>
          <w:sz w:val="24"/>
          <w:szCs w:val="24"/>
        </w:rPr>
        <w:t>.</w:t>
      </w:r>
    </w:p>
    <w:p w14:paraId="54F6BFAD" w14:textId="77777777" w:rsidR="00A2695A" w:rsidRDefault="00A2695A" w:rsidP="00A2695A">
      <w:pPr>
        <w:pStyle w:val="ListParagraph"/>
        <w:keepNext/>
        <w:keepLines/>
        <w:numPr>
          <w:ilvl w:val="1"/>
          <w:numId w:val="30"/>
        </w:numPr>
        <w:spacing w:after="0" w:line="240" w:lineRule="auto"/>
        <w:ind w:left="720"/>
        <w:rPr>
          <w:rFonts w:ascii="Times New Roman" w:hAnsi="Times New Roman"/>
          <w:sz w:val="24"/>
          <w:szCs w:val="24"/>
        </w:rPr>
      </w:pPr>
      <w:r>
        <w:rPr>
          <w:rFonts w:ascii="Times New Roman" w:hAnsi="Times New Roman"/>
          <w:sz w:val="24"/>
          <w:szCs w:val="24"/>
        </w:rPr>
        <w:t xml:space="preserve">The survey will be administered </w:t>
      </w:r>
      <w:r w:rsidRPr="00020576">
        <w:rPr>
          <w:rFonts w:ascii="Times New Roman" w:hAnsi="Times New Roman"/>
          <w:sz w:val="24"/>
          <w:szCs w:val="24"/>
        </w:rPr>
        <w:t xml:space="preserve">to </w:t>
      </w:r>
      <w:r>
        <w:rPr>
          <w:rFonts w:ascii="Times New Roman" w:hAnsi="Times New Roman"/>
          <w:sz w:val="24"/>
          <w:szCs w:val="24"/>
        </w:rPr>
        <w:t>a sample of</w:t>
      </w:r>
      <w:r w:rsidRPr="00020576">
        <w:rPr>
          <w:rFonts w:ascii="Times New Roman" w:hAnsi="Times New Roman"/>
          <w:sz w:val="24"/>
          <w:szCs w:val="24"/>
        </w:rPr>
        <w:t xml:space="preserve"> beneficiaries/representatives who file a</w:t>
      </w:r>
      <w:r>
        <w:rPr>
          <w:rFonts w:ascii="Times New Roman" w:hAnsi="Times New Roman"/>
          <w:sz w:val="24"/>
          <w:szCs w:val="24"/>
        </w:rPr>
        <w:t>n</w:t>
      </w:r>
      <w:r w:rsidRPr="00020576">
        <w:rPr>
          <w:rFonts w:ascii="Times New Roman" w:hAnsi="Times New Roman"/>
          <w:sz w:val="24"/>
          <w:szCs w:val="24"/>
        </w:rPr>
        <w:t xml:space="preserve"> </w:t>
      </w:r>
      <w:r>
        <w:rPr>
          <w:rFonts w:ascii="Times New Roman" w:hAnsi="Times New Roman"/>
          <w:sz w:val="24"/>
          <w:szCs w:val="24"/>
        </w:rPr>
        <w:t>appeal</w:t>
      </w:r>
      <w:r w:rsidRPr="00020576">
        <w:rPr>
          <w:rFonts w:ascii="Times New Roman" w:hAnsi="Times New Roman"/>
          <w:sz w:val="24"/>
          <w:szCs w:val="24"/>
        </w:rPr>
        <w:t xml:space="preserve"> </w:t>
      </w:r>
      <w:r>
        <w:rPr>
          <w:rFonts w:ascii="Times New Roman" w:hAnsi="Times New Roman"/>
          <w:sz w:val="24"/>
          <w:szCs w:val="24"/>
        </w:rPr>
        <w:t>(</w:t>
      </w:r>
      <w:r w:rsidRPr="00020576">
        <w:rPr>
          <w:rFonts w:ascii="Times New Roman" w:hAnsi="Times New Roman"/>
          <w:sz w:val="24"/>
          <w:szCs w:val="24"/>
        </w:rPr>
        <w:t>n=</w:t>
      </w:r>
      <w:r>
        <w:rPr>
          <w:rFonts w:ascii="Times New Roman" w:hAnsi="Times New Roman"/>
          <w:sz w:val="24"/>
          <w:szCs w:val="24"/>
        </w:rPr>
        <w:t>8,800</w:t>
      </w:r>
      <w:r w:rsidRPr="00020576">
        <w:rPr>
          <w:rFonts w:ascii="Times New Roman" w:hAnsi="Times New Roman"/>
          <w:sz w:val="24"/>
          <w:szCs w:val="24"/>
        </w:rPr>
        <w:t>)</w:t>
      </w:r>
      <w:r>
        <w:rPr>
          <w:rFonts w:ascii="Times New Roman" w:hAnsi="Times New Roman"/>
          <w:sz w:val="24"/>
          <w:szCs w:val="24"/>
        </w:rPr>
        <w:t>.</w:t>
      </w:r>
    </w:p>
    <w:p w14:paraId="192445B6" w14:textId="77777777" w:rsidR="00A2695A" w:rsidRDefault="00A2695A" w:rsidP="00A2695A">
      <w:pPr>
        <w:pStyle w:val="ListParagraph"/>
        <w:keepNext/>
        <w:keepLines/>
        <w:spacing w:after="0" w:line="240" w:lineRule="auto"/>
        <w:rPr>
          <w:rFonts w:ascii="Times New Roman" w:hAnsi="Times New Roman"/>
          <w:sz w:val="24"/>
          <w:szCs w:val="24"/>
        </w:rPr>
      </w:pPr>
    </w:p>
    <w:p w14:paraId="1F93263E" w14:textId="68342F0F" w:rsidR="00A2695A" w:rsidRPr="00E919BD" w:rsidRDefault="00A2695A" w:rsidP="00A2695A">
      <w:pPr>
        <w:keepNext/>
        <w:keepLines/>
        <w:rPr>
          <w:szCs w:val="24"/>
        </w:rPr>
      </w:pPr>
      <w:r w:rsidRPr="00E919BD">
        <w:rPr>
          <w:b/>
          <w:szCs w:val="24"/>
        </w:rPr>
        <w:t xml:space="preserve">Direct Follow-up </w:t>
      </w:r>
      <w:r w:rsidRPr="00E919BD">
        <w:rPr>
          <w:szCs w:val="24"/>
        </w:rPr>
        <w:t xml:space="preserve">calls (Attachment B) will be made to a </w:t>
      </w:r>
      <w:r w:rsidR="0002311F">
        <w:rPr>
          <w:szCs w:val="24"/>
        </w:rPr>
        <w:t xml:space="preserve">Service Area-stratified </w:t>
      </w:r>
      <w:r w:rsidRPr="00E919BD">
        <w:rPr>
          <w:szCs w:val="24"/>
        </w:rPr>
        <w:t xml:space="preserve">sample of beneficiaries/ representatives who have contacted the BFCC QIO. This sample includes individuals who contacted the BFCC QIO help desk for any reason including those that did not result in the formal initiation of an appeal or complaint case. This data collection will provide information about beneficiary experiences with the QIOs that extend beyond processing of complaint and appeal cases. </w:t>
      </w:r>
    </w:p>
    <w:p w14:paraId="6B2EEB2B" w14:textId="77777777" w:rsidR="00A2695A" w:rsidRDefault="00A2695A" w:rsidP="00A2695A">
      <w:pPr>
        <w:pStyle w:val="ListParagraph"/>
        <w:keepNext/>
        <w:keepLines/>
        <w:spacing w:after="0" w:line="240" w:lineRule="auto"/>
        <w:ind w:left="0"/>
        <w:rPr>
          <w:rFonts w:ascii="Times New Roman" w:hAnsi="Times New Roman"/>
          <w:sz w:val="24"/>
          <w:szCs w:val="24"/>
        </w:rPr>
      </w:pPr>
    </w:p>
    <w:p w14:paraId="0200B7E0" w14:textId="77777777" w:rsidR="00A2695A" w:rsidRDefault="00A2695A" w:rsidP="00A2695A">
      <w:pPr>
        <w:pStyle w:val="ListParagraph"/>
        <w:keepNext/>
        <w:keepLines/>
        <w:spacing w:after="0" w:line="240" w:lineRule="auto"/>
        <w:ind w:left="0"/>
        <w:rPr>
          <w:rFonts w:ascii="Times New Roman" w:hAnsi="Times New Roman"/>
          <w:sz w:val="24"/>
          <w:szCs w:val="24"/>
        </w:rPr>
      </w:pPr>
      <w:r w:rsidRPr="00E919BD">
        <w:rPr>
          <w:rFonts w:ascii="Times New Roman" w:hAnsi="Times New Roman"/>
          <w:sz w:val="24"/>
          <w:szCs w:val="24"/>
        </w:rPr>
        <w:t>The Direct Follow-up</w:t>
      </w:r>
      <w:r>
        <w:rPr>
          <w:rFonts w:ascii="Times New Roman" w:hAnsi="Times New Roman"/>
          <w:sz w:val="24"/>
          <w:szCs w:val="24"/>
        </w:rPr>
        <w:t xml:space="preserve"> calls also use sampling, though a </w:t>
      </w:r>
      <w:r w:rsidRPr="00D70E1B">
        <w:rPr>
          <w:rFonts w:ascii="Times New Roman" w:hAnsi="Times New Roman"/>
          <w:sz w:val="24"/>
          <w:szCs w:val="24"/>
        </w:rPr>
        <w:t>much smaller sample is required to fulfill the goal of supporting quality improvement activities.</w:t>
      </w:r>
      <w:r>
        <w:rPr>
          <w:rFonts w:ascii="Times New Roman" w:hAnsi="Times New Roman"/>
          <w:sz w:val="24"/>
          <w:szCs w:val="24"/>
        </w:rPr>
        <w:t xml:space="preserve"> This initiative is intended to ensure that CMS and the QIOs </w:t>
      </w:r>
      <w:r w:rsidRPr="00D70E1B">
        <w:rPr>
          <w:rFonts w:ascii="Times New Roman" w:hAnsi="Times New Roman"/>
          <w:sz w:val="24"/>
          <w:szCs w:val="24"/>
        </w:rPr>
        <w:t>understand the experiences of all individuals who call the help desk, not just those who formally initiate an appeal or complaint case.</w:t>
      </w:r>
      <w:r>
        <w:rPr>
          <w:rFonts w:ascii="Times New Roman" w:hAnsi="Times New Roman"/>
          <w:sz w:val="24"/>
          <w:szCs w:val="24"/>
        </w:rPr>
        <w:t xml:space="preserve"> With quality improvement as the goal, a small sample is sufficient to provide a sense of beneficiary experience and support QIOs in ensuring their approaches are beneficiary and family-centered.</w:t>
      </w:r>
    </w:p>
    <w:p w14:paraId="709ACB89" w14:textId="77777777" w:rsidR="00A2695A" w:rsidRDefault="00A2695A" w:rsidP="00A2695A">
      <w:pPr>
        <w:pStyle w:val="ListParagraph"/>
        <w:keepNext/>
        <w:keepLines/>
        <w:spacing w:after="0" w:line="240" w:lineRule="auto"/>
        <w:ind w:left="0"/>
        <w:rPr>
          <w:rFonts w:ascii="Times New Roman" w:hAnsi="Times New Roman"/>
          <w:sz w:val="24"/>
          <w:szCs w:val="24"/>
        </w:rPr>
      </w:pPr>
    </w:p>
    <w:p w14:paraId="7D7F4BB1" w14:textId="77777777" w:rsidR="00A2695A" w:rsidRPr="00E919BD" w:rsidRDefault="00A2695A" w:rsidP="00A2695A">
      <w:pPr>
        <w:pStyle w:val="ListParagraph"/>
        <w:keepNext/>
        <w:keepLines/>
        <w:numPr>
          <w:ilvl w:val="0"/>
          <w:numId w:val="31"/>
        </w:numPr>
        <w:spacing w:after="0" w:line="240" w:lineRule="auto"/>
        <w:ind w:left="720"/>
        <w:rPr>
          <w:rFonts w:ascii="Times New Roman" w:hAnsi="Times New Roman"/>
          <w:sz w:val="24"/>
          <w:szCs w:val="24"/>
        </w:rPr>
      </w:pPr>
      <w:r w:rsidRPr="00E919BD">
        <w:rPr>
          <w:rFonts w:ascii="Times New Roman" w:hAnsi="Times New Roman"/>
          <w:sz w:val="24"/>
          <w:szCs w:val="24"/>
        </w:rPr>
        <w:t>The survey will be administered to a sample of beneficiaries/representatives who contact the BFCC QIO help desk for any reason. (n=200).</w:t>
      </w:r>
    </w:p>
    <w:p w14:paraId="1787BF10" w14:textId="77777777" w:rsidR="00A2695A" w:rsidRDefault="00A2695A" w:rsidP="00A2695A">
      <w:pPr>
        <w:pStyle w:val="ListParagraph"/>
        <w:keepNext/>
        <w:keepLines/>
        <w:spacing w:after="0" w:line="240" w:lineRule="auto"/>
        <w:ind w:left="0"/>
        <w:rPr>
          <w:rFonts w:ascii="Times New Roman" w:hAnsi="Times New Roman"/>
          <w:sz w:val="24"/>
          <w:szCs w:val="24"/>
        </w:rPr>
      </w:pPr>
    </w:p>
    <w:p w14:paraId="4DB982BB" w14:textId="77777777" w:rsidR="00A2695A" w:rsidRPr="00A76D4D" w:rsidRDefault="00A2695A" w:rsidP="00A2695A">
      <w:pPr>
        <w:keepNext/>
        <w:keepLines/>
        <w:rPr>
          <w:szCs w:val="24"/>
        </w:rPr>
      </w:pPr>
      <w:r w:rsidRPr="00367965">
        <w:rPr>
          <w:b/>
          <w:szCs w:val="24"/>
        </w:rPr>
        <w:t>General Feedback Web Survey</w:t>
      </w:r>
      <w:r>
        <w:rPr>
          <w:b/>
          <w:szCs w:val="24"/>
        </w:rPr>
        <w:t xml:space="preserve"> </w:t>
      </w:r>
      <w:r w:rsidRPr="00A76D4D">
        <w:rPr>
          <w:szCs w:val="24"/>
        </w:rPr>
        <w:t xml:space="preserve">(Attachment C) </w:t>
      </w:r>
      <w:r>
        <w:rPr>
          <w:szCs w:val="24"/>
        </w:rPr>
        <w:t>will be open to all b</w:t>
      </w:r>
      <w:r w:rsidRPr="00A76D4D">
        <w:rPr>
          <w:szCs w:val="24"/>
        </w:rPr>
        <w:t>eneficiaries/</w:t>
      </w:r>
      <w:r>
        <w:rPr>
          <w:szCs w:val="24"/>
        </w:rPr>
        <w:t xml:space="preserve"> </w:t>
      </w:r>
      <w:r w:rsidRPr="00A76D4D">
        <w:rPr>
          <w:szCs w:val="24"/>
        </w:rPr>
        <w:t xml:space="preserve">representatives who file a complaint or appeal. A link to a General Feedback Web Survey will be included with each case closure letter sent by the QIOs. </w:t>
      </w:r>
    </w:p>
    <w:p w14:paraId="60D9296E" w14:textId="77777777" w:rsidR="00A2695A" w:rsidRDefault="00A2695A" w:rsidP="00A2695A">
      <w:pPr>
        <w:pStyle w:val="ListParagraph"/>
        <w:keepNext/>
        <w:keepLines/>
        <w:spacing w:after="0" w:line="240" w:lineRule="auto"/>
        <w:ind w:left="0"/>
        <w:rPr>
          <w:rFonts w:ascii="Times New Roman" w:hAnsi="Times New Roman"/>
          <w:sz w:val="24"/>
          <w:szCs w:val="24"/>
        </w:rPr>
      </w:pPr>
    </w:p>
    <w:p w14:paraId="06175794" w14:textId="77777777" w:rsidR="00A2695A" w:rsidRDefault="00A2695A" w:rsidP="00A2695A">
      <w:pPr>
        <w:pStyle w:val="ListParagraph"/>
        <w:keepNext/>
        <w:keepLines/>
        <w:spacing w:after="0" w:line="240" w:lineRule="auto"/>
        <w:ind w:left="0"/>
        <w:rPr>
          <w:rFonts w:ascii="Times New Roman" w:hAnsi="Times New Roman"/>
          <w:sz w:val="24"/>
          <w:szCs w:val="24"/>
        </w:rPr>
      </w:pPr>
      <w:r w:rsidRPr="00A76D4D">
        <w:rPr>
          <w:rFonts w:ascii="Times New Roman" w:hAnsi="Times New Roman"/>
          <w:sz w:val="24"/>
          <w:szCs w:val="24"/>
        </w:rPr>
        <w:t>The General Feedback Web Survey</w:t>
      </w:r>
      <w:r w:rsidRPr="009B11E6">
        <w:rPr>
          <w:rFonts w:ascii="Times New Roman" w:hAnsi="Times New Roman"/>
          <w:sz w:val="24"/>
          <w:szCs w:val="24"/>
        </w:rPr>
        <w:t xml:space="preserve"> </w:t>
      </w:r>
      <w:r>
        <w:rPr>
          <w:rFonts w:ascii="Times New Roman" w:hAnsi="Times New Roman"/>
          <w:sz w:val="24"/>
          <w:szCs w:val="24"/>
        </w:rPr>
        <w:t>will be</w:t>
      </w:r>
      <w:r w:rsidRPr="009B11E6">
        <w:rPr>
          <w:rFonts w:ascii="Times New Roman" w:hAnsi="Times New Roman"/>
          <w:sz w:val="24"/>
          <w:szCs w:val="24"/>
        </w:rPr>
        <w:t xml:space="preserve"> provided to the universe of closed appeal and complaint cases [census]. This serves as a person-centered way to offer every beneficiary/</w:t>
      </w:r>
      <w:r>
        <w:rPr>
          <w:rFonts w:ascii="Times New Roman" w:hAnsi="Times New Roman"/>
          <w:sz w:val="24"/>
          <w:szCs w:val="24"/>
        </w:rPr>
        <w:t xml:space="preserve"> </w:t>
      </w:r>
      <w:r w:rsidRPr="009B11E6">
        <w:rPr>
          <w:rFonts w:ascii="Times New Roman" w:hAnsi="Times New Roman"/>
          <w:sz w:val="24"/>
          <w:szCs w:val="24"/>
        </w:rPr>
        <w:t>representative an opportunity to voice their experience with the QIO</w:t>
      </w:r>
      <w:r>
        <w:rPr>
          <w:rFonts w:ascii="Times New Roman" w:hAnsi="Times New Roman"/>
          <w:sz w:val="24"/>
          <w:szCs w:val="24"/>
        </w:rPr>
        <w:t xml:space="preserve"> whether or not they are selected to receive the Experience Survey.</w:t>
      </w:r>
    </w:p>
    <w:p w14:paraId="48876A7C" w14:textId="77777777" w:rsidR="00A2695A" w:rsidRDefault="00A2695A" w:rsidP="00A2695A">
      <w:pPr>
        <w:pStyle w:val="ListParagraph"/>
        <w:keepNext/>
        <w:keepLines/>
        <w:spacing w:after="0" w:line="240" w:lineRule="auto"/>
        <w:ind w:left="0"/>
        <w:rPr>
          <w:rFonts w:ascii="Times New Roman" w:hAnsi="Times New Roman"/>
          <w:sz w:val="24"/>
          <w:szCs w:val="24"/>
        </w:rPr>
      </w:pPr>
    </w:p>
    <w:p w14:paraId="0E0CE6D9" w14:textId="77777777" w:rsidR="00A2695A" w:rsidRPr="00A76D4D" w:rsidRDefault="00A2695A" w:rsidP="00A2695A">
      <w:pPr>
        <w:pStyle w:val="ListParagraph"/>
        <w:keepNext/>
        <w:keepLines/>
        <w:numPr>
          <w:ilvl w:val="0"/>
          <w:numId w:val="31"/>
        </w:numPr>
        <w:spacing w:after="0" w:line="240" w:lineRule="auto"/>
        <w:ind w:left="720"/>
        <w:rPr>
          <w:rFonts w:ascii="Times New Roman" w:hAnsi="Times New Roman"/>
          <w:sz w:val="24"/>
          <w:szCs w:val="24"/>
        </w:rPr>
      </w:pPr>
      <w:r w:rsidRPr="00A76D4D">
        <w:rPr>
          <w:rFonts w:ascii="Times New Roman" w:hAnsi="Times New Roman"/>
          <w:sz w:val="24"/>
          <w:szCs w:val="24"/>
        </w:rPr>
        <w:t>The General Feedback Web Survey link will be sent to all (census) beneficiaries/representatives who file a complaint or an appeal (n=150,200).</w:t>
      </w:r>
    </w:p>
    <w:p w14:paraId="2000D778" w14:textId="77777777" w:rsidR="00A2695A" w:rsidRDefault="00A2695A" w:rsidP="00A2695A">
      <w:pPr>
        <w:pStyle w:val="ListParagraph"/>
        <w:keepNext/>
        <w:keepLines/>
        <w:spacing w:after="0" w:line="240" w:lineRule="auto"/>
        <w:ind w:left="0"/>
        <w:rPr>
          <w:rFonts w:ascii="Times New Roman" w:hAnsi="Times New Roman"/>
          <w:sz w:val="24"/>
          <w:szCs w:val="24"/>
        </w:rPr>
      </w:pPr>
    </w:p>
    <w:p w14:paraId="5B56D8C1" w14:textId="77777777" w:rsidR="00A2695A" w:rsidRDefault="00A2695A" w:rsidP="00A2695A">
      <w:pPr>
        <w:pStyle w:val="ListParagraph"/>
        <w:keepNext/>
        <w:keepLines/>
        <w:spacing w:after="0" w:line="240" w:lineRule="auto"/>
        <w:ind w:left="0"/>
        <w:rPr>
          <w:rFonts w:ascii="Times New Roman" w:hAnsi="Times New Roman"/>
          <w:sz w:val="24"/>
          <w:szCs w:val="24"/>
        </w:rPr>
      </w:pPr>
      <w:r>
        <w:rPr>
          <w:rFonts w:ascii="Times New Roman" w:hAnsi="Times New Roman"/>
          <w:sz w:val="24"/>
          <w:szCs w:val="24"/>
        </w:rPr>
        <w:t xml:space="preserve">Table 1 presents the respondent universe, sample, anticipated response rate, and resulting number of responses by sub group and data collection initiative. </w:t>
      </w:r>
    </w:p>
    <w:p w14:paraId="2DC64CDD" w14:textId="77777777" w:rsidR="00A2695A" w:rsidRDefault="00A2695A" w:rsidP="00A2695A">
      <w:pPr>
        <w:pStyle w:val="ListParagraph"/>
        <w:keepNext/>
        <w:keepLines/>
        <w:spacing w:after="0" w:line="240" w:lineRule="auto"/>
        <w:ind w:left="0"/>
        <w:rPr>
          <w:rFonts w:ascii="Times New Roman" w:hAnsi="Times New Roman"/>
          <w:sz w:val="24"/>
          <w:szCs w:val="24"/>
        </w:rPr>
      </w:pPr>
    </w:p>
    <w:p w14:paraId="2F81059F" w14:textId="15124BA3" w:rsidR="00A2695A" w:rsidRPr="00082702" w:rsidRDefault="00A2695A" w:rsidP="00A2695A">
      <w:pPr>
        <w:keepNext/>
        <w:keepLines/>
        <w:rPr>
          <w:b/>
          <w:szCs w:val="24"/>
        </w:rPr>
      </w:pPr>
      <w:r w:rsidRPr="00082702">
        <w:rPr>
          <w:b/>
          <w:szCs w:val="24"/>
        </w:rPr>
        <w:t xml:space="preserve">Table 1: </w:t>
      </w:r>
      <w:r w:rsidR="00D13899">
        <w:rPr>
          <w:b/>
          <w:szCs w:val="24"/>
        </w:rPr>
        <w:t xml:space="preserve">Annual </w:t>
      </w:r>
      <w:r w:rsidRPr="00082702">
        <w:rPr>
          <w:b/>
          <w:szCs w:val="24"/>
        </w:rPr>
        <w:t>Sampling Approach</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1636"/>
        <w:gridCol w:w="1859"/>
        <w:gridCol w:w="1843"/>
        <w:gridCol w:w="1790"/>
      </w:tblGrid>
      <w:tr w:rsidR="00A2695A" w:rsidRPr="006B341C" w14:paraId="2C2F7043" w14:textId="77777777" w:rsidTr="00DB331D">
        <w:trPr>
          <w:trHeight w:val="540"/>
        </w:trPr>
        <w:tc>
          <w:tcPr>
            <w:tcW w:w="2355" w:type="dxa"/>
            <w:shd w:val="clear" w:color="000000" w:fill="D9D9D9"/>
            <w:noWrap/>
            <w:vAlign w:val="center"/>
            <w:hideMark/>
          </w:tcPr>
          <w:p w14:paraId="03C178CC" w14:textId="77777777" w:rsidR="00A2695A" w:rsidRPr="006B341C" w:rsidRDefault="00A2695A" w:rsidP="00DB331D">
            <w:pPr>
              <w:keepNext/>
              <w:keepLines/>
              <w:jc w:val="center"/>
              <w:rPr>
                <w:color w:val="000000"/>
                <w:szCs w:val="24"/>
              </w:rPr>
            </w:pPr>
          </w:p>
        </w:tc>
        <w:tc>
          <w:tcPr>
            <w:tcW w:w="1636" w:type="dxa"/>
            <w:shd w:val="clear" w:color="000000" w:fill="D9D9D9"/>
            <w:noWrap/>
            <w:vAlign w:val="center"/>
            <w:hideMark/>
          </w:tcPr>
          <w:p w14:paraId="3043E5A4" w14:textId="77777777" w:rsidR="00A2695A" w:rsidRPr="006B341C" w:rsidRDefault="00A2695A" w:rsidP="00DB331D">
            <w:pPr>
              <w:keepNext/>
              <w:keepLines/>
              <w:jc w:val="center"/>
              <w:rPr>
                <w:b/>
                <w:bCs/>
                <w:color w:val="000000"/>
                <w:szCs w:val="24"/>
              </w:rPr>
            </w:pPr>
            <w:r w:rsidRPr="006B341C">
              <w:rPr>
                <w:b/>
                <w:bCs/>
                <w:color w:val="000000"/>
                <w:szCs w:val="24"/>
              </w:rPr>
              <w:t>Appeal</w:t>
            </w:r>
          </w:p>
        </w:tc>
        <w:tc>
          <w:tcPr>
            <w:tcW w:w="1859" w:type="dxa"/>
            <w:shd w:val="clear" w:color="000000" w:fill="D9D9D9"/>
            <w:vAlign w:val="center"/>
            <w:hideMark/>
          </w:tcPr>
          <w:p w14:paraId="37CD9743" w14:textId="77777777" w:rsidR="00A2695A" w:rsidRPr="006B341C" w:rsidRDefault="00A2695A" w:rsidP="00DB331D">
            <w:pPr>
              <w:keepNext/>
              <w:keepLines/>
              <w:jc w:val="center"/>
              <w:rPr>
                <w:b/>
                <w:bCs/>
                <w:color w:val="000000"/>
                <w:szCs w:val="24"/>
              </w:rPr>
            </w:pPr>
            <w:r w:rsidRPr="006B341C">
              <w:rPr>
                <w:b/>
                <w:bCs/>
                <w:color w:val="000000"/>
                <w:szCs w:val="24"/>
              </w:rPr>
              <w:t xml:space="preserve">Complaint </w:t>
            </w:r>
            <w:r w:rsidRPr="006B341C">
              <w:rPr>
                <w:b/>
                <w:bCs/>
                <w:color w:val="000000"/>
                <w:szCs w:val="24"/>
              </w:rPr>
              <w:br/>
              <w:t>Medical Record Review</w:t>
            </w:r>
          </w:p>
        </w:tc>
        <w:tc>
          <w:tcPr>
            <w:tcW w:w="1843" w:type="dxa"/>
            <w:shd w:val="clear" w:color="000000" w:fill="D9D9D9"/>
            <w:vAlign w:val="center"/>
            <w:hideMark/>
          </w:tcPr>
          <w:p w14:paraId="6530BCE4" w14:textId="77777777" w:rsidR="00A2695A" w:rsidRPr="006B341C" w:rsidRDefault="00A2695A" w:rsidP="00DB331D">
            <w:pPr>
              <w:keepNext/>
              <w:keepLines/>
              <w:jc w:val="center"/>
              <w:rPr>
                <w:b/>
                <w:bCs/>
                <w:color w:val="000000"/>
                <w:szCs w:val="24"/>
              </w:rPr>
            </w:pPr>
            <w:r w:rsidRPr="006B341C">
              <w:rPr>
                <w:b/>
                <w:bCs/>
                <w:color w:val="000000"/>
                <w:szCs w:val="24"/>
              </w:rPr>
              <w:t xml:space="preserve">Complaint </w:t>
            </w:r>
            <w:r w:rsidRPr="006B341C">
              <w:rPr>
                <w:b/>
                <w:bCs/>
                <w:color w:val="000000"/>
                <w:szCs w:val="24"/>
              </w:rPr>
              <w:br/>
              <w:t>Immediate Advocacy</w:t>
            </w:r>
          </w:p>
        </w:tc>
        <w:tc>
          <w:tcPr>
            <w:tcW w:w="1790" w:type="dxa"/>
            <w:shd w:val="clear" w:color="000000" w:fill="D9D9D9"/>
            <w:noWrap/>
            <w:vAlign w:val="center"/>
            <w:hideMark/>
          </w:tcPr>
          <w:p w14:paraId="19CB6D5E" w14:textId="77777777" w:rsidR="00A2695A" w:rsidRPr="006B341C" w:rsidRDefault="00A2695A" w:rsidP="00DB331D">
            <w:pPr>
              <w:keepNext/>
              <w:keepLines/>
              <w:jc w:val="center"/>
              <w:rPr>
                <w:b/>
                <w:bCs/>
                <w:color w:val="000000"/>
                <w:szCs w:val="24"/>
              </w:rPr>
            </w:pPr>
            <w:r w:rsidRPr="006B341C">
              <w:rPr>
                <w:b/>
                <w:bCs/>
                <w:color w:val="000000"/>
                <w:szCs w:val="24"/>
              </w:rPr>
              <w:t>No Case Initiated</w:t>
            </w:r>
          </w:p>
        </w:tc>
      </w:tr>
      <w:tr w:rsidR="00A2695A" w:rsidRPr="006B341C" w14:paraId="3A7645FB" w14:textId="77777777" w:rsidTr="00DB331D">
        <w:trPr>
          <w:trHeight w:val="300"/>
        </w:trPr>
        <w:tc>
          <w:tcPr>
            <w:tcW w:w="2355" w:type="dxa"/>
            <w:shd w:val="clear" w:color="auto" w:fill="auto"/>
            <w:noWrap/>
            <w:vAlign w:val="center"/>
            <w:hideMark/>
          </w:tcPr>
          <w:p w14:paraId="32F28E43" w14:textId="77777777" w:rsidR="00A2695A" w:rsidRPr="006B341C" w:rsidRDefault="00A2695A" w:rsidP="00DB331D">
            <w:pPr>
              <w:keepNext/>
              <w:keepLines/>
              <w:ind w:firstLineChars="100" w:firstLine="241"/>
              <w:rPr>
                <w:b/>
                <w:bCs/>
                <w:i/>
                <w:iCs/>
                <w:color w:val="000000"/>
                <w:szCs w:val="24"/>
              </w:rPr>
            </w:pPr>
            <w:r w:rsidRPr="006B341C">
              <w:rPr>
                <w:b/>
                <w:bCs/>
                <w:i/>
                <w:iCs/>
                <w:color w:val="000000"/>
                <w:szCs w:val="24"/>
              </w:rPr>
              <w:t>Universe*</w:t>
            </w:r>
          </w:p>
        </w:tc>
        <w:tc>
          <w:tcPr>
            <w:tcW w:w="1636" w:type="dxa"/>
            <w:shd w:val="clear" w:color="auto" w:fill="auto"/>
            <w:noWrap/>
            <w:vAlign w:val="center"/>
            <w:hideMark/>
          </w:tcPr>
          <w:p w14:paraId="1E48649A" w14:textId="77777777" w:rsidR="00A2695A" w:rsidRPr="006B341C" w:rsidRDefault="00A2695A" w:rsidP="00DB331D">
            <w:pPr>
              <w:keepNext/>
              <w:keepLines/>
              <w:jc w:val="center"/>
              <w:rPr>
                <w:b/>
                <w:bCs/>
                <w:i/>
                <w:iCs/>
                <w:color w:val="000000"/>
                <w:szCs w:val="24"/>
              </w:rPr>
            </w:pPr>
            <w:r w:rsidRPr="006B341C">
              <w:rPr>
                <w:b/>
                <w:bCs/>
                <w:i/>
                <w:iCs/>
                <w:color w:val="000000"/>
                <w:szCs w:val="24"/>
              </w:rPr>
              <w:t>144,000</w:t>
            </w:r>
          </w:p>
        </w:tc>
        <w:tc>
          <w:tcPr>
            <w:tcW w:w="1859" w:type="dxa"/>
            <w:shd w:val="clear" w:color="auto" w:fill="auto"/>
            <w:noWrap/>
            <w:vAlign w:val="center"/>
            <w:hideMark/>
          </w:tcPr>
          <w:p w14:paraId="5A482DA1" w14:textId="77777777" w:rsidR="00A2695A" w:rsidRPr="006B341C" w:rsidRDefault="00A2695A" w:rsidP="00DB331D">
            <w:pPr>
              <w:keepNext/>
              <w:keepLines/>
              <w:jc w:val="center"/>
              <w:rPr>
                <w:b/>
                <w:bCs/>
                <w:i/>
                <w:iCs/>
                <w:color w:val="000000"/>
                <w:szCs w:val="24"/>
              </w:rPr>
            </w:pPr>
            <w:r w:rsidRPr="006B341C">
              <w:rPr>
                <w:b/>
                <w:bCs/>
                <w:i/>
                <w:iCs/>
                <w:color w:val="000000"/>
                <w:szCs w:val="24"/>
              </w:rPr>
              <w:t>4,900</w:t>
            </w:r>
          </w:p>
        </w:tc>
        <w:tc>
          <w:tcPr>
            <w:tcW w:w="1843" w:type="dxa"/>
            <w:shd w:val="clear" w:color="auto" w:fill="auto"/>
            <w:noWrap/>
            <w:vAlign w:val="center"/>
            <w:hideMark/>
          </w:tcPr>
          <w:p w14:paraId="1E0B507C" w14:textId="77777777" w:rsidR="00A2695A" w:rsidRPr="006B341C" w:rsidRDefault="00A2695A" w:rsidP="00DB331D">
            <w:pPr>
              <w:keepNext/>
              <w:keepLines/>
              <w:jc w:val="center"/>
              <w:rPr>
                <w:b/>
                <w:bCs/>
                <w:i/>
                <w:iCs/>
                <w:color w:val="000000"/>
                <w:szCs w:val="24"/>
              </w:rPr>
            </w:pPr>
            <w:r w:rsidRPr="006B341C">
              <w:rPr>
                <w:b/>
                <w:bCs/>
                <w:i/>
                <w:iCs/>
                <w:color w:val="000000"/>
                <w:szCs w:val="24"/>
              </w:rPr>
              <w:t>1,300</w:t>
            </w:r>
          </w:p>
        </w:tc>
        <w:tc>
          <w:tcPr>
            <w:tcW w:w="1790" w:type="dxa"/>
            <w:shd w:val="clear" w:color="auto" w:fill="auto"/>
            <w:noWrap/>
            <w:vAlign w:val="center"/>
            <w:hideMark/>
          </w:tcPr>
          <w:p w14:paraId="331B541A" w14:textId="77777777" w:rsidR="00A2695A" w:rsidRPr="006B341C" w:rsidRDefault="00A2695A" w:rsidP="00DB331D">
            <w:pPr>
              <w:keepNext/>
              <w:keepLines/>
              <w:jc w:val="center"/>
              <w:rPr>
                <w:b/>
                <w:bCs/>
                <w:i/>
                <w:iCs/>
                <w:color w:val="000000"/>
                <w:szCs w:val="24"/>
              </w:rPr>
            </w:pPr>
            <w:r w:rsidRPr="006B341C">
              <w:rPr>
                <w:b/>
                <w:bCs/>
                <w:i/>
                <w:iCs/>
                <w:color w:val="000000"/>
                <w:szCs w:val="24"/>
              </w:rPr>
              <w:t>Unknown</w:t>
            </w:r>
          </w:p>
        </w:tc>
      </w:tr>
      <w:tr w:rsidR="00A2695A" w:rsidRPr="006B341C" w14:paraId="2EBA2A41" w14:textId="77777777" w:rsidTr="00DB331D">
        <w:trPr>
          <w:trHeight w:val="300"/>
        </w:trPr>
        <w:tc>
          <w:tcPr>
            <w:tcW w:w="9483" w:type="dxa"/>
            <w:gridSpan w:val="5"/>
            <w:shd w:val="clear" w:color="000000" w:fill="D9D9D9"/>
            <w:noWrap/>
            <w:vAlign w:val="bottom"/>
            <w:hideMark/>
          </w:tcPr>
          <w:p w14:paraId="66679489" w14:textId="55DA3434" w:rsidR="00A2695A" w:rsidRPr="006B341C" w:rsidRDefault="00A2695A" w:rsidP="00DB331D">
            <w:pPr>
              <w:keepNext/>
              <w:keepLines/>
              <w:jc w:val="center"/>
              <w:rPr>
                <w:b/>
                <w:bCs/>
                <w:color w:val="000000"/>
                <w:szCs w:val="24"/>
              </w:rPr>
            </w:pPr>
            <w:r w:rsidRPr="006B341C">
              <w:rPr>
                <w:b/>
                <w:bCs/>
                <w:color w:val="000000"/>
                <w:szCs w:val="24"/>
              </w:rPr>
              <w:t>Experience Survey</w:t>
            </w:r>
          </w:p>
        </w:tc>
      </w:tr>
      <w:tr w:rsidR="00A2695A" w:rsidRPr="006B341C" w14:paraId="23A1FE0F" w14:textId="77777777" w:rsidTr="00DB331D">
        <w:trPr>
          <w:trHeight w:val="300"/>
        </w:trPr>
        <w:tc>
          <w:tcPr>
            <w:tcW w:w="2355" w:type="dxa"/>
            <w:shd w:val="clear" w:color="auto" w:fill="auto"/>
            <w:noWrap/>
            <w:vAlign w:val="center"/>
            <w:hideMark/>
          </w:tcPr>
          <w:p w14:paraId="36F3DB54" w14:textId="77777777" w:rsidR="00A2695A" w:rsidRPr="006B341C" w:rsidRDefault="00A2695A" w:rsidP="00DB331D">
            <w:pPr>
              <w:keepNext/>
              <w:keepLines/>
              <w:ind w:firstLineChars="100" w:firstLine="240"/>
              <w:rPr>
                <w:color w:val="000000"/>
                <w:szCs w:val="24"/>
              </w:rPr>
            </w:pPr>
            <w:r w:rsidRPr="006B341C">
              <w:rPr>
                <w:color w:val="000000"/>
                <w:szCs w:val="24"/>
              </w:rPr>
              <w:t>Sample</w:t>
            </w:r>
          </w:p>
        </w:tc>
        <w:tc>
          <w:tcPr>
            <w:tcW w:w="1636" w:type="dxa"/>
            <w:shd w:val="clear" w:color="auto" w:fill="auto"/>
            <w:noWrap/>
            <w:vAlign w:val="center"/>
            <w:hideMark/>
          </w:tcPr>
          <w:p w14:paraId="1BAE484D" w14:textId="77777777" w:rsidR="00A2695A" w:rsidRDefault="00A2695A" w:rsidP="00DB331D">
            <w:pPr>
              <w:keepNext/>
              <w:keepLines/>
              <w:jc w:val="center"/>
              <w:rPr>
                <w:color w:val="000000"/>
                <w:szCs w:val="24"/>
              </w:rPr>
            </w:pPr>
            <w:r w:rsidRPr="006B341C">
              <w:rPr>
                <w:color w:val="000000"/>
                <w:szCs w:val="24"/>
              </w:rPr>
              <w:t>8,800</w:t>
            </w:r>
          </w:p>
          <w:p w14:paraId="4431E594" w14:textId="09216E45" w:rsidR="0002311F" w:rsidRPr="006B341C" w:rsidRDefault="0002311F" w:rsidP="00DB331D">
            <w:pPr>
              <w:keepNext/>
              <w:keepLines/>
              <w:jc w:val="center"/>
              <w:rPr>
                <w:color w:val="000000"/>
                <w:szCs w:val="24"/>
              </w:rPr>
            </w:pPr>
            <w:r>
              <w:rPr>
                <w:color w:val="000000"/>
                <w:szCs w:val="24"/>
              </w:rPr>
              <w:t>(sample)</w:t>
            </w:r>
          </w:p>
        </w:tc>
        <w:tc>
          <w:tcPr>
            <w:tcW w:w="1859" w:type="dxa"/>
            <w:shd w:val="clear" w:color="auto" w:fill="auto"/>
            <w:noWrap/>
            <w:vAlign w:val="center"/>
            <w:hideMark/>
          </w:tcPr>
          <w:p w14:paraId="1025B9DB" w14:textId="77777777" w:rsidR="00A2695A" w:rsidRDefault="00A2695A" w:rsidP="00DB331D">
            <w:pPr>
              <w:keepNext/>
              <w:keepLines/>
              <w:jc w:val="center"/>
              <w:rPr>
                <w:color w:val="000000"/>
                <w:szCs w:val="24"/>
              </w:rPr>
            </w:pPr>
            <w:r w:rsidRPr="006B341C">
              <w:rPr>
                <w:color w:val="000000"/>
                <w:szCs w:val="24"/>
              </w:rPr>
              <w:t>4,900</w:t>
            </w:r>
          </w:p>
          <w:p w14:paraId="49414438" w14:textId="748BBAD1" w:rsidR="0002311F" w:rsidRPr="006B341C" w:rsidRDefault="0002311F" w:rsidP="00DB331D">
            <w:pPr>
              <w:keepNext/>
              <w:keepLines/>
              <w:jc w:val="center"/>
              <w:rPr>
                <w:color w:val="000000"/>
                <w:szCs w:val="24"/>
              </w:rPr>
            </w:pPr>
            <w:r>
              <w:rPr>
                <w:color w:val="000000"/>
                <w:szCs w:val="24"/>
              </w:rPr>
              <w:t>(census)</w:t>
            </w:r>
          </w:p>
        </w:tc>
        <w:tc>
          <w:tcPr>
            <w:tcW w:w="1843" w:type="dxa"/>
            <w:shd w:val="clear" w:color="auto" w:fill="auto"/>
            <w:noWrap/>
            <w:vAlign w:val="center"/>
            <w:hideMark/>
          </w:tcPr>
          <w:p w14:paraId="5429B679" w14:textId="77777777" w:rsidR="00A2695A" w:rsidRDefault="00A2695A" w:rsidP="00DB331D">
            <w:pPr>
              <w:keepNext/>
              <w:keepLines/>
              <w:jc w:val="center"/>
              <w:rPr>
                <w:color w:val="000000"/>
                <w:szCs w:val="24"/>
              </w:rPr>
            </w:pPr>
            <w:r w:rsidRPr="006B341C">
              <w:rPr>
                <w:color w:val="000000"/>
                <w:szCs w:val="24"/>
              </w:rPr>
              <w:t>1,300</w:t>
            </w:r>
          </w:p>
          <w:p w14:paraId="67E2EFEF" w14:textId="0F0BD8BD" w:rsidR="0002311F" w:rsidRPr="006B341C" w:rsidRDefault="0002311F" w:rsidP="00DB331D">
            <w:pPr>
              <w:keepNext/>
              <w:keepLines/>
              <w:jc w:val="center"/>
              <w:rPr>
                <w:color w:val="000000"/>
                <w:szCs w:val="24"/>
              </w:rPr>
            </w:pPr>
            <w:r>
              <w:rPr>
                <w:color w:val="000000"/>
                <w:szCs w:val="24"/>
              </w:rPr>
              <w:t>(census)</w:t>
            </w:r>
          </w:p>
        </w:tc>
        <w:tc>
          <w:tcPr>
            <w:tcW w:w="1790" w:type="dxa"/>
            <w:vMerge w:val="restart"/>
            <w:shd w:val="clear" w:color="auto" w:fill="auto"/>
            <w:noWrap/>
            <w:vAlign w:val="center"/>
            <w:hideMark/>
          </w:tcPr>
          <w:p w14:paraId="081B8AA1" w14:textId="77777777" w:rsidR="00A2695A" w:rsidRPr="006B341C" w:rsidRDefault="00A2695A" w:rsidP="00DB331D">
            <w:pPr>
              <w:keepNext/>
              <w:keepLines/>
              <w:jc w:val="center"/>
              <w:rPr>
                <w:color w:val="000000"/>
                <w:szCs w:val="24"/>
              </w:rPr>
            </w:pPr>
            <w:r w:rsidRPr="006B341C">
              <w:rPr>
                <w:color w:val="000000"/>
                <w:szCs w:val="24"/>
              </w:rPr>
              <w:t>N/A</w:t>
            </w:r>
          </w:p>
        </w:tc>
      </w:tr>
      <w:tr w:rsidR="00A2695A" w:rsidRPr="006B341C" w14:paraId="4890CE0C" w14:textId="77777777" w:rsidTr="00DB331D">
        <w:trPr>
          <w:trHeight w:val="300"/>
        </w:trPr>
        <w:tc>
          <w:tcPr>
            <w:tcW w:w="2355" w:type="dxa"/>
            <w:shd w:val="clear" w:color="auto" w:fill="auto"/>
            <w:noWrap/>
            <w:vAlign w:val="center"/>
            <w:hideMark/>
          </w:tcPr>
          <w:p w14:paraId="189C4870" w14:textId="77777777" w:rsidR="00A2695A" w:rsidRPr="006B341C" w:rsidRDefault="00A2695A" w:rsidP="00DB331D">
            <w:pPr>
              <w:keepNext/>
              <w:keepLines/>
              <w:ind w:firstLineChars="100" w:firstLine="240"/>
              <w:rPr>
                <w:color w:val="000000"/>
                <w:szCs w:val="24"/>
              </w:rPr>
            </w:pPr>
            <w:r w:rsidRPr="006B341C">
              <w:rPr>
                <w:color w:val="000000"/>
                <w:szCs w:val="24"/>
              </w:rPr>
              <w:t>Response Rate %</w:t>
            </w:r>
          </w:p>
        </w:tc>
        <w:tc>
          <w:tcPr>
            <w:tcW w:w="1636" w:type="dxa"/>
            <w:shd w:val="clear" w:color="auto" w:fill="auto"/>
            <w:noWrap/>
            <w:vAlign w:val="center"/>
            <w:hideMark/>
          </w:tcPr>
          <w:p w14:paraId="3E93B300" w14:textId="77777777" w:rsidR="00A2695A" w:rsidRPr="006B341C" w:rsidRDefault="00A2695A" w:rsidP="00DB331D">
            <w:pPr>
              <w:keepNext/>
              <w:keepLines/>
              <w:jc w:val="center"/>
              <w:rPr>
                <w:color w:val="000000"/>
                <w:szCs w:val="24"/>
              </w:rPr>
            </w:pPr>
            <w:r w:rsidRPr="006B341C">
              <w:rPr>
                <w:color w:val="000000"/>
                <w:szCs w:val="24"/>
              </w:rPr>
              <w:t>65</w:t>
            </w:r>
          </w:p>
        </w:tc>
        <w:tc>
          <w:tcPr>
            <w:tcW w:w="1859" w:type="dxa"/>
            <w:shd w:val="clear" w:color="auto" w:fill="auto"/>
            <w:noWrap/>
            <w:vAlign w:val="center"/>
            <w:hideMark/>
          </w:tcPr>
          <w:p w14:paraId="4346D753" w14:textId="77777777" w:rsidR="00A2695A" w:rsidRPr="006B341C" w:rsidRDefault="00A2695A" w:rsidP="00DB331D">
            <w:pPr>
              <w:keepNext/>
              <w:keepLines/>
              <w:jc w:val="center"/>
              <w:rPr>
                <w:color w:val="000000"/>
                <w:szCs w:val="24"/>
              </w:rPr>
            </w:pPr>
            <w:r w:rsidRPr="006B341C">
              <w:rPr>
                <w:color w:val="000000"/>
                <w:szCs w:val="24"/>
              </w:rPr>
              <w:t>65</w:t>
            </w:r>
          </w:p>
        </w:tc>
        <w:tc>
          <w:tcPr>
            <w:tcW w:w="1843" w:type="dxa"/>
            <w:shd w:val="clear" w:color="auto" w:fill="auto"/>
            <w:noWrap/>
            <w:vAlign w:val="center"/>
            <w:hideMark/>
          </w:tcPr>
          <w:p w14:paraId="0FBF5A34" w14:textId="77777777" w:rsidR="00A2695A" w:rsidRPr="006B341C" w:rsidRDefault="00A2695A" w:rsidP="00DB331D">
            <w:pPr>
              <w:keepNext/>
              <w:keepLines/>
              <w:jc w:val="center"/>
              <w:rPr>
                <w:color w:val="000000"/>
                <w:szCs w:val="24"/>
              </w:rPr>
            </w:pPr>
            <w:r w:rsidRPr="006B341C">
              <w:rPr>
                <w:color w:val="000000"/>
                <w:szCs w:val="24"/>
              </w:rPr>
              <w:t>65</w:t>
            </w:r>
          </w:p>
        </w:tc>
        <w:tc>
          <w:tcPr>
            <w:tcW w:w="1790" w:type="dxa"/>
            <w:vMerge/>
            <w:vAlign w:val="center"/>
            <w:hideMark/>
          </w:tcPr>
          <w:p w14:paraId="3AF44892" w14:textId="77777777" w:rsidR="00A2695A" w:rsidRPr="006B341C" w:rsidRDefault="00A2695A" w:rsidP="00DB331D">
            <w:pPr>
              <w:keepNext/>
              <w:keepLines/>
              <w:rPr>
                <w:color w:val="000000"/>
                <w:szCs w:val="24"/>
              </w:rPr>
            </w:pPr>
          </w:p>
        </w:tc>
      </w:tr>
      <w:tr w:rsidR="00A2695A" w:rsidRPr="006B341C" w14:paraId="7FF8A57A" w14:textId="77777777" w:rsidTr="00DB331D">
        <w:trPr>
          <w:trHeight w:val="300"/>
        </w:trPr>
        <w:tc>
          <w:tcPr>
            <w:tcW w:w="2355" w:type="dxa"/>
            <w:shd w:val="clear" w:color="auto" w:fill="auto"/>
            <w:noWrap/>
            <w:vAlign w:val="center"/>
            <w:hideMark/>
          </w:tcPr>
          <w:p w14:paraId="763D875C" w14:textId="77777777" w:rsidR="00A2695A" w:rsidRPr="006B341C" w:rsidRDefault="00A2695A" w:rsidP="00DB331D">
            <w:pPr>
              <w:keepNext/>
              <w:keepLines/>
              <w:ind w:firstLineChars="100" w:firstLine="240"/>
              <w:rPr>
                <w:color w:val="000000"/>
                <w:szCs w:val="24"/>
              </w:rPr>
            </w:pPr>
            <w:r w:rsidRPr="006B341C">
              <w:rPr>
                <w:color w:val="000000"/>
                <w:szCs w:val="24"/>
              </w:rPr>
              <w:t>Respondents</w:t>
            </w:r>
          </w:p>
        </w:tc>
        <w:tc>
          <w:tcPr>
            <w:tcW w:w="1636" w:type="dxa"/>
            <w:shd w:val="clear" w:color="auto" w:fill="auto"/>
            <w:noWrap/>
            <w:vAlign w:val="center"/>
            <w:hideMark/>
          </w:tcPr>
          <w:p w14:paraId="317ECEEE" w14:textId="77777777" w:rsidR="00A2695A" w:rsidRPr="006B341C" w:rsidRDefault="00A2695A" w:rsidP="00DB331D">
            <w:pPr>
              <w:keepNext/>
              <w:keepLines/>
              <w:jc w:val="center"/>
              <w:rPr>
                <w:color w:val="000000"/>
                <w:szCs w:val="24"/>
              </w:rPr>
            </w:pPr>
            <w:r w:rsidRPr="006B341C">
              <w:rPr>
                <w:color w:val="000000"/>
                <w:szCs w:val="24"/>
              </w:rPr>
              <w:t>5,720</w:t>
            </w:r>
          </w:p>
        </w:tc>
        <w:tc>
          <w:tcPr>
            <w:tcW w:w="1859" w:type="dxa"/>
            <w:shd w:val="clear" w:color="auto" w:fill="auto"/>
            <w:noWrap/>
            <w:vAlign w:val="center"/>
            <w:hideMark/>
          </w:tcPr>
          <w:p w14:paraId="68D559B3" w14:textId="77777777" w:rsidR="00A2695A" w:rsidRPr="006B341C" w:rsidRDefault="00A2695A" w:rsidP="00DB331D">
            <w:pPr>
              <w:keepNext/>
              <w:keepLines/>
              <w:jc w:val="center"/>
              <w:rPr>
                <w:color w:val="000000"/>
                <w:szCs w:val="24"/>
              </w:rPr>
            </w:pPr>
            <w:r w:rsidRPr="006B341C">
              <w:rPr>
                <w:color w:val="000000"/>
                <w:szCs w:val="24"/>
              </w:rPr>
              <w:t>3,185</w:t>
            </w:r>
          </w:p>
        </w:tc>
        <w:tc>
          <w:tcPr>
            <w:tcW w:w="1843" w:type="dxa"/>
            <w:shd w:val="clear" w:color="auto" w:fill="auto"/>
            <w:noWrap/>
            <w:vAlign w:val="center"/>
            <w:hideMark/>
          </w:tcPr>
          <w:p w14:paraId="5BDF0EAD" w14:textId="77777777" w:rsidR="00A2695A" w:rsidRPr="006B341C" w:rsidRDefault="00A2695A" w:rsidP="00DB331D">
            <w:pPr>
              <w:keepNext/>
              <w:keepLines/>
              <w:jc w:val="center"/>
              <w:rPr>
                <w:color w:val="000000"/>
                <w:szCs w:val="24"/>
              </w:rPr>
            </w:pPr>
            <w:r w:rsidRPr="006B341C">
              <w:rPr>
                <w:color w:val="000000"/>
                <w:szCs w:val="24"/>
              </w:rPr>
              <w:t>845</w:t>
            </w:r>
          </w:p>
        </w:tc>
        <w:tc>
          <w:tcPr>
            <w:tcW w:w="1790" w:type="dxa"/>
            <w:vMerge/>
            <w:vAlign w:val="center"/>
            <w:hideMark/>
          </w:tcPr>
          <w:p w14:paraId="1742FD35" w14:textId="77777777" w:rsidR="00A2695A" w:rsidRPr="006B341C" w:rsidRDefault="00A2695A" w:rsidP="00DB331D">
            <w:pPr>
              <w:keepNext/>
              <w:keepLines/>
              <w:rPr>
                <w:color w:val="000000"/>
                <w:szCs w:val="24"/>
              </w:rPr>
            </w:pPr>
          </w:p>
        </w:tc>
      </w:tr>
      <w:tr w:rsidR="00A2695A" w:rsidRPr="006B341C" w14:paraId="4355031D" w14:textId="77777777" w:rsidTr="00DB331D">
        <w:trPr>
          <w:trHeight w:val="300"/>
        </w:trPr>
        <w:tc>
          <w:tcPr>
            <w:tcW w:w="9483" w:type="dxa"/>
            <w:gridSpan w:val="5"/>
            <w:shd w:val="clear" w:color="000000" w:fill="D9D9D9"/>
            <w:noWrap/>
            <w:vAlign w:val="bottom"/>
            <w:hideMark/>
          </w:tcPr>
          <w:p w14:paraId="00F1479D" w14:textId="77777777" w:rsidR="00A2695A" w:rsidRPr="006B341C" w:rsidRDefault="00A2695A" w:rsidP="00DB331D">
            <w:pPr>
              <w:keepNext/>
              <w:keepLines/>
              <w:jc w:val="center"/>
              <w:rPr>
                <w:b/>
                <w:bCs/>
                <w:color w:val="000000"/>
                <w:szCs w:val="24"/>
              </w:rPr>
            </w:pPr>
            <w:r w:rsidRPr="006B341C">
              <w:rPr>
                <w:b/>
                <w:bCs/>
                <w:color w:val="000000"/>
                <w:szCs w:val="24"/>
              </w:rPr>
              <w:t>Direct Follow-up</w:t>
            </w:r>
          </w:p>
        </w:tc>
      </w:tr>
      <w:tr w:rsidR="00A2695A" w:rsidRPr="006B341C" w14:paraId="5A4B74E2" w14:textId="77777777" w:rsidTr="00DB331D">
        <w:trPr>
          <w:trHeight w:val="300"/>
        </w:trPr>
        <w:tc>
          <w:tcPr>
            <w:tcW w:w="2355" w:type="dxa"/>
            <w:shd w:val="clear" w:color="auto" w:fill="auto"/>
            <w:noWrap/>
            <w:vAlign w:val="center"/>
            <w:hideMark/>
          </w:tcPr>
          <w:p w14:paraId="2F654867" w14:textId="77777777" w:rsidR="00A2695A" w:rsidRPr="006B341C" w:rsidRDefault="00A2695A" w:rsidP="00DB331D">
            <w:pPr>
              <w:keepNext/>
              <w:keepLines/>
              <w:ind w:firstLineChars="100" w:firstLine="240"/>
              <w:rPr>
                <w:color w:val="000000"/>
                <w:szCs w:val="24"/>
              </w:rPr>
            </w:pPr>
            <w:r w:rsidRPr="006B341C">
              <w:rPr>
                <w:color w:val="000000"/>
                <w:szCs w:val="24"/>
              </w:rPr>
              <w:t>Sample</w:t>
            </w:r>
          </w:p>
        </w:tc>
        <w:tc>
          <w:tcPr>
            <w:tcW w:w="7128" w:type="dxa"/>
            <w:gridSpan w:val="4"/>
            <w:shd w:val="clear" w:color="auto" w:fill="auto"/>
            <w:noWrap/>
            <w:vAlign w:val="center"/>
          </w:tcPr>
          <w:p w14:paraId="5B9766B1" w14:textId="77777777" w:rsidR="00A2695A" w:rsidRPr="006B341C" w:rsidRDefault="00A2695A" w:rsidP="00DB331D">
            <w:pPr>
              <w:keepNext/>
              <w:keepLines/>
              <w:jc w:val="center"/>
              <w:rPr>
                <w:color w:val="000000"/>
                <w:szCs w:val="24"/>
              </w:rPr>
            </w:pPr>
            <w:r w:rsidRPr="006B341C">
              <w:rPr>
                <w:color w:val="000000"/>
                <w:szCs w:val="24"/>
              </w:rPr>
              <w:t>200 beneficiaries who contact the QIO help desk</w:t>
            </w:r>
          </w:p>
        </w:tc>
      </w:tr>
      <w:tr w:rsidR="00A2695A" w:rsidRPr="006B341C" w14:paraId="2832B48E" w14:textId="77777777" w:rsidTr="00DB331D">
        <w:trPr>
          <w:trHeight w:val="300"/>
        </w:trPr>
        <w:tc>
          <w:tcPr>
            <w:tcW w:w="2355" w:type="dxa"/>
            <w:shd w:val="clear" w:color="auto" w:fill="auto"/>
            <w:noWrap/>
            <w:vAlign w:val="center"/>
            <w:hideMark/>
          </w:tcPr>
          <w:p w14:paraId="1BCFE11D" w14:textId="77777777" w:rsidR="00A2695A" w:rsidRPr="006B341C" w:rsidRDefault="00A2695A" w:rsidP="00DB331D">
            <w:pPr>
              <w:keepNext/>
              <w:keepLines/>
              <w:ind w:firstLineChars="100" w:firstLine="240"/>
              <w:rPr>
                <w:color w:val="000000"/>
                <w:szCs w:val="24"/>
              </w:rPr>
            </w:pPr>
            <w:r w:rsidRPr="006B341C">
              <w:rPr>
                <w:color w:val="000000"/>
                <w:szCs w:val="24"/>
              </w:rPr>
              <w:t>Response Rate %</w:t>
            </w:r>
          </w:p>
        </w:tc>
        <w:tc>
          <w:tcPr>
            <w:tcW w:w="7128" w:type="dxa"/>
            <w:gridSpan w:val="4"/>
            <w:shd w:val="clear" w:color="auto" w:fill="auto"/>
            <w:vAlign w:val="center"/>
          </w:tcPr>
          <w:p w14:paraId="10FBD54D" w14:textId="77777777" w:rsidR="00A2695A" w:rsidRPr="006B341C" w:rsidRDefault="00A2695A" w:rsidP="00DB331D">
            <w:pPr>
              <w:keepNext/>
              <w:keepLines/>
              <w:jc w:val="center"/>
              <w:rPr>
                <w:color w:val="000000"/>
                <w:szCs w:val="24"/>
              </w:rPr>
            </w:pPr>
            <w:r w:rsidRPr="006B341C">
              <w:rPr>
                <w:color w:val="000000"/>
                <w:szCs w:val="24"/>
              </w:rPr>
              <w:t>65</w:t>
            </w:r>
          </w:p>
        </w:tc>
      </w:tr>
      <w:tr w:rsidR="00A2695A" w:rsidRPr="006B341C" w14:paraId="74AD97A9" w14:textId="77777777" w:rsidTr="00DB331D">
        <w:trPr>
          <w:trHeight w:val="300"/>
        </w:trPr>
        <w:tc>
          <w:tcPr>
            <w:tcW w:w="2355" w:type="dxa"/>
            <w:shd w:val="clear" w:color="auto" w:fill="auto"/>
            <w:noWrap/>
            <w:vAlign w:val="center"/>
            <w:hideMark/>
          </w:tcPr>
          <w:p w14:paraId="3C456D4C" w14:textId="77777777" w:rsidR="00A2695A" w:rsidRPr="006B341C" w:rsidRDefault="00A2695A" w:rsidP="00DB331D">
            <w:pPr>
              <w:keepNext/>
              <w:keepLines/>
              <w:ind w:firstLineChars="100" w:firstLine="240"/>
              <w:rPr>
                <w:color w:val="000000"/>
                <w:szCs w:val="24"/>
              </w:rPr>
            </w:pPr>
            <w:r w:rsidRPr="006B341C">
              <w:rPr>
                <w:color w:val="000000"/>
                <w:szCs w:val="24"/>
              </w:rPr>
              <w:t>Respondents</w:t>
            </w:r>
          </w:p>
        </w:tc>
        <w:tc>
          <w:tcPr>
            <w:tcW w:w="7128" w:type="dxa"/>
            <w:gridSpan w:val="4"/>
            <w:shd w:val="clear" w:color="auto" w:fill="auto"/>
            <w:vAlign w:val="center"/>
          </w:tcPr>
          <w:p w14:paraId="4E7EE1E9" w14:textId="77777777" w:rsidR="00A2695A" w:rsidRPr="006B341C" w:rsidRDefault="00A2695A" w:rsidP="00DB331D">
            <w:pPr>
              <w:keepNext/>
              <w:keepLines/>
              <w:jc w:val="center"/>
              <w:rPr>
                <w:color w:val="000000"/>
                <w:szCs w:val="24"/>
              </w:rPr>
            </w:pPr>
            <w:r w:rsidRPr="006B341C">
              <w:rPr>
                <w:color w:val="000000"/>
                <w:szCs w:val="24"/>
              </w:rPr>
              <w:t xml:space="preserve">130 </w:t>
            </w:r>
          </w:p>
        </w:tc>
      </w:tr>
      <w:tr w:rsidR="00A2695A" w:rsidRPr="006B341C" w14:paraId="13963306" w14:textId="77777777" w:rsidTr="00DB331D">
        <w:trPr>
          <w:trHeight w:val="300"/>
        </w:trPr>
        <w:tc>
          <w:tcPr>
            <w:tcW w:w="9483" w:type="dxa"/>
            <w:gridSpan w:val="5"/>
            <w:shd w:val="clear" w:color="000000" w:fill="D9D9D9"/>
            <w:noWrap/>
            <w:vAlign w:val="bottom"/>
            <w:hideMark/>
          </w:tcPr>
          <w:p w14:paraId="42A01D70" w14:textId="77777777" w:rsidR="00A2695A" w:rsidRPr="006B341C" w:rsidRDefault="00A2695A" w:rsidP="00DB331D">
            <w:pPr>
              <w:keepNext/>
              <w:keepLines/>
              <w:jc w:val="center"/>
              <w:rPr>
                <w:b/>
                <w:bCs/>
                <w:color w:val="000000"/>
                <w:szCs w:val="24"/>
              </w:rPr>
            </w:pPr>
            <w:r w:rsidRPr="006B341C">
              <w:rPr>
                <w:b/>
                <w:bCs/>
                <w:color w:val="000000"/>
                <w:szCs w:val="24"/>
              </w:rPr>
              <w:t>General Feedback Web Survey</w:t>
            </w:r>
          </w:p>
        </w:tc>
      </w:tr>
      <w:tr w:rsidR="00A2695A" w:rsidRPr="006B341C" w14:paraId="5E190806" w14:textId="77777777" w:rsidTr="00DB331D">
        <w:trPr>
          <w:trHeight w:val="300"/>
        </w:trPr>
        <w:tc>
          <w:tcPr>
            <w:tcW w:w="2355" w:type="dxa"/>
            <w:shd w:val="clear" w:color="auto" w:fill="auto"/>
            <w:noWrap/>
            <w:vAlign w:val="center"/>
            <w:hideMark/>
          </w:tcPr>
          <w:p w14:paraId="04301EC9" w14:textId="77777777" w:rsidR="00A2695A" w:rsidRPr="006B341C" w:rsidRDefault="00A2695A" w:rsidP="00DB331D">
            <w:pPr>
              <w:keepNext/>
              <w:keepLines/>
              <w:ind w:firstLineChars="100" w:firstLine="240"/>
              <w:rPr>
                <w:color w:val="000000"/>
                <w:szCs w:val="24"/>
              </w:rPr>
            </w:pPr>
            <w:r w:rsidRPr="006B341C">
              <w:rPr>
                <w:color w:val="000000"/>
                <w:szCs w:val="24"/>
              </w:rPr>
              <w:t>Sample</w:t>
            </w:r>
          </w:p>
        </w:tc>
        <w:tc>
          <w:tcPr>
            <w:tcW w:w="1636" w:type="dxa"/>
            <w:shd w:val="clear" w:color="auto" w:fill="auto"/>
            <w:noWrap/>
            <w:vAlign w:val="center"/>
            <w:hideMark/>
          </w:tcPr>
          <w:p w14:paraId="4519C1F0" w14:textId="77777777" w:rsidR="00A2695A" w:rsidRPr="006B341C" w:rsidRDefault="00A2695A" w:rsidP="00DB331D">
            <w:pPr>
              <w:keepNext/>
              <w:keepLines/>
              <w:jc w:val="center"/>
              <w:rPr>
                <w:color w:val="000000"/>
                <w:szCs w:val="24"/>
              </w:rPr>
            </w:pPr>
            <w:r w:rsidRPr="006B341C">
              <w:rPr>
                <w:color w:val="000000"/>
                <w:szCs w:val="24"/>
              </w:rPr>
              <w:t>144,000</w:t>
            </w:r>
          </w:p>
        </w:tc>
        <w:tc>
          <w:tcPr>
            <w:tcW w:w="1859" w:type="dxa"/>
            <w:shd w:val="clear" w:color="auto" w:fill="auto"/>
            <w:noWrap/>
            <w:vAlign w:val="center"/>
          </w:tcPr>
          <w:p w14:paraId="0831E184" w14:textId="77777777" w:rsidR="00A2695A" w:rsidRPr="006B341C" w:rsidRDefault="00A2695A" w:rsidP="00DB331D">
            <w:pPr>
              <w:keepNext/>
              <w:keepLines/>
              <w:jc w:val="center"/>
              <w:rPr>
                <w:color w:val="000000"/>
                <w:szCs w:val="24"/>
              </w:rPr>
            </w:pPr>
            <w:r w:rsidRPr="006B341C">
              <w:rPr>
                <w:color w:val="000000"/>
                <w:szCs w:val="24"/>
              </w:rPr>
              <w:t>4,900</w:t>
            </w:r>
          </w:p>
        </w:tc>
        <w:tc>
          <w:tcPr>
            <w:tcW w:w="1843" w:type="dxa"/>
            <w:shd w:val="clear" w:color="auto" w:fill="auto"/>
            <w:noWrap/>
            <w:vAlign w:val="center"/>
          </w:tcPr>
          <w:p w14:paraId="7CA549CF" w14:textId="77777777" w:rsidR="00A2695A" w:rsidRPr="006B341C" w:rsidRDefault="00A2695A" w:rsidP="00DB331D">
            <w:pPr>
              <w:keepNext/>
              <w:keepLines/>
              <w:jc w:val="center"/>
              <w:rPr>
                <w:color w:val="000000"/>
                <w:szCs w:val="24"/>
              </w:rPr>
            </w:pPr>
            <w:r w:rsidRPr="006B341C">
              <w:rPr>
                <w:color w:val="000000"/>
                <w:szCs w:val="24"/>
              </w:rPr>
              <w:t>1,300</w:t>
            </w:r>
          </w:p>
        </w:tc>
        <w:tc>
          <w:tcPr>
            <w:tcW w:w="1790" w:type="dxa"/>
            <w:vMerge w:val="restart"/>
            <w:shd w:val="clear" w:color="auto" w:fill="auto"/>
            <w:noWrap/>
            <w:vAlign w:val="center"/>
            <w:hideMark/>
          </w:tcPr>
          <w:p w14:paraId="6C0D87A0" w14:textId="77777777" w:rsidR="00A2695A" w:rsidRPr="006B341C" w:rsidRDefault="00A2695A" w:rsidP="00DB331D">
            <w:pPr>
              <w:keepNext/>
              <w:keepLines/>
              <w:jc w:val="center"/>
              <w:rPr>
                <w:color w:val="000000"/>
                <w:szCs w:val="24"/>
              </w:rPr>
            </w:pPr>
            <w:r w:rsidRPr="006B341C">
              <w:rPr>
                <w:color w:val="000000"/>
                <w:szCs w:val="24"/>
              </w:rPr>
              <w:t>N/A</w:t>
            </w:r>
          </w:p>
        </w:tc>
      </w:tr>
      <w:tr w:rsidR="00A2695A" w:rsidRPr="006B341C" w14:paraId="64A63F0E" w14:textId="77777777" w:rsidTr="00DB331D">
        <w:trPr>
          <w:trHeight w:val="300"/>
        </w:trPr>
        <w:tc>
          <w:tcPr>
            <w:tcW w:w="2355" w:type="dxa"/>
            <w:shd w:val="clear" w:color="auto" w:fill="auto"/>
            <w:noWrap/>
            <w:vAlign w:val="center"/>
            <w:hideMark/>
          </w:tcPr>
          <w:p w14:paraId="0155B49C" w14:textId="77777777" w:rsidR="00A2695A" w:rsidRPr="006B341C" w:rsidRDefault="00A2695A" w:rsidP="00DB331D">
            <w:pPr>
              <w:keepNext/>
              <w:keepLines/>
              <w:ind w:firstLineChars="100" w:firstLine="240"/>
              <w:rPr>
                <w:color w:val="000000"/>
                <w:szCs w:val="24"/>
              </w:rPr>
            </w:pPr>
            <w:r w:rsidRPr="006B341C">
              <w:rPr>
                <w:color w:val="000000"/>
                <w:szCs w:val="24"/>
              </w:rPr>
              <w:t>Response Rate %</w:t>
            </w:r>
          </w:p>
        </w:tc>
        <w:tc>
          <w:tcPr>
            <w:tcW w:w="1636" w:type="dxa"/>
            <w:shd w:val="clear" w:color="auto" w:fill="auto"/>
            <w:noWrap/>
            <w:vAlign w:val="center"/>
            <w:hideMark/>
          </w:tcPr>
          <w:p w14:paraId="4FFE83C3" w14:textId="77777777" w:rsidR="00A2695A" w:rsidRPr="006B341C" w:rsidRDefault="00A2695A" w:rsidP="00DB331D">
            <w:pPr>
              <w:keepNext/>
              <w:keepLines/>
              <w:jc w:val="center"/>
              <w:rPr>
                <w:color w:val="000000"/>
                <w:szCs w:val="24"/>
              </w:rPr>
            </w:pPr>
            <w:r w:rsidRPr="006B341C">
              <w:rPr>
                <w:color w:val="000000"/>
                <w:szCs w:val="24"/>
              </w:rPr>
              <w:t>10</w:t>
            </w:r>
          </w:p>
        </w:tc>
        <w:tc>
          <w:tcPr>
            <w:tcW w:w="1859" w:type="dxa"/>
            <w:shd w:val="clear" w:color="auto" w:fill="auto"/>
            <w:vAlign w:val="center"/>
          </w:tcPr>
          <w:p w14:paraId="7211A76E" w14:textId="77777777" w:rsidR="00A2695A" w:rsidRPr="006B341C" w:rsidRDefault="00A2695A" w:rsidP="00DB331D">
            <w:pPr>
              <w:keepNext/>
              <w:keepLines/>
              <w:jc w:val="center"/>
              <w:rPr>
                <w:color w:val="000000"/>
                <w:szCs w:val="24"/>
              </w:rPr>
            </w:pPr>
            <w:r w:rsidRPr="006B341C">
              <w:rPr>
                <w:color w:val="000000"/>
                <w:szCs w:val="24"/>
              </w:rPr>
              <w:t>10</w:t>
            </w:r>
          </w:p>
        </w:tc>
        <w:tc>
          <w:tcPr>
            <w:tcW w:w="1843" w:type="dxa"/>
            <w:shd w:val="clear" w:color="auto" w:fill="auto"/>
            <w:vAlign w:val="center"/>
          </w:tcPr>
          <w:p w14:paraId="2A51193A" w14:textId="77777777" w:rsidR="00A2695A" w:rsidRPr="006B341C" w:rsidRDefault="00A2695A" w:rsidP="00DB331D">
            <w:pPr>
              <w:keepNext/>
              <w:keepLines/>
              <w:jc w:val="center"/>
              <w:rPr>
                <w:color w:val="000000"/>
                <w:szCs w:val="24"/>
              </w:rPr>
            </w:pPr>
            <w:r w:rsidRPr="006B341C">
              <w:rPr>
                <w:color w:val="000000"/>
                <w:szCs w:val="24"/>
              </w:rPr>
              <w:t>10</w:t>
            </w:r>
          </w:p>
        </w:tc>
        <w:tc>
          <w:tcPr>
            <w:tcW w:w="1790" w:type="dxa"/>
            <w:vMerge/>
            <w:vAlign w:val="center"/>
            <w:hideMark/>
          </w:tcPr>
          <w:p w14:paraId="0441A010" w14:textId="77777777" w:rsidR="00A2695A" w:rsidRPr="006B341C" w:rsidRDefault="00A2695A" w:rsidP="00DB331D">
            <w:pPr>
              <w:keepNext/>
              <w:keepLines/>
              <w:rPr>
                <w:color w:val="000000"/>
                <w:szCs w:val="24"/>
              </w:rPr>
            </w:pPr>
          </w:p>
        </w:tc>
      </w:tr>
      <w:tr w:rsidR="00A2695A" w:rsidRPr="006B341C" w14:paraId="3D90F642" w14:textId="77777777" w:rsidTr="00DB331D">
        <w:trPr>
          <w:trHeight w:val="300"/>
        </w:trPr>
        <w:tc>
          <w:tcPr>
            <w:tcW w:w="2355" w:type="dxa"/>
            <w:shd w:val="clear" w:color="auto" w:fill="auto"/>
            <w:noWrap/>
            <w:vAlign w:val="center"/>
            <w:hideMark/>
          </w:tcPr>
          <w:p w14:paraId="58CDF398" w14:textId="77777777" w:rsidR="00A2695A" w:rsidRPr="006B341C" w:rsidRDefault="00A2695A" w:rsidP="00DB331D">
            <w:pPr>
              <w:keepNext/>
              <w:keepLines/>
              <w:ind w:firstLineChars="100" w:firstLine="240"/>
              <w:rPr>
                <w:color w:val="000000"/>
                <w:szCs w:val="24"/>
              </w:rPr>
            </w:pPr>
            <w:r w:rsidRPr="006B341C">
              <w:rPr>
                <w:color w:val="000000"/>
                <w:szCs w:val="24"/>
              </w:rPr>
              <w:t>Respondents</w:t>
            </w:r>
          </w:p>
        </w:tc>
        <w:tc>
          <w:tcPr>
            <w:tcW w:w="1636" w:type="dxa"/>
            <w:shd w:val="clear" w:color="auto" w:fill="auto"/>
            <w:noWrap/>
            <w:vAlign w:val="center"/>
            <w:hideMark/>
          </w:tcPr>
          <w:p w14:paraId="7007038E" w14:textId="77777777" w:rsidR="00A2695A" w:rsidRPr="006B341C" w:rsidRDefault="00A2695A" w:rsidP="00DB331D">
            <w:pPr>
              <w:keepNext/>
              <w:keepLines/>
              <w:jc w:val="center"/>
              <w:rPr>
                <w:color w:val="000000"/>
                <w:szCs w:val="24"/>
              </w:rPr>
            </w:pPr>
            <w:r w:rsidRPr="006B341C">
              <w:rPr>
                <w:color w:val="000000"/>
                <w:szCs w:val="24"/>
              </w:rPr>
              <w:t>14,400</w:t>
            </w:r>
          </w:p>
        </w:tc>
        <w:tc>
          <w:tcPr>
            <w:tcW w:w="1859" w:type="dxa"/>
            <w:shd w:val="clear" w:color="auto" w:fill="auto"/>
            <w:vAlign w:val="center"/>
          </w:tcPr>
          <w:p w14:paraId="582049A8" w14:textId="77777777" w:rsidR="00A2695A" w:rsidRPr="006B341C" w:rsidRDefault="00A2695A" w:rsidP="00DB331D">
            <w:pPr>
              <w:keepNext/>
              <w:keepLines/>
              <w:jc w:val="center"/>
              <w:rPr>
                <w:color w:val="000000"/>
                <w:szCs w:val="24"/>
              </w:rPr>
            </w:pPr>
            <w:r w:rsidRPr="006B341C">
              <w:rPr>
                <w:color w:val="000000"/>
                <w:szCs w:val="24"/>
              </w:rPr>
              <w:t>490</w:t>
            </w:r>
          </w:p>
        </w:tc>
        <w:tc>
          <w:tcPr>
            <w:tcW w:w="1843" w:type="dxa"/>
            <w:shd w:val="clear" w:color="auto" w:fill="auto"/>
            <w:vAlign w:val="center"/>
          </w:tcPr>
          <w:p w14:paraId="69B6A199" w14:textId="77777777" w:rsidR="00A2695A" w:rsidRPr="006B341C" w:rsidRDefault="00A2695A" w:rsidP="00DB331D">
            <w:pPr>
              <w:keepNext/>
              <w:keepLines/>
              <w:jc w:val="center"/>
              <w:rPr>
                <w:color w:val="000000"/>
                <w:szCs w:val="24"/>
              </w:rPr>
            </w:pPr>
            <w:r w:rsidRPr="006B341C">
              <w:rPr>
                <w:color w:val="000000"/>
                <w:szCs w:val="24"/>
              </w:rPr>
              <w:t>130</w:t>
            </w:r>
          </w:p>
        </w:tc>
        <w:tc>
          <w:tcPr>
            <w:tcW w:w="1790" w:type="dxa"/>
            <w:vMerge/>
            <w:vAlign w:val="center"/>
            <w:hideMark/>
          </w:tcPr>
          <w:p w14:paraId="1E62562E" w14:textId="77777777" w:rsidR="00A2695A" w:rsidRPr="006B341C" w:rsidRDefault="00A2695A" w:rsidP="00DB331D">
            <w:pPr>
              <w:keepNext/>
              <w:keepLines/>
              <w:rPr>
                <w:color w:val="000000"/>
                <w:szCs w:val="24"/>
              </w:rPr>
            </w:pPr>
          </w:p>
        </w:tc>
      </w:tr>
      <w:tr w:rsidR="00A2695A" w:rsidRPr="006B341C" w14:paraId="2DEC853F" w14:textId="77777777" w:rsidTr="00DB331D">
        <w:trPr>
          <w:trHeight w:val="300"/>
        </w:trPr>
        <w:tc>
          <w:tcPr>
            <w:tcW w:w="2355" w:type="dxa"/>
            <w:shd w:val="clear" w:color="auto" w:fill="auto"/>
            <w:noWrap/>
            <w:vAlign w:val="bottom"/>
            <w:hideMark/>
          </w:tcPr>
          <w:p w14:paraId="7D4409C1" w14:textId="4FDB0019" w:rsidR="00A2695A" w:rsidRPr="006B341C" w:rsidRDefault="00A2695A" w:rsidP="00DB331D">
            <w:pPr>
              <w:keepNext/>
              <w:keepLines/>
              <w:rPr>
                <w:color w:val="000000"/>
                <w:szCs w:val="24"/>
              </w:rPr>
            </w:pPr>
          </w:p>
        </w:tc>
        <w:tc>
          <w:tcPr>
            <w:tcW w:w="1636" w:type="dxa"/>
            <w:shd w:val="clear" w:color="auto" w:fill="auto"/>
            <w:noWrap/>
            <w:vAlign w:val="bottom"/>
            <w:hideMark/>
          </w:tcPr>
          <w:p w14:paraId="363731C4" w14:textId="77777777" w:rsidR="00A2695A" w:rsidRPr="006B341C" w:rsidRDefault="00A2695A" w:rsidP="00DB331D">
            <w:pPr>
              <w:keepNext/>
              <w:keepLines/>
              <w:rPr>
                <w:color w:val="000000"/>
                <w:szCs w:val="24"/>
              </w:rPr>
            </w:pPr>
          </w:p>
        </w:tc>
        <w:tc>
          <w:tcPr>
            <w:tcW w:w="1859" w:type="dxa"/>
            <w:shd w:val="clear" w:color="auto" w:fill="auto"/>
            <w:noWrap/>
            <w:vAlign w:val="bottom"/>
            <w:hideMark/>
          </w:tcPr>
          <w:p w14:paraId="7E7D0165" w14:textId="77777777" w:rsidR="00A2695A" w:rsidRPr="006B341C" w:rsidRDefault="00A2695A" w:rsidP="00DB331D">
            <w:pPr>
              <w:keepNext/>
              <w:keepLines/>
              <w:rPr>
                <w:color w:val="000000"/>
                <w:szCs w:val="24"/>
              </w:rPr>
            </w:pPr>
          </w:p>
        </w:tc>
        <w:tc>
          <w:tcPr>
            <w:tcW w:w="1843" w:type="dxa"/>
            <w:shd w:val="clear" w:color="auto" w:fill="auto"/>
            <w:noWrap/>
            <w:vAlign w:val="bottom"/>
            <w:hideMark/>
          </w:tcPr>
          <w:p w14:paraId="1CAB6DB0" w14:textId="77777777" w:rsidR="00A2695A" w:rsidRPr="006B341C" w:rsidRDefault="00A2695A" w:rsidP="00DB331D">
            <w:pPr>
              <w:keepNext/>
              <w:keepLines/>
              <w:rPr>
                <w:color w:val="000000"/>
                <w:szCs w:val="24"/>
              </w:rPr>
            </w:pPr>
          </w:p>
        </w:tc>
        <w:tc>
          <w:tcPr>
            <w:tcW w:w="1790" w:type="dxa"/>
            <w:shd w:val="clear" w:color="auto" w:fill="auto"/>
            <w:noWrap/>
            <w:vAlign w:val="bottom"/>
            <w:hideMark/>
          </w:tcPr>
          <w:p w14:paraId="779BC549" w14:textId="77777777" w:rsidR="00A2695A" w:rsidRPr="006B341C" w:rsidRDefault="00A2695A" w:rsidP="00DB331D">
            <w:pPr>
              <w:keepNext/>
              <w:keepLines/>
              <w:rPr>
                <w:color w:val="000000"/>
                <w:szCs w:val="24"/>
              </w:rPr>
            </w:pPr>
          </w:p>
        </w:tc>
      </w:tr>
      <w:tr w:rsidR="00A2695A" w:rsidRPr="006B341C" w14:paraId="0D59E09E" w14:textId="77777777" w:rsidTr="00DB331D">
        <w:trPr>
          <w:trHeight w:val="300"/>
        </w:trPr>
        <w:tc>
          <w:tcPr>
            <w:tcW w:w="3991" w:type="dxa"/>
            <w:gridSpan w:val="2"/>
            <w:shd w:val="clear" w:color="auto" w:fill="auto"/>
            <w:noWrap/>
            <w:vAlign w:val="center"/>
            <w:hideMark/>
          </w:tcPr>
          <w:p w14:paraId="65C081F3" w14:textId="77777777" w:rsidR="00A2695A" w:rsidRPr="006B341C" w:rsidRDefault="00A2695A" w:rsidP="00DB331D">
            <w:pPr>
              <w:keepNext/>
              <w:keepLines/>
              <w:ind w:firstLineChars="100" w:firstLine="240"/>
              <w:rPr>
                <w:color w:val="000000"/>
                <w:szCs w:val="24"/>
              </w:rPr>
            </w:pPr>
            <w:r w:rsidRPr="006B341C">
              <w:rPr>
                <w:color w:val="000000"/>
                <w:szCs w:val="24"/>
              </w:rPr>
              <w:t>*Based on May 2016 case volumes</w:t>
            </w:r>
          </w:p>
        </w:tc>
        <w:tc>
          <w:tcPr>
            <w:tcW w:w="1859" w:type="dxa"/>
            <w:shd w:val="clear" w:color="auto" w:fill="auto"/>
            <w:noWrap/>
            <w:vAlign w:val="bottom"/>
            <w:hideMark/>
          </w:tcPr>
          <w:p w14:paraId="25462CBB" w14:textId="77777777" w:rsidR="00A2695A" w:rsidRPr="006B341C" w:rsidRDefault="00A2695A" w:rsidP="00DB331D">
            <w:pPr>
              <w:keepNext/>
              <w:keepLines/>
              <w:rPr>
                <w:color w:val="000000"/>
                <w:szCs w:val="24"/>
              </w:rPr>
            </w:pPr>
          </w:p>
        </w:tc>
        <w:tc>
          <w:tcPr>
            <w:tcW w:w="1843" w:type="dxa"/>
            <w:shd w:val="clear" w:color="auto" w:fill="auto"/>
            <w:noWrap/>
            <w:vAlign w:val="bottom"/>
            <w:hideMark/>
          </w:tcPr>
          <w:p w14:paraId="102ED987" w14:textId="77777777" w:rsidR="00A2695A" w:rsidRPr="006B341C" w:rsidRDefault="00A2695A" w:rsidP="00DB331D">
            <w:pPr>
              <w:keepNext/>
              <w:keepLines/>
              <w:rPr>
                <w:color w:val="000000"/>
                <w:szCs w:val="24"/>
              </w:rPr>
            </w:pPr>
          </w:p>
        </w:tc>
        <w:tc>
          <w:tcPr>
            <w:tcW w:w="1790" w:type="dxa"/>
            <w:shd w:val="clear" w:color="auto" w:fill="auto"/>
            <w:noWrap/>
            <w:vAlign w:val="bottom"/>
            <w:hideMark/>
          </w:tcPr>
          <w:p w14:paraId="705BD07B" w14:textId="77777777" w:rsidR="00A2695A" w:rsidRPr="006B341C" w:rsidRDefault="00A2695A" w:rsidP="00DB331D">
            <w:pPr>
              <w:keepNext/>
              <w:keepLines/>
              <w:rPr>
                <w:color w:val="000000"/>
                <w:szCs w:val="24"/>
              </w:rPr>
            </w:pPr>
          </w:p>
        </w:tc>
      </w:tr>
    </w:tbl>
    <w:p w14:paraId="4C0AD075" w14:textId="77777777" w:rsidR="00A2695A" w:rsidRPr="009E7AD1" w:rsidRDefault="00A2695A" w:rsidP="00A2695A">
      <w:pPr>
        <w:keepNext/>
        <w:keepLines/>
        <w:ind w:left="360"/>
        <w:rPr>
          <w:sz w:val="20"/>
          <w:szCs w:val="24"/>
        </w:rPr>
      </w:pPr>
      <w:r>
        <w:rPr>
          <w:b/>
          <w:szCs w:val="24"/>
        </w:rPr>
        <w:t>*</w:t>
      </w:r>
      <w:r w:rsidRPr="009E7AD1">
        <w:rPr>
          <w:szCs w:val="24"/>
        </w:rPr>
        <w:t xml:space="preserve"> </w:t>
      </w:r>
      <w:r w:rsidRPr="009E7AD1">
        <w:rPr>
          <w:sz w:val="20"/>
          <w:szCs w:val="24"/>
        </w:rPr>
        <w:t>During the 9</w:t>
      </w:r>
      <w:r w:rsidRPr="009E7AD1">
        <w:rPr>
          <w:sz w:val="20"/>
          <w:szCs w:val="24"/>
          <w:vertAlign w:val="superscript"/>
        </w:rPr>
        <w:t>th</w:t>
      </w:r>
      <w:r w:rsidRPr="009E7AD1">
        <w:rPr>
          <w:sz w:val="20"/>
          <w:szCs w:val="24"/>
        </w:rPr>
        <w:t xml:space="preserve"> SOW, Beneficiary Experience Survey data were collected using computer assisted telephone interviewing. Through this data collection, a 75 percent response rate was achieved.</w:t>
      </w:r>
    </w:p>
    <w:p w14:paraId="55EC0825" w14:textId="77777777" w:rsidR="00A2695A" w:rsidRDefault="00A2695A" w:rsidP="00A2695A">
      <w:pPr>
        <w:keepNext/>
        <w:keepLines/>
        <w:ind w:left="360"/>
        <w:rPr>
          <w:b/>
          <w:szCs w:val="24"/>
        </w:rPr>
      </w:pPr>
    </w:p>
    <w:p w14:paraId="5B016601" w14:textId="77777777" w:rsidR="00A2695A" w:rsidRPr="00AE3EC4" w:rsidRDefault="00A2695A" w:rsidP="00A2695A">
      <w:pPr>
        <w:pStyle w:val="ListParagraph"/>
        <w:keepNext/>
        <w:keepLines/>
        <w:numPr>
          <w:ilvl w:val="0"/>
          <w:numId w:val="26"/>
        </w:numPr>
        <w:spacing w:after="0" w:line="240" w:lineRule="auto"/>
        <w:ind w:left="360"/>
        <w:rPr>
          <w:rFonts w:ascii="Times New Roman" w:hAnsi="Times New Roman"/>
          <w:b/>
          <w:sz w:val="24"/>
          <w:szCs w:val="24"/>
        </w:rPr>
      </w:pPr>
      <w:r w:rsidRPr="00AE3EC4">
        <w:rPr>
          <w:rFonts w:ascii="Times New Roman" w:hAnsi="Times New Roman"/>
          <w:b/>
          <w:sz w:val="24"/>
          <w:szCs w:val="24"/>
        </w:rPr>
        <w:t>Procedures for Data Collection</w:t>
      </w:r>
    </w:p>
    <w:p w14:paraId="5FB32A26" w14:textId="77777777" w:rsidR="00A2695A" w:rsidRPr="008E5470" w:rsidRDefault="00A2695A" w:rsidP="00A2695A">
      <w:pPr>
        <w:keepNext/>
        <w:keepLines/>
        <w:jc w:val="both"/>
        <w:rPr>
          <w:szCs w:val="24"/>
        </w:rPr>
      </w:pPr>
    </w:p>
    <w:p w14:paraId="7764E252" w14:textId="50CDE9D2" w:rsidR="00A2695A" w:rsidRDefault="00A2695A" w:rsidP="00A2695A">
      <w:pPr>
        <w:pStyle w:val="ListParagraph"/>
        <w:keepNext/>
        <w:keepLines/>
        <w:spacing w:after="0" w:line="240" w:lineRule="auto"/>
        <w:ind w:left="0"/>
        <w:rPr>
          <w:rFonts w:ascii="Times New Roman" w:hAnsi="Times New Roman"/>
          <w:sz w:val="24"/>
          <w:szCs w:val="24"/>
        </w:rPr>
      </w:pPr>
      <w:r w:rsidRPr="00A06913">
        <w:rPr>
          <w:rFonts w:ascii="Times New Roman" w:hAnsi="Times New Roman"/>
          <w:sz w:val="24"/>
          <w:szCs w:val="24"/>
        </w:rPr>
        <w:t xml:space="preserve">The national sample </w:t>
      </w:r>
      <w:r>
        <w:rPr>
          <w:rFonts w:ascii="Times New Roman" w:hAnsi="Times New Roman"/>
          <w:sz w:val="24"/>
          <w:szCs w:val="24"/>
        </w:rPr>
        <w:t xml:space="preserve">to be drawn for the Experience Survey and Direct Follow-up </w:t>
      </w:r>
      <w:r w:rsidRPr="00A06913">
        <w:rPr>
          <w:rFonts w:ascii="Times New Roman" w:hAnsi="Times New Roman"/>
          <w:sz w:val="24"/>
          <w:szCs w:val="24"/>
        </w:rPr>
        <w:t>will be distributed proportional</w:t>
      </w:r>
      <w:r w:rsidR="00FD3A77">
        <w:rPr>
          <w:rFonts w:ascii="Times New Roman" w:hAnsi="Times New Roman"/>
          <w:sz w:val="24"/>
          <w:szCs w:val="24"/>
        </w:rPr>
        <w:t>ly</w:t>
      </w:r>
      <w:r w:rsidRPr="00A06913">
        <w:rPr>
          <w:rFonts w:ascii="Times New Roman" w:hAnsi="Times New Roman"/>
          <w:sz w:val="24"/>
          <w:szCs w:val="24"/>
        </w:rPr>
        <w:t xml:space="preserve"> </w:t>
      </w:r>
      <w:r>
        <w:rPr>
          <w:rFonts w:ascii="Times New Roman" w:hAnsi="Times New Roman"/>
          <w:sz w:val="24"/>
          <w:szCs w:val="24"/>
        </w:rPr>
        <w:t xml:space="preserve">among the five QIO </w:t>
      </w:r>
      <w:r w:rsidR="00FD3A77">
        <w:rPr>
          <w:rFonts w:ascii="Times New Roman" w:hAnsi="Times New Roman"/>
          <w:sz w:val="24"/>
          <w:szCs w:val="24"/>
        </w:rPr>
        <w:t>Service Areas to support analysis and reporting at the Service Area level</w:t>
      </w:r>
      <w:r>
        <w:rPr>
          <w:rFonts w:ascii="Times New Roman" w:hAnsi="Times New Roman"/>
          <w:sz w:val="24"/>
          <w:szCs w:val="24"/>
        </w:rPr>
        <w:t xml:space="preserve">. </w:t>
      </w:r>
      <w:r w:rsidRPr="00A06913">
        <w:rPr>
          <w:rFonts w:ascii="Times New Roman" w:hAnsi="Times New Roman"/>
          <w:sz w:val="24"/>
          <w:szCs w:val="24"/>
        </w:rPr>
        <w:t xml:space="preserve">Explicit strata for oversampling </w:t>
      </w:r>
      <w:r w:rsidR="00FD3A77">
        <w:rPr>
          <w:rFonts w:ascii="Times New Roman" w:hAnsi="Times New Roman"/>
          <w:sz w:val="24"/>
          <w:szCs w:val="24"/>
        </w:rPr>
        <w:t>any particular group of beneficiaries</w:t>
      </w:r>
      <w:r w:rsidRPr="00A06913">
        <w:rPr>
          <w:rFonts w:ascii="Times New Roman" w:hAnsi="Times New Roman"/>
          <w:sz w:val="24"/>
          <w:szCs w:val="24"/>
        </w:rPr>
        <w:t xml:space="preserve"> will not be employed</w:t>
      </w:r>
      <w:r>
        <w:rPr>
          <w:rFonts w:ascii="Times New Roman" w:hAnsi="Times New Roman"/>
          <w:sz w:val="24"/>
          <w:szCs w:val="24"/>
        </w:rPr>
        <w:t xml:space="preserve">. </w:t>
      </w:r>
      <w:r w:rsidR="009F2579">
        <w:rPr>
          <w:rFonts w:ascii="Times New Roman" w:hAnsi="Times New Roman"/>
          <w:sz w:val="24"/>
          <w:szCs w:val="24"/>
        </w:rPr>
        <w:t xml:space="preserve">Service Area-stratified sampling </w:t>
      </w:r>
      <w:r w:rsidRPr="00A06913">
        <w:rPr>
          <w:rFonts w:ascii="Times New Roman" w:hAnsi="Times New Roman"/>
          <w:sz w:val="24"/>
          <w:szCs w:val="24"/>
        </w:rPr>
        <w:t xml:space="preserve">will be </w:t>
      </w:r>
      <w:r>
        <w:rPr>
          <w:rFonts w:ascii="Times New Roman" w:hAnsi="Times New Roman"/>
          <w:sz w:val="24"/>
          <w:szCs w:val="24"/>
        </w:rPr>
        <w:t>used</w:t>
      </w:r>
      <w:r w:rsidRPr="00A06913">
        <w:rPr>
          <w:rFonts w:ascii="Times New Roman" w:hAnsi="Times New Roman"/>
          <w:sz w:val="24"/>
          <w:szCs w:val="24"/>
        </w:rPr>
        <w:t xml:space="preserve"> to select a representative sample of </w:t>
      </w:r>
      <w:r>
        <w:rPr>
          <w:rFonts w:ascii="Times New Roman" w:hAnsi="Times New Roman"/>
          <w:sz w:val="24"/>
          <w:szCs w:val="24"/>
        </w:rPr>
        <w:t>b</w:t>
      </w:r>
      <w:r w:rsidRPr="00A06913">
        <w:rPr>
          <w:rFonts w:ascii="Times New Roman" w:hAnsi="Times New Roman"/>
          <w:sz w:val="24"/>
          <w:szCs w:val="24"/>
        </w:rPr>
        <w:t>eneficiaries</w:t>
      </w:r>
      <w:r>
        <w:rPr>
          <w:rFonts w:ascii="Times New Roman" w:hAnsi="Times New Roman"/>
          <w:sz w:val="24"/>
          <w:szCs w:val="24"/>
        </w:rPr>
        <w:t>/representatives</w:t>
      </w:r>
      <w:r w:rsidRPr="00A06913">
        <w:rPr>
          <w:rFonts w:ascii="Times New Roman" w:hAnsi="Times New Roman"/>
          <w:sz w:val="24"/>
          <w:szCs w:val="24"/>
        </w:rPr>
        <w:t>.</w:t>
      </w:r>
    </w:p>
    <w:p w14:paraId="744B60EB" w14:textId="77777777" w:rsidR="00A2695A" w:rsidRDefault="00A2695A" w:rsidP="00A2695A">
      <w:pPr>
        <w:pStyle w:val="ListParagraph"/>
        <w:keepNext/>
        <w:keepLines/>
        <w:spacing w:after="0" w:line="240" w:lineRule="auto"/>
        <w:ind w:left="0"/>
        <w:rPr>
          <w:rFonts w:ascii="Times New Roman" w:hAnsi="Times New Roman"/>
          <w:sz w:val="24"/>
          <w:szCs w:val="24"/>
        </w:rPr>
      </w:pPr>
    </w:p>
    <w:p w14:paraId="54590350" w14:textId="77777777" w:rsidR="00FD3A77" w:rsidRDefault="00A2695A" w:rsidP="00FD3A77">
      <w:pPr>
        <w:pStyle w:val="ListParagraph"/>
        <w:keepNext/>
        <w:keepLines/>
        <w:spacing w:after="240" w:line="240" w:lineRule="auto"/>
        <w:ind w:left="0"/>
        <w:rPr>
          <w:rFonts w:ascii="Times New Roman" w:hAnsi="Times New Roman"/>
          <w:sz w:val="24"/>
          <w:szCs w:val="24"/>
        </w:rPr>
      </w:pPr>
      <w:r w:rsidRPr="008E5470">
        <w:rPr>
          <w:rFonts w:ascii="Times New Roman" w:hAnsi="Times New Roman"/>
          <w:sz w:val="24"/>
          <w:szCs w:val="24"/>
        </w:rPr>
        <w:t xml:space="preserve">The data collection methodology for the </w:t>
      </w:r>
      <w:r>
        <w:rPr>
          <w:rFonts w:ascii="Times New Roman" w:hAnsi="Times New Roman"/>
          <w:sz w:val="24"/>
          <w:szCs w:val="24"/>
        </w:rPr>
        <w:t>Experience</w:t>
      </w:r>
      <w:r w:rsidRPr="008E5470">
        <w:rPr>
          <w:rFonts w:ascii="Times New Roman" w:hAnsi="Times New Roman"/>
          <w:sz w:val="24"/>
          <w:szCs w:val="24"/>
        </w:rPr>
        <w:t xml:space="preserve"> Survey </w:t>
      </w:r>
      <w:r>
        <w:rPr>
          <w:rFonts w:ascii="Times New Roman" w:hAnsi="Times New Roman"/>
          <w:sz w:val="24"/>
          <w:szCs w:val="24"/>
        </w:rPr>
        <w:t xml:space="preserve">and Direct Follow-up </w:t>
      </w:r>
      <w:r w:rsidRPr="008E5470">
        <w:rPr>
          <w:rFonts w:ascii="Times New Roman" w:hAnsi="Times New Roman"/>
          <w:sz w:val="24"/>
          <w:szCs w:val="24"/>
        </w:rPr>
        <w:t>flows from the proposed sampling approach and the need for on-going data for quality improvement</w:t>
      </w:r>
      <w:r>
        <w:rPr>
          <w:rFonts w:ascii="Times New Roman" w:hAnsi="Times New Roman"/>
          <w:sz w:val="24"/>
          <w:szCs w:val="24"/>
        </w:rPr>
        <w:t xml:space="preserve">. </w:t>
      </w:r>
      <w:r w:rsidRPr="008E5470">
        <w:rPr>
          <w:rFonts w:ascii="Times New Roman" w:hAnsi="Times New Roman"/>
          <w:sz w:val="24"/>
          <w:szCs w:val="24"/>
        </w:rPr>
        <w:t xml:space="preserve">Based on recent literature on survey methodology and response rates by mode, </w:t>
      </w:r>
      <w:r w:rsidRPr="00D70E1B">
        <w:rPr>
          <w:rFonts w:ascii="Times New Roman" w:hAnsi="Times New Roman"/>
          <w:sz w:val="24"/>
          <w:szCs w:val="24"/>
        </w:rPr>
        <w:t>we recommend using a data collection that is primarily telephone with mail</w:t>
      </w:r>
      <w:r>
        <w:rPr>
          <w:rFonts w:ascii="Times New Roman" w:hAnsi="Times New Roman"/>
          <w:sz w:val="24"/>
          <w:szCs w:val="24"/>
        </w:rPr>
        <w:t xml:space="preserve"> or web options available upon request</w:t>
      </w:r>
      <w:r w:rsidRPr="00D70E1B">
        <w:rPr>
          <w:rFonts w:ascii="Times New Roman" w:hAnsi="Times New Roman"/>
          <w:sz w:val="24"/>
          <w:szCs w:val="24"/>
        </w:rPr>
        <w:t xml:space="preserve">. </w:t>
      </w:r>
      <w:r>
        <w:rPr>
          <w:rFonts w:ascii="Times New Roman" w:hAnsi="Times New Roman"/>
          <w:sz w:val="24"/>
          <w:szCs w:val="24"/>
        </w:rPr>
        <w:t xml:space="preserve">This </w:t>
      </w:r>
      <w:r w:rsidRPr="00D70E1B">
        <w:rPr>
          <w:rFonts w:ascii="Times New Roman" w:hAnsi="Times New Roman"/>
          <w:sz w:val="24"/>
          <w:szCs w:val="24"/>
        </w:rPr>
        <w:t>methodology will achieve the goals of being efficient, effective, and minimally burdensome for beneficiary respondents. Substantial differences in the demographics of mail and early phone respondents confirm that mixed-mode data collection methods are critical in reducing nonresponse bias. Hence, this approach is being implemented to maximize response rates by taking into account that repeated contact attempts may yield higher returns by mail for some groups and higher returns by phone for others.</w:t>
      </w:r>
      <w:r w:rsidRPr="00D70E1B">
        <w:rPr>
          <w:rStyle w:val="FootnoteReference"/>
          <w:rFonts w:ascii="Times New Roman" w:hAnsi="Times New Roman"/>
          <w:sz w:val="24"/>
          <w:szCs w:val="24"/>
        </w:rPr>
        <w:footnoteReference w:id="2"/>
      </w:r>
      <w:r w:rsidR="00FD3A77">
        <w:rPr>
          <w:rFonts w:ascii="Times New Roman" w:hAnsi="Times New Roman"/>
          <w:sz w:val="24"/>
          <w:szCs w:val="24"/>
        </w:rPr>
        <w:t xml:space="preserve">  </w:t>
      </w:r>
    </w:p>
    <w:p w14:paraId="569A8D7E" w14:textId="77777777" w:rsidR="00FD3A77" w:rsidRDefault="00FD3A77" w:rsidP="00FD3A77">
      <w:pPr>
        <w:pStyle w:val="ListParagraph"/>
        <w:keepNext/>
        <w:keepLines/>
        <w:spacing w:after="240" w:line="240" w:lineRule="auto"/>
        <w:ind w:left="0"/>
        <w:rPr>
          <w:rFonts w:ascii="Times New Roman" w:hAnsi="Times New Roman"/>
          <w:sz w:val="24"/>
          <w:szCs w:val="24"/>
        </w:rPr>
      </w:pPr>
    </w:p>
    <w:p w14:paraId="24D180B3" w14:textId="5707890A" w:rsidR="003B205D" w:rsidRDefault="003B205D" w:rsidP="003B205D">
      <w:pPr>
        <w:pStyle w:val="ListParagraph"/>
        <w:keepNext/>
        <w:keepLines/>
        <w:spacing w:after="0" w:line="240" w:lineRule="auto"/>
        <w:ind w:left="0"/>
        <w:rPr>
          <w:rFonts w:ascii="Times New Roman" w:hAnsi="Times New Roman"/>
          <w:sz w:val="24"/>
          <w:szCs w:val="24"/>
        </w:rPr>
      </w:pPr>
      <w:r w:rsidRPr="008E5470">
        <w:rPr>
          <w:rFonts w:ascii="Times New Roman" w:hAnsi="Times New Roman"/>
          <w:sz w:val="24"/>
          <w:szCs w:val="24"/>
        </w:rPr>
        <w:t>During the 9</w:t>
      </w:r>
      <w:r w:rsidRPr="008E5470">
        <w:rPr>
          <w:rFonts w:ascii="Times New Roman" w:hAnsi="Times New Roman"/>
          <w:sz w:val="24"/>
          <w:szCs w:val="24"/>
          <w:vertAlign w:val="superscript"/>
        </w:rPr>
        <w:t>th</w:t>
      </w:r>
      <w:r w:rsidRPr="008E5470">
        <w:rPr>
          <w:rFonts w:ascii="Times New Roman" w:hAnsi="Times New Roman"/>
          <w:sz w:val="24"/>
          <w:szCs w:val="24"/>
        </w:rPr>
        <w:t xml:space="preserve"> SOW, Beneficiary </w:t>
      </w:r>
      <w:r>
        <w:rPr>
          <w:rFonts w:ascii="Times New Roman" w:hAnsi="Times New Roman"/>
          <w:sz w:val="24"/>
          <w:szCs w:val="24"/>
        </w:rPr>
        <w:t>Experience</w:t>
      </w:r>
      <w:r w:rsidRPr="008E5470">
        <w:rPr>
          <w:rFonts w:ascii="Times New Roman" w:hAnsi="Times New Roman"/>
          <w:sz w:val="24"/>
          <w:szCs w:val="24"/>
        </w:rPr>
        <w:t xml:space="preserve"> Survey data were collected using computer assisted telephone interviewing. Through this data collection, a </w:t>
      </w:r>
      <w:r>
        <w:rPr>
          <w:rFonts w:ascii="Times New Roman" w:hAnsi="Times New Roman"/>
          <w:sz w:val="24"/>
          <w:szCs w:val="24"/>
        </w:rPr>
        <w:t>75</w:t>
      </w:r>
      <w:r w:rsidRPr="008E5470">
        <w:rPr>
          <w:rFonts w:ascii="Times New Roman" w:hAnsi="Times New Roman"/>
          <w:sz w:val="24"/>
          <w:szCs w:val="24"/>
        </w:rPr>
        <w:t xml:space="preserve"> percent response rate was achieved. The data collection methodology for the 1</w:t>
      </w:r>
      <w:r>
        <w:rPr>
          <w:rFonts w:ascii="Times New Roman" w:hAnsi="Times New Roman"/>
          <w:sz w:val="24"/>
          <w:szCs w:val="24"/>
        </w:rPr>
        <w:t>1</w:t>
      </w:r>
      <w:r w:rsidRPr="008E5470">
        <w:rPr>
          <w:rFonts w:ascii="Times New Roman" w:hAnsi="Times New Roman"/>
          <w:sz w:val="24"/>
          <w:szCs w:val="24"/>
          <w:vertAlign w:val="superscript"/>
        </w:rPr>
        <w:t>th</w:t>
      </w:r>
      <w:r w:rsidRPr="008E5470">
        <w:rPr>
          <w:rFonts w:ascii="Times New Roman" w:hAnsi="Times New Roman"/>
          <w:sz w:val="24"/>
          <w:szCs w:val="24"/>
        </w:rPr>
        <w:t xml:space="preserve"> SOW </w:t>
      </w:r>
      <w:r>
        <w:rPr>
          <w:rFonts w:ascii="Times New Roman" w:hAnsi="Times New Roman"/>
          <w:sz w:val="24"/>
          <w:szCs w:val="24"/>
        </w:rPr>
        <w:t xml:space="preserve">also </w:t>
      </w:r>
      <w:r w:rsidRPr="008E5470">
        <w:rPr>
          <w:rFonts w:ascii="Times New Roman" w:hAnsi="Times New Roman"/>
          <w:sz w:val="24"/>
          <w:szCs w:val="24"/>
        </w:rPr>
        <w:t xml:space="preserve">relies on obtaining survey response by </w:t>
      </w:r>
      <w:r>
        <w:rPr>
          <w:rFonts w:ascii="Times New Roman" w:hAnsi="Times New Roman"/>
          <w:sz w:val="24"/>
          <w:szCs w:val="24"/>
        </w:rPr>
        <w:t>telephone, with mail or web options as requested</w:t>
      </w:r>
      <w:r w:rsidRPr="008E5470">
        <w:rPr>
          <w:rFonts w:ascii="Times New Roman" w:hAnsi="Times New Roman"/>
          <w:sz w:val="24"/>
          <w:szCs w:val="24"/>
        </w:rPr>
        <w:t xml:space="preserve">. </w:t>
      </w:r>
      <w:r>
        <w:rPr>
          <w:rFonts w:ascii="Times New Roman" w:hAnsi="Times New Roman"/>
          <w:sz w:val="24"/>
          <w:szCs w:val="24"/>
        </w:rPr>
        <w:t xml:space="preserve">With response rates falling steadily, we estimate that we will achieve a 65 percent response rate using this methodology. The data collection </w:t>
      </w:r>
      <w:r w:rsidR="00002495">
        <w:rPr>
          <w:rFonts w:ascii="Times New Roman" w:hAnsi="Times New Roman"/>
          <w:sz w:val="24"/>
          <w:szCs w:val="24"/>
        </w:rPr>
        <w:t xml:space="preserve">approach </w:t>
      </w:r>
      <w:r>
        <w:rPr>
          <w:rFonts w:ascii="Times New Roman" w:hAnsi="Times New Roman"/>
          <w:sz w:val="24"/>
          <w:szCs w:val="24"/>
        </w:rPr>
        <w:t xml:space="preserve">in place to support the current </w:t>
      </w:r>
      <w:r w:rsidR="00002495">
        <w:rPr>
          <w:rFonts w:ascii="Times New Roman" w:hAnsi="Times New Roman"/>
          <w:sz w:val="24"/>
          <w:szCs w:val="24"/>
        </w:rPr>
        <w:t xml:space="preserve">OMB-approved </w:t>
      </w:r>
      <w:r>
        <w:rPr>
          <w:rFonts w:ascii="Times New Roman" w:hAnsi="Times New Roman"/>
          <w:sz w:val="24"/>
          <w:szCs w:val="24"/>
        </w:rPr>
        <w:t xml:space="preserve">survey was yielding a 35 percent response rate with a mail-only methodology. With the addition of </w:t>
      </w:r>
      <w:r w:rsidR="00976CFF">
        <w:rPr>
          <w:rFonts w:ascii="Times New Roman" w:hAnsi="Times New Roman"/>
          <w:sz w:val="24"/>
          <w:szCs w:val="24"/>
        </w:rPr>
        <w:t xml:space="preserve">up to three </w:t>
      </w:r>
      <w:r>
        <w:rPr>
          <w:rFonts w:ascii="Times New Roman" w:hAnsi="Times New Roman"/>
          <w:sz w:val="24"/>
          <w:szCs w:val="24"/>
        </w:rPr>
        <w:t xml:space="preserve">pre-survey </w:t>
      </w:r>
      <w:r w:rsidR="00976CFF">
        <w:rPr>
          <w:rFonts w:ascii="Times New Roman" w:hAnsi="Times New Roman"/>
          <w:sz w:val="24"/>
          <w:szCs w:val="24"/>
        </w:rPr>
        <w:t xml:space="preserve">verification </w:t>
      </w:r>
      <w:r>
        <w:rPr>
          <w:rFonts w:ascii="Times New Roman" w:hAnsi="Times New Roman"/>
          <w:sz w:val="24"/>
          <w:szCs w:val="24"/>
        </w:rPr>
        <w:t>calls and</w:t>
      </w:r>
      <w:r w:rsidR="00976CFF">
        <w:rPr>
          <w:rFonts w:ascii="Times New Roman" w:hAnsi="Times New Roman"/>
          <w:sz w:val="24"/>
          <w:szCs w:val="24"/>
        </w:rPr>
        <w:t xml:space="preserve"> up to three additional</w:t>
      </w:r>
      <w:r>
        <w:rPr>
          <w:rFonts w:ascii="Times New Roman" w:hAnsi="Times New Roman"/>
          <w:sz w:val="24"/>
          <w:szCs w:val="24"/>
        </w:rPr>
        <w:t xml:space="preserve"> non</w:t>
      </w:r>
      <w:r w:rsidR="00976CFF">
        <w:rPr>
          <w:rFonts w:ascii="Times New Roman" w:hAnsi="Times New Roman"/>
          <w:sz w:val="24"/>
          <w:szCs w:val="24"/>
        </w:rPr>
        <w:t>-response follow-up reminder calls,</w:t>
      </w:r>
      <w:r>
        <w:rPr>
          <w:rFonts w:ascii="Times New Roman" w:hAnsi="Times New Roman"/>
          <w:sz w:val="24"/>
          <w:szCs w:val="24"/>
        </w:rPr>
        <w:t xml:space="preserve"> the response rate </w:t>
      </w:r>
      <w:r w:rsidR="00002495">
        <w:rPr>
          <w:rFonts w:ascii="Times New Roman" w:hAnsi="Times New Roman"/>
          <w:sz w:val="24"/>
          <w:szCs w:val="24"/>
        </w:rPr>
        <w:t xml:space="preserve">for the current survey </w:t>
      </w:r>
      <w:r>
        <w:rPr>
          <w:rFonts w:ascii="Times New Roman" w:hAnsi="Times New Roman"/>
          <w:sz w:val="24"/>
          <w:szCs w:val="24"/>
        </w:rPr>
        <w:t xml:space="preserve">increased to 46 percent. We feel that moving to a telephone data collection strategy with </w:t>
      </w:r>
      <w:r w:rsidR="00976CFF">
        <w:rPr>
          <w:rFonts w:ascii="Times New Roman" w:hAnsi="Times New Roman"/>
          <w:sz w:val="24"/>
          <w:szCs w:val="24"/>
        </w:rPr>
        <w:t xml:space="preserve">up to five calls offering telephone data collection (rather than simple reminders) and supplemented with </w:t>
      </w:r>
      <w:r>
        <w:rPr>
          <w:rFonts w:ascii="Times New Roman" w:hAnsi="Times New Roman"/>
          <w:sz w:val="24"/>
          <w:szCs w:val="24"/>
        </w:rPr>
        <w:t xml:space="preserve">mail and e-mail </w:t>
      </w:r>
      <w:r w:rsidR="00976CFF">
        <w:rPr>
          <w:rFonts w:ascii="Times New Roman" w:hAnsi="Times New Roman"/>
          <w:sz w:val="24"/>
          <w:szCs w:val="24"/>
        </w:rPr>
        <w:t xml:space="preserve">non-response </w:t>
      </w:r>
      <w:r>
        <w:rPr>
          <w:rFonts w:ascii="Times New Roman" w:hAnsi="Times New Roman"/>
          <w:sz w:val="24"/>
          <w:szCs w:val="24"/>
        </w:rPr>
        <w:t>follow-up will permit us to increase response rates to 65 percent.</w:t>
      </w:r>
    </w:p>
    <w:p w14:paraId="28322795" w14:textId="3B7C74E1" w:rsidR="003B205D" w:rsidRDefault="003B205D" w:rsidP="00FD3A77">
      <w:pPr>
        <w:pStyle w:val="ListParagraph"/>
        <w:keepNext/>
        <w:keepLines/>
        <w:spacing w:after="240" w:line="240" w:lineRule="auto"/>
        <w:ind w:left="0"/>
        <w:rPr>
          <w:rFonts w:ascii="Times New Roman" w:hAnsi="Times New Roman"/>
          <w:sz w:val="24"/>
          <w:szCs w:val="24"/>
        </w:rPr>
      </w:pPr>
    </w:p>
    <w:p w14:paraId="1AF8AF3C" w14:textId="6C6D6864" w:rsidR="00A2695A" w:rsidRDefault="00A2695A" w:rsidP="00FD3A77">
      <w:pPr>
        <w:pStyle w:val="ListParagraph"/>
        <w:keepNext/>
        <w:keepLines/>
        <w:spacing w:after="240" w:line="240" w:lineRule="auto"/>
        <w:ind w:left="0"/>
        <w:rPr>
          <w:rFonts w:ascii="Times New Roman" w:hAnsi="Times New Roman"/>
          <w:sz w:val="24"/>
          <w:szCs w:val="24"/>
        </w:rPr>
      </w:pPr>
      <w:r w:rsidRPr="008E5470">
        <w:rPr>
          <w:rFonts w:ascii="Times New Roman" w:hAnsi="Times New Roman"/>
          <w:sz w:val="24"/>
          <w:szCs w:val="24"/>
        </w:rPr>
        <w:t xml:space="preserve">Data will be collected </w:t>
      </w:r>
      <w:r>
        <w:rPr>
          <w:rFonts w:ascii="Times New Roman" w:hAnsi="Times New Roman"/>
          <w:sz w:val="24"/>
          <w:szCs w:val="24"/>
        </w:rPr>
        <w:t>monthly</w:t>
      </w:r>
      <w:r w:rsidRPr="008E5470">
        <w:rPr>
          <w:rFonts w:ascii="Times New Roman" w:hAnsi="Times New Roman"/>
          <w:sz w:val="24"/>
          <w:szCs w:val="24"/>
        </w:rPr>
        <w:t xml:space="preserve"> during the </w:t>
      </w:r>
      <w:r>
        <w:rPr>
          <w:rFonts w:ascii="Times New Roman" w:hAnsi="Times New Roman"/>
          <w:sz w:val="24"/>
          <w:szCs w:val="24"/>
        </w:rPr>
        <w:t>11</w:t>
      </w:r>
      <w:r w:rsidRPr="008E5470">
        <w:rPr>
          <w:rFonts w:ascii="Times New Roman" w:hAnsi="Times New Roman"/>
          <w:sz w:val="24"/>
          <w:szCs w:val="24"/>
          <w:vertAlign w:val="superscript"/>
        </w:rPr>
        <w:t>th</w:t>
      </w:r>
      <w:r w:rsidRPr="008E5470">
        <w:rPr>
          <w:rFonts w:ascii="Times New Roman" w:hAnsi="Times New Roman"/>
          <w:sz w:val="24"/>
          <w:szCs w:val="24"/>
        </w:rPr>
        <w:t xml:space="preserve"> SOW</w:t>
      </w:r>
      <w:r>
        <w:rPr>
          <w:rFonts w:ascii="Times New Roman" w:hAnsi="Times New Roman"/>
          <w:sz w:val="24"/>
          <w:szCs w:val="24"/>
        </w:rPr>
        <w:t>. That is to say,</w:t>
      </w:r>
      <w:r w:rsidRPr="008E5470">
        <w:rPr>
          <w:rFonts w:ascii="Times New Roman" w:hAnsi="Times New Roman"/>
          <w:sz w:val="24"/>
          <w:szCs w:val="24"/>
        </w:rPr>
        <w:t xml:space="preserve"> </w:t>
      </w:r>
      <w:r>
        <w:rPr>
          <w:rFonts w:ascii="Times New Roman" w:hAnsi="Times New Roman"/>
          <w:sz w:val="24"/>
          <w:szCs w:val="24"/>
        </w:rPr>
        <w:t>the annualized sample and burden hours will be allocated evenly across 12 months.</w:t>
      </w:r>
      <w:r w:rsidRPr="008E5470">
        <w:rPr>
          <w:rFonts w:ascii="Times New Roman" w:hAnsi="Times New Roman"/>
          <w:sz w:val="24"/>
          <w:szCs w:val="24"/>
        </w:rPr>
        <w:t xml:space="preserve"> The on-going </w:t>
      </w:r>
      <w:r w:rsidR="00FD3A77">
        <w:rPr>
          <w:rFonts w:ascii="Times New Roman" w:hAnsi="Times New Roman"/>
          <w:sz w:val="24"/>
          <w:szCs w:val="24"/>
        </w:rPr>
        <w:t>data collection yields</w:t>
      </w:r>
      <w:r w:rsidRPr="008E5470">
        <w:rPr>
          <w:rFonts w:ascii="Times New Roman" w:hAnsi="Times New Roman"/>
          <w:sz w:val="24"/>
          <w:szCs w:val="24"/>
        </w:rPr>
        <w:t xml:space="preserve"> will be used to implement mid-stream </w:t>
      </w:r>
      <w:r w:rsidR="00FD3A77">
        <w:rPr>
          <w:rFonts w:ascii="Times New Roman" w:hAnsi="Times New Roman"/>
          <w:sz w:val="24"/>
          <w:szCs w:val="24"/>
        </w:rPr>
        <w:t>improvements</w:t>
      </w:r>
      <w:r w:rsidR="00FD3A77" w:rsidRPr="008E5470">
        <w:rPr>
          <w:rFonts w:ascii="Times New Roman" w:hAnsi="Times New Roman"/>
          <w:sz w:val="24"/>
          <w:szCs w:val="24"/>
        </w:rPr>
        <w:t xml:space="preserve"> </w:t>
      </w:r>
      <w:r w:rsidRPr="008E5470">
        <w:rPr>
          <w:rFonts w:ascii="Times New Roman" w:hAnsi="Times New Roman"/>
          <w:sz w:val="24"/>
          <w:szCs w:val="24"/>
        </w:rPr>
        <w:t xml:space="preserve">to </w:t>
      </w:r>
      <w:r w:rsidR="00FD3A77">
        <w:rPr>
          <w:rFonts w:ascii="Times New Roman" w:hAnsi="Times New Roman"/>
          <w:sz w:val="24"/>
          <w:szCs w:val="24"/>
        </w:rPr>
        <w:t xml:space="preserve">data collection </w:t>
      </w:r>
      <w:r w:rsidRPr="008E5470">
        <w:rPr>
          <w:rFonts w:ascii="Times New Roman" w:hAnsi="Times New Roman"/>
          <w:sz w:val="24"/>
          <w:szCs w:val="24"/>
        </w:rPr>
        <w:t>processes</w:t>
      </w:r>
      <w:r>
        <w:rPr>
          <w:rFonts w:ascii="Times New Roman" w:hAnsi="Times New Roman"/>
          <w:sz w:val="24"/>
          <w:szCs w:val="24"/>
        </w:rPr>
        <w:t>,</w:t>
      </w:r>
      <w:r w:rsidRPr="008E5470">
        <w:rPr>
          <w:rFonts w:ascii="Times New Roman" w:hAnsi="Times New Roman"/>
          <w:sz w:val="24"/>
          <w:szCs w:val="24"/>
        </w:rPr>
        <w:t xml:space="preserve"> as needed.</w:t>
      </w:r>
      <w:r>
        <w:rPr>
          <w:rFonts w:ascii="Times New Roman" w:hAnsi="Times New Roman"/>
          <w:sz w:val="24"/>
          <w:szCs w:val="24"/>
        </w:rPr>
        <w:t xml:space="preserve"> T</w:t>
      </w:r>
      <w:r w:rsidRPr="008E5470">
        <w:rPr>
          <w:rFonts w:ascii="Times New Roman" w:hAnsi="Times New Roman"/>
          <w:sz w:val="24"/>
          <w:szCs w:val="24"/>
        </w:rPr>
        <w:t xml:space="preserve">he data collection methodology </w:t>
      </w:r>
      <w:r>
        <w:rPr>
          <w:rFonts w:ascii="Times New Roman" w:hAnsi="Times New Roman"/>
          <w:sz w:val="24"/>
          <w:szCs w:val="24"/>
        </w:rPr>
        <w:t>will</w:t>
      </w:r>
      <w:r w:rsidRPr="008E5470">
        <w:rPr>
          <w:rFonts w:ascii="Times New Roman" w:hAnsi="Times New Roman"/>
          <w:sz w:val="24"/>
          <w:szCs w:val="24"/>
        </w:rPr>
        <w:t xml:space="preserve"> minimize the data collection field period while maximizing the response rate</w:t>
      </w:r>
      <w:r>
        <w:rPr>
          <w:rFonts w:ascii="Times New Roman" w:hAnsi="Times New Roman"/>
          <w:sz w:val="24"/>
          <w:szCs w:val="24"/>
        </w:rPr>
        <w:t xml:space="preserve">. </w:t>
      </w:r>
      <w:r w:rsidRPr="008E5470">
        <w:rPr>
          <w:rFonts w:ascii="Times New Roman" w:hAnsi="Times New Roman"/>
          <w:sz w:val="24"/>
          <w:szCs w:val="24"/>
        </w:rPr>
        <w:t xml:space="preserve">Data </w:t>
      </w:r>
      <w:r>
        <w:rPr>
          <w:rFonts w:ascii="Times New Roman" w:hAnsi="Times New Roman"/>
          <w:sz w:val="24"/>
          <w:szCs w:val="24"/>
        </w:rPr>
        <w:t>will</w:t>
      </w:r>
      <w:r w:rsidRPr="008E5470">
        <w:rPr>
          <w:rFonts w:ascii="Times New Roman" w:hAnsi="Times New Roman"/>
          <w:sz w:val="24"/>
          <w:szCs w:val="24"/>
        </w:rPr>
        <w:t xml:space="preserve"> be cleaned</w:t>
      </w:r>
      <w:r>
        <w:rPr>
          <w:rFonts w:ascii="Times New Roman" w:hAnsi="Times New Roman"/>
          <w:sz w:val="24"/>
          <w:szCs w:val="24"/>
        </w:rPr>
        <w:t xml:space="preserve"> and interim</w:t>
      </w:r>
      <w:r w:rsidRPr="008E5470">
        <w:rPr>
          <w:rFonts w:ascii="Times New Roman" w:hAnsi="Times New Roman"/>
          <w:sz w:val="24"/>
          <w:szCs w:val="24"/>
        </w:rPr>
        <w:t xml:space="preserve"> data delivered to CMS for CMS and QIO quality improvement review</w:t>
      </w:r>
      <w:r>
        <w:rPr>
          <w:rFonts w:ascii="Times New Roman" w:hAnsi="Times New Roman"/>
          <w:sz w:val="24"/>
          <w:szCs w:val="24"/>
        </w:rPr>
        <w:t>. W</w:t>
      </w:r>
      <w:r w:rsidRPr="008E5470">
        <w:rPr>
          <w:rFonts w:ascii="Times New Roman" w:hAnsi="Times New Roman"/>
          <w:sz w:val="24"/>
          <w:szCs w:val="24"/>
        </w:rPr>
        <w:t xml:space="preserve">e </w:t>
      </w:r>
      <w:r>
        <w:rPr>
          <w:rFonts w:ascii="Times New Roman" w:hAnsi="Times New Roman"/>
          <w:sz w:val="24"/>
          <w:szCs w:val="24"/>
        </w:rPr>
        <w:t>will</w:t>
      </w:r>
      <w:r w:rsidRPr="008E5470">
        <w:rPr>
          <w:rFonts w:ascii="Times New Roman" w:hAnsi="Times New Roman"/>
          <w:sz w:val="24"/>
          <w:szCs w:val="24"/>
        </w:rPr>
        <w:t xml:space="preserve"> complete sampling, </w:t>
      </w:r>
      <w:r>
        <w:rPr>
          <w:rFonts w:ascii="Times New Roman" w:hAnsi="Times New Roman"/>
          <w:sz w:val="24"/>
          <w:szCs w:val="24"/>
        </w:rPr>
        <w:t xml:space="preserve">primary </w:t>
      </w:r>
      <w:r w:rsidRPr="008E5470">
        <w:rPr>
          <w:rFonts w:ascii="Times New Roman" w:hAnsi="Times New Roman"/>
          <w:sz w:val="24"/>
          <w:szCs w:val="24"/>
        </w:rPr>
        <w:t>data collection</w:t>
      </w:r>
      <w:r>
        <w:rPr>
          <w:rFonts w:ascii="Times New Roman" w:hAnsi="Times New Roman"/>
          <w:sz w:val="24"/>
          <w:szCs w:val="24"/>
        </w:rPr>
        <w:t>, data cleaning, and delivery</w:t>
      </w:r>
      <w:r w:rsidRPr="008E5470">
        <w:rPr>
          <w:rFonts w:ascii="Times New Roman" w:hAnsi="Times New Roman"/>
          <w:sz w:val="24"/>
          <w:szCs w:val="24"/>
        </w:rPr>
        <w:t xml:space="preserve"> within a </w:t>
      </w:r>
      <w:r>
        <w:rPr>
          <w:rFonts w:ascii="Times New Roman" w:hAnsi="Times New Roman"/>
          <w:sz w:val="24"/>
          <w:szCs w:val="24"/>
        </w:rPr>
        <w:t>four to six-</w:t>
      </w:r>
      <w:r w:rsidRPr="008E5470">
        <w:rPr>
          <w:rFonts w:ascii="Times New Roman" w:hAnsi="Times New Roman"/>
          <w:sz w:val="24"/>
          <w:szCs w:val="24"/>
        </w:rPr>
        <w:t>week period.</w:t>
      </w:r>
      <w:r>
        <w:rPr>
          <w:rFonts w:ascii="Times New Roman" w:hAnsi="Times New Roman"/>
          <w:sz w:val="24"/>
          <w:szCs w:val="24"/>
        </w:rPr>
        <w:t xml:space="preserve"> Results will be provided to CMS and QIO via on-line reporting dashboard.</w:t>
      </w:r>
    </w:p>
    <w:p w14:paraId="516756EE" w14:textId="77777777" w:rsidR="00A2695A" w:rsidRDefault="00A2695A" w:rsidP="00A2695A">
      <w:pPr>
        <w:pStyle w:val="ListParagraph"/>
        <w:keepNext/>
        <w:keepLines/>
        <w:spacing w:after="0" w:line="240" w:lineRule="auto"/>
        <w:ind w:left="0"/>
        <w:rPr>
          <w:rFonts w:ascii="Times New Roman" w:hAnsi="Times New Roman"/>
          <w:sz w:val="24"/>
          <w:szCs w:val="24"/>
        </w:rPr>
      </w:pPr>
    </w:p>
    <w:p w14:paraId="047EC2E7" w14:textId="6EF3ABC5" w:rsidR="00A2695A" w:rsidRPr="00AE3EC4" w:rsidRDefault="00A2695A" w:rsidP="00A2695A">
      <w:pPr>
        <w:pStyle w:val="ListParagraph"/>
        <w:keepNext/>
        <w:keepLines/>
        <w:numPr>
          <w:ilvl w:val="0"/>
          <w:numId w:val="26"/>
        </w:numPr>
        <w:spacing w:after="0" w:line="240" w:lineRule="auto"/>
        <w:ind w:left="360"/>
        <w:rPr>
          <w:rFonts w:ascii="Times New Roman" w:hAnsi="Times New Roman"/>
          <w:b/>
          <w:sz w:val="24"/>
          <w:szCs w:val="24"/>
        </w:rPr>
      </w:pPr>
      <w:r>
        <w:rPr>
          <w:rFonts w:ascii="Times New Roman" w:hAnsi="Times New Roman"/>
          <w:b/>
          <w:bCs/>
          <w:sz w:val="24"/>
          <w:szCs w:val="24"/>
        </w:rPr>
        <w:t>Methods to Maximize Response Rates</w:t>
      </w:r>
      <w:r w:rsidRPr="00AE3EC4">
        <w:rPr>
          <w:rFonts w:ascii="Times New Roman" w:hAnsi="Times New Roman"/>
          <w:b/>
          <w:sz w:val="24"/>
          <w:szCs w:val="24"/>
        </w:rPr>
        <w:t xml:space="preserve"> </w:t>
      </w:r>
      <w:r w:rsidR="00F443F1">
        <w:rPr>
          <w:rFonts w:ascii="Times New Roman" w:hAnsi="Times New Roman"/>
          <w:b/>
          <w:sz w:val="24"/>
          <w:szCs w:val="24"/>
        </w:rPr>
        <w:t>and understand non-response bias</w:t>
      </w:r>
    </w:p>
    <w:p w14:paraId="0E07D49D" w14:textId="77777777" w:rsidR="00A2695A" w:rsidRPr="008E5470" w:rsidRDefault="00A2695A" w:rsidP="00A2695A">
      <w:pPr>
        <w:keepNext/>
        <w:keepLines/>
        <w:ind w:left="360"/>
        <w:contextualSpacing/>
        <w:jc w:val="both"/>
        <w:rPr>
          <w:szCs w:val="24"/>
        </w:rPr>
      </w:pPr>
    </w:p>
    <w:p w14:paraId="504CB0BA" w14:textId="77777777" w:rsidR="00A2695A" w:rsidRDefault="00A2695A" w:rsidP="00A2695A">
      <w:pPr>
        <w:pStyle w:val="ListParagraph"/>
        <w:keepNext/>
        <w:keepLines/>
        <w:spacing w:after="0" w:line="240" w:lineRule="auto"/>
        <w:ind w:left="0"/>
        <w:rPr>
          <w:rFonts w:ascii="Times New Roman" w:hAnsi="Times New Roman"/>
          <w:sz w:val="24"/>
        </w:rPr>
      </w:pPr>
    </w:p>
    <w:p w14:paraId="2924A584" w14:textId="77777777" w:rsidR="00A2695A" w:rsidRDefault="00A2695A" w:rsidP="00A2695A">
      <w:pPr>
        <w:pStyle w:val="ListParagraph"/>
        <w:keepNext/>
        <w:keepLines/>
        <w:spacing w:after="0" w:line="240" w:lineRule="auto"/>
        <w:ind w:left="0"/>
        <w:rPr>
          <w:rFonts w:ascii="Times New Roman" w:hAnsi="Times New Roman"/>
          <w:sz w:val="24"/>
        </w:rPr>
      </w:pPr>
      <w:r>
        <w:rPr>
          <w:rFonts w:ascii="Times New Roman" w:hAnsi="Times New Roman"/>
          <w:sz w:val="24"/>
        </w:rPr>
        <w:t>In support of telephone data collection initiatives, we will place up to five</w:t>
      </w:r>
      <w:r w:rsidRPr="00A06913">
        <w:rPr>
          <w:rFonts w:ascii="Times New Roman" w:hAnsi="Times New Roman"/>
          <w:sz w:val="24"/>
        </w:rPr>
        <w:t xml:space="preserve"> calls to each </w:t>
      </w:r>
      <w:r>
        <w:rPr>
          <w:rFonts w:ascii="Times New Roman" w:hAnsi="Times New Roman"/>
          <w:sz w:val="24"/>
        </w:rPr>
        <w:t xml:space="preserve">sampled </w:t>
      </w:r>
      <w:r w:rsidRPr="00A06913">
        <w:rPr>
          <w:rFonts w:ascii="Times New Roman" w:hAnsi="Times New Roman"/>
          <w:sz w:val="24"/>
        </w:rPr>
        <w:t>case. Calls will be made on different days of the week, and during different times of day. To the extent possible, specific interview appointments will be set with respondents to facilitate completion of the survey in a beneficiary-centered manner</w:t>
      </w:r>
      <w:r>
        <w:rPr>
          <w:rFonts w:ascii="Times New Roman" w:hAnsi="Times New Roman"/>
          <w:sz w:val="24"/>
        </w:rPr>
        <w:t xml:space="preserve">. </w:t>
      </w:r>
      <w:r w:rsidRPr="00A06913">
        <w:rPr>
          <w:rFonts w:ascii="Times New Roman" w:hAnsi="Times New Roman"/>
          <w:sz w:val="24"/>
        </w:rPr>
        <w:t xml:space="preserve">Bilingual telephone interviewers will be available to complete the survey in Spanish, if needed. Upon request and for cases we are unable to reach by telephone, we will </w:t>
      </w:r>
      <w:r>
        <w:rPr>
          <w:rFonts w:ascii="Times New Roman" w:hAnsi="Times New Roman"/>
          <w:sz w:val="24"/>
        </w:rPr>
        <w:t xml:space="preserve">provide </w:t>
      </w:r>
      <w:r w:rsidRPr="00A06913">
        <w:rPr>
          <w:rFonts w:ascii="Times New Roman" w:hAnsi="Times New Roman"/>
          <w:sz w:val="24"/>
        </w:rPr>
        <w:t>hard copy surveys</w:t>
      </w:r>
      <w:r>
        <w:rPr>
          <w:rFonts w:ascii="Times New Roman" w:hAnsi="Times New Roman"/>
          <w:sz w:val="24"/>
        </w:rPr>
        <w:t xml:space="preserve"> and a web option </w:t>
      </w:r>
      <w:r w:rsidRPr="00A06913">
        <w:rPr>
          <w:rFonts w:ascii="Times New Roman" w:hAnsi="Times New Roman"/>
          <w:sz w:val="24"/>
        </w:rPr>
        <w:t>to beneficiaries/representatives</w:t>
      </w:r>
      <w:r>
        <w:rPr>
          <w:rFonts w:ascii="Times New Roman" w:hAnsi="Times New Roman"/>
          <w:sz w:val="24"/>
        </w:rPr>
        <w:t xml:space="preserve">. </w:t>
      </w:r>
      <w:r w:rsidRPr="00A06913">
        <w:rPr>
          <w:rFonts w:ascii="Times New Roman" w:hAnsi="Times New Roman"/>
          <w:sz w:val="24"/>
        </w:rPr>
        <w:t>Hard copy surveys will be available in English, Spanish, and large print.</w:t>
      </w:r>
    </w:p>
    <w:p w14:paraId="6894B9F7" w14:textId="77777777" w:rsidR="00A2695A" w:rsidRDefault="00A2695A" w:rsidP="00A2695A">
      <w:pPr>
        <w:pStyle w:val="ListParagraph"/>
        <w:keepNext/>
        <w:keepLines/>
        <w:spacing w:after="0" w:line="240" w:lineRule="auto"/>
        <w:ind w:left="0"/>
        <w:rPr>
          <w:rFonts w:ascii="Times New Roman" w:hAnsi="Times New Roman"/>
          <w:sz w:val="24"/>
        </w:rPr>
      </w:pPr>
    </w:p>
    <w:p w14:paraId="27ECC490" w14:textId="4A823CB5" w:rsidR="00976CFF" w:rsidRPr="009F2579" w:rsidRDefault="00976CFF" w:rsidP="00976CFF">
      <w:pPr>
        <w:rPr>
          <w:szCs w:val="24"/>
        </w:rPr>
      </w:pPr>
      <w:r w:rsidRPr="009F2579">
        <w:rPr>
          <w:szCs w:val="24"/>
        </w:rPr>
        <w:t>To gauge the degree to which the current survey</w:t>
      </w:r>
      <w:r w:rsidR="007905C8" w:rsidRPr="009F2579">
        <w:rPr>
          <w:szCs w:val="24"/>
        </w:rPr>
        <w:t xml:space="preserve"> i</w:t>
      </w:r>
      <w:r w:rsidRPr="009F2579">
        <w:rPr>
          <w:szCs w:val="24"/>
        </w:rPr>
        <w:t>s meeting CMS needs</w:t>
      </w:r>
      <w:r w:rsidR="00EB1477" w:rsidRPr="009F2579">
        <w:rPr>
          <w:szCs w:val="24"/>
        </w:rPr>
        <w:t>, minimizing bias</w:t>
      </w:r>
      <w:r w:rsidRPr="009F2579">
        <w:rPr>
          <w:szCs w:val="24"/>
        </w:rPr>
        <w:t xml:space="preserve"> and obtaining valid and reliable data, the data collection contractor prepared three analytical reports:</w:t>
      </w:r>
    </w:p>
    <w:p w14:paraId="413D9557" w14:textId="77777777" w:rsidR="00976CFF" w:rsidRPr="009F2579" w:rsidRDefault="00976CFF" w:rsidP="00976CFF">
      <w:pPr>
        <w:pStyle w:val="ListParagraph"/>
        <w:numPr>
          <w:ilvl w:val="0"/>
          <w:numId w:val="50"/>
        </w:numPr>
        <w:spacing w:after="0" w:line="240" w:lineRule="auto"/>
        <w:contextualSpacing w:val="0"/>
        <w:rPr>
          <w:rFonts w:ascii="Times New Roman" w:hAnsi="Times New Roman"/>
          <w:sz w:val="24"/>
          <w:szCs w:val="24"/>
        </w:rPr>
      </w:pPr>
      <w:r w:rsidRPr="009F2579">
        <w:rPr>
          <w:rFonts w:ascii="Times New Roman" w:hAnsi="Times New Roman"/>
          <w:b/>
          <w:sz w:val="24"/>
          <w:szCs w:val="24"/>
        </w:rPr>
        <w:t>Response Rate of Select Variables</w:t>
      </w:r>
      <w:r w:rsidRPr="009F2579">
        <w:rPr>
          <w:rFonts w:ascii="Times New Roman" w:hAnsi="Times New Roman"/>
          <w:sz w:val="24"/>
          <w:szCs w:val="24"/>
        </w:rPr>
        <w:t>  - which examined response rate data to identify any subgroups less likely to respond to the survey and examined potential bias in the survey results;</w:t>
      </w:r>
    </w:p>
    <w:p w14:paraId="7296F9F4" w14:textId="77777777" w:rsidR="00976CFF" w:rsidRPr="009F2579" w:rsidRDefault="00976CFF" w:rsidP="00976CFF">
      <w:pPr>
        <w:pStyle w:val="ListParagraph"/>
        <w:numPr>
          <w:ilvl w:val="0"/>
          <w:numId w:val="50"/>
        </w:numPr>
        <w:spacing w:after="0" w:line="240" w:lineRule="auto"/>
        <w:contextualSpacing w:val="0"/>
        <w:rPr>
          <w:rFonts w:ascii="Times New Roman" w:hAnsi="Times New Roman"/>
          <w:sz w:val="24"/>
          <w:szCs w:val="24"/>
        </w:rPr>
      </w:pPr>
      <w:r w:rsidRPr="009F2579">
        <w:rPr>
          <w:rFonts w:ascii="Times New Roman" w:hAnsi="Times New Roman"/>
          <w:b/>
          <w:sz w:val="24"/>
          <w:szCs w:val="24"/>
        </w:rPr>
        <w:t>Demographic Comparison</w:t>
      </w:r>
      <w:r w:rsidRPr="009F2579">
        <w:rPr>
          <w:rFonts w:ascii="Times New Roman" w:hAnsi="Times New Roman"/>
          <w:sz w:val="24"/>
          <w:szCs w:val="24"/>
        </w:rPr>
        <w:t xml:space="preserve"> – which identified the demographic characteristics of beneficiaries/representatives who filed complaints or appeals and declined consent or refused to participate in a follow up survey about their experience with the QIOs, and, </w:t>
      </w:r>
    </w:p>
    <w:p w14:paraId="24FFED32" w14:textId="77777777" w:rsidR="00976CFF" w:rsidRPr="009F2579" w:rsidRDefault="00976CFF" w:rsidP="00976CFF">
      <w:pPr>
        <w:pStyle w:val="ListParagraph"/>
        <w:numPr>
          <w:ilvl w:val="0"/>
          <w:numId w:val="50"/>
        </w:numPr>
        <w:spacing w:after="0" w:line="240" w:lineRule="auto"/>
        <w:contextualSpacing w:val="0"/>
        <w:rPr>
          <w:rFonts w:ascii="Times New Roman" w:hAnsi="Times New Roman"/>
          <w:b/>
          <w:sz w:val="24"/>
          <w:szCs w:val="24"/>
        </w:rPr>
      </w:pPr>
      <w:r w:rsidRPr="009F2579">
        <w:rPr>
          <w:rFonts w:ascii="Times New Roman" w:hAnsi="Times New Roman"/>
          <w:b/>
          <w:sz w:val="24"/>
          <w:szCs w:val="24"/>
        </w:rPr>
        <w:t xml:space="preserve">Geographic Comparison – </w:t>
      </w:r>
      <w:r w:rsidRPr="009F2579">
        <w:rPr>
          <w:rFonts w:ascii="Times New Roman" w:hAnsi="Times New Roman"/>
          <w:sz w:val="24"/>
          <w:szCs w:val="24"/>
        </w:rPr>
        <w:t>which identified the geographic characteristics of Medicare beneficiaries who filed complaints or appeals and declined consent or refused to participate in a follow up survey about their experience with the QIOs.</w:t>
      </w:r>
    </w:p>
    <w:p w14:paraId="093B4BD8" w14:textId="77777777" w:rsidR="00976CFF" w:rsidRPr="009F2579" w:rsidRDefault="00976CFF" w:rsidP="00976CFF">
      <w:pPr>
        <w:rPr>
          <w:szCs w:val="24"/>
        </w:rPr>
      </w:pPr>
    </w:p>
    <w:p w14:paraId="4DCEFB34" w14:textId="1EDA683D" w:rsidR="00A378EB" w:rsidRDefault="00AE41FD" w:rsidP="00976CFF">
      <w:r>
        <w:t>The reports demonstrated that</w:t>
      </w:r>
      <w:r w:rsidR="00B033E3">
        <w:t xml:space="preserve"> there was little non-response bias by age or sex but some differences existed by race and ethnicity as well as geography. The areas of greatest concern regarding survey bias were the large gaps in survey frame inclusion resulting from beneficiaries refusing consent at the time of case closure</w:t>
      </w:r>
      <w:r w:rsidR="00EB1477">
        <w:t xml:space="preserve"> with the QIO</w:t>
      </w:r>
      <w:r w:rsidR="00B033E3">
        <w:t xml:space="preserve">. </w:t>
      </w:r>
      <w:r w:rsidR="00EB1477">
        <w:t>Initially, w</w:t>
      </w:r>
      <w:r w:rsidR="00B033E3">
        <w:t xml:space="preserve">ith an overall consent to survey fame inclusion of 29 percent, beneficiaries residing in some areas, particularly heavily populated </w:t>
      </w:r>
      <w:r w:rsidR="00EB1477">
        <w:t>coastal</w:t>
      </w:r>
      <w:r w:rsidR="00B033E3">
        <w:t xml:space="preserve"> regions were </w:t>
      </w:r>
      <w:r w:rsidR="00A378EB">
        <w:t>included in the sample less than one third of the time, while beneficiaries in other regions, typically less</w:t>
      </w:r>
      <w:r w:rsidR="00EB1477">
        <w:t xml:space="preserve"> populated, central </w:t>
      </w:r>
      <w:r w:rsidR="00A378EB">
        <w:t xml:space="preserve">areas, were included at rates over 90 percent. Similarly, beneficiaries who were Black were represented in the sample frame at a rate of 34 percent, while beneficiaries who were Asian were represented at a rate of 58 percent. </w:t>
      </w:r>
    </w:p>
    <w:p w14:paraId="3E1BE97F" w14:textId="77777777" w:rsidR="00A378EB" w:rsidRDefault="00A378EB" w:rsidP="00976CFF"/>
    <w:p w14:paraId="61BD2036" w14:textId="4C4229DF" w:rsidR="00A378EB" w:rsidRDefault="00A378EB" w:rsidP="00976CFF">
      <w:r>
        <w:t xml:space="preserve">To improve the sample frame and reduce potential bias, the survey contractor worked with the QIOs to ensure the highest possible rate of agreement to survey frame inclusion. Most recently, this rate has been </w:t>
      </w:r>
      <w:r w:rsidR="009F2579">
        <w:t>at</w:t>
      </w:r>
      <w:r>
        <w:t xml:space="preserve"> 9</w:t>
      </w:r>
      <w:r w:rsidR="009F2579">
        <w:t>3</w:t>
      </w:r>
      <w:r>
        <w:t xml:space="preserve"> percent for beneficiaries across all areas. </w:t>
      </w:r>
    </w:p>
    <w:p w14:paraId="1AFC79A4" w14:textId="77777777" w:rsidR="00A378EB" w:rsidRDefault="00A378EB" w:rsidP="00976CFF"/>
    <w:p w14:paraId="66336958" w14:textId="7CB70F14" w:rsidR="00AE41FD" w:rsidRDefault="00EB1477" w:rsidP="00976CFF">
      <w:r>
        <w:t>In addition to looking at sources of bias regarding the sample frame, the contractor also considered possible s</w:t>
      </w:r>
      <w:r w:rsidR="00A378EB">
        <w:t>urvey response bias</w:t>
      </w:r>
      <w:r>
        <w:t>. Analysis showed that b</w:t>
      </w:r>
      <w:r w:rsidR="00A378EB">
        <w:t xml:space="preserve">eneficiaries of all ages, sexes, and geographic areas </w:t>
      </w:r>
      <w:r>
        <w:t xml:space="preserve">were </w:t>
      </w:r>
      <w:r w:rsidR="00A378EB">
        <w:t xml:space="preserve">responding at similar </w:t>
      </w:r>
      <w:r>
        <w:t>rates</w:t>
      </w:r>
      <w:r w:rsidR="00A378EB">
        <w:t xml:space="preserve">. Some response differences were </w:t>
      </w:r>
      <w:r>
        <w:t xml:space="preserve">however </w:t>
      </w:r>
      <w:r w:rsidR="00A378EB">
        <w:t>noted by race and ethnicity</w:t>
      </w:r>
      <w:r>
        <w:t>. B</w:t>
      </w:r>
      <w:r w:rsidR="00A378EB">
        <w:t xml:space="preserve">eneficiaries of Hispanic origin </w:t>
      </w:r>
      <w:r>
        <w:t>were</w:t>
      </w:r>
      <w:r w:rsidR="00A378EB">
        <w:t xml:space="preserve"> the least likely to respond</w:t>
      </w:r>
      <w:r>
        <w:t xml:space="preserve"> (14 percent response) </w:t>
      </w:r>
      <w:r w:rsidR="00697EB4">
        <w:t>and</w:t>
      </w:r>
      <w:r>
        <w:t xml:space="preserve"> </w:t>
      </w:r>
      <w:r w:rsidR="00697EB4">
        <w:t>beneficiaries who were White were the most likely (32 percent response)</w:t>
      </w:r>
      <w:r w:rsidR="00A378EB">
        <w:t xml:space="preserve">. To address this concern, the survey contractor added </w:t>
      </w:r>
      <w:r>
        <w:rPr>
          <w:szCs w:val="24"/>
        </w:rPr>
        <w:t>pre-survey verification calls and non-response follow-up reminder calls conducted with bilingual staff to help better identify and support beneficiaries who may prefer to complete the survey in Spanish as well as those who need support understanding the purpose of the survey.</w:t>
      </w:r>
      <w:r w:rsidR="00B033E3">
        <w:t xml:space="preserve"> </w:t>
      </w:r>
      <w:r w:rsidR="00697EB4">
        <w:t xml:space="preserve">Annual survey maintenance including non-response analysis is scheduled to be conducted again in June 2018, though the recent overall increase in the survey response rate, coupled with literature demonstrating the effectiveness of mail and telephone protocols for reducing non-response bias suggest that survey efforts may have been effective at reducing disparities response by </w:t>
      </w:r>
      <w:r w:rsidR="005F4DCC">
        <w:t>minority racial and ethnic groups.</w:t>
      </w:r>
    </w:p>
    <w:p w14:paraId="2CAF2BAC" w14:textId="77777777" w:rsidR="00A2695A" w:rsidRPr="00A06913" w:rsidRDefault="00A2695A" w:rsidP="00A2695A">
      <w:pPr>
        <w:pStyle w:val="ListParagraph"/>
        <w:keepNext/>
        <w:keepLines/>
        <w:numPr>
          <w:ilvl w:val="0"/>
          <w:numId w:val="26"/>
        </w:numPr>
        <w:spacing w:after="0" w:line="240" w:lineRule="auto"/>
        <w:ind w:left="360"/>
        <w:rPr>
          <w:rFonts w:ascii="Times New Roman" w:hAnsi="Times New Roman"/>
          <w:b/>
          <w:bCs/>
          <w:sz w:val="24"/>
          <w:szCs w:val="24"/>
        </w:rPr>
      </w:pPr>
      <w:r w:rsidRPr="00A06913">
        <w:rPr>
          <w:rFonts w:ascii="Times New Roman" w:hAnsi="Times New Roman"/>
          <w:b/>
          <w:bCs/>
          <w:sz w:val="24"/>
          <w:szCs w:val="24"/>
        </w:rPr>
        <w:t>Testing</w:t>
      </w:r>
    </w:p>
    <w:p w14:paraId="572B3163" w14:textId="77777777" w:rsidR="00A2695A" w:rsidRDefault="00A2695A" w:rsidP="00A2695A">
      <w:pPr>
        <w:keepNext/>
        <w:keepLines/>
        <w:contextualSpacing/>
        <w:rPr>
          <w:szCs w:val="24"/>
        </w:rPr>
      </w:pPr>
    </w:p>
    <w:p w14:paraId="2F127CE1" w14:textId="670BE509" w:rsidR="00A2695A" w:rsidRDefault="00A2695A" w:rsidP="00A2695A">
      <w:pPr>
        <w:keepNext/>
        <w:keepLines/>
        <w:contextualSpacing/>
        <w:rPr>
          <w:szCs w:val="24"/>
        </w:rPr>
      </w:pPr>
      <w:r w:rsidRPr="00D70E1B">
        <w:rPr>
          <w:szCs w:val="24"/>
        </w:rPr>
        <w:t xml:space="preserve">Each of the data collection instruments will </w:t>
      </w:r>
      <w:r>
        <w:rPr>
          <w:szCs w:val="24"/>
        </w:rPr>
        <w:t xml:space="preserve">undergo </w:t>
      </w:r>
      <w:r w:rsidR="005F4DCC">
        <w:rPr>
          <w:szCs w:val="24"/>
        </w:rPr>
        <w:t xml:space="preserve">expert review and </w:t>
      </w:r>
      <w:r>
        <w:rPr>
          <w:szCs w:val="24"/>
        </w:rPr>
        <w:t xml:space="preserve">testing. While the methodology of extensively tested instruments including the CAHPS surveys has been used as a model in development, each instrument </w:t>
      </w:r>
      <w:r w:rsidR="00326CCA">
        <w:rPr>
          <w:szCs w:val="24"/>
        </w:rPr>
        <w:t>was</w:t>
      </w:r>
      <w:r>
        <w:rPr>
          <w:szCs w:val="24"/>
        </w:rPr>
        <w:t xml:space="preserve"> </w:t>
      </w:r>
      <w:r w:rsidR="005F4DCC">
        <w:rPr>
          <w:szCs w:val="24"/>
        </w:rPr>
        <w:t xml:space="preserve">reviewed and </w:t>
      </w:r>
      <w:r>
        <w:rPr>
          <w:szCs w:val="24"/>
        </w:rPr>
        <w:t xml:space="preserve">tested with </w:t>
      </w:r>
      <w:r w:rsidR="005F4DCC">
        <w:rPr>
          <w:szCs w:val="24"/>
        </w:rPr>
        <w:t>members of CMS’ Beneficiary and Family Advisory Committee representing</w:t>
      </w:r>
      <w:r>
        <w:rPr>
          <w:szCs w:val="24"/>
        </w:rPr>
        <w:t xml:space="preserve"> beneficiaries or </w:t>
      </w:r>
      <w:r w:rsidR="005F4DCC">
        <w:rPr>
          <w:szCs w:val="24"/>
        </w:rPr>
        <w:t xml:space="preserve">family </w:t>
      </w:r>
      <w:r>
        <w:rPr>
          <w:szCs w:val="24"/>
        </w:rPr>
        <w:t>representatives</w:t>
      </w:r>
      <w:r w:rsidR="005F4DCC">
        <w:rPr>
          <w:szCs w:val="24"/>
        </w:rPr>
        <w:t>. Review and testing will</w:t>
      </w:r>
      <w:r>
        <w:rPr>
          <w:szCs w:val="24"/>
        </w:rPr>
        <w:t xml:space="preserve"> ensure the following:</w:t>
      </w:r>
    </w:p>
    <w:p w14:paraId="734D9C60" w14:textId="77777777" w:rsidR="00A2695A" w:rsidRPr="008E5470" w:rsidRDefault="00A2695A" w:rsidP="00A2695A">
      <w:pPr>
        <w:keepNext/>
        <w:keepLines/>
        <w:contextualSpacing/>
        <w:rPr>
          <w:szCs w:val="24"/>
        </w:rPr>
      </w:pPr>
    </w:p>
    <w:p w14:paraId="03750A83" w14:textId="77777777" w:rsidR="00A2695A" w:rsidRPr="008E5470" w:rsidRDefault="00A2695A" w:rsidP="00A2695A">
      <w:pPr>
        <w:keepNext/>
        <w:keepLines/>
        <w:numPr>
          <w:ilvl w:val="0"/>
          <w:numId w:val="29"/>
        </w:numPr>
        <w:tabs>
          <w:tab w:val="clear" w:pos="1080"/>
        </w:tabs>
        <w:spacing w:after="200" w:line="276" w:lineRule="auto"/>
        <w:ind w:left="720"/>
        <w:contextualSpacing/>
        <w:rPr>
          <w:szCs w:val="24"/>
        </w:rPr>
      </w:pPr>
      <w:r w:rsidRPr="008E5470">
        <w:rPr>
          <w:szCs w:val="24"/>
        </w:rPr>
        <w:t>Determine if the survey wording is clear and unambiguous;</w:t>
      </w:r>
    </w:p>
    <w:p w14:paraId="3C20EBFA" w14:textId="77777777" w:rsidR="00A2695A" w:rsidRPr="008E5470" w:rsidRDefault="00A2695A" w:rsidP="00A2695A">
      <w:pPr>
        <w:keepNext/>
        <w:keepLines/>
        <w:numPr>
          <w:ilvl w:val="0"/>
          <w:numId w:val="29"/>
        </w:numPr>
        <w:tabs>
          <w:tab w:val="clear" w:pos="1080"/>
        </w:tabs>
        <w:spacing w:after="200" w:line="276" w:lineRule="auto"/>
        <w:ind w:left="720"/>
        <w:contextualSpacing/>
        <w:rPr>
          <w:szCs w:val="24"/>
        </w:rPr>
      </w:pPr>
      <w:r w:rsidRPr="008E5470">
        <w:rPr>
          <w:szCs w:val="24"/>
        </w:rPr>
        <w:t xml:space="preserve">Verify respondent’s ability to recall interactions pertaining to their complaints and appeals cases; </w:t>
      </w:r>
    </w:p>
    <w:p w14:paraId="5609ABFD" w14:textId="77777777" w:rsidR="00A2695A" w:rsidRPr="008E5470" w:rsidRDefault="00A2695A" w:rsidP="00A2695A">
      <w:pPr>
        <w:keepNext/>
        <w:keepLines/>
        <w:numPr>
          <w:ilvl w:val="0"/>
          <w:numId w:val="29"/>
        </w:numPr>
        <w:tabs>
          <w:tab w:val="clear" w:pos="1080"/>
        </w:tabs>
        <w:spacing w:after="200" w:line="276" w:lineRule="auto"/>
        <w:ind w:left="720"/>
        <w:contextualSpacing/>
        <w:rPr>
          <w:szCs w:val="24"/>
        </w:rPr>
      </w:pPr>
      <w:r w:rsidRPr="008E5470">
        <w:rPr>
          <w:szCs w:val="24"/>
        </w:rPr>
        <w:t>Ensure appropriate and consistent flow question wording and overall survey administration;</w:t>
      </w:r>
      <w:r>
        <w:rPr>
          <w:szCs w:val="24"/>
        </w:rPr>
        <w:t xml:space="preserve"> and </w:t>
      </w:r>
    </w:p>
    <w:p w14:paraId="4C17DE67" w14:textId="77777777" w:rsidR="00A2695A" w:rsidRPr="00A06913" w:rsidRDefault="00A2695A" w:rsidP="00A2695A">
      <w:pPr>
        <w:keepNext/>
        <w:keepLines/>
        <w:numPr>
          <w:ilvl w:val="0"/>
          <w:numId w:val="29"/>
        </w:numPr>
        <w:tabs>
          <w:tab w:val="clear" w:pos="1080"/>
        </w:tabs>
        <w:spacing w:after="200" w:line="276" w:lineRule="auto"/>
        <w:ind w:left="720"/>
        <w:contextualSpacing/>
        <w:rPr>
          <w:szCs w:val="24"/>
        </w:rPr>
      </w:pPr>
      <w:r w:rsidRPr="008E5470">
        <w:rPr>
          <w:szCs w:val="24"/>
        </w:rPr>
        <w:t>Ensure data capture and data ou</w:t>
      </w:r>
      <w:r>
        <w:rPr>
          <w:szCs w:val="24"/>
        </w:rPr>
        <w:t>tput are functioning flawlessly.</w:t>
      </w:r>
    </w:p>
    <w:p w14:paraId="4ABBF8EC" w14:textId="77777777" w:rsidR="00A2695A" w:rsidRDefault="00A2695A" w:rsidP="00A2695A">
      <w:pPr>
        <w:keepNext/>
        <w:keepLines/>
        <w:rPr>
          <w:szCs w:val="24"/>
        </w:rPr>
      </w:pPr>
    </w:p>
    <w:p w14:paraId="284957F8" w14:textId="5208896A" w:rsidR="00A2695A" w:rsidRPr="008E5470" w:rsidRDefault="005F4DCC" w:rsidP="00A2695A">
      <w:pPr>
        <w:keepNext/>
        <w:keepLines/>
        <w:contextualSpacing/>
        <w:rPr>
          <w:szCs w:val="24"/>
        </w:rPr>
      </w:pPr>
      <w:r>
        <w:rPr>
          <w:szCs w:val="24"/>
        </w:rPr>
        <w:t>Review and</w:t>
      </w:r>
      <w:r w:rsidR="00A2695A" w:rsidRPr="008E5470">
        <w:rPr>
          <w:szCs w:val="24"/>
        </w:rPr>
        <w:t xml:space="preserve"> testing </w:t>
      </w:r>
      <w:r>
        <w:rPr>
          <w:szCs w:val="24"/>
        </w:rPr>
        <w:t>was conducted in late 2017 and resulted in some recommended updates to some of the survey outreach materials (survey covering letters). All other survey content was deemed to mirror</w:t>
      </w:r>
      <w:r w:rsidR="00A2695A" w:rsidRPr="008E5470">
        <w:rPr>
          <w:szCs w:val="24"/>
        </w:rPr>
        <w:t xml:space="preserve"> the language that beneficiaries use to describe their experience with filing a complaint or appeal</w:t>
      </w:r>
      <w:r>
        <w:rPr>
          <w:szCs w:val="24"/>
        </w:rPr>
        <w:t xml:space="preserve"> and to be cognitively simple enough for beneficiaries </w:t>
      </w:r>
      <w:r w:rsidR="00A2695A" w:rsidRPr="008E5470">
        <w:rPr>
          <w:szCs w:val="24"/>
        </w:rPr>
        <w:t xml:space="preserve">to understand </w:t>
      </w:r>
      <w:r w:rsidR="00A2695A">
        <w:rPr>
          <w:szCs w:val="24"/>
        </w:rPr>
        <w:t xml:space="preserve">the </w:t>
      </w:r>
      <w:r w:rsidR="00A2695A" w:rsidRPr="008E5470">
        <w:rPr>
          <w:szCs w:val="24"/>
        </w:rPr>
        <w:t xml:space="preserve"> frame of reference</w:t>
      </w:r>
      <w:r w:rsidR="00A2695A">
        <w:rPr>
          <w:szCs w:val="24"/>
        </w:rPr>
        <w:t xml:space="preserve">. </w:t>
      </w:r>
      <w:r w:rsidR="00A2695A" w:rsidRPr="00D70E1B">
        <w:rPr>
          <w:szCs w:val="24"/>
        </w:rPr>
        <w:t>As the QIO program has been substantively restructured under the 11</w:t>
      </w:r>
      <w:r w:rsidR="00A2695A" w:rsidRPr="00D70E1B">
        <w:rPr>
          <w:szCs w:val="24"/>
          <w:vertAlign w:val="superscript"/>
        </w:rPr>
        <w:t>th</w:t>
      </w:r>
      <w:r w:rsidR="00A2695A" w:rsidRPr="00D70E1B">
        <w:rPr>
          <w:szCs w:val="24"/>
        </w:rPr>
        <w:t xml:space="preserve"> SOW, </w:t>
      </w:r>
      <w:r>
        <w:rPr>
          <w:szCs w:val="24"/>
        </w:rPr>
        <w:t>expert review and</w:t>
      </w:r>
      <w:r w:rsidRPr="00D70E1B">
        <w:rPr>
          <w:szCs w:val="24"/>
        </w:rPr>
        <w:t xml:space="preserve"> </w:t>
      </w:r>
      <w:r w:rsidR="00A2695A" w:rsidRPr="00D70E1B">
        <w:rPr>
          <w:szCs w:val="24"/>
        </w:rPr>
        <w:t xml:space="preserve">testing </w:t>
      </w:r>
      <w:r>
        <w:rPr>
          <w:szCs w:val="24"/>
        </w:rPr>
        <w:t>served as an</w:t>
      </w:r>
      <w:r w:rsidR="00A2695A" w:rsidRPr="00D70E1B">
        <w:rPr>
          <w:szCs w:val="24"/>
        </w:rPr>
        <w:t xml:space="preserve"> important opportunity to learn from beneficiaries</w:t>
      </w:r>
      <w:r>
        <w:rPr>
          <w:szCs w:val="24"/>
        </w:rPr>
        <w:t xml:space="preserve"> and their families</w:t>
      </w:r>
      <w:r w:rsidR="00A2695A" w:rsidRPr="00D70E1B">
        <w:rPr>
          <w:szCs w:val="24"/>
        </w:rPr>
        <w:t xml:space="preserve"> about how they describe their experiences under the new QIO structure. </w:t>
      </w:r>
    </w:p>
    <w:p w14:paraId="20C07D98" w14:textId="77777777" w:rsidR="00A2695A" w:rsidRPr="008E5470" w:rsidRDefault="00A2695A" w:rsidP="00A2695A">
      <w:pPr>
        <w:keepNext/>
        <w:keepLines/>
        <w:ind w:left="360"/>
        <w:contextualSpacing/>
        <w:rPr>
          <w:szCs w:val="24"/>
        </w:rPr>
      </w:pPr>
    </w:p>
    <w:p w14:paraId="139EE20D" w14:textId="3A4498B5" w:rsidR="00A2695A" w:rsidRPr="008E5470" w:rsidRDefault="00A2695A" w:rsidP="00A2695A">
      <w:pPr>
        <w:keepNext/>
        <w:keepLines/>
        <w:contextualSpacing/>
        <w:rPr>
          <w:szCs w:val="24"/>
        </w:rPr>
      </w:pPr>
      <w:r w:rsidRPr="008E5470">
        <w:rPr>
          <w:szCs w:val="24"/>
        </w:rPr>
        <w:t xml:space="preserve">A second round of cognitive testing </w:t>
      </w:r>
      <w:r w:rsidR="00A71936">
        <w:rPr>
          <w:szCs w:val="24"/>
        </w:rPr>
        <w:t>has been deemed to be unnecessary unless changes are recommended or required as a result of OMB review.</w:t>
      </w:r>
    </w:p>
    <w:p w14:paraId="5152B82E" w14:textId="77777777" w:rsidR="00A2695A" w:rsidRPr="008E5470" w:rsidRDefault="00A2695A" w:rsidP="00A2695A">
      <w:pPr>
        <w:pStyle w:val="SL-FlLftSgl"/>
        <w:keepNext/>
        <w:keepLines/>
        <w:contextualSpacing/>
        <w:rPr>
          <w:szCs w:val="24"/>
        </w:rPr>
      </w:pPr>
    </w:p>
    <w:p w14:paraId="6D70A409" w14:textId="77777777" w:rsidR="00A2695A" w:rsidRPr="00A06913" w:rsidRDefault="00A2695A" w:rsidP="00A2695A">
      <w:pPr>
        <w:pStyle w:val="ListParagraph"/>
        <w:keepNext/>
        <w:keepLines/>
        <w:numPr>
          <w:ilvl w:val="0"/>
          <w:numId w:val="26"/>
        </w:numPr>
        <w:spacing w:after="0" w:line="240" w:lineRule="auto"/>
        <w:ind w:left="360"/>
        <w:rPr>
          <w:rFonts w:ascii="Times New Roman" w:hAnsi="Times New Roman"/>
          <w:b/>
          <w:bCs/>
          <w:sz w:val="24"/>
          <w:szCs w:val="24"/>
        </w:rPr>
      </w:pPr>
      <w:r w:rsidRPr="00A06913">
        <w:rPr>
          <w:rFonts w:ascii="Times New Roman" w:hAnsi="Times New Roman"/>
          <w:b/>
          <w:bCs/>
          <w:sz w:val="24"/>
          <w:szCs w:val="24"/>
        </w:rPr>
        <w:t>Individuals Consulted</w:t>
      </w:r>
    </w:p>
    <w:p w14:paraId="1551D99E" w14:textId="77777777" w:rsidR="00A2695A" w:rsidRDefault="00A2695A" w:rsidP="00A2695A">
      <w:pPr>
        <w:pStyle w:val="ListParagraph"/>
        <w:keepNext/>
        <w:keepLines/>
        <w:spacing w:after="0" w:line="240" w:lineRule="auto"/>
        <w:ind w:left="360"/>
        <w:rPr>
          <w:rFonts w:ascii="Times New Roman" w:hAnsi="Times New Roman"/>
          <w:sz w:val="24"/>
          <w:szCs w:val="24"/>
        </w:rPr>
      </w:pPr>
    </w:p>
    <w:p w14:paraId="00164F0E" w14:textId="77777777" w:rsidR="00A2695A" w:rsidRPr="008E5470" w:rsidRDefault="00A2695A" w:rsidP="00A2695A">
      <w:pPr>
        <w:pStyle w:val="ListParagraph"/>
        <w:keepNext/>
        <w:keepLines/>
        <w:spacing w:after="0" w:line="240" w:lineRule="auto"/>
        <w:ind w:left="0"/>
        <w:rPr>
          <w:rFonts w:ascii="Times New Roman" w:hAnsi="Times New Roman"/>
          <w:sz w:val="24"/>
          <w:szCs w:val="24"/>
        </w:rPr>
      </w:pPr>
      <w:r w:rsidRPr="008E5470">
        <w:rPr>
          <w:rFonts w:ascii="Times New Roman" w:hAnsi="Times New Roman"/>
          <w:sz w:val="24"/>
          <w:szCs w:val="24"/>
        </w:rPr>
        <w:t xml:space="preserve">The following individuals were consulted in the development of the </w:t>
      </w:r>
      <w:r>
        <w:rPr>
          <w:rFonts w:ascii="Times New Roman" w:hAnsi="Times New Roman"/>
          <w:sz w:val="24"/>
          <w:szCs w:val="24"/>
        </w:rPr>
        <w:t>data collection instruments, sampling, and methodology:</w:t>
      </w:r>
    </w:p>
    <w:p w14:paraId="72E37897" w14:textId="77777777" w:rsidR="00A2695A" w:rsidRDefault="00A2695A" w:rsidP="00A2695A">
      <w:pPr>
        <w:pStyle w:val="ListParagraph"/>
        <w:keepNext/>
        <w:keepLines/>
        <w:spacing w:after="0" w:line="240" w:lineRule="auto"/>
        <w:ind w:left="0"/>
        <w:rPr>
          <w:rFonts w:ascii="Times New Roman" w:hAnsi="Times New Roman"/>
          <w:sz w:val="24"/>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2700"/>
        <w:gridCol w:w="4161"/>
      </w:tblGrid>
      <w:tr w:rsidR="00A2695A" w:rsidRPr="007C272C" w14:paraId="1A49D816" w14:textId="77777777" w:rsidTr="00DB331D">
        <w:trPr>
          <w:tblHeader/>
        </w:trPr>
        <w:tc>
          <w:tcPr>
            <w:tcW w:w="2070" w:type="dxa"/>
            <w:shd w:val="clear" w:color="auto" w:fill="auto"/>
            <w:vAlign w:val="bottom"/>
          </w:tcPr>
          <w:p w14:paraId="1B963504" w14:textId="77777777" w:rsidR="00A2695A" w:rsidRPr="007C272C" w:rsidRDefault="00A2695A" w:rsidP="00DB331D">
            <w:pPr>
              <w:pStyle w:val="SL-FlLftSgl"/>
              <w:keepNext/>
              <w:keepLines/>
              <w:spacing w:line="240" w:lineRule="auto"/>
              <w:contextualSpacing/>
              <w:jc w:val="center"/>
              <w:rPr>
                <w:b/>
                <w:szCs w:val="24"/>
              </w:rPr>
            </w:pPr>
            <w:r w:rsidRPr="007C272C">
              <w:rPr>
                <w:b/>
                <w:szCs w:val="24"/>
              </w:rPr>
              <w:t>Organization</w:t>
            </w:r>
          </w:p>
        </w:tc>
        <w:tc>
          <w:tcPr>
            <w:tcW w:w="2700" w:type="dxa"/>
            <w:shd w:val="clear" w:color="auto" w:fill="auto"/>
            <w:vAlign w:val="bottom"/>
          </w:tcPr>
          <w:p w14:paraId="6C7C9AD0" w14:textId="77777777" w:rsidR="00A2695A" w:rsidRPr="007C272C" w:rsidRDefault="00A2695A" w:rsidP="00DB331D">
            <w:pPr>
              <w:pStyle w:val="SL-FlLftSgl"/>
              <w:keepNext/>
              <w:keepLines/>
              <w:spacing w:line="240" w:lineRule="auto"/>
              <w:contextualSpacing/>
              <w:jc w:val="center"/>
              <w:rPr>
                <w:b/>
                <w:szCs w:val="24"/>
              </w:rPr>
            </w:pPr>
            <w:r w:rsidRPr="007C272C">
              <w:rPr>
                <w:b/>
                <w:szCs w:val="24"/>
              </w:rPr>
              <w:t>Name</w:t>
            </w:r>
          </w:p>
        </w:tc>
        <w:tc>
          <w:tcPr>
            <w:tcW w:w="4161" w:type="dxa"/>
            <w:shd w:val="clear" w:color="auto" w:fill="auto"/>
            <w:vAlign w:val="bottom"/>
          </w:tcPr>
          <w:p w14:paraId="034C1EE5" w14:textId="77777777" w:rsidR="00A2695A" w:rsidRPr="007C272C" w:rsidRDefault="00A2695A" w:rsidP="00DB331D">
            <w:pPr>
              <w:pStyle w:val="SL-FlLftSgl"/>
              <w:keepNext/>
              <w:keepLines/>
              <w:spacing w:line="240" w:lineRule="auto"/>
              <w:contextualSpacing/>
              <w:jc w:val="center"/>
              <w:rPr>
                <w:b/>
                <w:szCs w:val="24"/>
              </w:rPr>
            </w:pPr>
            <w:r w:rsidRPr="007C272C">
              <w:rPr>
                <w:b/>
                <w:szCs w:val="24"/>
              </w:rPr>
              <w:t>Contact Information</w:t>
            </w:r>
          </w:p>
        </w:tc>
      </w:tr>
      <w:tr w:rsidR="00A2695A" w:rsidRPr="007C272C" w14:paraId="38CD26C4" w14:textId="77777777" w:rsidTr="00DB331D">
        <w:tc>
          <w:tcPr>
            <w:tcW w:w="2070" w:type="dxa"/>
            <w:shd w:val="clear" w:color="auto" w:fill="auto"/>
          </w:tcPr>
          <w:p w14:paraId="1DF393DF" w14:textId="77777777" w:rsidR="00A2695A" w:rsidRPr="007C272C" w:rsidRDefault="00A2695A" w:rsidP="00DB331D">
            <w:pPr>
              <w:pStyle w:val="SL-FlLftSgl"/>
              <w:keepNext/>
              <w:keepLines/>
              <w:spacing w:line="240" w:lineRule="auto"/>
              <w:contextualSpacing/>
              <w:rPr>
                <w:szCs w:val="24"/>
                <w:highlight w:val="yellow"/>
              </w:rPr>
            </w:pPr>
            <w:r w:rsidRPr="007C272C">
              <w:rPr>
                <w:szCs w:val="24"/>
              </w:rPr>
              <w:t>CMS</w:t>
            </w:r>
          </w:p>
        </w:tc>
        <w:tc>
          <w:tcPr>
            <w:tcW w:w="2700" w:type="dxa"/>
            <w:shd w:val="clear" w:color="auto" w:fill="auto"/>
          </w:tcPr>
          <w:p w14:paraId="247C8E42" w14:textId="77777777" w:rsidR="00A2695A" w:rsidRPr="007C272C" w:rsidRDefault="00A2695A" w:rsidP="00DB331D">
            <w:pPr>
              <w:pStyle w:val="SL-FlLftSgl"/>
              <w:keepNext/>
              <w:keepLines/>
              <w:spacing w:line="240" w:lineRule="auto"/>
              <w:contextualSpacing/>
              <w:rPr>
                <w:szCs w:val="24"/>
              </w:rPr>
            </w:pPr>
            <w:r>
              <w:rPr>
                <w:szCs w:val="24"/>
              </w:rPr>
              <w:t>David Russo</w:t>
            </w:r>
          </w:p>
        </w:tc>
        <w:tc>
          <w:tcPr>
            <w:tcW w:w="4161" w:type="dxa"/>
            <w:shd w:val="clear" w:color="auto" w:fill="auto"/>
          </w:tcPr>
          <w:p w14:paraId="596A2EF3" w14:textId="77777777" w:rsidR="00A2695A" w:rsidRDefault="00A2695A" w:rsidP="00DB331D">
            <w:pPr>
              <w:pStyle w:val="SL-FlLftSgl"/>
              <w:keepNext/>
              <w:keepLines/>
              <w:tabs>
                <w:tab w:val="center" w:pos="1972"/>
              </w:tabs>
              <w:spacing w:line="240" w:lineRule="auto"/>
              <w:contextualSpacing/>
              <w:rPr>
                <w:szCs w:val="24"/>
              </w:rPr>
            </w:pPr>
            <w:r>
              <w:rPr>
                <w:szCs w:val="24"/>
              </w:rPr>
              <w:t>617-565-1310</w:t>
            </w:r>
            <w:r>
              <w:rPr>
                <w:szCs w:val="24"/>
              </w:rPr>
              <w:tab/>
            </w:r>
          </w:p>
          <w:p w14:paraId="59980A3A" w14:textId="77777777" w:rsidR="00A2695A" w:rsidRPr="007C272C" w:rsidRDefault="009B3FA3" w:rsidP="00DB331D">
            <w:pPr>
              <w:pStyle w:val="SL-FlLftSgl"/>
              <w:keepNext/>
              <w:keepLines/>
              <w:spacing w:line="240" w:lineRule="auto"/>
              <w:contextualSpacing/>
              <w:rPr>
                <w:szCs w:val="24"/>
              </w:rPr>
            </w:pPr>
            <w:hyperlink r:id="rId9" w:history="1">
              <w:r w:rsidR="00A2695A" w:rsidRPr="00877FC2">
                <w:rPr>
                  <w:rStyle w:val="Hyperlink"/>
                  <w:szCs w:val="24"/>
                </w:rPr>
                <w:t>David.Russo@cms.hhs.gov</w:t>
              </w:r>
            </w:hyperlink>
          </w:p>
        </w:tc>
      </w:tr>
      <w:tr w:rsidR="00A2695A" w:rsidRPr="007C272C" w14:paraId="1EE63663" w14:textId="77777777" w:rsidTr="00DB331D">
        <w:tc>
          <w:tcPr>
            <w:tcW w:w="2070" w:type="dxa"/>
            <w:shd w:val="clear" w:color="auto" w:fill="auto"/>
          </w:tcPr>
          <w:p w14:paraId="315502EC" w14:textId="77777777" w:rsidR="00A2695A" w:rsidRPr="007C272C" w:rsidRDefault="00A2695A" w:rsidP="00DB331D">
            <w:pPr>
              <w:pStyle w:val="SL-FlLftSgl"/>
              <w:keepNext/>
              <w:keepLines/>
              <w:spacing w:line="240" w:lineRule="auto"/>
              <w:contextualSpacing/>
              <w:rPr>
                <w:szCs w:val="24"/>
              </w:rPr>
            </w:pPr>
          </w:p>
        </w:tc>
        <w:tc>
          <w:tcPr>
            <w:tcW w:w="2700" w:type="dxa"/>
            <w:shd w:val="clear" w:color="auto" w:fill="auto"/>
          </w:tcPr>
          <w:p w14:paraId="255DE9C8" w14:textId="77777777" w:rsidR="00A2695A" w:rsidRDefault="00A2695A" w:rsidP="00DB331D">
            <w:pPr>
              <w:pStyle w:val="SL-FlLftSgl"/>
              <w:keepNext/>
              <w:keepLines/>
              <w:spacing w:line="240" w:lineRule="auto"/>
              <w:contextualSpacing/>
              <w:rPr>
                <w:szCs w:val="24"/>
              </w:rPr>
            </w:pPr>
            <w:r>
              <w:rPr>
                <w:szCs w:val="24"/>
              </w:rPr>
              <w:t>Sally Berko</w:t>
            </w:r>
          </w:p>
        </w:tc>
        <w:tc>
          <w:tcPr>
            <w:tcW w:w="4161" w:type="dxa"/>
            <w:shd w:val="clear" w:color="auto" w:fill="auto"/>
          </w:tcPr>
          <w:p w14:paraId="1EDE7387" w14:textId="77777777" w:rsidR="00A2695A" w:rsidRPr="005B3554" w:rsidRDefault="00A2695A" w:rsidP="00DB331D">
            <w:pPr>
              <w:pStyle w:val="SL-FlLftSgl"/>
              <w:keepNext/>
              <w:keepLines/>
              <w:spacing w:line="240" w:lineRule="auto"/>
              <w:contextualSpacing/>
              <w:rPr>
                <w:rStyle w:val="il"/>
                <w:color w:val="000000" w:themeColor="text1"/>
                <w:szCs w:val="24"/>
                <w:shd w:val="clear" w:color="auto" w:fill="FFFFFF"/>
              </w:rPr>
            </w:pPr>
            <w:r w:rsidRPr="005B3554">
              <w:rPr>
                <w:rStyle w:val="il"/>
                <w:color w:val="000000" w:themeColor="text1"/>
                <w:szCs w:val="24"/>
                <w:shd w:val="clear" w:color="auto" w:fill="FFFFFF"/>
              </w:rPr>
              <w:t>410-786-6211</w:t>
            </w:r>
          </w:p>
          <w:p w14:paraId="5702BBA9" w14:textId="77777777" w:rsidR="00A2695A" w:rsidRPr="005B3554" w:rsidRDefault="009B3FA3" w:rsidP="00DB331D">
            <w:pPr>
              <w:pStyle w:val="SL-FlLftSgl"/>
              <w:keepNext/>
              <w:keepLines/>
              <w:spacing w:line="240" w:lineRule="auto"/>
              <w:contextualSpacing/>
              <w:rPr>
                <w:szCs w:val="24"/>
              </w:rPr>
            </w:pPr>
            <w:hyperlink r:id="rId10" w:history="1">
              <w:r w:rsidR="00A2695A" w:rsidRPr="00877FC2">
                <w:rPr>
                  <w:rStyle w:val="Hyperlink"/>
                  <w:szCs w:val="24"/>
                  <w:shd w:val="clear" w:color="auto" w:fill="FFFFFF"/>
                </w:rPr>
                <w:t>Sally.Berko@cms.hhs.gov</w:t>
              </w:r>
            </w:hyperlink>
          </w:p>
        </w:tc>
      </w:tr>
      <w:tr w:rsidR="00A2695A" w:rsidRPr="007C272C" w14:paraId="170A9B03" w14:textId="77777777" w:rsidTr="00DB331D">
        <w:tc>
          <w:tcPr>
            <w:tcW w:w="2070" w:type="dxa"/>
            <w:shd w:val="clear" w:color="auto" w:fill="auto"/>
          </w:tcPr>
          <w:p w14:paraId="00C12E57" w14:textId="77777777" w:rsidR="00A2695A" w:rsidRPr="007C272C" w:rsidRDefault="00A2695A" w:rsidP="00DB331D">
            <w:pPr>
              <w:pStyle w:val="SL-FlLftSgl"/>
              <w:keepNext/>
              <w:keepLines/>
              <w:spacing w:line="240" w:lineRule="auto"/>
              <w:contextualSpacing/>
              <w:rPr>
                <w:szCs w:val="24"/>
              </w:rPr>
            </w:pPr>
            <w:r>
              <w:rPr>
                <w:szCs w:val="24"/>
              </w:rPr>
              <w:t>Avar Consulting</w:t>
            </w:r>
          </w:p>
        </w:tc>
        <w:tc>
          <w:tcPr>
            <w:tcW w:w="2700" w:type="dxa"/>
            <w:shd w:val="clear" w:color="auto" w:fill="auto"/>
          </w:tcPr>
          <w:p w14:paraId="0E1B5FD4" w14:textId="77777777" w:rsidR="00A2695A" w:rsidRDefault="00A2695A" w:rsidP="00DB331D">
            <w:pPr>
              <w:pStyle w:val="SL-FlLftSgl"/>
              <w:keepNext/>
              <w:keepLines/>
              <w:spacing w:line="240" w:lineRule="auto"/>
              <w:contextualSpacing/>
              <w:rPr>
                <w:szCs w:val="24"/>
              </w:rPr>
            </w:pPr>
            <w:r>
              <w:rPr>
                <w:szCs w:val="24"/>
              </w:rPr>
              <w:t>Z. Joan Wang</w:t>
            </w:r>
          </w:p>
        </w:tc>
        <w:tc>
          <w:tcPr>
            <w:tcW w:w="4161" w:type="dxa"/>
            <w:shd w:val="clear" w:color="auto" w:fill="auto"/>
          </w:tcPr>
          <w:p w14:paraId="4B37FF8A" w14:textId="77777777" w:rsidR="00A2695A" w:rsidRDefault="00A2695A" w:rsidP="00DB331D">
            <w:pPr>
              <w:pStyle w:val="SL-FlLftSgl"/>
              <w:keepNext/>
              <w:keepLines/>
              <w:spacing w:line="240" w:lineRule="auto"/>
              <w:contextualSpacing/>
              <w:rPr>
                <w:szCs w:val="24"/>
              </w:rPr>
            </w:pPr>
            <w:r w:rsidRPr="005B3554">
              <w:rPr>
                <w:szCs w:val="24"/>
              </w:rPr>
              <w:t>301-977-6553, ext</w:t>
            </w:r>
            <w:r>
              <w:rPr>
                <w:szCs w:val="24"/>
              </w:rPr>
              <w:t>.</w:t>
            </w:r>
            <w:r w:rsidRPr="005B3554">
              <w:rPr>
                <w:szCs w:val="24"/>
              </w:rPr>
              <w:t xml:space="preserve"> 222</w:t>
            </w:r>
          </w:p>
          <w:p w14:paraId="3E5326F7" w14:textId="77777777" w:rsidR="00A2695A" w:rsidRDefault="009B3FA3" w:rsidP="00DB331D">
            <w:pPr>
              <w:pStyle w:val="SL-FlLftSgl"/>
              <w:keepNext/>
              <w:keepLines/>
              <w:spacing w:line="240" w:lineRule="auto"/>
              <w:contextualSpacing/>
              <w:rPr>
                <w:szCs w:val="24"/>
              </w:rPr>
            </w:pPr>
            <w:hyperlink r:id="rId11" w:history="1">
              <w:r w:rsidR="00A2695A" w:rsidRPr="00877FC2">
                <w:rPr>
                  <w:rStyle w:val="Hyperlink"/>
                  <w:szCs w:val="24"/>
                </w:rPr>
                <w:t>JoanWang@avarconsulting.com</w:t>
              </w:r>
            </w:hyperlink>
          </w:p>
        </w:tc>
      </w:tr>
      <w:tr w:rsidR="00A2695A" w:rsidRPr="007C272C" w14:paraId="373320B8" w14:textId="77777777" w:rsidTr="00DB331D">
        <w:tc>
          <w:tcPr>
            <w:tcW w:w="2070" w:type="dxa"/>
            <w:shd w:val="clear" w:color="auto" w:fill="auto"/>
          </w:tcPr>
          <w:p w14:paraId="0CE98E4C" w14:textId="77777777" w:rsidR="00A2695A" w:rsidRDefault="00A2695A" w:rsidP="00DB331D">
            <w:pPr>
              <w:pStyle w:val="SL-FlLftSgl"/>
              <w:keepNext/>
              <w:keepLines/>
              <w:spacing w:line="240" w:lineRule="auto"/>
              <w:contextualSpacing/>
              <w:rPr>
                <w:szCs w:val="24"/>
              </w:rPr>
            </w:pPr>
          </w:p>
        </w:tc>
        <w:tc>
          <w:tcPr>
            <w:tcW w:w="2700" w:type="dxa"/>
            <w:shd w:val="clear" w:color="auto" w:fill="auto"/>
          </w:tcPr>
          <w:p w14:paraId="7704A2AB" w14:textId="77777777" w:rsidR="00A2695A" w:rsidRDefault="00A2695A" w:rsidP="00DB331D">
            <w:pPr>
              <w:pStyle w:val="SL-FlLftSgl"/>
              <w:keepNext/>
              <w:keepLines/>
              <w:spacing w:line="240" w:lineRule="auto"/>
              <w:contextualSpacing/>
              <w:rPr>
                <w:szCs w:val="24"/>
              </w:rPr>
            </w:pPr>
            <w:r>
              <w:rPr>
                <w:szCs w:val="24"/>
              </w:rPr>
              <w:t>Wendy Gary</w:t>
            </w:r>
          </w:p>
        </w:tc>
        <w:tc>
          <w:tcPr>
            <w:tcW w:w="4161" w:type="dxa"/>
            <w:shd w:val="clear" w:color="auto" w:fill="auto"/>
          </w:tcPr>
          <w:p w14:paraId="07E168A5" w14:textId="77777777" w:rsidR="00A2695A" w:rsidRDefault="00A2695A" w:rsidP="00DB331D">
            <w:pPr>
              <w:pStyle w:val="SL-FlLftSgl"/>
              <w:keepNext/>
              <w:keepLines/>
              <w:spacing w:line="240" w:lineRule="auto"/>
              <w:contextualSpacing/>
              <w:rPr>
                <w:szCs w:val="24"/>
              </w:rPr>
            </w:pPr>
            <w:r>
              <w:rPr>
                <w:szCs w:val="24"/>
              </w:rPr>
              <w:t>337-385-2144</w:t>
            </w:r>
          </w:p>
          <w:p w14:paraId="6D78326B" w14:textId="77777777" w:rsidR="00A2695A" w:rsidRPr="005B3554" w:rsidRDefault="009B3FA3" w:rsidP="00DB331D">
            <w:pPr>
              <w:pStyle w:val="SL-FlLftSgl"/>
              <w:keepNext/>
              <w:keepLines/>
              <w:spacing w:line="240" w:lineRule="auto"/>
              <w:contextualSpacing/>
              <w:rPr>
                <w:szCs w:val="24"/>
              </w:rPr>
            </w:pPr>
            <w:hyperlink r:id="rId12" w:history="1">
              <w:r w:rsidR="00A2695A" w:rsidRPr="00AB4A73">
                <w:rPr>
                  <w:rStyle w:val="Hyperlink"/>
                  <w:szCs w:val="24"/>
                </w:rPr>
                <w:t>wgary@avarconsulitng.com</w:t>
              </w:r>
            </w:hyperlink>
            <w:r w:rsidR="00A2695A">
              <w:rPr>
                <w:szCs w:val="24"/>
              </w:rPr>
              <w:t xml:space="preserve"> </w:t>
            </w:r>
          </w:p>
        </w:tc>
      </w:tr>
      <w:tr w:rsidR="00A2695A" w:rsidRPr="007C272C" w14:paraId="5E91D841" w14:textId="77777777" w:rsidTr="00DB331D">
        <w:tc>
          <w:tcPr>
            <w:tcW w:w="2070" w:type="dxa"/>
            <w:shd w:val="clear" w:color="auto" w:fill="auto"/>
          </w:tcPr>
          <w:p w14:paraId="3F7AF169" w14:textId="77777777" w:rsidR="00A2695A" w:rsidRPr="007C272C" w:rsidRDefault="00A2695A" w:rsidP="00DB331D">
            <w:pPr>
              <w:pStyle w:val="SL-FlLftSgl"/>
              <w:keepNext/>
              <w:keepLines/>
              <w:spacing w:line="240" w:lineRule="auto"/>
              <w:contextualSpacing/>
              <w:rPr>
                <w:szCs w:val="24"/>
              </w:rPr>
            </w:pPr>
          </w:p>
        </w:tc>
        <w:tc>
          <w:tcPr>
            <w:tcW w:w="2700" w:type="dxa"/>
            <w:shd w:val="clear" w:color="auto" w:fill="auto"/>
          </w:tcPr>
          <w:p w14:paraId="6A8C1652" w14:textId="77777777" w:rsidR="00A2695A" w:rsidRDefault="00A2695A" w:rsidP="00DB331D">
            <w:pPr>
              <w:pStyle w:val="SL-FlLftSgl"/>
              <w:keepNext/>
              <w:keepLines/>
              <w:spacing w:line="240" w:lineRule="auto"/>
              <w:contextualSpacing/>
              <w:rPr>
                <w:szCs w:val="24"/>
              </w:rPr>
            </w:pPr>
            <w:r>
              <w:rPr>
                <w:szCs w:val="24"/>
              </w:rPr>
              <w:t>Steven Fink</w:t>
            </w:r>
          </w:p>
        </w:tc>
        <w:tc>
          <w:tcPr>
            <w:tcW w:w="4161" w:type="dxa"/>
            <w:shd w:val="clear" w:color="auto" w:fill="auto"/>
          </w:tcPr>
          <w:p w14:paraId="1B412514" w14:textId="77777777" w:rsidR="00A2695A" w:rsidRDefault="00A2695A" w:rsidP="00DB331D">
            <w:pPr>
              <w:pStyle w:val="SL-FlLftSgl"/>
              <w:keepNext/>
              <w:keepLines/>
              <w:spacing w:line="240" w:lineRule="auto"/>
              <w:contextualSpacing/>
              <w:rPr>
                <w:szCs w:val="24"/>
              </w:rPr>
            </w:pPr>
            <w:r>
              <w:rPr>
                <w:szCs w:val="24"/>
              </w:rPr>
              <w:t>301-977-6553, ext. 219</w:t>
            </w:r>
          </w:p>
          <w:p w14:paraId="2D382936" w14:textId="77777777" w:rsidR="00A2695A" w:rsidRDefault="009B3FA3" w:rsidP="00DB331D">
            <w:pPr>
              <w:pStyle w:val="SL-FlLftSgl"/>
              <w:keepNext/>
              <w:keepLines/>
              <w:spacing w:line="240" w:lineRule="auto"/>
              <w:contextualSpacing/>
              <w:rPr>
                <w:szCs w:val="24"/>
              </w:rPr>
            </w:pPr>
            <w:hyperlink r:id="rId13" w:history="1">
              <w:r w:rsidR="00A2695A" w:rsidRPr="00877FC2">
                <w:rPr>
                  <w:rStyle w:val="Hyperlink"/>
                  <w:szCs w:val="24"/>
                </w:rPr>
                <w:t>StevenFink@avarconsulting.com</w:t>
              </w:r>
            </w:hyperlink>
          </w:p>
        </w:tc>
      </w:tr>
      <w:tr w:rsidR="00A2695A" w:rsidRPr="007C272C" w14:paraId="45F9B113" w14:textId="77777777" w:rsidTr="00DB331D">
        <w:tc>
          <w:tcPr>
            <w:tcW w:w="2070" w:type="dxa"/>
            <w:shd w:val="clear" w:color="auto" w:fill="auto"/>
          </w:tcPr>
          <w:p w14:paraId="1C221513" w14:textId="77777777" w:rsidR="00A2695A" w:rsidRPr="007C272C" w:rsidRDefault="00A2695A" w:rsidP="00DB331D">
            <w:pPr>
              <w:pStyle w:val="SL-FlLftSgl"/>
              <w:keepNext/>
              <w:keepLines/>
              <w:spacing w:line="240" w:lineRule="auto"/>
              <w:contextualSpacing/>
              <w:rPr>
                <w:szCs w:val="24"/>
              </w:rPr>
            </w:pPr>
          </w:p>
        </w:tc>
        <w:tc>
          <w:tcPr>
            <w:tcW w:w="2700" w:type="dxa"/>
            <w:shd w:val="clear" w:color="auto" w:fill="auto"/>
          </w:tcPr>
          <w:p w14:paraId="628F3D1C" w14:textId="77777777" w:rsidR="00A2695A" w:rsidRDefault="00A2695A" w:rsidP="00DB331D">
            <w:pPr>
              <w:pStyle w:val="SL-FlLftSgl"/>
              <w:keepNext/>
              <w:keepLines/>
              <w:spacing w:line="240" w:lineRule="auto"/>
              <w:contextualSpacing/>
              <w:rPr>
                <w:szCs w:val="24"/>
              </w:rPr>
            </w:pPr>
            <w:r>
              <w:rPr>
                <w:szCs w:val="24"/>
              </w:rPr>
              <w:t>David Bercham</w:t>
            </w:r>
          </w:p>
        </w:tc>
        <w:tc>
          <w:tcPr>
            <w:tcW w:w="4161" w:type="dxa"/>
            <w:shd w:val="clear" w:color="auto" w:fill="auto"/>
          </w:tcPr>
          <w:p w14:paraId="2C2858C1" w14:textId="77777777" w:rsidR="00A2695A" w:rsidRDefault="00A2695A" w:rsidP="00DB331D">
            <w:pPr>
              <w:pStyle w:val="SL-FlLftSgl"/>
              <w:keepNext/>
              <w:keepLines/>
              <w:spacing w:line="240" w:lineRule="auto"/>
              <w:contextualSpacing/>
              <w:rPr>
                <w:szCs w:val="24"/>
              </w:rPr>
            </w:pPr>
            <w:r>
              <w:rPr>
                <w:szCs w:val="24"/>
              </w:rPr>
              <w:t>301-977-6553, ext. 230</w:t>
            </w:r>
          </w:p>
          <w:p w14:paraId="22E1A813" w14:textId="77777777" w:rsidR="00A2695A" w:rsidRDefault="009B3FA3" w:rsidP="00DB331D">
            <w:pPr>
              <w:pStyle w:val="SL-FlLftSgl"/>
              <w:keepNext/>
              <w:keepLines/>
              <w:spacing w:line="240" w:lineRule="auto"/>
              <w:contextualSpacing/>
              <w:rPr>
                <w:szCs w:val="24"/>
              </w:rPr>
            </w:pPr>
            <w:hyperlink r:id="rId14" w:history="1">
              <w:r w:rsidR="00A2695A" w:rsidRPr="00877FC2">
                <w:rPr>
                  <w:rStyle w:val="Hyperlink"/>
                  <w:szCs w:val="24"/>
                </w:rPr>
                <w:t>DavidBercham@avarconsulting.com</w:t>
              </w:r>
            </w:hyperlink>
            <w:r w:rsidR="00A2695A">
              <w:rPr>
                <w:szCs w:val="24"/>
              </w:rPr>
              <w:t xml:space="preserve"> </w:t>
            </w:r>
          </w:p>
        </w:tc>
      </w:tr>
      <w:tr w:rsidR="00A2695A" w:rsidRPr="007C272C" w14:paraId="3A4DA81F" w14:textId="77777777" w:rsidTr="00DB331D">
        <w:tc>
          <w:tcPr>
            <w:tcW w:w="2070" w:type="dxa"/>
            <w:shd w:val="clear" w:color="auto" w:fill="auto"/>
          </w:tcPr>
          <w:p w14:paraId="170B0D62" w14:textId="77777777" w:rsidR="00A2695A" w:rsidRPr="007C272C" w:rsidRDefault="00A2695A" w:rsidP="00DB331D">
            <w:pPr>
              <w:pStyle w:val="SL-FlLftSgl"/>
              <w:keepNext/>
              <w:keepLines/>
              <w:spacing w:line="240" w:lineRule="auto"/>
              <w:contextualSpacing/>
              <w:rPr>
                <w:szCs w:val="24"/>
              </w:rPr>
            </w:pPr>
            <w:r>
              <w:rPr>
                <w:szCs w:val="24"/>
              </w:rPr>
              <w:t>Econometrica</w:t>
            </w:r>
          </w:p>
        </w:tc>
        <w:tc>
          <w:tcPr>
            <w:tcW w:w="2700" w:type="dxa"/>
            <w:shd w:val="clear" w:color="auto" w:fill="auto"/>
          </w:tcPr>
          <w:p w14:paraId="1E0D1629" w14:textId="77777777" w:rsidR="00A2695A" w:rsidRPr="00BB0971" w:rsidRDefault="00A2695A" w:rsidP="00DB331D">
            <w:pPr>
              <w:pStyle w:val="SL-FlLftSgl"/>
              <w:keepNext/>
              <w:keepLines/>
              <w:spacing w:line="240" w:lineRule="auto"/>
              <w:contextualSpacing/>
              <w:rPr>
                <w:color w:val="000000" w:themeColor="text1"/>
                <w:szCs w:val="24"/>
              </w:rPr>
            </w:pPr>
            <w:r w:rsidRPr="00BB0971">
              <w:rPr>
                <w:color w:val="000000" w:themeColor="text1"/>
                <w:szCs w:val="24"/>
              </w:rPr>
              <w:t>Thomas Jackson</w:t>
            </w:r>
          </w:p>
        </w:tc>
        <w:tc>
          <w:tcPr>
            <w:tcW w:w="4161" w:type="dxa"/>
            <w:shd w:val="clear" w:color="auto" w:fill="auto"/>
          </w:tcPr>
          <w:p w14:paraId="7717E727" w14:textId="77777777" w:rsidR="00A2695A" w:rsidRDefault="00A2695A" w:rsidP="00DB331D">
            <w:pPr>
              <w:pStyle w:val="SL-FlLftSgl"/>
              <w:keepNext/>
              <w:keepLines/>
              <w:spacing w:line="240" w:lineRule="auto"/>
              <w:contextualSpacing/>
              <w:rPr>
                <w:color w:val="000000" w:themeColor="text1"/>
                <w:szCs w:val="24"/>
              </w:rPr>
            </w:pPr>
            <w:r w:rsidRPr="00BB0971">
              <w:rPr>
                <w:color w:val="000000" w:themeColor="text1"/>
                <w:szCs w:val="24"/>
              </w:rPr>
              <w:t>240-395-2271</w:t>
            </w:r>
          </w:p>
          <w:p w14:paraId="6B0BAF36" w14:textId="77777777" w:rsidR="00A2695A" w:rsidRPr="00BB0971" w:rsidRDefault="009B3FA3" w:rsidP="00DB331D">
            <w:pPr>
              <w:pStyle w:val="SL-FlLftSgl"/>
              <w:keepNext/>
              <w:keepLines/>
              <w:spacing w:line="240" w:lineRule="auto"/>
              <w:contextualSpacing/>
              <w:rPr>
                <w:color w:val="000000" w:themeColor="text1"/>
                <w:szCs w:val="24"/>
              </w:rPr>
            </w:pPr>
            <w:hyperlink r:id="rId15" w:history="1">
              <w:r w:rsidR="00A2695A" w:rsidRPr="00BB0971">
                <w:rPr>
                  <w:rStyle w:val="Hyperlink"/>
                  <w:szCs w:val="24"/>
                </w:rPr>
                <w:t>TJackson@econometricainc.com</w:t>
              </w:r>
            </w:hyperlink>
          </w:p>
        </w:tc>
      </w:tr>
      <w:tr w:rsidR="00A2695A" w:rsidRPr="007C272C" w14:paraId="770EFDFD" w14:textId="77777777" w:rsidTr="00DB331D">
        <w:tc>
          <w:tcPr>
            <w:tcW w:w="2070" w:type="dxa"/>
            <w:shd w:val="clear" w:color="auto" w:fill="auto"/>
          </w:tcPr>
          <w:p w14:paraId="503790B1" w14:textId="77777777" w:rsidR="00A2695A" w:rsidRPr="007C272C" w:rsidRDefault="00A2695A" w:rsidP="00DB331D">
            <w:pPr>
              <w:pStyle w:val="SL-FlLftSgl"/>
              <w:keepNext/>
              <w:keepLines/>
              <w:spacing w:line="240" w:lineRule="auto"/>
              <w:contextualSpacing/>
              <w:rPr>
                <w:szCs w:val="24"/>
              </w:rPr>
            </w:pPr>
          </w:p>
        </w:tc>
        <w:tc>
          <w:tcPr>
            <w:tcW w:w="2700" w:type="dxa"/>
            <w:shd w:val="clear" w:color="auto" w:fill="auto"/>
          </w:tcPr>
          <w:p w14:paraId="7EB6B18F" w14:textId="77777777" w:rsidR="00A2695A" w:rsidRPr="00BB0971" w:rsidRDefault="00A2695A" w:rsidP="00DB331D">
            <w:pPr>
              <w:pStyle w:val="SL-FlLftSgl"/>
              <w:keepNext/>
              <w:keepLines/>
              <w:spacing w:line="240" w:lineRule="auto"/>
              <w:contextualSpacing/>
              <w:rPr>
                <w:color w:val="000000" w:themeColor="text1"/>
                <w:szCs w:val="24"/>
              </w:rPr>
            </w:pPr>
            <w:r w:rsidRPr="00BB0971">
              <w:rPr>
                <w:color w:val="000000" w:themeColor="text1"/>
                <w:szCs w:val="24"/>
              </w:rPr>
              <w:t>Munseok Seo</w:t>
            </w:r>
          </w:p>
          <w:p w14:paraId="41C6C44B" w14:textId="77777777" w:rsidR="00A2695A" w:rsidRPr="00BB0971" w:rsidRDefault="00A2695A" w:rsidP="00DB331D">
            <w:pPr>
              <w:pStyle w:val="SL-FlLftSgl"/>
              <w:keepNext/>
              <w:keepLines/>
              <w:spacing w:line="240" w:lineRule="auto"/>
              <w:contextualSpacing/>
              <w:rPr>
                <w:color w:val="000000" w:themeColor="text1"/>
                <w:szCs w:val="24"/>
              </w:rPr>
            </w:pPr>
          </w:p>
        </w:tc>
        <w:tc>
          <w:tcPr>
            <w:tcW w:w="4161" w:type="dxa"/>
            <w:shd w:val="clear" w:color="auto" w:fill="auto"/>
          </w:tcPr>
          <w:p w14:paraId="01654924" w14:textId="77777777" w:rsidR="00A2695A" w:rsidRDefault="00A2695A" w:rsidP="00DB331D">
            <w:pPr>
              <w:pStyle w:val="SL-FlLftSgl"/>
              <w:keepNext/>
              <w:keepLines/>
              <w:spacing w:line="240" w:lineRule="auto"/>
              <w:contextualSpacing/>
              <w:rPr>
                <w:color w:val="000000" w:themeColor="text1"/>
                <w:szCs w:val="24"/>
              </w:rPr>
            </w:pPr>
            <w:r w:rsidRPr="00BB0971">
              <w:rPr>
                <w:color w:val="000000" w:themeColor="text1"/>
                <w:szCs w:val="24"/>
              </w:rPr>
              <w:t>240-395-2283</w:t>
            </w:r>
          </w:p>
          <w:p w14:paraId="25B3A007" w14:textId="77777777" w:rsidR="00A2695A" w:rsidRPr="00BB0971" w:rsidRDefault="009B3FA3" w:rsidP="00DB331D">
            <w:pPr>
              <w:pStyle w:val="SL-FlLftSgl"/>
              <w:keepNext/>
              <w:keepLines/>
              <w:spacing w:line="240" w:lineRule="auto"/>
              <w:contextualSpacing/>
              <w:rPr>
                <w:color w:val="000000" w:themeColor="text1"/>
                <w:szCs w:val="24"/>
              </w:rPr>
            </w:pPr>
            <w:hyperlink r:id="rId16" w:history="1">
              <w:r w:rsidR="00A2695A" w:rsidRPr="00BB0971">
                <w:rPr>
                  <w:rStyle w:val="Hyperlink"/>
                  <w:szCs w:val="24"/>
                </w:rPr>
                <w:t>Mseo@econometricainc.com</w:t>
              </w:r>
            </w:hyperlink>
          </w:p>
        </w:tc>
      </w:tr>
      <w:tr w:rsidR="00A2695A" w:rsidRPr="007C272C" w14:paraId="65EADB86" w14:textId="77777777" w:rsidTr="00DB331D">
        <w:tc>
          <w:tcPr>
            <w:tcW w:w="2070" w:type="dxa"/>
            <w:shd w:val="clear" w:color="auto" w:fill="auto"/>
          </w:tcPr>
          <w:p w14:paraId="1532C943" w14:textId="77777777" w:rsidR="00A2695A" w:rsidRPr="007C272C" w:rsidRDefault="00A2695A" w:rsidP="00DB331D">
            <w:pPr>
              <w:pStyle w:val="SL-FlLftSgl"/>
              <w:keepNext/>
              <w:keepLines/>
              <w:spacing w:line="240" w:lineRule="auto"/>
              <w:contextualSpacing/>
              <w:rPr>
                <w:szCs w:val="24"/>
              </w:rPr>
            </w:pPr>
            <w:r w:rsidRPr="007C272C">
              <w:rPr>
                <w:szCs w:val="24"/>
              </w:rPr>
              <w:t>Westat</w:t>
            </w:r>
          </w:p>
        </w:tc>
        <w:tc>
          <w:tcPr>
            <w:tcW w:w="2700" w:type="dxa"/>
            <w:shd w:val="clear" w:color="auto" w:fill="auto"/>
          </w:tcPr>
          <w:p w14:paraId="585FD240" w14:textId="77777777" w:rsidR="00A2695A" w:rsidRPr="007C272C" w:rsidRDefault="00A2695A" w:rsidP="00DB331D">
            <w:pPr>
              <w:pStyle w:val="SL-FlLftSgl"/>
              <w:keepNext/>
              <w:keepLines/>
              <w:spacing w:line="240" w:lineRule="auto"/>
              <w:contextualSpacing/>
              <w:rPr>
                <w:szCs w:val="24"/>
              </w:rPr>
            </w:pPr>
            <w:r w:rsidRPr="007C272C">
              <w:rPr>
                <w:szCs w:val="24"/>
              </w:rPr>
              <w:t>W. Sherman Edwards</w:t>
            </w:r>
          </w:p>
        </w:tc>
        <w:tc>
          <w:tcPr>
            <w:tcW w:w="4161" w:type="dxa"/>
            <w:shd w:val="clear" w:color="auto" w:fill="auto"/>
          </w:tcPr>
          <w:p w14:paraId="6F11C2F4" w14:textId="77777777" w:rsidR="00A2695A" w:rsidRPr="007C272C" w:rsidRDefault="00A2695A" w:rsidP="00DB331D">
            <w:pPr>
              <w:pStyle w:val="SL-FlLftSgl"/>
              <w:keepNext/>
              <w:keepLines/>
              <w:spacing w:line="240" w:lineRule="auto"/>
              <w:contextualSpacing/>
              <w:rPr>
                <w:szCs w:val="24"/>
              </w:rPr>
            </w:pPr>
            <w:r w:rsidRPr="007C272C">
              <w:rPr>
                <w:szCs w:val="24"/>
              </w:rPr>
              <w:t xml:space="preserve">301-294-3993 </w:t>
            </w:r>
          </w:p>
          <w:p w14:paraId="17710573" w14:textId="77777777" w:rsidR="00A2695A" w:rsidRPr="007C272C" w:rsidRDefault="009B3FA3" w:rsidP="00DB331D">
            <w:pPr>
              <w:pStyle w:val="SL-FlLftSgl"/>
              <w:keepNext/>
              <w:keepLines/>
              <w:spacing w:line="240" w:lineRule="auto"/>
              <w:contextualSpacing/>
              <w:rPr>
                <w:szCs w:val="24"/>
              </w:rPr>
            </w:pPr>
            <w:hyperlink r:id="rId17" w:history="1">
              <w:r w:rsidR="00A2695A" w:rsidRPr="00B0202B">
                <w:rPr>
                  <w:rStyle w:val="Hyperlink"/>
                  <w:szCs w:val="24"/>
                </w:rPr>
                <w:t>ShermEdwards@westat.com</w:t>
              </w:r>
            </w:hyperlink>
          </w:p>
        </w:tc>
      </w:tr>
      <w:tr w:rsidR="00A2695A" w:rsidRPr="007C272C" w14:paraId="0E872719" w14:textId="77777777" w:rsidTr="00DB331D">
        <w:tc>
          <w:tcPr>
            <w:tcW w:w="2070" w:type="dxa"/>
            <w:shd w:val="clear" w:color="auto" w:fill="auto"/>
          </w:tcPr>
          <w:p w14:paraId="7DF4A035" w14:textId="77777777" w:rsidR="00A2695A" w:rsidRPr="007C272C" w:rsidRDefault="00A2695A" w:rsidP="00DB331D">
            <w:pPr>
              <w:pStyle w:val="SL-FlLftSgl"/>
              <w:keepNext/>
              <w:keepLines/>
              <w:spacing w:line="240" w:lineRule="auto"/>
              <w:contextualSpacing/>
              <w:rPr>
                <w:szCs w:val="24"/>
              </w:rPr>
            </w:pPr>
          </w:p>
        </w:tc>
        <w:tc>
          <w:tcPr>
            <w:tcW w:w="2700" w:type="dxa"/>
            <w:shd w:val="clear" w:color="auto" w:fill="auto"/>
          </w:tcPr>
          <w:p w14:paraId="2CB30D1D" w14:textId="77777777" w:rsidR="00A2695A" w:rsidRPr="007C272C" w:rsidRDefault="00A2695A" w:rsidP="00DB331D">
            <w:pPr>
              <w:pStyle w:val="SL-FlLftSgl"/>
              <w:keepNext/>
              <w:keepLines/>
              <w:spacing w:line="240" w:lineRule="auto"/>
              <w:contextualSpacing/>
              <w:rPr>
                <w:szCs w:val="24"/>
              </w:rPr>
            </w:pPr>
            <w:r w:rsidRPr="007C272C">
              <w:rPr>
                <w:szCs w:val="24"/>
              </w:rPr>
              <w:t>Vasudha Narayanan</w:t>
            </w:r>
          </w:p>
          <w:p w14:paraId="6C0ACEC0" w14:textId="77777777" w:rsidR="00A2695A" w:rsidRPr="007C272C" w:rsidRDefault="00A2695A" w:rsidP="00DB331D">
            <w:pPr>
              <w:pStyle w:val="SL-FlLftSgl"/>
              <w:keepNext/>
              <w:keepLines/>
              <w:spacing w:line="240" w:lineRule="auto"/>
              <w:contextualSpacing/>
              <w:rPr>
                <w:szCs w:val="24"/>
              </w:rPr>
            </w:pPr>
          </w:p>
        </w:tc>
        <w:tc>
          <w:tcPr>
            <w:tcW w:w="4161" w:type="dxa"/>
            <w:shd w:val="clear" w:color="auto" w:fill="auto"/>
          </w:tcPr>
          <w:p w14:paraId="75AA84F2" w14:textId="77777777" w:rsidR="00A2695A" w:rsidRPr="007C272C" w:rsidRDefault="00A2695A" w:rsidP="00DB331D">
            <w:pPr>
              <w:pStyle w:val="SL-FlLftSgl"/>
              <w:keepNext/>
              <w:keepLines/>
              <w:spacing w:line="240" w:lineRule="auto"/>
              <w:contextualSpacing/>
              <w:rPr>
                <w:szCs w:val="24"/>
              </w:rPr>
            </w:pPr>
            <w:r w:rsidRPr="007C272C">
              <w:rPr>
                <w:szCs w:val="24"/>
              </w:rPr>
              <w:t>301-251-2257</w:t>
            </w:r>
          </w:p>
          <w:p w14:paraId="29BB3904" w14:textId="77777777" w:rsidR="00A2695A" w:rsidRPr="007C272C" w:rsidRDefault="009B3FA3" w:rsidP="00DB331D">
            <w:pPr>
              <w:pStyle w:val="SL-FlLftSgl"/>
              <w:keepNext/>
              <w:keepLines/>
              <w:spacing w:line="240" w:lineRule="auto"/>
              <w:contextualSpacing/>
              <w:rPr>
                <w:szCs w:val="24"/>
              </w:rPr>
            </w:pPr>
            <w:hyperlink r:id="rId18" w:history="1">
              <w:r w:rsidR="00A2695A" w:rsidRPr="00877FC2">
                <w:rPr>
                  <w:rStyle w:val="Hyperlink"/>
                  <w:szCs w:val="24"/>
                </w:rPr>
                <w:t>VasudhaNarayanan@westat.com</w:t>
              </w:r>
            </w:hyperlink>
          </w:p>
        </w:tc>
      </w:tr>
      <w:tr w:rsidR="00A2695A" w:rsidRPr="007C272C" w14:paraId="67EF91D3" w14:textId="77777777" w:rsidTr="00DB331D">
        <w:tc>
          <w:tcPr>
            <w:tcW w:w="2070" w:type="dxa"/>
            <w:shd w:val="clear" w:color="auto" w:fill="auto"/>
          </w:tcPr>
          <w:p w14:paraId="71F398FC" w14:textId="77777777" w:rsidR="00A2695A" w:rsidRPr="007C272C" w:rsidRDefault="00A2695A" w:rsidP="00DB331D">
            <w:pPr>
              <w:pStyle w:val="SL-FlLftSgl"/>
              <w:keepNext/>
              <w:keepLines/>
              <w:spacing w:line="240" w:lineRule="auto"/>
              <w:contextualSpacing/>
              <w:rPr>
                <w:szCs w:val="24"/>
              </w:rPr>
            </w:pPr>
          </w:p>
        </w:tc>
        <w:tc>
          <w:tcPr>
            <w:tcW w:w="2700" w:type="dxa"/>
            <w:shd w:val="clear" w:color="auto" w:fill="auto"/>
          </w:tcPr>
          <w:p w14:paraId="2940F083" w14:textId="77777777" w:rsidR="00A2695A" w:rsidRPr="007C272C" w:rsidRDefault="00A2695A" w:rsidP="00DB331D">
            <w:pPr>
              <w:pStyle w:val="SL-FlLftSgl"/>
              <w:keepNext/>
              <w:keepLines/>
              <w:spacing w:line="240" w:lineRule="auto"/>
              <w:contextualSpacing/>
              <w:rPr>
                <w:szCs w:val="24"/>
              </w:rPr>
            </w:pPr>
            <w:r w:rsidRPr="007C272C">
              <w:rPr>
                <w:szCs w:val="24"/>
              </w:rPr>
              <w:t>Stephanie Fry</w:t>
            </w:r>
          </w:p>
        </w:tc>
        <w:tc>
          <w:tcPr>
            <w:tcW w:w="4161" w:type="dxa"/>
            <w:shd w:val="clear" w:color="auto" w:fill="auto"/>
          </w:tcPr>
          <w:p w14:paraId="3B5799E5" w14:textId="77777777" w:rsidR="00A2695A" w:rsidRPr="007C272C" w:rsidRDefault="00A2695A" w:rsidP="00DB331D">
            <w:pPr>
              <w:pStyle w:val="SL-FlLftSgl"/>
              <w:keepNext/>
              <w:keepLines/>
              <w:spacing w:line="240" w:lineRule="auto"/>
              <w:contextualSpacing/>
              <w:rPr>
                <w:szCs w:val="24"/>
              </w:rPr>
            </w:pPr>
            <w:r w:rsidRPr="007C272C">
              <w:rPr>
                <w:szCs w:val="24"/>
              </w:rPr>
              <w:t>301-294-2872</w:t>
            </w:r>
          </w:p>
          <w:p w14:paraId="2AB7CAE6" w14:textId="77777777" w:rsidR="00A2695A" w:rsidRPr="007C272C" w:rsidRDefault="009B3FA3" w:rsidP="00DB331D">
            <w:pPr>
              <w:pStyle w:val="SL-FlLftSgl"/>
              <w:keepNext/>
              <w:keepLines/>
              <w:spacing w:line="240" w:lineRule="auto"/>
              <w:contextualSpacing/>
              <w:rPr>
                <w:szCs w:val="24"/>
              </w:rPr>
            </w:pPr>
            <w:hyperlink r:id="rId19" w:history="1">
              <w:r w:rsidR="00A2695A" w:rsidRPr="00877FC2">
                <w:rPr>
                  <w:rStyle w:val="Hyperlink"/>
                  <w:szCs w:val="24"/>
                </w:rPr>
                <w:t>StephanieFry@westat.com</w:t>
              </w:r>
            </w:hyperlink>
          </w:p>
        </w:tc>
      </w:tr>
    </w:tbl>
    <w:p w14:paraId="6CBA354D" w14:textId="77777777" w:rsidR="00A2695A" w:rsidRPr="008E5470" w:rsidDel="00E352D9" w:rsidRDefault="00A2695A" w:rsidP="00A2695A">
      <w:pPr>
        <w:pStyle w:val="ListParagraph"/>
        <w:keepNext/>
        <w:keepLines/>
        <w:spacing w:after="0" w:line="240" w:lineRule="auto"/>
        <w:ind w:left="0"/>
        <w:rPr>
          <w:rFonts w:ascii="Times New Roman" w:hAnsi="Times New Roman"/>
          <w:sz w:val="24"/>
          <w:szCs w:val="24"/>
        </w:rPr>
      </w:pPr>
    </w:p>
    <w:p w14:paraId="3E9BA928" w14:textId="77777777" w:rsidR="00A2695A" w:rsidRPr="00E17F57" w:rsidRDefault="00A2695A" w:rsidP="00A2695A">
      <w:pPr>
        <w:pStyle w:val="BodyText2"/>
        <w:keepNext/>
        <w:keepLines/>
        <w:rPr>
          <w:color w:val="000000" w:themeColor="text1"/>
          <w:sz w:val="24"/>
          <w:szCs w:val="24"/>
        </w:rPr>
      </w:pPr>
    </w:p>
    <w:p w14:paraId="717909D7" w14:textId="1A36F862" w:rsidR="001D7DC9" w:rsidRDefault="001D7DC9" w:rsidP="00A2695A">
      <w:pPr>
        <w:pStyle w:val="BodyText"/>
        <w:keepNext/>
        <w:keepLines/>
        <w:jc w:val="center"/>
      </w:pPr>
    </w:p>
    <w:p w14:paraId="4B7B7B36" w14:textId="77777777" w:rsidR="00020576" w:rsidRPr="00E17F57" w:rsidRDefault="00020576">
      <w:pPr>
        <w:pStyle w:val="BodyText2"/>
        <w:rPr>
          <w:color w:val="000000" w:themeColor="text1"/>
          <w:sz w:val="24"/>
          <w:szCs w:val="24"/>
        </w:rPr>
      </w:pPr>
    </w:p>
    <w:sectPr w:rsidR="00020576" w:rsidRPr="00E17F57" w:rsidSect="00737CB0">
      <w:footerReference w:type="default" r:id="rId20"/>
      <w:pgSz w:w="12240" w:h="15840"/>
      <w:pgMar w:top="1440" w:right="1440" w:bottom="1440" w:left="1440" w:header="720" w:footer="576"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407848" w16cid:durableId="1E15A36A"/>
  <w16cid:commentId w16cid:paraId="04C97FAD" w16cid:durableId="1E15A36B"/>
  <w16cid:commentId w16cid:paraId="1F25A691" w16cid:durableId="1E15A36C"/>
  <w16cid:commentId w16cid:paraId="7F13143C" w16cid:durableId="1E15A36D"/>
  <w16cid:commentId w16cid:paraId="21A101CE" w16cid:durableId="1E15A36E"/>
  <w16cid:commentId w16cid:paraId="2AA79326" w16cid:durableId="1E15A36F"/>
  <w16cid:commentId w16cid:paraId="4B0AFF62" w16cid:durableId="1E15A370"/>
  <w16cid:commentId w16cid:paraId="3AC9FC4F" w16cid:durableId="1E15A371"/>
  <w16cid:commentId w16cid:paraId="16C8983F" w16cid:durableId="1E15A69F"/>
  <w16cid:commentId w16cid:paraId="49702F88" w16cid:durableId="1E15A372"/>
  <w16cid:commentId w16cid:paraId="3362A355" w16cid:durableId="1E15A373"/>
  <w16cid:commentId w16cid:paraId="45450EC4" w16cid:durableId="1E15A374"/>
  <w16cid:commentId w16cid:paraId="06F5F373" w16cid:durableId="1E15A375"/>
  <w16cid:commentId w16cid:paraId="14431BF0" w16cid:durableId="1E15A376"/>
  <w16cid:commentId w16cid:paraId="6D936F8C" w16cid:durableId="1E15A377"/>
  <w16cid:commentId w16cid:paraId="4C2B31E3" w16cid:durableId="1E15A378"/>
  <w16cid:commentId w16cid:paraId="0EFCCC87" w16cid:durableId="1E15A379"/>
  <w16cid:commentId w16cid:paraId="151193FD" w16cid:durableId="1E15A37A"/>
  <w16cid:commentId w16cid:paraId="3D034FCB" w16cid:durableId="1E15A37B"/>
  <w16cid:commentId w16cid:paraId="75FDA612" w16cid:durableId="1E15A37C"/>
  <w16cid:commentId w16cid:paraId="4ABC3710" w16cid:durableId="1E15A37D"/>
  <w16cid:commentId w16cid:paraId="7DED8E0C" w16cid:durableId="1E15A37E"/>
  <w16cid:commentId w16cid:paraId="6D9F9923" w16cid:durableId="1E15A37F"/>
  <w16cid:commentId w16cid:paraId="21EA6C16" w16cid:durableId="1E15A3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5E5C1" w14:textId="77777777" w:rsidR="00E676AD" w:rsidRDefault="00E676AD" w:rsidP="00AC557C">
      <w:r>
        <w:separator/>
      </w:r>
    </w:p>
  </w:endnote>
  <w:endnote w:type="continuationSeparator" w:id="0">
    <w:p w14:paraId="0D389E10" w14:textId="77777777" w:rsidR="00E676AD" w:rsidRDefault="00E676AD" w:rsidP="00AC557C">
      <w:r>
        <w:continuationSeparator/>
      </w:r>
    </w:p>
  </w:endnote>
  <w:endnote w:type="continuationNotice" w:id="1">
    <w:p w14:paraId="3BA39FBB" w14:textId="77777777" w:rsidR="00E676AD" w:rsidRDefault="00E67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DC74D" w14:textId="5190DCD5" w:rsidR="00F3341B" w:rsidRPr="00D0083A" w:rsidRDefault="00F3341B" w:rsidP="00F3341B">
    <w:pPr>
      <w:pStyle w:val="Footer"/>
      <w:rPr>
        <w:sz w:val="16"/>
        <w:szCs w:val="16"/>
      </w:rPr>
    </w:pPr>
    <w:r w:rsidRPr="00D0083A">
      <w:rPr>
        <w:sz w:val="16"/>
        <w:szCs w:val="16"/>
      </w:rPr>
      <w:t>CMS 10393 11</w:t>
    </w:r>
    <w:r w:rsidRPr="00D0083A">
      <w:rPr>
        <w:sz w:val="16"/>
        <w:szCs w:val="16"/>
        <w:vertAlign w:val="superscript"/>
      </w:rPr>
      <w:t>th</w:t>
    </w:r>
    <w:r w:rsidRPr="00D0083A">
      <w:rPr>
        <w:sz w:val="16"/>
        <w:szCs w:val="16"/>
      </w:rPr>
      <w:t xml:space="preserve"> </w:t>
    </w:r>
    <w:r>
      <w:rPr>
        <w:sz w:val="16"/>
        <w:szCs w:val="16"/>
      </w:rPr>
      <w:t>SOW Supporting Statement Part B</w:t>
    </w:r>
  </w:p>
  <w:p w14:paraId="1303B0B0" w14:textId="79327033" w:rsidR="00F3341B" w:rsidRDefault="00A203CA" w:rsidP="00F3341B">
    <w:pPr>
      <w:pStyle w:val="Footer"/>
    </w:pPr>
    <w:r>
      <w:rPr>
        <w:sz w:val="16"/>
        <w:szCs w:val="16"/>
      </w:rPr>
      <w:t>4/4</w:t>
    </w:r>
    <w:r w:rsidR="00F3341B" w:rsidRPr="00D0083A">
      <w:rPr>
        <w:sz w:val="16"/>
        <w:szCs w:val="16"/>
      </w:rPr>
      <w:t>/2017</w:t>
    </w:r>
    <w:r w:rsidR="00F3341B">
      <w:tab/>
    </w:r>
    <w:r w:rsidR="00F3341B">
      <w:tab/>
    </w:r>
    <w:sdt>
      <w:sdtPr>
        <w:id w:val="-408611939"/>
        <w:docPartObj>
          <w:docPartGallery w:val="Page Numbers (Bottom of Page)"/>
          <w:docPartUnique/>
        </w:docPartObj>
      </w:sdtPr>
      <w:sdtEndPr>
        <w:rPr>
          <w:noProof/>
        </w:rPr>
      </w:sdtEndPr>
      <w:sdtContent>
        <w:r w:rsidR="00F3341B">
          <w:fldChar w:fldCharType="begin"/>
        </w:r>
        <w:r w:rsidR="00F3341B">
          <w:instrText xml:space="preserve"> PAGE   \* MERGEFORMAT </w:instrText>
        </w:r>
        <w:r w:rsidR="00F3341B">
          <w:fldChar w:fldCharType="separate"/>
        </w:r>
        <w:r w:rsidR="009B3FA3">
          <w:rPr>
            <w:noProof/>
          </w:rPr>
          <w:t>1</w:t>
        </w:r>
        <w:r w:rsidR="00F3341B">
          <w:rPr>
            <w:noProof/>
          </w:rPr>
          <w:fldChar w:fldCharType="end"/>
        </w:r>
      </w:sdtContent>
    </w:sdt>
  </w:p>
  <w:p w14:paraId="73513848" w14:textId="7A7F340C" w:rsidR="00F3341B" w:rsidRDefault="00F334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0D84C" w14:textId="77777777" w:rsidR="00E676AD" w:rsidRDefault="00E676AD" w:rsidP="00AC557C">
      <w:r>
        <w:separator/>
      </w:r>
    </w:p>
  </w:footnote>
  <w:footnote w:type="continuationSeparator" w:id="0">
    <w:p w14:paraId="67DC8D0A" w14:textId="77777777" w:rsidR="00E676AD" w:rsidRDefault="00E676AD" w:rsidP="00AC557C">
      <w:r>
        <w:continuationSeparator/>
      </w:r>
    </w:p>
  </w:footnote>
  <w:footnote w:type="continuationNotice" w:id="1">
    <w:p w14:paraId="2971FCB6" w14:textId="77777777" w:rsidR="00E676AD" w:rsidRDefault="00E676AD"/>
  </w:footnote>
  <w:footnote w:id="2">
    <w:p w14:paraId="69DD61B7" w14:textId="77777777" w:rsidR="00A2695A" w:rsidRPr="00896EDC" w:rsidRDefault="00A2695A" w:rsidP="00A2695A">
      <w:pPr>
        <w:pStyle w:val="FootnoteText"/>
      </w:pPr>
      <w:r w:rsidRPr="00896EDC">
        <w:rPr>
          <w:rStyle w:val="FootnoteReference"/>
        </w:rPr>
        <w:footnoteRef/>
      </w:r>
      <w:r w:rsidRPr="00896EDC">
        <w:t xml:space="preserve"> Burkhart, Q., A Haviland,</w:t>
      </w:r>
      <w:r>
        <w:t xml:space="preserve"> </w:t>
      </w:r>
      <w:r w:rsidRPr="00896EDC">
        <w:t>P. Kallaur, P. Kallaur, C. Edwards, J. Brown, and M. Elliott. 2015. How much do additional mailings and telephone calls contribute to response rates in a survey of Medicare Beneficiaries?  Field Methods. Vol 27(4) 409-425.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4175"/>
    <w:multiLevelType w:val="hybridMultilevel"/>
    <w:tmpl w:val="B6A69244"/>
    <w:lvl w:ilvl="0" w:tplc="04090015">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63DA1"/>
    <w:multiLevelType w:val="hybridMultilevel"/>
    <w:tmpl w:val="E37E100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C7F35"/>
    <w:multiLevelType w:val="hybridMultilevel"/>
    <w:tmpl w:val="46245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26E0C"/>
    <w:multiLevelType w:val="hybridMultilevel"/>
    <w:tmpl w:val="41A6100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16B3016C"/>
    <w:multiLevelType w:val="hybridMultilevel"/>
    <w:tmpl w:val="72CEC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F46071"/>
    <w:multiLevelType w:val="hybridMultilevel"/>
    <w:tmpl w:val="592A2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621B01"/>
    <w:multiLevelType w:val="hybridMultilevel"/>
    <w:tmpl w:val="61A0D06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7">
    <w:nsid w:val="228D356F"/>
    <w:multiLevelType w:val="hybridMultilevel"/>
    <w:tmpl w:val="3E28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A31124"/>
    <w:multiLevelType w:val="hybridMultilevel"/>
    <w:tmpl w:val="7A408E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CC458F"/>
    <w:multiLevelType w:val="hybridMultilevel"/>
    <w:tmpl w:val="09E86CB2"/>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97C2A21"/>
    <w:multiLevelType w:val="hybridMultilevel"/>
    <w:tmpl w:val="F1D8A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BF17AC"/>
    <w:multiLevelType w:val="hybridMultilevel"/>
    <w:tmpl w:val="D4D6B3B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2B0777DA"/>
    <w:multiLevelType w:val="hybridMultilevel"/>
    <w:tmpl w:val="83942EBA"/>
    <w:lvl w:ilvl="0" w:tplc="F03A9F66">
      <w:start w:val="2"/>
      <w:numFmt w:val="upperLetter"/>
      <w:pStyle w:val="Heading1"/>
      <w:lvlText w:val="%1."/>
      <w:lvlJc w:val="left"/>
      <w:pPr>
        <w:ind w:left="720" w:hanging="360"/>
      </w:pPr>
      <w:rPr>
        <w:rFonts w:ascii="Times New Roman" w:eastAsia="Calibri"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D35524"/>
    <w:multiLevelType w:val="hybridMultilevel"/>
    <w:tmpl w:val="28ACC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7D44B7"/>
    <w:multiLevelType w:val="hybridMultilevel"/>
    <w:tmpl w:val="F3DCDB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0E1818"/>
    <w:multiLevelType w:val="hybridMultilevel"/>
    <w:tmpl w:val="495A87E2"/>
    <w:lvl w:ilvl="0" w:tplc="81AC1296">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B81EA0"/>
    <w:multiLevelType w:val="hybridMultilevel"/>
    <w:tmpl w:val="405A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B73624"/>
    <w:multiLevelType w:val="hybridMultilevel"/>
    <w:tmpl w:val="ADC87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C10EC4"/>
    <w:multiLevelType w:val="hybridMultilevel"/>
    <w:tmpl w:val="4A8C6B14"/>
    <w:lvl w:ilvl="0" w:tplc="0409000F">
      <w:start w:val="1"/>
      <w:numFmt w:val="decimal"/>
      <w:lvlText w:val="%1."/>
      <w:lvlJc w:val="left"/>
      <w:pPr>
        <w:ind w:left="108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5BE68A9"/>
    <w:multiLevelType w:val="hybridMultilevel"/>
    <w:tmpl w:val="D5FEF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9E693B"/>
    <w:multiLevelType w:val="hybridMultilevel"/>
    <w:tmpl w:val="0FA46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AA78FC"/>
    <w:multiLevelType w:val="hybridMultilevel"/>
    <w:tmpl w:val="6C9C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391EA8"/>
    <w:multiLevelType w:val="hybridMultilevel"/>
    <w:tmpl w:val="AC20E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C763CA"/>
    <w:multiLevelType w:val="hybridMultilevel"/>
    <w:tmpl w:val="F2903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DD02F1"/>
    <w:multiLevelType w:val="hybridMultilevel"/>
    <w:tmpl w:val="0F12A346"/>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502899"/>
    <w:multiLevelType w:val="hybridMultilevel"/>
    <w:tmpl w:val="0AD86F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E55061"/>
    <w:multiLevelType w:val="singleLevel"/>
    <w:tmpl w:val="DF22A82E"/>
    <w:lvl w:ilvl="0">
      <w:start w:val="1"/>
      <w:numFmt w:val="decimal"/>
      <w:lvlText w:val="%1."/>
      <w:lvlJc w:val="left"/>
      <w:pPr>
        <w:tabs>
          <w:tab w:val="num" w:pos="1080"/>
        </w:tabs>
        <w:ind w:left="1080" w:hanging="360"/>
      </w:pPr>
      <w:rPr>
        <w:rFonts w:hint="default"/>
        <w:u w:val="none"/>
      </w:rPr>
    </w:lvl>
  </w:abstractNum>
  <w:abstractNum w:abstractNumId="27">
    <w:nsid w:val="459826CD"/>
    <w:multiLevelType w:val="hybridMultilevel"/>
    <w:tmpl w:val="78E4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5A1AEF"/>
    <w:multiLevelType w:val="hybridMultilevel"/>
    <w:tmpl w:val="8854779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CB0C26"/>
    <w:multiLevelType w:val="hybridMultilevel"/>
    <w:tmpl w:val="B0ECE836"/>
    <w:lvl w:ilvl="0" w:tplc="2216F48C">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14604C"/>
    <w:multiLevelType w:val="hybridMultilevel"/>
    <w:tmpl w:val="6B54ED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1CF4618"/>
    <w:multiLevelType w:val="hybridMultilevel"/>
    <w:tmpl w:val="ADC87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223C4D"/>
    <w:multiLevelType w:val="hybridMultilevel"/>
    <w:tmpl w:val="20CEF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3DD01D4"/>
    <w:multiLevelType w:val="hybridMultilevel"/>
    <w:tmpl w:val="9484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2074C8"/>
    <w:multiLevelType w:val="hybridMultilevel"/>
    <w:tmpl w:val="CA1E61DE"/>
    <w:lvl w:ilvl="0" w:tplc="30860E0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nsid w:val="59F83BC4"/>
    <w:multiLevelType w:val="hybridMultilevel"/>
    <w:tmpl w:val="27C2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132591"/>
    <w:multiLevelType w:val="hybridMultilevel"/>
    <w:tmpl w:val="B2D88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FD46B5"/>
    <w:multiLevelType w:val="hybridMultilevel"/>
    <w:tmpl w:val="F7E0FFA6"/>
    <w:lvl w:ilvl="0" w:tplc="B0A4FD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7614FF8"/>
    <w:multiLevelType w:val="hybridMultilevel"/>
    <w:tmpl w:val="7270B336"/>
    <w:lvl w:ilvl="0" w:tplc="F3DCC104">
      <w:start w:val="1"/>
      <w:numFmt w:val="lowerLetter"/>
      <w:lvlText w:val="%1."/>
      <w:lvlJc w:val="left"/>
      <w:pPr>
        <w:ind w:left="720" w:hanging="360"/>
      </w:pPr>
      <w:rPr>
        <w:rFonts w:ascii="Calibri" w:eastAsia="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025993"/>
    <w:multiLevelType w:val="singleLevel"/>
    <w:tmpl w:val="7D90668A"/>
    <w:lvl w:ilvl="0">
      <w:start w:val="1"/>
      <w:numFmt w:val="upperLetter"/>
      <w:lvlText w:val="%1."/>
      <w:lvlJc w:val="left"/>
      <w:pPr>
        <w:tabs>
          <w:tab w:val="num" w:pos="390"/>
        </w:tabs>
        <w:ind w:left="390" w:hanging="390"/>
      </w:pPr>
      <w:rPr>
        <w:rFonts w:hint="default"/>
        <w:b/>
        <w:sz w:val="24"/>
        <w:szCs w:val="24"/>
        <w:u w:val="single"/>
      </w:rPr>
    </w:lvl>
  </w:abstractNum>
  <w:abstractNum w:abstractNumId="40">
    <w:nsid w:val="6FC81624"/>
    <w:multiLevelType w:val="hybridMultilevel"/>
    <w:tmpl w:val="1998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0F001C"/>
    <w:multiLevelType w:val="hybridMultilevel"/>
    <w:tmpl w:val="A52C395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2">
    <w:nsid w:val="775E2556"/>
    <w:multiLevelType w:val="hybridMultilevel"/>
    <w:tmpl w:val="0446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1D21E4"/>
    <w:multiLevelType w:val="hybridMultilevel"/>
    <w:tmpl w:val="D15AF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013D52"/>
    <w:multiLevelType w:val="hybridMultilevel"/>
    <w:tmpl w:val="5DC4B3B0"/>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A6E2BEA"/>
    <w:multiLevelType w:val="hybridMultilevel"/>
    <w:tmpl w:val="E10AC8F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777F42"/>
    <w:multiLevelType w:val="hybridMultilevel"/>
    <w:tmpl w:val="331AE1A6"/>
    <w:lvl w:ilvl="0" w:tplc="15DE36EA">
      <w:start w:val="410"/>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7">
    <w:nsid w:val="7AC24A91"/>
    <w:multiLevelType w:val="hybridMultilevel"/>
    <w:tmpl w:val="FB2A21D2"/>
    <w:lvl w:ilvl="0" w:tplc="53323156">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9E7D4D"/>
    <w:multiLevelType w:val="hybridMultilevel"/>
    <w:tmpl w:val="A2341E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067D61"/>
    <w:multiLevelType w:val="hybridMultilevel"/>
    <w:tmpl w:val="7C06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6"/>
  </w:num>
  <w:num w:numId="3">
    <w:abstractNumId w:val="9"/>
  </w:num>
  <w:num w:numId="4">
    <w:abstractNumId w:val="41"/>
  </w:num>
  <w:num w:numId="5">
    <w:abstractNumId w:val="18"/>
  </w:num>
  <w:num w:numId="6">
    <w:abstractNumId w:val="16"/>
  </w:num>
  <w:num w:numId="7">
    <w:abstractNumId w:val="43"/>
  </w:num>
  <w:num w:numId="8">
    <w:abstractNumId w:val="46"/>
  </w:num>
  <w:num w:numId="9">
    <w:abstractNumId w:val="24"/>
  </w:num>
  <w:num w:numId="10">
    <w:abstractNumId w:val="10"/>
  </w:num>
  <w:num w:numId="11">
    <w:abstractNumId w:val="34"/>
  </w:num>
  <w:num w:numId="12">
    <w:abstractNumId w:val="15"/>
  </w:num>
  <w:num w:numId="13">
    <w:abstractNumId w:val="45"/>
  </w:num>
  <w:num w:numId="14">
    <w:abstractNumId w:val="1"/>
  </w:num>
  <w:num w:numId="15">
    <w:abstractNumId w:val="47"/>
  </w:num>
  <w:num w:numId="16">
    <w:abstractNumId w:val="0"/>
  </w:num>
  <w:num w:numId="17">
    <w:abstractNumId w:val="38"/>
  </w:num>
  <w:num w:numId="18">
    <w:abstractNumId w:val="11"/>
  </w:num>
  <w:num w:numId="19">
    <w:abstractNumId w:val="6"/>
  </w:num>
  <w:num w:numId="20">
    <w:abstractNumId w:val="37"/>
  </w:num>
  <w:num w:numId="21">
    <w:abstractNumId w:val="12"/>
  </w:num>
  <w:num w:numId="22">
    <w:abstractNumId w:val="29"/>
  </w:num>
  <w:num w:numId="23">
    <w:abstractNumId w:val="13"/>
  </w:num>
  <w:num w:numId="24">
    <w:abstractNumId w:val="25"/>
  </w:num>
  <w:num w:numId="25">
    <w:abstractNumId w:val="14"/>
  </w:num>
  <w:num w:numId="26">
    <w:abstractNumId w:val="20"/>
  </w:num>
  <w:num w:numId="27">
    <w:abstractNumId w:val="2"/>
  </w:num>
  <w:num w:numId="28">
    <w:abstractNumId w:val="8"/>
  </w:num>
  <w:num w:numId="29">
    <w:abstractNumId w:val="44"/>
  </w:num>
  <w:num w:numId="30">
    <w:abstractNumId w:val="48"/>
  </w:num>
  <w:num w:numId="31">
    <w:abstractNumId w:val="30"/>
  </w:num>
  <w:num w:numId="32">
    <w:abstractNumId w:val="28"/>
  </w:num>
  <w:num w:numId="33">
    <w:abstractNumId w:val="32"/>
  </w:num>
  <w:num w:numId="34">
    <w:abstractNumId w:val="40"/>
  </w:num>
  <w:num w:numId="35">
    <w:abstractNumId w:val="27"/>
  </w:num>
  <w:num w:numId="36">
    <w:abstractNumId w:val="5"/>
  </w:num>
  <w:num w:numId="37">
    <w:abstractNumId w:val="22"/>
  </w:num>
  <w:num w:numId="38">
    <w:abstractNumId w:val="49"/>
  </w:num>
  <w:num w:numId="39">
    <w:abstractNumId w:val="23"/>
  </w:num>
  <w:num w:numId="40">
    <w:abstractNumId w:val="19"/>
  </w:num>
  <w:num w:numId="41">
    <w:abstractNumId w:val="36"/>
  </w:num>
  <w:num w:numId="42">
    <w:abstractNumId w:val="33"/>
  </w:num>
  <w:num w:numId="43">
    <w:abstractNumId w:val="21"/>
  </w:num>
  <w:num w:numId="44">
    <w:abstractNumId w:val="35"/>
  </w:num>
  <w:num w:numId="45">
    <w:abstractNumId w:val="7"/>
  </w:num>
  <w:num w:numId="46">
    <w:abstractNumId w:val="3"/>
  </w:num>
  <w:num w:numId="47">
    <w:abstractNumId w:val="31"/>
  </w:num>
  <w:num w:numId="48">
    <w:abstractNumId w:val="17"/>
  </w:num>
  <w:num w:numId="49">
    <w:abstractNumId w:val="4"/>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E83"/>
    <w:rsid w:val="00002495"/>
    <w:rsid w:val="00015DA4"/>
    <w:rsid w:val="00016068"/>
    <w:rsid w:val="00020576"/>
    <w:rsid w:val="00020869"/>
    <w:rsid w:val="00021E03"/>
    <w:rsid w:val="0002311F"/>
    <w:rsid w:val="000500F5"/>
    <w:rsid w:val="00051B2C"/>
    <w:rsid w:val="00056500"/>
    <w:rsid w:val="00057D8C"/>
    <w:rsid w:val="00066CAE"/>
    <w:rsid w:val="000715AE"/>
    <w:rsid w:val="000720EA"/>
    <w:rsid w:val="000738C3"/>
    <w:rsid w:val="00074C58"/>
    <w:rsid w:val="00074DB4"/>
    <w:rsid w:val="00082702"/>
    <w:rsid w:val="00084E6F"/>
    <w:rsid w:val="000931DF"/>
    <w:rsid w:val="00096B75"/>
    <w:rsid w:val="000B16E4"/>
    <w:rsid w:val="000B273E"/>
    <w:rsid w:val="000D524C"/>
    <w:rsid w:val="000E30C7"/>
    <w:rsid w:val="000E439F"/>
    <w:rsid w:val="000F1AD3"/>
    <w:rsid w:val="000F4566"/>
    <w:rsid w:val="001036CE"/>
    <w:rsid w:val="00115424"/>
    <w:rsid w:val="001253BE"/>
    <w:rsid w:val="0013659E"/>
    <w:rsid w:val="00137351"/>
    <w:rsid w:val="0014026C"/>
    <w:rsid w:val="00145134"/>
    <w:rsid w:val="001621B4"/>
    <w:rsid w:val="00173A31"/>
    <w:rsid w:val="00173FA7"/>
    <w:rsid w:val="00187AED"/>
    <w:rsid w:val="001A3F22"/>
    <w:rsid w:val="001A7153"/>
    <w:rsid w:val="001B1F93"/>
    <w:rsid w:val="001B29C9"/>
    <w:rsid w:val="001B77F5"/>
    <w:rsid w:val="001D7890"/>
    <w:rsid w:val="001D7DC9"/>
    <w:rsid w:val="001E0A9B"/>
    <w:rsid w:val="001E4EBB"/>
    <w:rsid w:val="001E7560"/>
    <w:rsid w:val="001F65CE"/>
    <w:rsid w:val="001F6CE8"/>
    <w:rsid w:val="00201EE5"/>
    <w:rsid w:val="00206755"/>
    <w:rsid w:val="00214C61"/>
    <w:rsid w:val="0021697B"/>
    <w:rsid w:val="00220139"/>
    <w:rsid w:val="0024024B"/>
    <w:rsid w:val="00242CF5"/>
    <w:rsid w:val="00264930"/>
    <w:rsid w:val="00271D03"/>
    <w:rsid w:val="00280FE0"/>
    <w:rsid w:val="002821B0"/>
    <w:rsid w:val="00283668"/>
    <w:rsid w:val="002938AD"/>
    <w:rsid w:val="0029578C"/>
    <w:rsid w:val="002A761E"/>
    <w:rsid w:val="002C55DB"/>
    <w:rsid w:val="002D3B6B"/>
    <w:rsid w:val="002D3E0C"/>
    <w:rsid w:val="002E425A"/>
    <w:rsid w:val="002E60B3"/>
    <w:rsid w:val="002E657E"/>
    <w:rsid w:val="002E6B82"/>
    <w:rsid w:val="002E77B4"/>
    <w:rsid w:val="002E78E7"/>
    <w:rsid w:val="002F0023"/>
    <w:rsid w:val="003012FF"/>
    <w:rsid w:val="00306921"/>
    <w:rsid w:val="00307124"/>
    <w:rsid w:val="00315EE4"/>
    <w:rsid w:val="00316D2E"/>
    <w:rsid w:val="00323567"/>
    <w:rsid w:val="003257A3"/>
    <w:rsid w:val="00326CCA"/>
    <w:rsid w:val="00334271"/>
    <w:rsid w:val="003449B8"/>
    <w:rsid w:val="003672C3"/>
    <w:rsid w:val="00377C9B"/>
    <w:rsid w:val="0038064C"/>
    <w:rsid w:val="003908FD"/>
    <w:rsid w:val="00392E02"/>
    <w:rsid w:val="00395020"/>
    <w:rsid w:val="003A587B"/>
    <w:rsid w:val="003A6BA5"/>
    <w:rsid w:val="003B205D"/>
    <w:rsid w:val="003B351B"/>
    <w:rsid w:val="003B4802"/>
    <w:rsid w:val="003C0617"/>
    <w:rsid w:val="003D1A9F"/>
    <w:rsid w:val="003E419E"/>
    <w:rsid w:val="00401690"/>
    <w:rsid w:val="00412785"/>
    <w:rsid w:val="0041347B"/>
    <w:rsid w:val="004157F5"/>
    <w:rsid w:val="00426FAD"/>
    <w:rsid w:val="00427294"/>
    <w:rsid w:val="004341E9"/>
    <w:rsid w:val="00437415"/>
    <w:rsid w:val="00467C00"/>
    <w:rsid w:val="0047561F"/>
    <w:rsid w:val="00484A26"/>
    <w:rsid w:val="004955C6"/>
    <w:rsid w:val="004B1628"/>
    <w:rsid w:val="004C06A1"/>
    <w:rsid w:val="004E2225"/>
    <w:rsid w:val="004E24D6"/>
    <w:rsid w:val="004E6722"/>
    <w:rsid w:val="004F7BC0"/>
    <w:rsid w:val="00524EFC"/>
    <w:rsid w:val="00530522"/>
    <w:rsid w:val="005359CC"/>
    <w:rsid w:val="00537783"/>
    <w:rsid w:val="005400E0"/>
    <w:rsid w:val="00552201"/>
    <w:rsid w:val="00554389"/>
    <w:rsid w:val="00572001"/>
    <w:rsid w:val="005745F9"/>
    <w:rsid w:val="00583EC6"/>
    <w:rsid w:val="0059458F"/>
    <w:rsid w:val="005B3554"/>
    <w:rsid w:val="005B3FF6"/>
    <w:rsid w:val="005C064A"/>
    <w:rsid w:val="005C40A7"/>
    <w:rsid w:val="005C52BD"/>
    <w:rsid w:val="005D00D1"/>
    <w:rsid w:val="005D00D7"/>
    <w:rsid w:val="005F0F13"/>
    <w:rsid w:val="005F4DCC"/>
    <w:rsid w:val="005F6791"/>
    <w:rsid w:val="006037CC"/>
    <w:rsid w:val="0060482A"/>
    <w:rsid w:val="006338AD"/>
    <w:rsid w:val="00633D45"/>
    <w:rsid w:val="00640EE9"/>
    <w:rsid w:val="006437C4"/>
    <w:rsid w:val="00652965"/>
    <w:rsid w:val="00655871"/>
    <w:rsid w:val="006565DC"/>
    <w:rsid w:val="006625BB"/>
    <w:rsid w:val="006703DD"/>
    <w:rsid w:val="006736CE"/>
    <w:rsid w:val="006819B3"/>
    <w:rsid w:val="006914C1"/>
    <w:rsid w:val="006926D5"/>
    <w:rsid w:val="00697EB4"/>
    <w:rsid w:val="006A124F"/>
    <w:rsid w:val="006A2BA5"/>
    <w:rsid w:val="006A73CA"/>
    <w:rsid w:val="006B341C"/>
    <w:rsid w:val="006B3B98"/>
    <w:rsid w:val="006C2735"/>
    <w:rsid w:val="006C42C4"/>
    <w:rsid w:val="006C5FB8"/>
    <w:rsid w:val="006C7CF5"/>
    <w:rsid w:val="006E6BF5"/>
    <w:rsid w:val="006F1B7E"/>
    <w:rsid w:val="006F65D7"/>
    <w:rsid w:val="00710CEB"/>
    <w:rsid w:val="007302F5"/>
    <w:rsid w:val="00731AB9"/>
    <w:rsid w:val="00735B8B"/>
    <w:rsid w:val="00735E75"/>
    <w:rsid w:val="00736039"/>
    <w:rsid w:val="00737CB0"/>
    <w:rsid w:val="0074074C"/>
    <w:rsid w:val="00741A6A"/>
    <w:rsid w:val="00745B80"/>
    <w:rsid w:val="00757C56"/>
    <w:rsid w:val="00765D15"/>
    <w:rsid w:val="007670EC"/>
    <w:rsid w:val="0077353F"/>
    <w:rsid w:val="00774959"/>
    <w:rsid w:val="00775D52"/>
    <w:rsid w:val="00784F28"/>
    <w:rsid w:val="007905C8"/>
    <w:rsid w:val="007A10D2"/>
    <w:rsid w:val="007A219B"/>
    <w:rsid w:val="007A7CAB"/>
    <w:rsid w:val="007B713E"/>
    <w:rsid w:val="007C06A5"/>
    <w:rsid w:val="007C272C"/>
    <w:rsid w:val="007C595B"/>
    <w:rsid w:val="007C5E5A"/>
    <w:rsid w:val="007D2C97"/>
    <w:rsid w:val="007D5760"/>
    <w:rsid w:val="007E4CE5"/>
    <w:rsid w:val="00802A0F"/>
    <w:rsid w:val="0081435B"/>
    <w:rsid w:val="0083242A"/>
    <w:rsid w:val="00836741"/>
    <w:rsid w:val="00841BF1"/>
    <w:rsid w:val="00844DF2"/>
    <w:rsid w:val="00850D1B"/>
    <w:rsid w:val="008624CC"/>
    <w:rsid w:val="008633C0"/>
    <w:rsid w:val="00883396"/>
    <w:rsid w:val="00883FFB"/>
    <w:rsid w:val="00887087"/>
    <w:rsid w:val="008A1506"/>
    <w:rsid w:val="008A169A"/>
    <w:rsid w:val="008A37B1"/>
    <w:rsid w:val="008B07BE"/>
    <w:rsid w:val="008D7253"/>
    <w:rsid w:val="008E43EC"/>
    <w:rsid w:val="008E4879"/>
    <w:rsid w:val="009051ED"/>
    <w:rsid w:val="009052EC"/>
    <w:rsid w:val="009077EE"/>
    <w:rsid w:val="0091082B"/>
    <w:rsid w:val="0092765F"/>
    <w:rsid w:val="00927AED"/>
    <w:rsid w:val="009301C7"/>
    <w:rsid w:val="009416F7"/>
    <w:rsid w:val="0095306E"/>
    <w:rsid w:val="00965FCD"/>
    <w:rsid w:val="00972117"/>
    <w:rsid w:val="00975C65"/>
    <w:rsid w:val="00975F6A"/>
    <w:rsid w:val="00976CFF"/>
    <w:rsid w:val="00980C91"/>
    <w:rsid w:val="00986AF6"/>
    <w:rsid w:val="00986CBD"/>
    <w:rsid w:val="00991817"/>
    <w:rsid w:val="00995230"/>
    <w:rsid w:val="00997087"/>
    <w:rsid w:val="009A6F7D"/>
    <w:rsid w:val="009B3FA3"/>
    <w:rsid w:val="009C186A"/>
    <w:rsid w:val="009C1C2B"/>
    <w:rsid w:val="009C5B74"/>
    <w:rsid w:val="009D02DE"/>
    <w:rsid w:val="009D586C"/>
    <w:rsid w:val="009E0D95"/>
    <w:rsid w:val="009E4095"/>
    <w:rsid w:val="009E7E6D"/>
    <w:rsid w:val="009F1F30"/>
    <w:rsid w:val="009F2579"/>
    <w:rsid w:val="009F7D61"/>
    <w:rsid w:val="00A06BC6"/>
    <w:rsid w:val="00A16B99"/>
    <w:rsid w:val="00A203CA"/>
    <w:rsid w:val="00A21955"/>
    <w:rsid w:val="00A2695A"/>
    <w:rsid w:val="00A33F4A"/>
    <w:rsid w:val="00A35281"/>
    <w:rsid w:val="00A35957"/>
    <w:rsid w:val="00A378EB"/>
    <w:rsid w:val="00A37DE0"/>
    <w:rsid w:val="00A42753"/>
    <w:rsid w:val="00A429A1"/>
    <w:rsid w:val="00A56111"/>
    <w:rsid w:val="00A66652"/>
    <w:rsid w:val="00A71936"/>
    <w:rsid w:val="00A71FC3"/>
    <w:rsid w:val="00A723E1"/>
    <w:rsid w:val="00AA3AEC"/>
    <w:rsid w:val="00AA677B"/>
    <w:rsid w:val="00AC0857"/>
    <w:rsid w:val="00AC381E"/>
    <w:rsid w:val="00AC557C"/>
    <w:rsid w:val="00AC5AF5"/>
    <w:rsid w:val="00AD5682"/>
    <w:rsid w:val="00AE28A2"/>
    <w:rsid w:val="00AE41FD"/>
    <w:rsid w:val="00AF2322"/>
    <w:rsid w:val="00AF6A8A"/>
    <w:rsid w:val="00B0202B"/>
    <w:rsid w:val="00B033E3"/>
    <w:rsid w:val="00B06B0D"/>
    <w:rsid w:val="00B074A8"/>
    <w:rsid w:val="00B21465"/>
    <w:rsid w:val="00B24202"/>
    <w:rsid w:val="00B35B99"/>
    <w:rsid w:val="00B438BC"/>
    <w:rsid w:val="00B52BA5"/>
    <w:rsid w:val="00B54594"/>
    <w:rsid w:val="00B54FFF"/>
    <w:rsid w:val="00B55D02"/>
    <w:rsid w:val="00B667D1"/>
    <w:rsid w:val="00B679E3"/>
    <w:rsid w:val="00B73848"/>
    <w:rsid w:val="00B77339"/>
    <w:rsid w:val="00B816DB"/>
    <w:rsid w:val="00B81793"/>
    <w:rsid w:val="00B81F04"/>
    <w:rsid w:val="00B83242"/>
    <w:rsid w:val="00B94510"/>
    <w:rsid w:val="00BA3C18"/>
    <w:rsid w:val="00BA4731"/>
    <w:rsid w:val="00BA74F4"/>
    <w:rsid w:val="00BB0BEB"/>
    <w:rsid w:val="00BB1926"/>
    <w:rsid w:val="00BB4756"/>
    <w:rsid w:val="00BB75CF"/>
    <w:rsid w:val="00BC0DC0"/>
    <w:rsid w:val="00BC2A85"/>
    <w:rsid w:val="00BC30EE"/>
    <w:rsid w:val="00BC41FF"/>
    <w:rsid w:val="00BC4237"/>
    <w:rsid w:val="00BC425B"/>
    <w:rsid w:val="00BD0078"/>
    <w:rsid w:val="00BD7382"/>
    <w:rsid w:val="00BD7D25"/>
    <w:rsid w:val="00BE7242"/>
    <w:rsid w:val="00BE75B1"/>
    <w:rsid w:val="00BF5750"/>
    <w:rsid w:val="00C0247E"/>
    <w:rsid w:val="00C06EB3"/>
    <w:rsid w:val="00C06FB1"/>
    <w:rsid w:val="00C0708C"/>
    <w:rsid w:val="00C20CAE"/>
    <w:rsid w:val="00C3195B"/>
    <w:rsid w:val="00C324FF"/>
    <w:rsid w:val="00C46CD2"/>
    <w:rsid w:val="00C50139"/>
    <w:rsid w:val="00C50BE4"/>
    <w:rsid w:val="00C52DB7"/>
    <w:rsid w:val="00C54849"/>
    <w:rsid w:val="00C73172"/>
    <w:rsid w:val="00C95057"/>
    <w:rsid w:val="00C968C4"/>
    <w:rsid w:val="00CA133D"/>
    <w:rsid w:val="00CA62C0"/>
    <w:rsid w:val="00CA77B0"/>
    <w:rsid w:val="00CC4FF6"/>
    <w:rsid w:val="00CC558C"/>
    <w:rsid w:val="00CD3F54"/>
    <w:rsid w:val="00CE12EF"/>
    <w:rsid w:val="00CE2ED3"/>
    <w:rsid w:val="00CE5718"/>
    <w:rsid w:val="00CF4F29"/>
    <w:rsid w:val="00CF5A3F"/>
    <w:rsid w:val="00D11734"/>
    <w:rsid w:val="00D13899"/>
    <w:rsid w:val="00D1494E"/>
    <w:rsid w:val="00D15AFD"/>
    <w:rsid w:val="00D23670"/>
    <w:rsid w:val="00D23AEC"/>
    <w:rsid w:val="00D319E0"/>
    <w:rsid w:val="00D32851"/>
    <w:rsid w:val="00D358A1"/>
    <w:rsid w:val="00D36740"/>
    <w:rsid w:val="00D44348"/>
    <w:rsid w:val="00D45C43"/>
    <w:rsid w:val="00D4722A"/>
    <w:rsid w:val="00D54CBD"/>
    <w:rsid w:val="00D82190"/>
    <w:rsid w:val="00D85709"/>
    <w:rsid w:val="00DA33D5"/>
    <w:rsid w:val="00DA50A5"/>
    <w:rsid w:val="00DB331D"/>
    <w:rsid w:val="00DC270B"/>
    <w:rsid w:val="00DD3A73"/>
    <w:rsid w:val="00DE7AE2"/>
    <w:rsid w:val="00DF24AE"/>
    <w:rsid w:val="00DF5ABC"/>
    <w:rsid w:val="00E10A12"/>
    <w:rsid w:val="00E14B14"/>
    <w:rsid w:val="00E14CB4"/>
    <w:rsid w:val="00E17F57"/>
    <w:rsid w:val="00E203D7"/>
    <w:rsid w:val="00E33491"/>
    <w:rsid w:val="00E34C89"/>
    <w:rsid w:val="00E3744E"/>
    <w:rsid w:val="00E441EE"/>
    <w:rsid w:val="00E44244"/>
    <w:rsid w:val="00E54552"/>
    <w:rsid w:val="00E60C9E"/>
    <w:rsid w:val="00E65D79"/>
    <w:rsid w:val="00E66C11"/>
    <w:rsid w:val="00E676AD"/>
    <w:rsid w:val="00E77C53"/>
    <w:rsid w:val="00E77E83"/>
    <w:rsid w:val="00E85C9F"/>
    <w:rsid w:val="00E93433"/>
    <w:rsid w:val="00E96ECD"/>
    <w:rsid w:val="00EA0374"/>
    <w:rsid w:val="00EA0F4D"/>
    <w:rsid w:val="00EA1BE4"/>
    <w:rsid w:val="00EA444C"/>
    <w:rsid w:val="00EA6237"/>
    <w:rsid w:val="00EA6466"/>
    <w:rsid w:val="00EA6D08"/>
    <w:rsid w:val="00EA764F"/>
    <w:rsid w:val="00EB1477"/>
    <w:rsid w:val="00EC577D"/>
    <w:rsid w:val="00ED22D2"/>
    <w:rsid w:val="00F001F9"/>
    <w:rsid w:val="00F047E2"/>
    <w:rsid w:val="00F3341B"/>
    <w:rsid w:val="00F34278"/>
    <w:rsid w:val="00F40F34"/>
    <w:rsid w:val="00F40FC3"/>
    <w:rsid w:val="00F441D0"/>
    <w:rsid w:val="00F443F1"/>
    <w:rsid w:val="00F461E4"/>
    <w:rsid w:val="00F4683C"/>
    <w:rsid w:val="00F511C5"/>
    <w:rsid w:val="00F73CE4"/>
    <w:rsid w:val="00F74CDE"/>
    <w:rsid w:val="00F817D3"/>
    <w:rsid w:val="00F86787"/>
    <w:rsid w:val="00F91C52"/>
    <w:rsid w:val="00F938B5"/>
    <w:rsid w:val="00FA3C79"/>
    <w:rsid w:val="00FA5213"/>
    <w:rsid w:val="00FB26DD"/>
    <w:rsid w:val="00FB5E54"/>
    <w:rsid w:val="00FC5666"/>
    <w:rsid w:val="00FD3A77"/>
    <w:rsid w:val="00FD4856"/>
    <w:rsid w:val="00FD4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A5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567"/>
    <w:rPr>
      <w:sz w:val="24"/>
      <w:lang w:bidi="ar-SA"/>
    </w:rPr>
  </w:style>
  <w:style w:type="paragraph" w:styleId="Heading1">
    <w:name w:val="heading 1"/>
    <w:basedOn w:val="ListParagraph"/>
    <w:next w:val="Normal"/>
    <w:qFormat/>
    <w:rsid w:val="003E419E"/>
    <w:pPr>
      <w:numPr>
        <w:numId w:val="21"/>
      </w:numPr>
      <w:outlineLvl w:val="0"/>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23567"/>
    <w:rPr>
      <w:b/>
      <w:sz w:val="22"/>
    </w:rPr>
  </w:style>
  <w:style w:type="paragraph" w:styleId="BodyTextIndent">
    <w:name w:val="Body Text Indent"/>
    <w:basedOn w:val="Normal"/>
    <w:rsid w:val="00323567"/>
    <w:pPr>
      <w:ind w:left="450"/>
    </w:pPr>
    <w:rPr>
      <w:sz w:val="22"/>
    </w:rPr>
  </w:style>
  <w:style w:type="paragraph" w:customStyle="1" w:styleId="DefinitionList">
    <w:name w:val="Definition List"/>
    <w:basedOn w:val="Normal"/>
    <w:next w:val="Normal"/>
    <w:rsid w:val="00323567"/>
    <w:pPr>
      <w:ind w:left="360"/>
    </w:pPr>
    <w:rPr>
      <w:snapToGrid w:val="0"/>
    </w:rPr>
  </w:style>
  <w:style w:type="paragraph" w:styleId="BodyText2">
    <w:name w:val="Body Text 2"/>
    <w:basedOn w:val="Normal"/>
    <w:rsid w:val="00323567"/>
    <w:rPr>
      <w:sz w:val="22"/>
    </w:rPr>
  </w:style>
  <w:style w:type="paragraph" w:styleId="ListParagraph">
    <w:name w:val="List Paragraph"/>
    <w:basedOn w:val="Normal"/>
    <w:uiPriority w:val="34"/>
    <w:qFormat/>
    <w:rsid w:val="00E77C53"/>
    <w:pPr>
      <w:spacing w:after="200" w:line="276" w:lineRule="auto"/>
      <w:ind w:left="720"/>
      <w:contextualSpacing/>
    </w:pPr>
    <w:rPr>
      <w:rFonts w:ascii="Calibri" w:eastAsia="Calibri" w:hAnsi="Calibri"/>
      <w:sz w:val="22"/>
      <w:lang w:bidi="hi-IN"/>
    </w:rPr>
  </w:style>
  <w:style w:type="paragraph" w:styleId="BalloonText">
    <w:name w:val="Balloon Text"/>
    <w:basedOn w:val="Normal"/>
    <w:link w:val="BalloonTextChar"/>
    <w:rsid w:val="009F1F30"/>
    <w:rPr>
      <w:rFonts w:ascii="Tahoma" w:hAnsi="Tahoma" w:cs="Tahoma"/>
      <w:sz w:val="16"/>
      <w:szCs w:val="16"/>
    </w:rPr>
  </w:style>
  <w:style w:type="character" w:customStyle="1" w:styleId="BalloonTextChar">
    <w:name w:val="Balloon Text Char"/>
    <w:basedOn w:val="DefaultParagraphFont"/>
    <w:link w:val="BalloonText"/>
    <w:rsid w:val="009F1F30"/>
    <w:rPr>
      <w:rFonts w:ascii="Tahoma" w:hAnsi="Tahoma" w:cs="Tahoma"/>
      <w:sz w:val="16"/>
      <w:szCs w:val="16"/>
    </w:rPr>
  </w:style>
  <w:style w:type="character" w:styleId="Hyperlink">
    <w:name w:val="Hyperlink"/>
    <w:basedOn w:val="DefaultParagraphFont"/>
    <w:uiPriority w:val="99"/>
    <w:rsid w:val="00B679E3"/>
    <w:rPr>
      <w:color w:val="0000FF"/>
      <w:u w:val="single"/>
    </w:rPr>
  </w:style>
  <w:style w:type="paragraph" w:customStyle="1" w:styleId="SL-FlLftSgl">
    <w:name w:val="SL-Fl Lft Sgl"/>
    <w:rsid w:val="00B679E3"/>
    <w:pPr>
      <w:spacing w:line="240" w:lineRule="atLeast"/>
    </w:pPr>
    <w:rPr>
      <w:sz w:val="24"/>
      <w:lang w:bidi="ar-SA"/>
    </w:rPr>
  </w:style>
  <w:style w:type="character" w:styleId="FootnoteReference">
    <w:name w:val="footnote reference"/>
    <w:basedOn w:val="DefaultParagraphFont"/>
    <w:rsid w:val="00AC557C"/>
    <w:rPr>
      <w:vertAlign w:val="superscript"/>
    </w:rPr>
  </w:style>
  <w:style w:type="paragraph" w:customStyle="1" w:styleId="TT-TableTitle">
    <w:name w:val="TT-Table Title"/>
    <w:rsid w:val="00AC557C"/>
    <w:pPr>
      <w:tabs>
        <w:tab w:val="left" w:pos="1152"/>
      </w:tabs>
      <w:spacing w:line="240" w:lineRule="atLeast"/>
      <w:ind w:left="1152" w:hanging="1152"/>
    </w:pPr>
    <w:rPr>
      <w:sz w:val="24"/>
      <w:lang w:bidi="ar-SA"/>
    </w:rPr>
  </w:style>
  <w:style w:type="paragraph" w:styleId="Header">
    <w:name w:val="header"/>
    <w:basedOn w:val="Normal"/>
    <w:link w:val="HeaderChar"/>
    <w:rsid w:val="00426FAD"/>
    <w:pPr>
      <w:tabs>
        <w:tab w:val="center" w:pos="4513"/>
        <w:tab w:val="right" w:pos="9026"/>
      </w:tabs>
    </w:pPr>
  </w:style>
  <w:style w:type="character" w:customStyle="1" w:styleId="HeaderChar">
    <w:name w:val="Header Char"/>
    <w:basedOn w:val="DefaultParagraphFont"/>
    <w:link w:val="Header"/>
    <w:rsid w:val="00426FAD"/>
    <w:rPr>
      <w:sz w:val="24"/>
    </w:rPr>
  </w:style>
  <w:style w:type="paragraph" w:styleId="Footer">
    <w:name w:val="footer"/>
    <w:basedOn w:val="Normal"/>
    <w:link w:val="FooterChar"/>
    <w:uiPriority w:val="99"/>
    <w:rsid w:val="00426FAD"/>
    <w:pPr>
      <w:tabs>
        <w:tab w:val="center" w:pos="4513"/>
        <w:tab w:val="right" w:pos="9026"/>
      </w:tabs>
    </w:pPr>
  </w:style>
  <w:style w:type="character" w:customStyle="1" w:styleId="FooterChar">
    <w:name w:val="Footer Char"/>
    <w:basedOn w:val="DefaultParagraphFont"/>
    <w:link w:val="Footer"/>
    <w:uiPriority w:val="99"/>
    <w:rsid w:val="00426FAD"/>
    <w:rPr>
      <w:sz w:val="24"/>
    </w:rPr>
  </w:style>
  <w:style w:type="table" w:styleId="TableGrid">
    <w:name w:val="Table Grid"/>
    <w:basedOn w:val="TableNormal"/>
    <w:uiPriority w:val="59"/>
    <w:rsid w:val="00B94510"/>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203D7"/>
    <w:rPr>
      <w:sz w:val="16"/>
      <w:szCs w:val="16"/>
    </w:rPr>
  </w:style>
  <w:style w:type="paragraph" w:styleId="CommentText">
    <w:name w:val="annotation text"/>
    <w:basedOn w:val="Normal"/>
    <w:link w:val="CommentTextChar"/>
    <w:rsid w:val="00E203D7"/>
    <w:rPr>
      <w:sz w:val="20"/>
    </w:rPr>
  </w:style>
  <w:style w:type="character" w:customStyle="1" w:styleId="CommentTextChar">
    <w:name w:val="Comment Text Char"/>
    <w:basedOn w:val="DefaultParagraphFont"/>
    <w:link w:val="CommentText"/>
    <w:rsid w:val="00E203D7"/>
    <w:rPr>
      <w:lang w:bidi="ar-SA"/>
    </w:rPr>
  </w:style>
  <w:style w:type="paragraph" w:styleId="CommentSubject">
    <w:name w:val="annotation subject"/>
    <w:basedOn w:val="CommentText"/>
    <w:next w:val="CommentText"/>
    <w:link w:val="CommentSubjectChar"/>
    <w:rsid w:val="00E203D7"/>
    <w:rPr>
      <w:b/>
      <w:bCs/>
    </w:rPr>
  </w:style>
  <w:style w:type="character" w:customStyle="1" w:styleId="CommentSubjectChar">
    <w:name w:val="Comment Subject Char"/>
    <w:basedOn w:val="CommentTextChar"/>
    <w:link w:val="CommentSubject"/>
    <w:rsid w:val="00E203D7"/>
    <w:rPr>
      <w:b/>
      <w:bCs/>
      <w:lang w:bidi="ar-SA"/>
    </w:rPr>
  </w:style>
  <w:style w:type="character" w:customStyle="1" w:styleId="il">
    <w:name w:val="il"/>
    <w:basedOn w:val="DefaultParagraphFont"/>
    <w:rsid w:val="005B3554"/>
  </w:style>
  <w:style w:type="paragraph" w:styleId="FootnoteText">
    <w:name w:val="footnote text"/>
    <w:basedOn w:val="Normal"/>
    <w:link w:val="FootnoteTextChar"/>
    <w:rsid w:val="00020576"/>
    <w:rPr>
      <w:sz w:val="20"/>
    </w:rPr>
  </w:style>
  <w:style w:type="character" w:customStyle="1" w:styleId="FootnoteTextChar">
    <w:name w:val="Footnote Text Char"/>
    <w:basedOn w:val="DefaultParagraphFont"/>
    <w:link w:val="FootnoteText"/>
    <w:rsid w:val="00020576"/>
    <w:rPr>
      <w:lang w:bidi="ar-SA"/>
    </w:rPr>
  </w:style>
  <w:style w:type="character" w:customStyle="1" w:styleId="catalog-subtitle1">
    <w:name w:val="catalog-subtitle1"/>
    <w:basedOn w:val="DefaultParagraphFont"/>
    <w:rsid w:val="00020576"/>
    <w:rPr>
      <w:sz w:val="29"/>
      <w:szCs w:val="29"/>
    </w:rPr>
  </w:style>
  <w:style w:type="character" w:customStyle="1" w:styleId="bookyear1">
    <w:name w:val="bookyear1"/>
    <w:basedOn w:val="DefaultParagraphFont"/>
    <w:rsid w:val="00020576"/>
    <w:rPr>
      <w:sz w:val="27"/>
      <w:szCs w:val="27"/>
    </w:rPr>
  </w:style>
  <w:style w:type="paragraph" w:styleId="NormalWeb">
    <w:name w:val="Normal (Web)"/>
    <w:basedOn w:val="Normal"/>
    <w:rsid w:val="00020576"/>
    <w:pPr>
      <w:spacing w:before="100" w:beforeAutospacing="1" w:after="100" w:afterAutospacing="1"/>
    </w:pPr>
    <w:rPr>
      <w:szCs w:val="24"/>
    </w:rPr>
  </w:style>
  <w:style w:type="paragraph" w:customStyle="1" w:styleId="Default">
    <w:name w:val="Default"/>
    <w:rsid w:val="00B54594"/>
    <w:pPr>
      <w:autoSpaceDE w:val="0"/>
      <w:autoSpaceDN w:val="0"/>
      <w:adjustRightInd w:val="0"/>
    </w:pPr>
    <w:rPr>
      <w:color w:val="000000"/>
      <w:sz w:val="24"/>
      <w:szCs w:val="24"/>
      <w:lang w:bidi="ar-SA"/>
    </w:rPr>
  </w:style>
  <w:style w:type="character" w:customStyle="1" w:styleId="BodyTextChar">
    <w:name w:val="Body Text Char"/>
    <w:basedOn w:val="DefaultParagraphFont"/>
    <w:link w:val="BodyText"/>
    <w:rsid w:val="001D7DC9"/>
    <w:rPr>
      <w:b/>
      <w:sz w:val="22"/>
      <w:lang w:bidi="ar-SA"/>
    </w:rPr>
  </w:style>
  <w:style w:type="paragraph" w:customStyle="1" w:styleId="Q1-Survey-Question">
    <w:name w:val="Q1-Survey-Question"/>
    <w:basedOn w:val="Normal"/>
    <w:uiPriority w:val="99"/>
    <w:rsid w:val="001D7DC9"/>
    <w:pPr>
      <w:keepNext/>
      <w:keepLines/>
      <w:tabs>
        <w:tab w:val="left" w:pos="432"/>
      </w:tabs>
      <w:spacing w:after="180"/>
      <w:ind w:left="432" w:hanging="432"/>
    </w:pPr>
  </w:style>
  <w:style w:type="character" w:customStyle="1" w:styleId="Mention1">
    <w:name w:val="Mention1"/>
    <w:basedOn w:val="DefaultParagraphFont"/>
    <w:uiPriority w:val="99"/>
    <w:semiHidden/>
    <w:unhideWhenUsed/>
    <w:rsid w:val="00B77339"/>
    <w:rPr>
      <w:color w:val="2B579A"/>
      <w:shd w:val="clear" w:color="auto" w:fill="E6E6E6"/>
    </w:rPr>
  </w:style>
  <w:style w:type="character" w:styleId="Emphasis">
    <w:name w:val="Emphasis"/>
    <w:basedOn w:val="DefaultParagraphFont"/>
    <w:qFormat/>
    <w:rsid w:val="00DC27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567"/>
    <w:rPr>
      <w:sz w:val="24"/>
      <w:lang w:bidi="ar-SA"/>
    </w:rPr>
  </w:style>
  <w:style w:type="paragraph" w:styleId="Heading1">
    <w:name w:val="heading 1"/>
    <w:basedOn w:val="ListParagraph"/>
    <w:next w:val="Normal"/>
    <w:qFormat/>
    <w:rsid w:val="003E419E"/>
    <w:pPr>
      <w:numPr>
        <w:numId w:val="21"/>
      </w:numPr>
      <w:outlineLvl w:val="0"/>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23567"/>
    <w:rPr>
      <w:b/>
      <w:sz w:val="22"/>
    </w:rPr>
  </w:style>
  <w:style w:type="paragraph" w:styleId="BodyTextIndent">
    <w:name w:val="Body Text Indent"/>
    <w:basedOn w:val="Normal"/>
    <w:rsid w:val="00323567"/>
    <w:pPr>
      <w:ind w:left="450"/>
    </w:pPr>
    <w:rPr>
      <w:sz w:val="22"/>
    </w:rPr>
  </w:style>
  <w:style w:type="paragraph" w:customStyle="1" w:styleId="DefinitionList">
    <w:name w:val="Definition List"/>
    <w:basedOn w:val="Normal"/>
    <w:next w:val="Normal"/>
    <w:rsid w:val="00323567"/>
    <w:pPr>
      <w:ind w:left="360"/>
    </w:pPr>
    <w:rPr>
      <w:snapToGrid w:val="0"/>
    </w:rPr>
  </w:style>
  <w:style w:type="paragraph" w:styleId="BodyText2">
    <w:name w:val="Body Text 2"/>
    <w:basedOn w:val="Normal"/>
    <w:rsid w:val="00323567"/>
    <w:rPr>
      <w:sz w:val="22"/>
    </w:rPr>
  </w:style>
  <w:style w:type="paragraph" w:styleId="ListParagraph">
    <w:name w:val="List Paragraph"/>
    <w:basedOn w:val="Normal"/>
    <w:uiPriority w:val="34"/>
    <w:qFormat/>
    <w:rsid w:val="00E77C53"/>
    <w:pPr>
      <w:spacing w:after="200" w:line="276" w:lineRule="auto"/>
      <w:ind w:left="720"/>
      <w:contextualSpacing/>
    </w:pPr>
    <w:rPr>
      <w:rFonts w:ascii="Calibri" w:eastAsia="Calibri" w:hAnsi="Calibri"/>
      <w:sz w:val="22"/>
      <w:lang w:bidi="hi-IN"/>
    </w:rPr>
  </w:style>
  <w:style w:type="paragraph" w:styleId="BalloonText">
    <w:name w:val="Balloon Text"/>
    <w:basedOn w:val="Normal"/>
    <w:link w:val="BalloonTextChar"/>
    <w:rsid w:val="009F1F30"/>
    <w:rPr>
      <w:rFonts w:ascii="Tahoma" w:hAnsi="Tahoma" w:cs="Tahoma"/>
      <w:sz w:val="16"/>
      <w:szCs w:val="16"/>
    </w:rPr>
  </w:style>
  <w:style w:type="character" w:customStyle="1" w:styleId="BalloonTextChar">
    <w:name w:val="Balloon Text Char"/>
    <w:basedOn w:val="DefaultParagraphFont"/>
    <w:link w:val="BalloonText"/>
    <w:rsid w:val="009F1F30"/>
    <w:rPr>
      <w:rFonts w:ascii="Tahoma" w:hAnsi="Tahoma" w:cs="Tahoma"/>
      <w:sz w:val="16"/>
      <w:szCs w:val="16"/>
    </w:rPr>
  </w:style>
  <w:style w:type="character" w:styleId="Hyperlink">
    <w:name w:val="Hyperlink"/>
    <w:basedOn w:val="DefaultParagraphFont"/>
    <w:uiPriority w:val="99"/>
    <w:rsid w:val="00B679E3"/>
    <w:rPr>
      <w:color w:val="0000FF"/>
      <w:u w:val="single"/>
    </w:rPr>
  </w:style>
  <w:style w:type="paragraph" w:customStyle="1" w:styleId="SL-FlLftSgl">
    <w:name w:val="SL-Fl Lft Sgl"/>
    <w:rsid w:val="00B679E3"/>
    <w:pPr>
      <w:spacing w:line="240" w:lineRule="atLeast"/>
    </w:pPr>
    <w:rPr>
      <w:sz w:val="24"/>
      <w:lang w:bidi="ar-SA"/>
    </w:rPr>
  </w:style>
  <w:style w:type="character" w:styleId="FootnoteReference">
    <w:name w:val="footnote reference"/>
    <w:basedOn w:val="DefaultParagraphFont"/>
    <w:rsid w:val="00AC557C"/>
    <w:rPr>
      <w:vertAlign w:val="superscript"/>
    </w:rPr>
  </w:style>
  <w:style w:type="paragraph" w:customStyle="1" w:styleId="TT-TableTitle">
    <w:name w:val="TT-Table Title"/>
    <w:rsid w:val="00AC557C"/>
    <w:pPr>
      <w:tabs>
        <w:tab w:val="left" w:pos="1152"/>
      </w:tabs>
      <w:spacing w:line="240" w:lineRule="atLeast"/>
      <w:ind w:left="1152" w:hanging="1152"/>
    </w:pPr>
    <w:rPr>
      <w:sz w:val="24"/>
      <w:lang w:bidi="ar-SA"/>
    </w:rPr>
  </w:style>
  <w:style w:type="paragraph" w:styleId="Header">
    <w:name w:val="header"/>
    <w:basedOn w:val="Normal"/>
    <w:link w:val="HeaderChar"/>
    <w:rsid w:val="00426FAD"/>
    <w:pPr>
      <w:tabs>
        <w:tab w:val="center" w:pos="4513"/>
        <w:tab w:val="right" w:pos="9026"/>
      </w:tabs>
    </w:pPr>
  </w:style>
  <w:style w:type="character" w:customStyle="1" w:styleId="HeaderChar">
    <w:name w:val="Header Char"/>
    <w:basedOn w:val="DefaultParagraphFont"/>
    <w:link w:val="Header"/>
    <w:rsid w:val="00426FAD"/>
    <w:rPr>
      <w:sz w:val="24"/>
    </w:rPr>
  </w:style>
  <w:style w:type="paragraph" w:styleId="Footer">
    <w:name w:val="footer"/>
    <w:basedOn w:val="Normal"/>
    <w:link w:val="FooterChar"/>
    <w:uiPriority w:val="99"/>
    <w:rsid w:val="00426FAD"/>
    <w:pPr>
      <w:tabs>
        <w:tab w:val="center" w:pos="4513"/>
        <w:tab w:val="right" w:pos="9026"/>
      </w:tabs>
    </w:pPr>
  </w:style>
  <w:style w:type="character" w:customStyle="1" w:styleId="FooterChar">
    <w:name w:val="Footer Char"/>
    <w:basedOn w:val="DefaultParagraphFont"/>
    <w:link w:val="Footer"/>
    <w:uiPriority w:val="99"/>
    <w:rsid w:val="00426FAD"/>
    <w:rPr>
      <w:sz w:val="24"/>
    </w:rPr>
  </w:style>
  <w:style w:type="table" w:styleId="TableGrid">
    <w:name w:val="Table Grid"/>
    <w:basedOn w:val="TableNormal"/>
    <w:uiPriority w:val="59"/>
    <w:rsid w:val="00B94510"/>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203D7"/>
    <w:rPr>
      <w:sz w:val="16"/>
      <w:szCs w:val="16"/>
    </w:rPr>
  </w:style>
  <w:style w:type="paragraph" w:styleId="CommentText">
    <w:name w:val="annotation text"/>
    <w:basedOn w:val="Normal"/>
    <w:link w:val="CommentTextChar"/>
    <w:rsid w:val="00E203D7"/>
    <w:rPr>
      <w:sz w:val="20"/>
    </w:rPr>
  </w:style>
  <w:style w:type="character" w:customStyle="1" w:styleId="CommentTextChar">
    <w:name w:val="Comment Text Char"/>
    <w:basedOn w:val="DefaultParagraphFont"/>
    <w:link w:val="CommentText"/>
    <w:rsid w:val="00E203D7"/>
    <w:rPr>
      <w:lang w:bidi="ar-SA"/>
    </w:rPr>
  </w:style>
  <w:style w:type="paragraph" w:styleId="CommentSubject">
    <w:name w:val="annotation subject"/>
    <w:basedOn w:val="CommentText"/>
    <w:next w:val="CommentText"/>
    <w:link w:val="CommentSubjectChar"/>
    <w:rsid w:val="00E203D7"/>
    <w:rPr>
      <w:b/>
      <w:bCs/>
    </w:rPr>
  </w:style>
  <w:style w:type="character" w:customStyle="1" w:styleId="CommentSubjectChar">
    <w:name w:val="Comment Subject Char"/>
    <w:basedOn w:val="CommentTextChar"/>
    <w:link w:val="CommentSubject"/>
    <w:rsid w:val="00E203D7"/>
    <w:rPr>
      <w:b/>
      <w:bCs/>
      <w:lang w:bidi="ar-SA"/>
    </w:rPr>
  </w:style>
  <w:style w:type="character" w:customStyle="1" w:styleId="il">
    <w:name w:val="il"/>
    <w:basedOn w:val="DefaultParagraphFont"/>
    <w:rsid w:val="005B3554"/>
  </w:style>
  <w:style w:type="paragraph" w:styleId="FootnoteText">
    <w:name w:val="footnote text"/>
    <w:basedOn w:val="Normal"/>
    <w:link w:val="FootnoteTextChar"/>
    <w:rsid w:val="00020576"/>
    <w:rPr>
      <w:sz w:val="20"/>
    </w:rPr>
  </w:style>
  <w:style w:type="character" w:customStyle="1" w:styleId="FootnoteTextChar">
    <w:name w:val="Footnote Text Char"/>
    <w:basedOn w:val="DefaultParagraphFont"/>
    <w:link w:val="FootnoteText"/>
    <w:rsid w:val="00020576"/>
    <w:rPr>
      <w:lang w:bidi="ar-SA"/>
    </w:rPr>
  </w:style>
  <w:style w:type="character" w:customStyle="1" w:styleId="catalog-subtitle1">
    <w:name w:val="catalog-subtitle1"/>
    <w:basedOn w:val="DefaultParagraphFont"/>
    <w:rsid w:val="00020576"/>
    <w:rPr>
      <w:sz w:val="29"/>
      <w:szCs w:val="29"/>
    </w:rPr>
  </w:style>
  <w:style w:type="character" w:customStyle="1" w:styleId="bookyear1">
    <w:name w:val="bookyear1"/>
    <w:basedOn w:val="DefaultParagraphFont"/>
    <w:rsid w:val="00020576"/>
    <w:rPr>
      <w:sz w:val="27"/>
      <w:szCs w:val="27"/>
    </w:rPr>
  </w:style>
  <w:style w:type="paragraph" w:styleId="NormalWeb">
    <w:name w:val="Normal (Web)"/>
    <w:basedOn w:val="Normal"/>
    <w:rsid w:val="00020576"/>
    <w:pPr>
      <w:spacing w:before="100" w:beforeAutospacing="1" w:after="100" w:afterAutospacing="1"/>
    </w:pPr>
    <w:rPr>
      <w:szCs w:val="24"/>
    </w:rPr>
  </w:style>
  <w:style w:type="paragraph" w:customStyle="1" w:styleId="Default">
    <w:name w:val="Default"/>
    <w:rsid w:val="00B54594"/>
    <w:pPr>
      <w:autoSpaceDE w:val="0"/>
      <w:autoSpaceDN w:val="0"/>
      <w:adjustRightInd w:val="0"/>
    </w:pPr>
    <w:rPr>
      <w:color w:val="000000"/>
      <w:sz w:val="24"/>
      <w:szCs w:val="24"/>
      <w:lang w:bidi="ar-SA"/>
    </w:rPr>
  </w:style>
  <w:style w:type="character" w:customStyle="1" w:styleId="BodyTextChar">
    <w:name w:val="Body Text Char"/>
    <w:basedOn w:val="DefaultParagraphFont"/>
    <w:link w:val="BodyText"/>
    <w:rsid w:val="001D7DC9"/>
    <w:rPr>
      <w:b/>
      <w:sz w:val="22"/>
      <w:lang w:bidi="ar-SA"/>
    </w:rPr>
  </w:style>
  <w:style w:type="paragraph" w:customStyle="1" w:styleId="Q1-Survey-Question">
    <w:name w:val="Q1-Survey-Question"/>
    <w:basedOn w:val="Normal"/>
    <w:uiPriority w:val="99"/>
    <w:rsid w:val="001D7DC9"/>
    <w:pPr>
      <w:keepNext/>
      <w:keepLines/>
      <w:tabs>
        <w:tab w:val="left" w:pos="432"/>
      </w:tabs>
      <w:spacing w:after="180"/>
      <w:ind w:left="432" w:hanging="432"/>
    </w:pPr>
  </w:style>
  <w:style w:type="character" w:customStyle="1" w:styleId="Mention1">
    <w:name w:val="Mention1"/>
    <w:basedOn w:val="DefaultParagraphFont"/>
    <w:uiPriority w:val="99"/>
    <w:semiHidden/>
    <w:unhideWhenUsed/>
    <w:rsid w:val="00B77339"/>
    <w:rPr>
      <w:color w:val="2B579A"/>
      <w:shd w:val="clear" w:color="auto" w:fill="E6E6E6"/>
    </w:rPr>
  </w:style>
  <w:style w:type="character" w:styleId="Emphasis">
    <w:name w:val="Emphasis"/>
    <w:basedOn w:val="DefaultParagraphFont"/>
    <w:qFormat/>
    <w:rsid w:val="00DC27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90014">
      <w:bodyDiv w:val="1"/>
      <w:marLeft w:val="0"/>
      <w:marRight w:val="0"/>
      <w:marTop w:val="0"/>
      <w:marBottom w:val="0"/>
      <w:divBdr>
        <w:top w:val="none" w:sz="0" w:space="0" w:color="auto"/>
        <w:left w:val="none" w:sz="0" w:space="0" w:color="auto"/>
        <w:bottom w:val="none" w:sz="0" w:space="0" w:color="auto"/>
        <w:right w:val="none" w:sz="0" w:space="0" w:color="auto"/>
      </w:divBdr>
    </w:div>
    <w:div w:id="1400708621">
      <w:bodyDiv w:val="1"/>
      <w:marLeft w:val="0"/>
      <w:marRight w:val="0"/>
      <w:marTop w:val="0"/>
      <w:marBottom w:val="0"/>
      <w:divBdr>
        <w:top w:val="none" w:sz="0" w:space="0" w:color="auto"/>
        <w:left w:val="none" w:sz="0" w:space="0" w:color="auto"/>
        <w:bottom w:val="none" w:sz="0" w:space="0" w:color="auto"/>
        <w:right w:val="none" w:sz="0" w:space="0" w:color="auto"/>
      </w:divBdr>
    </w:div>
    <w:div w:id="1712918291">
      <w:bodyDiv w:val="1"/>
      <w:marLeft w:val="0"/>
      <w:marRight w:val="0"/>
      <w:marTop w:val="0"/>
      <w:marBottom w:val="0"/>
      <w:divBdr>
        <w:top w:val="none" w:sz="0" w:space="0" w:color="auto"/>
        <w:left w:val="none" w:sz="0" w:space="0" w:color="auto"/>
        <w:bottom w:val="none" w:sz="0" w:space="0" w:color="auto"/>
        <w:right w:val="none" w:sz="0" w:space="0" w:color="auto"/>
      </w:divBdr>
    </w:div>
    <w:div w:id="1821579407">
      <w:bodyDiv w:val="1"/>
      <w:marLeft w:val="0"/>
      <w:marRight w:val="0"/>
      <w:marTop w:val="0"/>
      <w:marBottom w:val="0"/>
      <w:divBdr>
        <w:top w:val="none" w:sz="0" w:space="0" w:color="auto"/>
        <w:left w:val="none" w:sz="0" w:space="0" w:color="auto"/>
        <w:bottom w:val="none" w:sz="0" w:space="0" w:color="auto"/>
        <w:right w:val="none" w:sz="0" w:space="0" w:color="auto"/>
      </w:divBdr>
    </w:div>
    <w:div w:id="205018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evenFink@avarconsulting.com" TargetMode="External"/><Relationship Id="rId18" Type="http://schemas.openxmlformats.org/officeDocument/2006/relationships/hyperlink" Target="mailto:VasudhaNarayanan@westat.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wgary@avarconsulitng.com" TargetMode="External"/><Relationship Id="rId17" Type="http://schemas.openxmlformats.org/officeDocument/2006/relationships/hyperlink" Target="mailto:ShermEdwards@westat.com"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Mseo@econometricainc.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anWang@avarconsulting.com" TargetMode="External"/><Relationship Id="rId5" Type="http://schemas.openxmlformats.org/officeDocument/2006/relationships/settings" Target="settings.xml"/><Relationship Id="rId15" Type="http://schemas.openxmlformats.org/officeDocument/2006/relationships/hyperlink" Target="mailto:TJackson@econometricainc.com" TargetMode="External"/><Relationship Id="rId10" Type="http://schemas.openxmlformats.org/officeDocument/2006/relationships/hyperlink" Target="mailto:Sally.Berko@cms.hhs.gov" TargetMode="External"/><Relationship Id="rId19" Type="http://schemas.openxmlformats.org/officeDocument/2006/relationships/hyperlink" Target="mailto:StephanieFry@westat.com" TargetMode="External"/><Relationship Id="rId4" Type="http://schemas.microsoft.com/office/2007/relationships/stylesWithEffects" Target="stylesWithEffects.xml"/><Relationship Id="rId9" Type="http://schemas.openxmlformats.org/officeDocument/2006/relationships/hyperlink" Target="mailto:David.Russo@cms.hhs.gov" TargetMode="External"/><Relationship Id="rId14" Type="http://schemas.openxmlformats.org/officeDocument/2006/relationships/hyperlink" Target="mailto:DavidBercham@avarconsulting.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170C9-A1DA-4ACB-A06E-545CB019B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2487</Words>
  <Characters>14179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Supporting Statement for the Information Collection Requirements for the form</vt:lpstr>
    </vt:vector>
  </TitlesOfParts>
  <Company>HCFA</Company>
  <LinksUpToDate>false</LinksUpToDate>
  <CharactersWithSpaces>16633</CharactersWithSpaces>
  <SharedDoc>false</SharedDoc>
  <HLinks>
    <vt:vector size="12" baseType="variant">
      <vt:variant>
        <vt:i4>4784247</vt:i4>
      </vt:variant>
      <vt:variant>
        <vt:i4>3</vt:i4>
      </vt:variant>
      <vt:variant>
        <vt:i4>0</vt:i4>
      </vt:variant>
      <vt:variant>
        <vt:i4>5</vt:i4>
      </vt:variant>
      <vt:variant>
        <vt:lpwstr>mailto:VasudhaNarayanan@westat.com</vt:lpwstr>
      </vt:variant>
      <vt:variant>
        <vt:lpwstr/>
      </vt:variant>
      <vt:variant>
        <vt:i4>5439591</vt:i4>
      </vt:variant>
      <vt:variant>
        <vt:i4>0</vt:i4>
      </vt:variant>
      <vt:variant>
        <vt:i4>0</vt:i4>
      </vt:variant>
      <vt:variant>
        <vt:i4>5</vt:i4>
      </vt:variant>
      <vt:variant>
        <vt:lpwstr>mailto:ShermEdwards@westat.com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Information Collection Requirements for the form</dc:title>
  <dc:subject/>
  <dc:creator>Rachel  Nelson</dc:creator>
  <cp:keywords/>
  <dc:description/>
  <cp:lastModifiedBy>SYSTEM</cp:lastModifiedBy>
  <cp:revision>2</cp:revision>
  <cp:lastPrinted>2011-06-06T15:35:00Z</cp:lastPrinted>
  <dcterms:created xsi:type="dcterms:W3CDTF">2018-02-15T13:49:00Z</dcterms:created>
  <dcterms:modified xsi:type="dcterms:W3CDTF">2018-02-15T13:49:00Z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-384665498</vt:i4>
  </property>
  <property fmtid="{D5CDD505-2E9C-101B-9397-08002B2CF9AE}" pid="4" name="_EmailSubject">
    <vt:lpwstr>CMS-10393 OMB passback </vt:lpwstr>
  </property>
  <property fmtid="{D5CDD505-2E9C-101B-9397-08002B2CF9AE}" pid="5" name="_AuthorEmail">
    <vt:lpwstr>David.Russo@cms.hhs.gov</vt:lpwstr>
  </property>
  <property fmtid="{D5CDD505-2E9C-101B-9397-08002B2CF9AE}" pid="6" name="_AuthorEmailDisplayName">
    <vt:lpwstr>Russo, David J. (CMS/CQISCO)</vt:lpwstr>
  </property>
  <property fmtid="{D5CDD505-2E9C-101B-9397-08002B2CF9AE}" pid="7" name="_ReviewingToolsShownOnce">
    <vt:lpwstr/>
  </property>
</Properties>
</file>