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45" w:rsidRPr="00790D92" w:rsidRDefault="00117845" w:rsidP="003C0565">
      <w:pPr>
        <w:widowControl/>
        <w:outlineLvl w:val="0"/>
        <w:rPr>
          <w:rFonts w:ascii="Times New Roman" w:hAnsi="Times New Roman"/>
        </w:rPr>
      </w:pPr>
      <w:bookmarkStart w:id="0" w:name="QuickMark"/>
      <w:bookmarkStart w:id="1" w:name="_GoBack"/>
      <w:bookmarkEnd w:id="0"/>
      <w:bookmarkEnd w:id="1"/>
      <w:r w:rsidRPr="00790D92">
        <w:rPr>
          <w:rFonts w:ascii="Times New Roman" w:hAnsi="Times New Roman"/>
        </w:rPr>
        <w:t xml:space="preserve">SUPPORTING STATEMENT FOR PAPERWORK REDUCTION ACT </w:t>
      </w:r>
      <w:r w:rsidR="00610E02">
        <w:rPr>
          <w:rFonts w:ascii="Times New Roman" w:hAnsi="Times New Roman"/>
        </w:rPr>
        <w:t xml:space="preserve">OF </w:t>
      </w:r>
      <w:r w:rsidRPr="00790D92">
        <w:rPr>
          <w:rFonts w:ascii="Times New Roman" w:hAnsi="Times New Roman"/>
        </w:rPr>
        <w:t>1995 SUBMISSIONS</w:t>
      </w:r>
    </w:p>
    <w:p w:rsidR="00AF6D3C" w:rsidRPr="004C5D3B" w:rsidRDefault="00AF6D3C" w:rsidP="00AF6D3C">
      <w:pPr>
        <w:ind w:left="720"/>
        <w:rPr>
          <w:rFonts w:ascii="Times New Roman" w:hAnsi="Times New Roman"/>
        </w:rPr>
      </w:pPr>
    </w:p>
    <w:p w:rsidR="00AF6D3C" w:rsidRPr="004C5D3B" w:rsidRDefault="00AF6D3C" w:rsidP="00AF6D3C">
      <w:pPr>
        <w:numPr>
          <w:ilvl w:val="0"/>
          <w:numId w:val="3"/>
        </w:numPr>
        <w:ind w:hanging="720"/>
        <w:outlineLvl w:val="0"/>
        <w:rPr>
          <w:rFonts w:ascii="Times New Roman" w:hAnsi="Times New Roman"/>
        </w:rPr>
      </w:pPr>
      <w:r w:rsidRPr="004C5D3B">
        <w:rPr>
          <w:rFonts w:ascii="Times New Roman" w:hAnsi="Times New Roman"/>
          <w:b/>
          <w:bCs/>
        </w:rPr>
        <w:t>Justification</w:t>
      </w:r>
    </w:p>
    <w:p w:rsidR="00117845" w:rsidRPr="00790D92" w:rsidRDefault="00117845" w:rsidP="00AF6D3C">
      <w:pPr>
        <w:widowControl/>
        <w:ind w:left="720"/>
        <w:rPr>
          <w:rFonts w:ascii="Times New Roman" w:hAnsi="Times New Roman"/>
        </w:rPr>
      </w:pPr>
    </w:p>
    <w:p w:rsidR="00117845" w:rsidRPr="00790D92" w:rsidRDefault="00117845">
      <w:pPr>
        <w:pStyle w:val="Quick1"/>
        <w:widowControl/>
        <w:numPr>
          <w:ilvl w:val="0"/>
          <w:numId w:val="1"/>
        </w:numPr>
        <w:tabs>
          <w:tab w:val="left" w:pos="-1440"/>
          <w:tab w:val="num" w:pos="720"/>
        </w:tabs>
        <w:rPr>
          <w:rFonts w:ascii="Times New Roman" w:hAnsi="Times New Roman"/>
        </w:rPr>
      </w:pPr>
      <w:r w:rsidRPr="00790D92">
        <w:rPr>
          <w:rFonts w:ascii="Times New Roman" w:hAnsi="Times New Roman"/>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17845" w:rsidRPr="00790D92" w:rsidRDefault="00117845" w:rsidP="003A2D08">
      <w:pPr>
        <w:widowControl/>
        <w:ind w:left="720"/>
        <w:rPr>
          <w:rFonts w:ascii="Times New Roman" w:hAnsi="Times New Roman"/>
        </w:rPr>
      </w:pPr>
    </w:p>
    <w:p w:rsidR="00117845" w:rsidRPr="00790D92" w:rsidRDefault="00117845" w:rsidP="003A2D08">
      <w:pPr>
        <w:pStyle w:val="BodyTextIndent"/>
        <w:widowControl/>
        <w:ind w:left="720" w:firstLine="0"/>
      </w:pPr>
      <w:r w:rsidRPr="00790D92">
        <w:t>The Employee Retirement Income Security Act of 1974 (ERISA), and the Internal Revenue Code (</w:t>
      </w:r>
      <w:r w:rsidR="00FC0A09" w:rsidRPr="00790D92">
        <w:t xml:space="preserve">the </w:t>
      </w:r>
      <w:r w:rsidRPr="00790D92">
        <w:t xml:space="preserve">Code), provide that the Secretary of Labor and the Secretary of Treasury, respectively, may grant exemptions from certain prohibited transaction provisions under ERISA  and the Code.  Section 408(a) of ERISA authorizes the Secretary of Labor to grant administrative exemptions from the restrictions of section 406 of ERISA while section 4975(c)(2) of the Code authorizes the Secretary of Treasury or his delegate to grant exemptions from the prohibitions of section 4975(c)(1). </w:t>
      </w:r>
    </w:p>
    <w:p w:rsidR="00117845" w:rsidRPr="00790D92" w:rsidRDefault="00117845" w:rsidP="003A2D08">
      <w:pPr>
        <w:widowControl/>
        <w:ind w:left="720"/>
        <w:rPr>
          <w:rFonts w:ascii="Times New Roman" w:hAnsi="Times New Roman"/>
        </w:rPr>
      </w:pPr>
    </w:p>
    <w:p w:rsidR="00117845" w:rsidRPr="00790D92" w:rsidRDefault="00117845" w:rsidP="003A2D08">
      <w:pPr>
        <w:widowControl/>
        <w:ind w:left="720"/>
        <w:rPr>
          <w:rFonts w:ascii="Times New Roman" w:hAnsi="Times New Roman"/>
        </w:rPr>
      </w:pPr>
      <w:r w:rsidRPr="00790D92">
        <w:rPr>
          <w:rFonts w:ascii="Times New Roman" w:hAnsi="Times New Roman"/>
        </w:rPr>
        <w:t xml:space="preserve">Reorganization Plan No. 4 of 1978 (43 FR 47713), October 17, 1978, </w:t>
      </w:r>
      <w:r w:rsidR="00C807CA">
        <w:rPr>
          <w:rFonts w:ascii="Times New Roman" w:hAnsi="Times New Roman"/>
        </w:rPr>
        <w:t>(</w:t>
      </w:r>
      <w:r w:rsidRPr="00790D92">
        <w:rPr>
          <w:rFonts w:ascii="Times New Roman" w:hAnsi="Times New Roman"/>
        </w:rPr>
        <w:t>effective on December 31, 1978) transferred the authority of the Secretary of the Treasury to issue exemptions under section 4975 of the Code, with certain enumerated exceptions, to the Secretary of Labor.  As a result, the Secretary of Labor now possesses authority under section 4975(c</w:t>
      </w:r>
      <w:r w:rsidR="007B310D" w:rsidRPr="00790D92">
        <w:rPr>
          <w:rFonts w:ascii="Times New Roman" w:hAnsi="Times New Roman"/>
        </w:rPr>
        <w:t>) (</w:t>
      </w:r>
      <w:r w:rsidRPr="00790D92">
        <w:rPr>
          <w:rFonts w:ascii="Times New Roman" w:hAnsi="Times New Roman"/>
        </w:rPr>
        <w:t>2) of the Code as well as under 408(a) of ERISA to issue individual and class exemptions from the prohibited transaction rules of ERISA and the Code.</w:t>
      </w:r>
    </w:p>
    <w:p w:rsidR="00117845" w:rsidRPr="00790D92" w:rsidRDefault="00117845" w:rsidP="003A2D08">
      <w:pPr>
        <w:widowControl/>
        <w:ind w:left="720"/>
        <w:rPr>
          <w:rFonts w:ascii="Times New Roman" w:hAnsi="Times New Roman"/>
        </w:rPr>
      </w:pPr>
    </w:p>
    <w:p w:rsidR="002D0563" w:rsidRPr="00790D92" w:rsidRDefault="002D0563" w:rsidP="003A2D08">
      <w:pPr>
        <w:widowControl/>
        <w:ind w:left="720"/>
        <w:rPr>
          <w:rFonts w:ascii="Times New Roman" w:hAnsi="Times New Roman"/>
        </w:rPr>
      </w:pPr>
      <w:r w:rsidRPr="00790D92">
        <w:rPr>
          <w:rFonts w:ascii="Times New Roman" w:hAnsi="Times New Roman"/>
        </w:rPr>
        <w:t xml:space="preserve">Before an exemption may be granted under section 408(a) of ERISA and section 4975(c) (2) of the Code, the Department must find that the exemption is administratively feasible, in the interests of plans and of their participants and beneficiaries, and protective of the rights of those participants and their beneficiaries.  In order to ensure that the exemption is not misused, that the rights of participants and beneficiaries are protected, and that there is compliance with the exemption’s conditions, the Department often requires disclosures to independent plan fiduciaries and the retention of certain records concerning the transactions. </w:t>
      </w:r>
    </w:p>
    <w:p w:rsidR="002D0563" w:rsidRPr="00790D92" w:rsidRDefault="002D0563" w:rsidP="003A2D08">
      <w:pPr>
        <w:widowControl/>
        <w:ind w:left="720"/>
        <w:rPr>
          <w:rFonts w:ascii="Times New Roman" w:hAnsi="Times New Roman"/>
        </w:rPr>
      </w:pPr>
    </w:p>
    <w:p w:rsidR="002D0563" w:rsidRPr="00790D92" w:rsidRDefault="002D0563" w:rsidP="003A2D08">
      <w:pPr>
        <w:widowControl/>
        <w:ind w:left="720"/>
        <w:rPr>
          <w:rFonts w:ascii="Times New Roman" w:hAnsi="Times New Roman"/>
        </w:rPr>
      </w:pPr>
      <w:r w:rsidRPr="00790D92">
        <w:rPr>
          <w:rFonts w:ascii="Times New Roman" w:hAnsi="Times New Roman"/>
        </w:rPr>
        <w:t xml:space="preserve">The class exemption that is the subject of this submission would permit certain foreign exchange transactions between employee benefit plans and certain banks and broker-dealers </w:t>
      </w:r>
      <w:r w:rsidR="002B16B6" w:rsidRPr="00790D92">
        <w:rPr>
          <w:rFonts w:ascii="Times New Roman" w:hAnsi="Times New Roman"/>
        </w:rPr>
        <w:t xml:space="preserve">that </w:t>
      </w:r>
      <w:r w:rsidRPr="00790D92">
        <w:rPr>
          <w:rFonts w:ascii="Times New Roman" w:hAnsi="Times New Roman"/>
        </w:rPr>
        <w:t>are parties in interest with respect to such plans.  For purposes of this exemption, a foreign exchange transaction is the exchange of currency of one nation for the currency of another nation.  Although the Department previously granted an exemption for certain foreign exchange transactions (PTE 94-20, 59 FR 8022 (OMB</w:t>
      </w:r>
      <w:r w:rsidR="002B16B6" w:rsidRPr="00790D92">
        <w:rPr>
          <w:rFonts w:ascii="Times New Roman" w:hAnsi="Times New Roman"/>
        </w:rPr>
        <w:t xml:space="preserve"> Control Number </w:t>
      </w:r>
      <w:r w:rsidRPr="00790D92">
        <w:rPr>
          <w:rFonts w:ascii="Times New Roman" w:hAnsi="Times New Roman"/>
        </w:rPr>
        <w:t xml:space="preserve"> 1210-0085)), that exemption did not include relief for those foreign </w:t>
      </w:r>
      <w:r w:rsidRPr="00790D92">
        <w:rPr>
          <w:rFonts w:ascii="Times New Roman" w:hAnsi="Times New Roman"/>
        </w:rPr>
        <w:lastRenderedPageBreak/>
        <w:t>exchange transactions executed pursuant to the advance written authorization of a plan fiduciary who is independent of the bank or broker-dealer engaging in the transaction (a “standing instruction”).  This submission covers the information collection included in the exemption for foreign exchange transactions executed pursuant to standing instructions, which was granted on November 13, 1998.</w:t>
      </w:r>
    </w:p>
    <w:p w:rsidR="002D0563" w:rsidRPr="00790D92" w:rsidRDefault="002D0563" w:rsidP="003A2D08">
      <w:pPr>
        <w:widowControl/>
        <w:ind w:left="720"/>
        <w:rPr>
          <w:rFonts w:ascii="Times New Roman" w:hAnsi="Times New Roman"/>
        </w:rPr>
      </w:pPr>
    </w:p>
    <w:p w:rsidR="00117845" w:rsidRPr="00790D92" w:rsidRDefault="00117845" w:rsidP="003A2D08">
      <w:pPr>
        <w:widowControl/>
        <w:ind w:left="720"/>
        <w:rPr>
          <w:rFonts w:ascii="Times New Roman" w:hAnsi="Times New Roman"/>
        </w:rPr>
      </w:pPr>
      <w:r w:rsidRPr="00790D92">
        <w:rPr>
          <w:rFonts w:ascii="Times New Roman" w:hAnsi="Times New Roman"/>
        </w:rPr>
        <w:t>A foreign exchange transaction between a bank or a broker-dealer and an employee benefit plan could result in a prohibited transaction under one or more of the provisions of section 406(a) or 406(b) of ERISA, depending upon the relationship of the bank or broker-dealer to the plan.  For example, where a bank is a party in interest with respect to the plan by reason of being a person described in ERISA section 3(14)(A) (e.g., a fiduciary) or 3(14)(B) (a service provider), the transaction could result in a prohibited sale or exchange of an asset between a plan and a party in interest under ERISA section 406(a)(1)(A) or a transfer of plan assets to, or use of plan assets by or for the benefit of, such party in interest under ERISA section 406(a)(1)(D).</w:t>
      </w:r>
    </w:p>
    <w:p w:rsidR="00117845" w:rsidRPr="00790D92" w:rsidRDefault="00117845" w:rsidP="003A2D08">
      <w:pPr>
        <w:widowControl/>
        <w:ind w:left="720"/>
        <w:rPr>
          <w:rFonts w:ascii="Times New Roman" w:hAnsi="Times New Roman"/>
        </w:rPr>
      </w:pPr>
    </w:p>
    <w:p w:rsidR="00117845" w:rsidRPr="00790D92" w:rsidRDefault="00117845" w:rsidP="003A2D08">
      <w:pPr>
        <w:widowControl/>
        <w:ind w:left="720"/>
        <w:rPr>
          <w:rFonts w:ascii="Times New Roman" w:hAnsi="Times New Roman"/>
        </w:rPr>
      </w:pPr>
      <w:r w:rsidRPr="00790D92">
        <w:rPr>
          <w:rFonts w:ascii="Times New Roman" w:hAnsi="Times New Roman"/>
        </w:rPr>
        <w:t xml:space="preserve">If the bank or </w:t>
      </w:r>
      <w:r w:rsidR="001F3A5C" w:rsidRPr="00790D92">
        <w:rPr>
          <w:rFonts w:ascii="Times New Roman" w:hAnsi="Times New Roman"/>
        </w:rPr>
        <w:t xml:space="preserve">the </w:t>
      </w:r>
      <w:r w:rsidRPr="00790D92">
        <w:rPr>
          <w:rFonts w:ascii="Times New Roman" w:hAnsi="Times New Roman"/>
        </w:rPr>
        <w:t>broker-dealer executing a foreign exchange transaction with the plan is a fiduciary (as defined in ERISA section 3(21)(A)) with respect to the plan assets involved in the transaction, the transaction might result in a violation of one or more of the prohibitions of section 406(b) of ERISA.  ERISA section 406(b) prohibits a fiduciary from (1) dealing with the assets of the plan in its own interest or for its own account, (2) acting in any transaction involving the plan on behalf of a party (or representing a party) whose interests are adverse to those of</w:t>
      </w:r>
      <w:r w:rsidR="001F3A5C" w:rsidRPr="00790D92">
        <w:rPr>
          <w:rFonts w:ascii="Times New Roman" w:hAnsi="Times New Roman"/>
        </w:rPr>
        <w:t xml:space="preserve"> the plan or its participants or</w:t>
      </w:r>
      <w:r w:rsidRPr="00790D92">
        <w:rPr>
          <w:rFonts w:ascii="Times New Roman" w:hAnsi="Times New Roman"/>
        </w:rPr>
        <w:t xml:space="preserve"> beneficiaries, and (3) receiving consideration for its own personal account from any party dealing with the plan in connection with a transaction involving the assets of the plan. </w:t>
      </w:r>
    </w:p>
    <w:p w:rsidR="00117845" w:rsidRPr="00790D92" w:rsidRDefault="00117845" w:rsidP="003A2D08">
      <w:pPr>
        <w:widowControl/>
        <w:ind w:left="720"/>
        <w:rPr>
          <w:rFonts w:ascii="Times New Roman" w:hAnsi="Times New Roman"/>
        </w:rPr>
      </w:pPr>
    </w:p>
    <w:p w:rsidR="00117845" w:rsidRPr="00790D92" w:rsidRDefault="00117845" w:rsidP="003A2D08">
      <w:pPr>
        <w:widowControl/>
        <w:ind w:left="720"/>
        <w:rPr>
          <w:rFonts w:ascii="Times New Roman" w:hAnsi="Times New Roman"/>
        </w:rPr>
      </w:pPr>
      <w:r w:rsidRPr="00786342">
        <w:rPr>
          <w:rFonts w:ascii="Times New Roman" w:hAnsi="Times New Roman"/>
        </w:rPr>
        <w:t>The transactions covered by the exemption are “income item conversions” and “</w:t>
      </w:r>
      <w:r w:rsidRPr="00786342">
        <w:rPr>
          <w:rFonts w:ascii="Times New Roman" w:hAnsi="Times New Roman"/>
          <w:u w:val="single"/>
        </w:rPr>
        <w:t>de minimis</w:t>
      </w:r>
      <w:r w:rsidRPr="00790D92">
        <w:rPr>
          <w:rFonts w:ascii="Times New Roman" w:hAnsi="Times New Roman"/>
        </w:rPr>
        <w:t xml:space="preserve"> purchase or sale transactions.”  An income item conversion is the conversion of interest, dividends, or other income items into either U.S. dollars or any other currency of an amount which is the equivalent of no more than 300,000 U.S. dollars of interest, dividends, or other distributions with respect to a security or other item denominated in the currency of another nation in connection with the plan’s foreign investments.  Conversions into other than U.S. currency must be held in an interest bearing account, or reinvested </w:t>
      </w:r>
      <w:r w:rsidR="001F3A5C" w:rsidRPr="00790D92">
        <w:rPr>
          <w:rFonts w:ascii="Times New Roman" w:hAnsi="Times New Roman"/>
        </w:rPr>
        <w:t xml:space="preserve">within 24 hours of conversion. </w:t>
      </w:r>
      <w:r w:rsidRPr="00790D92">
        <w:rPr>
          <w:rFonts w:ascii="Times New Roman" w:hAnsi="Times New Roman"/>
        </w:rPr>
        <w:t xml:space="preserve">A </w:t>
      </w:r>
      <w:r w:rsidRPr="00790D92">
        <w:rPr>
          <w:rFonts w:ascii="Times New Roman" w:hAnsi="Times New Roman"/>
          <w:u w:val="single"/>
        </w:rPr>
        <w:t>de minimis</w:t>
      </w:r>
      <w:r w:rsidRPr="00790D92">
        <w:rPr>
          <w:rFonts w:ascii="Times New Roman" w:hAnsi="Times New Roman"/>
        </w:rPr>
        <w:t xml:space="preserve"> purchase or sale is the purchase or sale of foreign currenc</w:t>
      </w:r>
      <w:r w:rsidR="00BA663F" w:rsidRPr="00790D92">
        <w:rPr>
          <w:rFonts w:ascii="Times New Roman" w:hAnsi="Times New Roman"/>
        </w:rPr>
        <w:t>ies</w:t>
      </w:r>
      <w:r w:rsidRPr="00790D92">
        <w:rPr>
          <w:rFonts w:ascii="Times New Roman" w:hAnsi="Times New Roman"/>
        </w:rPr>
        <w:t xml:space="preserve"> in </w:t>
      </w:r>
      <w:r w:rsidR="00BA663F" w:rsidRPr="00790D92">
        <w:rPr>
          <w:rFonts w:ascii="Times New Roman" w:hAnsi="Times New Roman"/>
        </w:rPr>
        <w:t xml:space="preserve">an amount of </w:t>
      </w:r>
      <w:r w:rsidRPr="00790D92">
        <w:rPr>
          <w:rFonts w:ascii="Times New Roman" w:hAnsi="Times New Roman"/>
        </w:rPr>
        <w:t xml:space="preserve">no more than 300,000 U.S. dollars in connection with the purchase or sale of foreign securities by a plan.  </w:t>
      </w:r>
    </w:p>
    <w:p w:rsidR="00117845" w:rsidRPr="00790D92" w:rsidRDefault="00117845" w:rsidP="003A2D08">
      <w:pPr>
        <w:widowControl/>
        <w:ind w:left="720"/>
        <w:rPr>
          <w:rFonts w:ascii="Times New Roman" w:hAnsi="Times New Roman"/>
        </w:rPr>
      </w:pPr>
    </w:p>
    <w:p w:rsidR="00117845" w:rsidRPr="00790D92" w:rsidRDefault="00117845" w:rsidP="003A2D08">
      <w:pPr>
        <w:widowControl/>
        <w:ind w:left="720"/>
        <w:rPr>
          <w:rFonts w:ascii="Times New Roman" w:hAnsi="Times New Roman"/>
        </w:rPr>
      </w:pPr>
      <w:r w:rsidRPr="00790D92">
        <w:rPr>
          <w:rFonts w:ascii="Times New Roman" w:hAnsi="Times New Roman"/>
        </w:rPr>
        <w:t xml:space="preserve">The general purpose of this exemption is to permit employee benefit plans to engage in foreign exchange transactions with banks or broker-dealers which are parties in interest with respect to such plans in ways in which the applicant represents are more cost efficient for the plans.  In order that such transactions will be consistent with the </w:t>
      </w:r>
      <w:r w:rsidRPr="00790D92">
        <w:rPr>
          <w:rFonts w:ascii="Times New Roman" w:hAnsi="Times New Roman"/>
        </w:rPr>
        <w:lastRenderedPageBreak/>
        <w:t>requirements of ERISA section 408(a), the exemption imposes the following conditions</w:t>
      </w:r>
      <w:r w:rsidR="00BA663F" w:rsidRPr="00790D92">
        <w:rPr>
          <w:rFonts w:ascii="Times New Roman" w:hAnsi="Times New Roman"/>
        </w:rPr>
        <w:t xml:space="preserve"> at the time the foreign exchange transaction is entered into</w:t>
      </w:r>
      <w:r w:rsidRPr="00790D92">
        <w:rPr>
          <w:rFonts w:ascii="Times New Roman" w:hAnsi="Times New Roman"/>
        </w:rPr>
        <w:t>:</w:t>
      </w:r>
      <w:r w:rsidRPr="00790D92">
        <w:rPr>
          <w:rStyle w:val="FootnoteReference"/>
          <w:rFonts w:ascii="Times New Roman" w:hAnsi="Times New Roman"/>
          <w:vertAlign w:val="superscript"/>
        </w:rPr>
        <w:footnoteReference w:id="1"/>
      </w:r>
      <w:r w:rsidRPr="00790D92">
        <w:rPr>
          <w:rFonts w:ascii="Times New Roman" w:hAnsi="Times New Roman"/>
        </w:rPr>
        <w:t xml:space="preserve">  a) the terms of the transaction must not be less favorable that those available in comparable arm’s-length transactions between unrelated parties or those afforded by the bank or </w:t>
      </w:r>
      <w:r w:rsidR="001F3A5C" w:rsidRPr="00790D92">
        <w:rPr>
          <w:rFonts w:ascii="Times New Roman" w:hAnsi="Times New Roman"/>
        </w:rPr>
        <w:t xml:space="preserve">the </w:t>
      </w:r>
      <w:r w:rsidRPr="00790D92">
        <w:rPr>
          <w:rFonts w:ascii="Times New Roman" w:hAnsi="Times New Roman"/>
        </w:rPr>
        <w:t xml:space="preserve">broker-dealer in comparable arm’s-length transactions involving unrelated parties; b) neither the bank nor </w:t>
      </w:r>
      <w:r w:rsidR="001F3A5C" w:rsidRPr="00790D92">
        <w:rPr>
          <w:rFonts w:ascii="Times New Roman" w:hAnsi="Times New Roman"/>
        </w:rPr>
        <w:t xml:space="preserve">the </w:t>
      </w:r>
      <w:r w:rsidRPr="00790D92">
        <w:rPr>
          <w:rFonts w:ascii="Times New Roman" w:hAnsi="Times New Roman"/>
        </w:rPr>
        <w:t xml:space="preserve">broker-dealer has any discretionary authority with respect to the investment of the assets involved in the transaction; c) the bank or broker-dealer maintains </w:t>
      </w:r>
      <w:r w:rsidR="00BA663F" w:rsidRPr="00790D92">
        <w:rPr>
          <w:rFonts w:ascii="Times New Roman" w:hAnsi="Times New Roman"/>
        </w:rPr>
        <w:t xml:space="preserve">at all times </w:t>
      </w:r>
      <w:r w:rsidRPr="00790D92">
        <w:rPr>
          <w:rFonts w:ascii="Times New Roman" w:hAnsi="Times New Roman"/>
        </w:rPr>
        <w:t>written policies and procedures</w:t>
      </w:r>
      <w:r w:rsidR="00D3769F" w:rsidRPr="00790D92">
        <w:rPr>
          <w:rFonts w:ascii="Times New Roman" w:hAnsi="Times New Roman"/>
        </w:rPr>
        <w:t xml:space="preserve"> regarding the</w:t>
      </w:r>
      <w:r w:rsidRPr="00790D92">
        <w:rPr>
          <w:rFonts w:ascii="Times New Roman" w:hAnsi="Times New Roman"/>
        </w:rPr>
        <w:t xml:space="preserve"> handling</w:t>
      </w:r>
      <w:r w:rsidR="00D3769F" w:rsidRPr="00790D92">
        <w:rPr>
          <w:rFonts w:ascii="Times New Roman" w:hAnsi="Times New Roman"/>
        </w:rPr>
        <w:t xml:space="preserve"> of</w:t>
      </w:r>
      <w:r w:rsidRPr="00790D92">
        <w:rPr>
          <w:rFonts w:ascii="Times New Roman" w:hAnsi="Times New Roman"/>
        </w:rPr>
        <w:t xml:space="preserve"> foreign exchange transactions for plans for which it is a party in interest which ensure that the party acting for the bank or </w:t>
      </w:r>
      <w:r w:rsidR="001F3A5C" w:rsidRPr="00790D92">
        <w:rPr>
          <w:rFonts w:ascii="Times New Roman" w:hAnsi="Times New Roman"/>
        </w:rPr>
        <w:t xml:space="preserve">the </w:t>
      </w:r>
      <w:r w:rsidRPr="00790D92">
        <w:rPr>
          <w:rFonts w:ascii="Times New Roman" w:hAnsi="Times New Roman"/>
        </w:rPr>
        <w:t xml:space="preserve">broker-dealer knows it is dealing with a plan; d) the transactions are performed in accordance with a written authorization executed in advance by an independent fiduciary </w:t>
      </w:r>
      <w:r w:rsidR="00BA663F" w:rsidRPr="00790D92">
        <w:rPr>
          <w:rFonts w:ascii="Times New Roman" w:hAnsi="Times New Roman"/>
        </w:rPr>
        <w:t>of the plan whose assets are involved in the transaction and who is independent of the bank or broker-dealer engaging in the covered transaction</w:t>
      </w:r>
      <w:r w:rsidRPr="00790D92">
        <w:rPr>
          <w:rFonts w:ascii="Times New Roman" w:hAnsi="Times New Roman"/>
        </w:rPr>
        <w:t xml:space="preserve">; e) transactions are executed within one business day of receipt of funds; f) the bank or </w:t>
      </w:r>
      <w:r w:rsidR="001F3A5C" w:rsidRPr="00790D92">
        <w:rPr>
          <w:rFonts w:ascii="Times New Roman" w:hAnsi="Times New Roman"/>
        </w:rPr>
        <w:t xml:space="preserve">the </w:t>
      </w:r>
      <w:r w:rsidRPr="00790D92">
        <w:rPr>
          <w:rFonts w:ascii="Times New Roman" w:hAnsi="Times New Roman"/>
        </w:rPr>
        <w:t xml:space="preserve">broker-dealer at least once a day at a time specified in written procedures establishes a rate or range of rates of exchange to be used for the transactions covered by this exemption, and executes transactions at either the next scheduled time or no later than 24 hours after receipt of notice of receipt of funds; g) prior to execution of a transaction, the bank or </w:t>
      </w:r>
      <w:r w:rsidR="001F3A5C" w:rsidRPr="00790D92">
        <w:rPr>
          <w:rFonts w:ascii="Times New Roman" w:hAnsi="Times New Roman"/>
        </w:rPr>
        <w:t xml:space="preserve">the </w:t>
      </w:r>
      <w:r w:rsidRPr="00790D92">
        <w:rPr>
          <w:rFonts w:ascii="Times New Roman" w:hAnsi="Times New Roman"/>
        </w:rPr>
        <w:t xml:space="preserve">broker-dealer provides the authorizing fiduciary with a copy of its written policies and procedures for foreign exchange transactions involving income item conversions and </w:t>
      </w:r>
      <w:r w:rsidRPr="00790D92">
        <w:rPr>
          <w:rFonts w:ascii="Times New Roman" w:hAnsi="Times New Roman"/>
          <w:u w:val="single"/>
        </w:rPr>
        <w:t>de minimis</w:t>
      </w:r>
      <w:r w:rsidRPr="00790D92">
        <w:rPr>
          <w:rFonts w:ascii="Times New Roman" w:hAnsi="Times New Roman"/>
        </w:rPr>
        <w:t xml:space="preserve"> purchase and sale transactions; h) the bank or </w:t>
      </w:r>
      <w:r w:rsidR="001F3A5C" w:rsidRPr="00790D92">
        <w:rPr>
          <w:rFonts w:ascii="Times New Roman" w:hAnsi="Times New Roman"/>
        </w:rPr>
        <w:t xml:space="preserve">the </w:t>
      </w:r>
      <w:r w:rsidRPr="00790D92">
        <w:rPr>
          <w:rFonts w:ascii="Times New Roman" w:hAnsi="Times New Roman"/>
        </w:rPr>
        <w:t xml:space="preserve">broker-dealer furnishes the authorizing fiduciary a written confirmation statement with respect to each covered transaction within 5 days of execution; i) the bank or </w:t>
      </w:r>
      <w:r w:rsidR="001F3A5C" w:rsidRPr="00790D92">
        <w:rPr>
          <w:rFonts w:ascii="Times New Roman" w:hAnsi="Times New Roman"/>
        </w:rPr>
        <w:t xml:space="preserve">the </w:t>
      </w:r>
      <w:r w:rsidRPr="00790D92">
        <w:rPr>
          <w:rFonts w:ascii="Times New Roman" w:hAnsi="Times New Roman"/>
        </w:rPr>
        <w:t>broker-dealer maintains records necessary for plan fiduciaries, participants, and the Department and Internal Revenue Service to determine whether the conditions of the exemption have been met for a period of six years from the date of execution of a transaction.</w:t>
      </w:r>
    </w:p>
    <w:p w:rsidR="00117845" w:rsidRPr="00790D92" w:rsidRDefault="00117845" w:rsidP="003A2D08">
      <w:pPr>
        <w:widowControl/>
        <w:ind w:left="720"/>
        <w:rPr>
          <w:rFonts w:ascii="Times New Roman" w:hAnsi="Times New Roman"/>
        </w:rPr>
      </w:pPr>
    </w:p>
    <w:p w:rsidR="00117845" w:rsidRPr="00790D92" w:rsidRDefault="00117845" w:rsidP="003A2D08">
      <w:pPr>
        <w:widowControl/>
        <w:ind w:left="720"/>
        <w:rPr>
          <w:rFonts w:ascii="Times New Roman" w:hAnsi="Times New Roman"/>
        </w:rPr>
      </w:pPr>
      <w:r w:rsidRPr="00790D92">
        <w:rPr>
          <w:rFonts w:ascii="Times New Roman" w:hAnsi="Times New Roman"/>
        </w:rPr>
        <w:t xml:space="preserve">The information collection requirements of the exemption are included in the conditions with respect to the written policies and procedures of the bank or broker-dealer, the advance written authorization, transaction confirmation statements, and recordkeeping requirements.  </w:t>
      </w:r>
    </w:p>
    <w:p w:rsidR="00117845" w:rsidRPr="00790D92" w:rsidRDefault="00117845" w:rsidP="003A2D08">
      <w:pPr>
        <w:widowControl/>
        <w:ind w:left="720"/>
        <w:rPr>
          <w:rFonts w:ascii="Times New Roman" w:hAnsi="Times New Roman"/>
        </w:rPr>
      </w:pPr>
    </w:p>
    <w:p w:rsidR="00117845" w:rsidRPr="00790D92" w:rsidRDefault="00117845" w:rsidP="003A2D08">
      <w:pPr>
        <w:widowControl/>
        <w:tabs>
          <w:tab w:val="left" w:pos="-1440"/>
        </w:tabs>
        <w:ind w:left="720" w:hanging="720"/>
        <w:rPr>
          <w:rFonts w:ascii="Times New Roman" w:hAnsi="Times New Roman"/>
        </w:rPr>
      </w:pPr>
      <w:r w:rsidRPr="00790D92">
        <w:rPr>
          <w:rFonts w:ascii="Times New Roman" w:hAnsi="Times New Roman"/>
          <w:i/>
        </w:rPr>
        <w:t>2.</w:t>
      </w:r>
      <w:r w:rsidRPr="00790D92">
        <w:rPr>
          <w:rFonts w:ascii="Times New Roman" w:hAnsi="Times New Roman"/>
          <w:i/>
        </w:rPr>
        <w:tab/>
      </w:r>
      <w:r w:rsidRPr="00790D92">
        <w:rPr>
          <w:rFonts w:ascii="Times New Roman" w:hAnsi="Times New Roman"/>
          <w:i/>
          <w:iCs/>
        </w:rPr>
        <w:t>Indicate how, by whom, and for what purpose the information is to be used.  Except for a new collection, indicate the actual use the agency has made of the information received from the current collection.</w:t>
      </w:r>
    </w:p>
    <w:p w:rsidR="00117845" w:rsidRPr="00790D92" w:rsidRDefault="00117845" w:rsidP="003A2D08">
      <w:pPr>
        <w:widowControl/>
        <w:ind w:left="720"/>
        <w:rPr>
          <w:rFonts w:ascii="Times New Roman" w:hAnsi="Times New Roman"/>
        </w:rPr>
      </w:pPr>
    </w:p>
    <w:p w:rsidR="00117845" w:rsidRPr="00790D92" w:rsidRDefault="00117845" w:rsidP="003A2D08">
      <w:pPr>
        <w:widowControl/>
        <w:ind w:left="720"/>
        <w:rPr>
          <w:rFonts w:ascii="Times New Roman" w:hAnsi="Times New Roman"/>
        </w:rPr>
      </w:pPr>
      <w:r w:rsidRPr="00790D92">
        <w:rPr>
          <w:rFonts w:ascii="Times New Roman" w:hAnsi="Times New Roman"/>
        </w:rPr>
        <w:t xml:space="preserve">The information collection requirements of the exemption are intended to protect the interests of plan participants and beneficiaries by ensuring that the independent plan fiduciaries have sufficient information to fulfill their fiduciary duties with respect to the plan, and that the federal government agencies responsible for administration and enforcement of ERISA have sufficient information to determine that the conditions of the exemption have been met.  As indicated above, before an exemption can be granted under section 408(a) of ERISA and section 4975(c)(2) of the Code, the Department must find, among other things, that the exemption is protective of the rights and interests of plan participants and beneficiaries.  Consistent with the practice followed in other prohibited transaction class exemptions granted by the Department, the exemption includes a condition requiring a bank or its affiliate using the exemption on a prospective basis to maintain for a period of six years from the date of each covered transaction the records necessary to enable certain persons to determine whether the applicable conditions of the exemption have been met.  Such persons include any duly authorized employee or representative of the Department or the IRS, any plan fiduciary who has authority to acquire or dispose of the assets of the plan involved in a foreign exchange transaction, and any contributing </w:t>
      </w:r>
      <w:r w:rsidR="003A2D08">
        <w:rPr>
          <w:rFonts w:ascii="Times New Roman" w:hAnsi="Times New Roman"/>
        </w:rPr>
        <w:t>employer to the plan.</w:t>
      </w:r>
    </w:p>
    <w:p w:rsidR="00117845" w:rsidRPr="00790D92" w:rsidRDefault="00117845" w:rsidP="003A2D08">
      <w:pPr>
        <w:widowControl/>
        <w:ind w:left="720"/>
        <w:rPr>
          <w:rFonts w:ascii="Times New Roman" w:hAnsi="Times New Roman"/>
        </w:rPr>
      </w:pPr>
    </w:p>
    <w:p w:rsidR="00117845" w:rsidRPr="00790D92" w:rsidRDefault="00117845" w:rsidP="004B5252">
      <w:pPr>
        <w:widowControl/>
        <w:tabs>
          <w:tab w:val="left" w:pos="-1440"/>
        </w:tabs>
        <w:ind w:left="720" w:hanging="720"/>
        <w:rPr>
          <w:rFonts w:ascii="Times New Roman" w:hAnsi="Times New Roman"/>
          <w:i/>
          <w:iCs/>
        </w:rPr>
      </w:pPr>
      <w:r w:rsidRPr="00790D92">
        <w:rPr>
          <w:rFonts w:ascii="Times New Roman" w:hAnsi="Times New Roman"/>
          <w:i/>
        </w:rPr>
        <w:t>3.</w:t>
      </w:r>
      <w:r w:rsidRPr="00790D92">
        <w:rPr>
          <w:rFonts w:ascii="Times New Roman" w:hAnsi="Times New Roman"/>
          <w:i/>
        </w:rPr>
        <w:tab/>
      </w:r>
      <w:r w:rsidRPr="00790D92">
        <w:rPr>
          <w:rFonts w:ascii="Times New Roman" w:hAnsi="Times New Roman"/>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117845" w:rsidRPr="00790D92" w:rsidRDefault="00117845" w:rsidP="003A2D08">
      <w:pPr>
        <w:widowControl/>
        <w:ind w:left="720"/>
        <w:rPr>
          <w:rFonts w:ascii="Times New Roman" w:hAnsi="Times New Roman"/>
        </w:rPr>
      </w:pPr>
    </w:p>
    <w:p w:rsidR="00117845" w:rsidRPr="00790D92" w:rsidRDefault="00117845" w:rsidP="003A2D08">
      <w:pPr>
        <w:pStyle w:val="BodyTextIndent"/>
        <w:widowControl/>
        <w:ind w:left="720" w:firstLine="0"/>
      </w:pPr>
      <w:r w:rsidRPr="00790D92">
        <w:t>Under 29 C.F.R. § 2520.104b-1(b) of ERISA,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  Section 2520.104b-1(c) establishes the manner in which disclosures under Title I of ERISA made through electronic media will be deemed to satisfy the requirement of § 2520.104b-1(b).  Section 2520-107-1 establishes standards concerning the use of electronic media for maintenance and retention of records.  Under these rules, all pension and welfare plans covered under Title I of ERISA may use electronic media to satisfy disclosure and recordkeeping obligations, s</w:t>
      </w:r>
      <w:r w:rsidR="003A2D08">
        <w:t>ubject to specific safeguards.</w:t>
      </w:r>
    </w:p>
    <w:p w:rsidR="00117845" w:rsidRPr="00790D92" w:rsidRDefault="00117845" w:rsidP="003A2D08">
      <w:pPr>
        <w:widowControl/>
        <w:ind w:left="720"/>
        <w:rPr>
          <w:rFonts w:ascii="Times New Roman" w:hAnsi="Times New Roman"/>
        </w:rPr>
      </w:pPr>
    </w:p>
    <w:p w:rsidR="00117845" w:rsidRPr="00790D92" w:rsidRDefault="00117845" w:rsidP="004B5252">
      <w:pPr>
        <w:widowControl/>
        <w:tabs>
          <w:tab w:val="left" w:pos="-1440"/>
        </w:tabs>
        <w:ind w:left="720" w:hanging="720"/>
        <w:rPr>
          <w:rFonts w:ascii="Times New Roman" w:hAnsi="Times New Roman"/>
        </w:rPr>
      </w:pPr>
      <w:r w:rsidRPr="00790D92">
        <w:rPr>
          <w:rFonts w:ascii="Times New Roman" w:hAnsi="Times New Roman"/>
          <w:i/>
        </w:rPr>
        <w:t>4.</w:t>
      </w:r>
      <w:r w:rsidRPr="00790D92">
        <w:rPr>
          <w:rFonts w:ascii="Times New Roman" w:hAnsi="Times New Roman"/>
          <w:i/>
        </w:rPr>
        <w:tab/>
      </w:r>
      <w:r w:rsidRPr="00790D92">
        <w:rPr>
          <w:rFonts w:ascii="Times New Roman" w:hAnsi="Times New Roman"/>
          <w:i/>
          <w:iCs/>
        </w:rPr>
        <w:t>Describe efforts to identify duplication.  Show specifically why any similar information already available cannot be used or modified for use for the purposes described in Item 2 above.</w:t>
      </w:r>
    </w:p>
    <w:p w:rsidR="00117845" w:rsidRPr="00790D92" w:rsidRDefault="00117845" w:rsidP="004B5252">
      <w:pPr>
        <w:widowControl/>
        <w:ind w:left="720"/>
        <w:rPr>
          <w:rFonts w:ascii="Times New Roman" w:hAnsi="Times New Roman"/>
        </w:rPr>
      </w:pPr>
    </w:p>
    <w:p w:rsidR="00117845" w:rsidRPr="00790D92" w:rsidRDefault="00117845" w:rsidP="004B5252">
      <w:pPr>
        <w:widowControl/>
        <w:ind w:left="720"/>
        <w:rPr>
          <w:rFonts w:ascii="Times New Roman" w:hAnsi="Times New Roman"/>
        </w:rPr>
      </w:pPr>
      <w:r w:rsidRPr="00790D92">
        <w:rPr>
          <w:rFonts w:ascii="Times New Roman" w:hAnsi="Times New Roman"/>
        </w:rPr>
        <w:t>It is likely that some duplication of record keeping requirements exists between state and federal laws and this exemption.  However, no actual duplicative record keeping is expected to be required because transaction records are considered likely to satisfy the requirements of state and federal laws and the exemption in most cases.</w:t>
      </w:r>
    </w:p>
    <w:p w:rsidR="00117845" w:rsidRPr="00790D92" w:rsidRDefault="00117845" w:rsidP="004B5252">
      <w:pPr>
        <w:widowControl/>
        <w:tabs>
          <w:tab w:val="left" w:pos="-1440"/>
        </w:tabs>
        <w:ind w:left="720" w:hanging="720"/>
        <w:rPr>
          <w:rFonts w:ascii="Times New Roman" w:hAnsi="Times New Roman"/>
          <w:i/>
          <w:iCs/>
        </w:rPr>
      </w:pPr>
      <w:r w:rsidRPr="00790D92">
        <w:rPr>
          <w:rFonts w:ascii="Times New Roman" w:hAnsi="Times New Roman"/>
          <w:i/>
        </w:rPr>
        <w:t>5.</w:t>
      </w:r>
      <w:r w:rsidRPr="00790D92">
        <w:rPr>
          <w:rFonts w:ascii="Times New Roman" w:hAnsi="Times New Roman"/>
          <w:i/>
        </w:rPr>
        <w:tab/>
      </w:r>
      <w:r w:rsidRPr="00790D92">
        <w:rPr>
          <w:rFonts w:ascii="Times New Roman" w:hAnsi="Times New Roman"/>
          <w:i/>
          <w:iCs/>
        </w:rPr>
        <w:t>If the collection of information impacts small businesses or other small entities</w:t>
      </w:r>
      <w:r w:rsidR="002D0563" w:rsidRPr="00790D92">
        <w:rPr>
          <w:rFonts w:ascii="Times New Roman" w:hAnsi="Times New Roman"/>
          <w:i/>
          <w:iCs/>
        </w:rPr>
        <w:t xml:space="preserve"> </w:t>
      </w:r>
      <w:r w:rsidRPr="00790D92">
        <w:rPr>
          <w:rFonts w:ascii="Times New Roman" w:hAnsi="Times New Roman"/>
          <w:i/>
          <w:iCs/>
        </w:rPr>
        <w:t>describe any methods used to minimize burden.</w:t>
      </w:r>
    </w:p>
    <w:p w:rsidR="00117845" w:rsidRPr="00790D92" w:rsidRDefault="00117845" w:rsidP="004B5252">
      <w:pPr>
        <w:widowControl/>
        <w:ind w:left="720"/>
        <w:rPr>
          <w:rFonts w:ascii="Times New Roman" w:hAnsi="Times New Roman"/>
          <w:i/>
          <w:iCs/>
        </w:rPr>
      </w:pPr>
    </w:p>
    <w:p w:rsidR="00117845" w:rsidRPr="00790D92" w:rsidRDefault="00117845" w:rsidP="004B5252">
      <w:pPr>
        <w:widowControl/>
        <w:ind w:left="720"/>
        <w:rPr>
          <w:rFonts w:ascii="Times New Roman" w:hAnsi="Times New Roman"/>
        </w:rPr>
      </w:pPr>
      <w:r w:rsidRPr="00790D92">
        <w:rPr>
          <w:rFonts w:ascii="Times New Roman" w:hAnsi="Times New Roman"/>
        </w:rPr>
        <w:t>The disclosure and recordkeeping requirements are imposed on only banks and broker-dealers engaging in foreign exchange transactions.  These entities are not typically small businesses.</w:t>
      </w:r>
    </w:p>
    <w:p w:rsidR="00117845" w:rsidRPr="00790D92" w:rsidRDefault="00117845" w:rsidP="004B5252">
      <w:pPr>
        <w:widowControl/>
        <w:ind w:left="720"/>
        <w:rPr>
          <w:rFonts w:ascii="Times New Roman" w:hAnsi="Times New Roman"/>
        </w:rPr>
      </w:pPr>
    </w:p>
    <w:p w:rsidR="00117845" w:rsidRPr="00790D92" w:rsidRDefault="00117845" w:rsidP="004B5252">
      <w:pPr>
        <w:widowControl/>
        <w:tabs>
          <w:tab w:val="left" w:pos="-1440"/>
        </w:tabs>
        <w:ind w:left="720" w:hanging="720"/>
        <w:rPr>
          <w:rFonts w:ascii="Times New Roman" w:hAnsi="Times New Roman"/>
        </w:rPr>
      </w:pPr>
      <w:r w:rsidRPr="00790D92">
        <w:rPr>
          <w:rFonts w:ascii="Times New Roman" w:hAnsi="Times New Roman"/>
          <w:i/>
        </w:rPr>
        <w:t>6.</w:t>
      </w:r>
      <w:r w:rsidRPr="00790D92">
        <w:rPr>
          <w:rFonts w:ascii="Times New Roman" w:hAnsi="Times New Roman"/>
          <w:i/>
        </w:rPr>
        <w:tab/>
      </w:r>
      <w:r w:rsidRPr="00790D92">
        <w:rPr>
          <w:rFonts w:ascii="Times New Roman" w:hAnsi="Times New Roman"/>
          <w:i/>
          <w:iCs/>
        </w:rPr>
        <w:t>Describe the consequence to Federal program or policy activities if the collection is not conducted or is conducted less frequently, as well as any technical or legal obstacles to reducing burden.</w:t>
      </w:r>
    </w:p>
    <w:p w:rsidR="00117845" w:rsidRPr="00790D92" w:rsidRDefault="00117845" w:rsidP="004B5252">
      <w:pPr>
        <w:widowControl/>
        <w:ind w:left="720"/>
        <w:rPr>
          <w:rFonts w:ascii="Times New Roman" w:hAnsi="Times New Roman"/>
        </w:rPr>
      </w:pPr>
    </w:p>
    <w:p w:rsidR="00117845" w:rsidRPr="00790D92" w:rsidRDefault="00117845" w:rsidP="004B5252">
      <w:pPr>
        <w:widowControl/>
        <w:ind w:left="720"/>
        <w:rPr>
          <w:rFonts w:ascii="Times New Roman" w:hAnsi="Times New Roman"/>
        </w:rPr>
      </w:pPr>
      <w:r w:rsidRPr="00790D92">
        <w:rPr>
          <w:rFonts w:ascii="Times New Roman" w:hAnsi="Times New Roman"/>
        </w:rPr>
        <w:t>The disclosure and record keeping requirements are mandated only for banks and broker-dealers electing to engage in transactions which are the subject of the class exemption.  The frequency is dependent on the occurrence of a transaction rather than a pre-determined period of time.  Without the disclosure provisions of the exemption, fiduciaries, participants, and the Department would have no basis to determine whether the other conditions of the exemption have been met, and plans and participants and beneficiaries might not be protected from fiduciary self-dealing.</w:t>
      </w:r>
    </w:p>
    <w:p w:rsidR="00117845" w:rsidRPr="00790D92" w:rsidRDefault="00117845" w:rsidP="004B5252">
      <w:pPr>
        <w:widowControl/>
        <w:ind w:left="720"/>
        <w:rPr>
          <w:rFonts w:ascii="Times New Roman" w:hAnsi="Times New Roman"/>
        </w:rPr>
      </w:pPr>
    </w:p>
    <w:p w:rsidR="00117845" w:rsidRPr="00790D92" w:rsidRDefault="00117845" w:rsidP="00944879">
      <w:pPr>
        <w:widowControl/>
        <w:tabs>
          <w:tab w:val="left" w:pos="-1440"/>
        </w:tabs>
        <w:ind w:left="720" w:hanging="720"/>
        <w:rPr>
          <w:rFonts w:ascii="Times New Roman" w:hAnsi="Times New Roman"/>
          <w:i/>
          <w:iCs/>
        </w:rPr>
      </w:pPr>
      <w:r w:rsidRPr="00790D92">
        <w:rPr>
          <w:rFonts w:ascii="Times New Roman" w:hAnsi="Times New Roman"/>
          <w:i/>
        </w:rPr>
        <w:t>7.</w:t>
      </w:r>
      <w:r w:rsidRPr="00790D92">
        <w:rPr>
          <w:rFonts w:ascii="Times New Roman" w:hAnsi="Times New Roman"/>
          <w:i/>
        </w:rPr>
        <w:tab/>
      </w:r>
      <w:r w:rsidRPr="00790D92">
        <w:rPr>
          <w:rFonts w:ascii="Times New Roman" w:hAnsi="Times New Roman"/>
          <w:i/>
          <w:iCs/>
        </w:rPr>
        <w:t>Explain any special circumstances that would cause an information collection to be conducted in a manner:</w:t>
      </w:r>
    </w:p>
    <w:p w:rsidR="00117845" w:rsidRPr="00790D92" w:rsidRDefault="00117845" w:rsidP="00944879">
      <w:pPr>
        <w:widowControl/>
        <w:tabs>
          <w:tab w:val="left" w:pos="-1440"/>
        </w:tabs>
        <w:ind w:left="1440" w:hanging="720"/>
        <w:rPr>
          <w:rFonts w:ascii="Times New Roman" w:hAnsi="Times New Roman"/>
          <w:i/>
          <w:iCs/>
        </w:rPr>
      </w:pPr>
      <w:r w:rsidRPr="00790D92">
        <w:rPr>
          <w:rFonts w:ascii="Times New Roman" w:hAnsi="Times New Roman"/>
          <w:i/>
          <w:iCs/>
        </w:rPr>
        <w:t>•</w:t>
      </w:r>
      <w:r w:rsidRPr="00790D92">
        <w:rPr>
          <w:rFonts w:ascii="Times New Roman" w:hAnsi="Times New Roman"/>
          <w:i/>
          <w:iCs/>
        </w:rPr>
        <w:tab/>
        <w:t>requiring respondents to report information to the agency more often than quarterly;</w:t>
      </w:r>
    </w:p>
    <w:p w:rsidR="00117845" w:rsidRPr="00790D92" w:rsidRDefault="00117845" w:rsidP="00944879">
      <w:pPr>
        <w:widowControl/>
        <w:tabs>
          <w:tab w:val="left" w:pos="-1440"/>
        </w:tabs>
        <w:ind w:left="1440" w:hanging="720"/>
        <w:rPr>
          <w:rFonts w:ascii="Times New Roman" w:hAnsi="Times New Roman"/>
          <w:i/>
          <w:iCs/>
        </w:rPr>
      </w:pPr>
      <w:r w:rsidRPr="00790D92">
        <w:rPr>
          <w:rFonts w:ascii="Times New Roman" w:hAnsi="Times New Roman"/>
          <w:i/>
          <w:iCs/>
        </w:rPr>
        <w:t>•</w:t>
      </w:r>
      <w:r w:rsidRPr="00790D92">
        <w:rPr>
          <w:rFonts w:ascii="Times New Roman" w:hAnsi="Times New Roman"/>
          <w:i/>
          <w:iCs/>
        </w:rPr>
        <w:tab/>
        <w:t>requiring respondents to prepare a written response to a collection of information in fewer than 30 days after receipt of it;</w:t>
      </w:r>
    </w:p>
    <w:p w:rsidR="00117845" w:rsidRPr="00790D92" w:rsidRDefault="00117845" w:rsidP="00944879">
      <w:pPr>
        <w:widowControl/>
        <w:tabs>
          <w:tab w:val="left" w:pos="-1440"/>
        </w:tabs>
        <w:ind w:left="1440" w:hanging="720"/>
        <w:rPr>
          <w:rFonts w:ascii="Times New Roman" w:hAnsi="Times New Roman"/>
          <w:i/>
          <w:iCs/>
        </w:rPr>
      </w:pPr>
      <w:r w:rsidRPr="00790D92">
        <w:rPr>
          <w:rFonts w:ascii="Times New Roman" w:hAnsi="Times New Roman"/>
          <w:i/>
          <w:iCs/>
        </w:rPr>
        <w:t>•</w:t>
      </w:r>
      <w:r w:rsidRPr="00790D92">
        <w:rPr>
          <w:rFonts w:ascii="Times New Roman" w:hAnsi="Times New Roman"/>
          <w:i/>
          <w:iCs/>
        </w:rPr>
        <w:tab/>
        <w:t>requiring respondents to submit more than an original and two copies of any document;</w:t>
      </w:r>
    </w:p>
    <w:p w:rsidR="00117845" w:rsidRPr="00790D92" w:rsidRDefault="00117845" w:rsidP="00944879">
      <w:pPr>
        <w:widowControl/>
        <w:tabs>
          <w:tab w:val="left" w:pos="-1440"/>
        </w:tabs>
        <w:ind w:left="1440" w:hanging="720"/>
        <w:rPr>
          <w:rFonts w:ascii="Times New Roman" w:hAnsi="Times New Roman"/>
          <w:i/>
          <w:iCs/>
        </w:rPr>
      </w:pPr>
      <w:r w:rsidRPr="00790D92">
        <w:rPr>
          <w:rFonts w:ascii="Times New Roman" w:hAnsi="Times New Roman"/>
          <w:i/>
          <w:iCs/>
        </w:rPr>
        <w:t>•</w:t>
      </w:r>
      <w:r w:rsidRPr="00790D92">
        <w:rPr>
          <w:rFonts w:ascii="Times New Roman" w:hAnsi="Times New Roman"/>
          <w:i/>
          <w:iCs/>
        </w:rPr>
        <w:tab/>
        <w:t>requiring respondents to retain records, other than health, medical, government contract, grant-in-aid, or tax records for more than three years;</w:t>
      </w:r>
    </w:p>
    <w:p w:rsidR="00117845" w:rsidRPr="00790D92" w:rsidRDefault="00117845" w:rsidP="00944879">
      <w:pPr>
        <w:widowControl/>
        <w:tabs>
          <w:tab w:val="left" w:pos="-1440"/>
        </w:tabs>
        <w:ind w:left="1440" w:hanging="720"/>
        <w:rPr>
          <w:rFonts w:ascii="Times New Roman" w:hAnsi="Times New Roman"/>
          <w:i/>
          <w:iCs/>
        </w:rPr>
      </w:pPr>
      <w:r w:rsidRPr="00790D92">
        <w:rPr>
          <w:rFonts w:ascii="Times New Roman" w:hAnsi="Times New Roman"/>
          <w:i/>
          <w:iCs/>
        </w:rPr>
        <w:t>•</w:t>
      </w:r>
      <w:r w:rsidRPr="00790D92">
        <w:rPr>
          <w:rFonts w:ascii="Times New Roman" w:hAnsi="Times New Roman"/>
          <w:i/>
          <w:iCs/>
        </w:rPr>
        <w:tab/>
        <w:t>in connection with a statistical survey, that is not designed to produce valid and reliable results that can be generalized to the universe of study;</w:t>
      </w:r>
    </w:p>
    <w:p w:rsidR="00117845" w:rsidRPr="00790D92" w:rsidRDefault="00117845" w:rsidP="00944879">
      <w:pPr>
        <w:widowControl/>
        <w:tabs>
          <w:tab w:val="left" w:pos="-1440"/>
        </w:tabs>
        <w:ind w:left="1440" w:hanging="720"/>
        <w:rPr>
          <w:rFonts w:ascii="Times New Roman" w:hAnsi="Times New Roman"/>
          <w:i/>
          <w:iCs/>
        </w:rPr>
      </w:pPr>
      <w:r w:rsidRPr="00790D92">
        <w:rPr>
          <w:rFonts w:ascii="Times New Roman" w:hAnsi="Times New Roman"/>
          <w:i/>
          <w:iCs/>
        </w:rPr>
        <w:t>•</w:t>
      </w:r>
      <w:r w:rsidRPr="00790D92">
        <w:rPr>
          <w:rFonts w:ascii="Times New Roman" w:hAnsi="Times New Roman"/>
          <w:i/>
          <w:iCs/>
        </w:rPr>
        <w:tab/>
        <w:t>requiring the use of a statistical data classification that has not been reviewed and approved by OMB;</w:t>
      </w:r>
    </w:p>
    <w:p w:rsidR="00117845" w:rsidRPr="00790D92" w:rsidRDefault="00117845" w:rsidP="00944879">
      <w:pPr>
        <w:widowControl/>
        <w:tabs>
          <w:tab w:val="left" w:pos="-1440"/>
        </w:tabs>
        <w:ind w:left="1440" w:hanging="720"/>
        <w:rPr>
          <w:rFonts w:ascii="Times New Roman" w:hAnsi="Times New Roman"/>
          <w:i/>
          <w:iCs/>
        </w:rPr>
      </w:pPr>
      <w:r w:rsidRPr="00790D92">
        <w:rPr>
          <w:rFonts w:ascii="Times New Roman" w:hAnsi="Times New Roman"/>
          <w:i/>
          <w:iCs/>
        </w:rPr>
        <w:t>•</w:t>
      </w:r>
      <w:r w:rsidRPr="00790D92">
        <w:rPr>
          <w:rFonts w:ascii="Times New Roman" w:hAnsi="Times New Roman"/>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17845" w:rsidRPr="00790D92" w:rsidRDefault="00117845" w:rsidP="00944879">
      <w:pPr>
        <w:widowControl/>
        <w:tabs>
          <w:tab w:val="left" w:pos="-1440"/>
        </w:tabs>
        <w:ind w:left="1440" w:hanging="720"/>
        <w:rPr>
          <w:rFonts w:ascii="Times New Roman" w:hAnsi="Times New Roman"/>
          <w:i/>
          <w:iCs/>
        </w:rPr>
      </w:pPr>
      <w:r w:rsidRPr="00790D92">
        <w:rPr>
          <w:rFonts w:ascii="Times New Roman" w:hAnsi="Times New Roman"/>
          <w:i/>
          <w:iCs/>
        </w:rPr>
        <w:t>•</w:t>
      </w:r>
      <w:r w:rsidRPr="00790D92">
        <w:rPr>
          <w:rFonts w:ascii="Times New Roman" w:hAnsi="Times New Roman"/>
          <w:i/>
          <w:iCs/>
        </w:rPr>
        <w:tab/>
        <w:t>requiring respondents to submit proprietary trade secret, or other confidential information unless the agency can demonstrate that it has instituted procedures to protect the information's confidentiality to the extent permitted by law.</w:t>
      </w:r>
    </w:p>
    <w:p w:rsidR="00117845" w:rsidRPr="00790D92" w:rsidRDefault="00117845" w:rsidP="00944879">
      <w:pPr>
        <w:widowControl/>
        <w:ind w:left="720"/>
        <w:rPr>
          <w:rFonts w:ascii="Times New Roman" w:hAnsi="Times New Roman"/>
        </w:rPr>
      </w:pPr>
    </w:p>
    <w:p w:rsidR="00117845" w:rsidRPr="00790D92" w:rsidRDefault="00117845" w:rsidP="00944879">
      <w:pPr>
        <w:widowControl/>
        <w:ind w:left="720"/>
        <w:rPr>
          <w:rFonts w:ascii="Times New Roman" w:hAnsi="Times New Roman"/>
        </w:rPr>
      </w:pPr>
      <w:r w:rsidRPr="00790D92">
        <w:rPr>
          <w:rFonts w:ascii="Times New Roman" w:hAnsi="Times New Roman"/>
        </w:rPr>
        <w:t>The six year record keeping requirement is consistent with requirements in section 107 of ERISA, the general record keeping requirements for tax information under the</w:t>
      </w:r>
      <w:r w:rsidR="002D0563" w:rsidRPr="00790D92">
        <w:rPr>
          <w:rFonts w:ascii="Times New Roman" w:hAnsi="Times New Roman"/>
        </w:rPr>
        <w:t xml:space="preserve"> </w:t>
      </w:r>
      <w:r w:rsidRPr="00790D92">
        <w:rPr>
          <w:rFonts w:ascii="Times New Roman" w:hAnsi="Times New Roman"/>
        </w:rPr>
        <w:t>Code, and the provisions of ERISA section 413 concerning the limitation period on actions for redress of breaches of fiduciary duty (i.e, generally six years after an action which constitutes a breach).  Accordingly, the six year recordkeeping requirement has a statutory basis as described in 5 CFR 1320.5(d</w:t>
      </w:r>
      <w:r w:rsidR="007B310D" w:rsidRPr="00790D92">
        <w:rPr>
          <w:rFonts w:ascii="Times New Roman" w:hAnsi="Times New Roman"/>
        </w:rPr>
        <w:t>) (</w:t>
      </w:r>
      <w:r w:rsidRPr="00790D92">
        <w:rPr>
          <w:rFonts w:ascii="Times New Roman" w:hAnsi="Times New Roman"/>
        </w:rPr>
        <w:t xml:space="preserve">2).  Because this exemption is granted under section 4975(c) of the Code (as well as under section 408(a) of ERISA), the exclusion of tax records from the three-year guideline for record retention set forth in </w:t>
      </w:r>
      <w:r w:rsidR="00944879">
        <w:rPr>
          <w:rFonts w:ascii="Times New Roman" w:hAnsi="Times New Roman"/>
        </w:rPr>
        <w:t>5 CFR 1320.6(e) is applicable.</w:t>
      </w:r>
    </w:p>
    <w:p w:rsidR="00117845" w:rsidRPr="00790D92" w:rsidRDefault="00117845" w:rsidP="00944879">
      <w:pPr>
        <w:widowControl/>
        <w:ind w:left="720"/>
        <w:rPr>
          <w:rFonts w:ascii="Times New Roman" w:hAnsi="Times New Roman"/>
        </w:rPr>
      </w:pPr>
    </w:p>
    <w:p w:rsidR="00117845" w:rsidRPr="00790D92" w:rsidRDefault="00117845" w:rsidP="00944879">
      <w:pPr>
        <w:widowControl/>
        <w:tabs>
          <w:tab w:val="left" w:pos="-1440"/>
        </w:tabs>
        <w:ind w:left="720" w:hanging="720"/>
        <w:rPr>
          <w:rFonts w:ascii="Times New Roman" w:hAnsi="Times New Roman"/>
          <w:i/>
          <w:iCs/>
        </w:rPr>
      </w:pPr>
      <w:r w:rsidRPr="00790D92">
        <w:rPr>
          <w:rFonts w:ascii="Times New Roman" w:hAnsi="Times New Roman"/>
          <w:i/>
        </w:rPr>
        <w:t>8.</w:t>
      </w:r>
      <w:r w:rsidRPr="00790D92">
        <w:rPr>
          <w:rFonts w:ascii="Times New Roman" w:hAnsi="Times New Roman"/>
          <w:i/>
        </w:rPr>
        <w:tab/>
      </w:r>
      <w:r w:rsidRPr="00790D92">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17845" w:rsidRPr="00790D92" w:rsidRDefault="00117845" w:rsidP="00944879">
      <w:pPr>
        <w:widowControl/>
        <w:ind w:left="720"/>
        <w:rPr>
          <w:rFonts w:ascii="Times New Roman" w:hAnsi="Times New Roman"/>
          <w:i/>
          <w:iCs/>
        </w:rPr>
      </w:pPr>
    </w:p>
    <w:p w:rsidR="00117845" w:rsidRPr="00790D92" w:rsidRDefault="00117845" w:rsidP="00944879">
      <w:pPr>
        <w:widowControl/>
        <w:ind w:left="720"/>
        <w:rPr>
          <w:rFonts w:ascii="Times New Roman" w:hAnsi="Times New Roman"/>
          <w:i/>
          <w:iCs/>
        </w:rPr>
      </w:pPr>
      <w:r w:rsidRPr="00790D92">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17845" w:rsidRPr="00790D92" w:rsidRDefault="00117845" w:rsidP="00944879">
      <w:pPr>
        <w:widowControl/>
        <w:ind w:left="720"/>
        <w:rPr>
          <w:rFonts w:ascii="Times New Roman" w:hAnsi="Times New Roman"/>
          <w:i/>
          <w:iCs/>
        </w:rPr>
      </w:pPr>
    </w:p>
    <w:p w:rsidR="00117845" w:rsidRPr="00790D92" w:rsidRDefault="00117845" w:rsidP="00944879">
      <w:pPr>
        <w:widowControl/>
        <w:ind w:left="720"/>
        <w:rPr>
          <w:rFonts w:ascii="Times New Roman" w:hAnsi="Times New Roman"/>
          <w:i/>
          <w:iCs/>
        </w:rPr>
      </w:pPr>
      <w:r w:rsidRPr="00790D92">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17845" w:rsidRPr="00790D92" w:rsidRDefault="00117845" w:rsidP="00944879">
      <w:pPr>
        <w:widowControl/>
        <w:ind w:left="720"/>
        <w:rPr>
          <w:rFonts w:ascii="Times New Roman" w:hAnsi="Times New Roman"/>
        </w:rPr>
      </w:pPr>
    </w:p>
    <w:p w:rsidR="00117845" w:rsidRPr="00790D92" w:rsidRDefault="00D974DA" w:rsidP="00944879">
      <w:pPr>
        <w:widowControl/>
        <w:ind w:left="720"/>
        <w:rPr>
          <w:rFonts w:ascii="Times New Roman" w:hAnsi="Times New Roman"/>
        </w:rPr>
      </w:pPr>
      <w:r w:rsidRPr="00790D92">
        <w:rPr>
          <w:rFonts w:ascii="Times New Roman" w:hAnsi="Times New Roman"/>
        </w:rPr>
        <w:t>T</w:t>
      </w:r>
      <w:r w:rsidR="00117845" w:rsidRPr="00790D92">
        <w:rPr>
          <w:rFonts w:ascii="Times New Roman" w:hAnsi="Times New Roman"/>
        </w:rPr>
        <w:t xml:space="preserve">he Department's notice for the </w:t>
      </w:r>
      <w:r w:rsidR="00117845" w:rsidRPr="00790D92">
        <w:rPr>
          <w:rFonts w:ascii="Times New Roman" w:hAnsi="Times New Roman"/>
          <w:u w:val="single"/>
        </w:rPr>
        <w:t>Federal Register</w:t>
      </w:r>
      <w:r w:rsidR="00117845" w:rsidRPr="00790D92">
        <w:rPr>
          <w:rFonts w:ascii="Times New Roman" w:hAnsi="Times New Roman"/>
        </w:rPr>
        <w:t>, as required by 5 CFR 1320.8(d), soliciting comments on the information collection</w:t>
      </w:r>
      <w:r w:rsidRPr="00790D92">
        <w:rPr>
          <w:rFonts w:ascii="Times New Roman" w:hAnsi="Times New Roman"/>
        </w:rPr>
        <w:t xml:space="preserve">, was published </w:t>
      </w:r>
      <w:r w:rsidR="00C95718" w:rsidRPr="00790D92">
        <w:rPr>
          <w:rFonts w:ascii="Times New Roman" w:hAnsi="Times New Roman"/>
        </w:rPr>
        <w:t>o</w:t>
      </w:r>
      <w:r w:rsidR="00233267" w:rsidRPr="00790D92">
        <w:rPr>
          <w:rFonts w:ascii="Times New Roman" w:hAnsi="Times New Roman"/>
        </w:rPr>
        <w:t>n</w:t>
      </w:r>
      <w:r w:rsidRPr="00790D92">
        <w:rPr>
          <w:rFonts w:ascii="Times New Roman" w:hAnsi="Times New Roman"/>
        </w:rPr>
        <w:t xml:space="preserve"> </w:t>
      </w:r>
      <w:r w:rsidR="0028645C" w:rsidRPr="00790D92">
        <w:rPr>
          <w:rFonts w:ascii="Times New Roman" w:hAnsi="Times New Roman"/>
        </w:rPr>
        <w:t>May 22, 2017,</w:t>
      </w:r>
      <w:r w:rsidRPr="00790D92">
        <w:rPr>
          <w:rFonts w:ascii="Times New Roman" w:hAnsi="Times New Roman"/>
        </w:rPr>
        <w:t xml:space="preserve"> (</w:t>
      </w:r>
      <w:r w:rsidR="0028645C" w:rsidRPr="00790D92">
        <w:rPr>
          <w:rFonts w:ascii="Times New Roman" w:hAnsi="Times New Roman"/>
        </w:rPr>
        <w:t>82</w:t>
      </w:r>
      <w:r w:rsidRPr="00790D92">
        <w:rPr>
          <w:rFonts w:ascii="Times New Roman" w:hAnsi="Times New Roman"/>
        </w:rPr>
        <w:t xml:space="preserve"> </w:t>
      </w:r>
      <w:r w:rsidR="00117845" w:rsidRPr="00790D92">
        <w:rPr>
          <w:rFonts w:ascii="Times New Roman" w:hAnsi="Times New Roman"/>
        </w:rPr>
        <w:t xml:space="preserve">FR </w:t>
      </w:r>
      <w:r w:rsidR="0028645C" w:rsidRPr="00790D92">
        <w:rPr>
          <w:rFonts w:ascii="Times New Roman" w:hAnsi="Times New Roman"/>
        </w:rPr>
        <w:t>23303</w:t>
      </w:r>
      <w:r w:rsidR="00117845" w:rsidRPr="00790D92">
        <w:rPr>
          <w:rFonts w:ascii="Times New Roman" w:hAnsi="Times New Roman"/>
        </w:rPr>
        <w:t>)</w:t>
      </w:r>
      <w:r w:rsidRPr="00790D92">
        <w:rPr>
          <w:rFonts w:ascii="Times New Roman" w:hAnsi="Times New Roman"/>
        </w:rPr>
        <w:t xml:space="preserve">. The notice </w:t>
      </w:r>
      <w:r w:rsidR="00117845" w:rsidRPr="00790D92">
        <w:rPr>
          <w:rFonts w:ascii="Times New Roman" w:hAnsi="Times New Roman"/>
        </w:rPr>
        <w:t>provid</w:t>
      </w:r>
      <w:r w:rsidRPr="00790D92">
        <w:rPr>
          <w:rFonts w:ascii="Times New Roman" w:hAnsi="Times New Roman"/>
        </w:rPr>
        <w:t>ed</w:t>
      </w:r>
      <w:r w:rsidR="00117845" w:rsidRPr="00790D92">
        <w:rPr>
          <w:rFonts w:ascii="Times New Roman" w:hAnsi="Times New Roman"/>
        </w:rPr>
        <w:t xml:space="preserve"> the public </w:t>
      </w:r>
      <w:r w:rsidRPr="00790D92">
        <w:rPr>
          <w:rFonts w:ascii="Times New Roman" w:hAnsi="Times New Roman"/>
        </w:rPr>
        <w:t xml:space="preserve">with </w:t>
      </w:r>
      <w:r w:rsidR="00117845" w:rsidRPr="00790D92">
        <w:rPr>
          <w:rFonts w:ascii="Times New Roman" w:hAnsi="Times New Roman"/>
        </w:rPr>
        <w:t xml:space="preserve">60 days to comment on the </w:t>
      </w:r>
      <w:r w:rsidRPr="00790D92">
        <w:rPr>
          <w:rFonts w:ascii="Times New Roman" w:hAnsi="Times New Roman"/>
        </w:rPr>
        <w:t xml:space="preserve">Department’s </w:t>
      </w:r>
      <w:r w:rsidR="00117845" w:rsidRPr="00790D92">
        <w:rPr>
          <w:rFonts w:ascii="Times New Roman" w:hAnsi="Times New Roman"/>
        </w:rPr>
        <w:t>submission</w:t>
      </w:r>
      <w:r w:rsidRPr="00790D92">
        <w:rPr>
          <w:rFonts w:ascii="Times New Roman" w:hAnsi="Times New Roman"/>
        </w:rPr>
        <w:t>, and n</w:t>
      </w:r>
      <w:r w:rsidR="00117845" w:rsidRPr="00790D92">
        <w:rPr>
          <w:rFonts w:ascii="Times New Roman" w:hAnsi="Times New Roman"/>
        </w:rPr>
        <w:t>o comments were received.</w:t>
      </w:r>
    </w:p>
    <w:p w:rsidR="00117845" w:rsidRPr="00790D92" w:rsidRDefault="00117845" w:rsidP="00944879">
      <w:pPr>
        <w:widowControl/>
        <w:ind w:left="720"/>
        <w:rPr>
          <w:rFonts w:ascii="Times New Roman" w:hAnsi="Times New Roman"/>
        </w:rPr>
      </w:pPr>
    </w:p>
    <w:p w:rsidR="00117845" w:rsidRPr="00790D92" w:rsidRDefault="00117845" w:rsidP="00944879">
      <w:pPr>
        <w:widowControl/>
        <w:tabs>
          <w:tab w:val="left" w:pos="-1440"/>
        </w:tabs>
        <w:ind w:left="720" w:hanging="720"/>
        <w:rPr>
          <w:rFonts w:ascii="Times New Roman" w:hAnsi="Times New Roman"/>
          <w:i/>
          <w:iCs/>
        </w:rPr>
      </w:pPr>
      <w:r w:rsidRPr="00790D92">
        <w:rPr>
          <w:rFonts w:ascii="Times New Roman" w:hAnsi="Times New Roman"/>
          <w:i/>
        </w:rPr>
        <w:t>9.</w:t>
      </w:r>
      <w:r w:rsidRPr="00790D92">
        <w:rPr>
          <w:rFonts w:ascii="Times New Roman" w:hAnsi="Times New Roman"/>
          <w:i/>
        </w:rPr>
        <w:tab/>
      </w:r>
      <w:r w:rsidRPr="00790D92">
        <w:rPr>
          <w:rFonts w:ascii="Times New Roman" w:hAnsi="Times New Roman"/>
          <w:i/>
          <w:iCs/>
        </w:rPr>
        <w:t>Explain any decision to provide any payment or gift to respondents, other than remuneration of contractors or grantees.</w:t>
      </w:r>
    </w:p>
    <w:p w:rsidR="00117845" w:rsidRPr="00790D92" w:rsidRDefault="00117845" w:rsidP="00944879">
      <w:pPr>
        <w:widowControl/>
        <w:ind w:left="720"/>
        <w:rPr>
          <w:rFonts w:ascii="Times New Roman" w:hAnsi="Times New Roman"/>
        </w:rPr>
      </w:pPr>
    </w:p>
    <w:p w:rsidR="00117845" w:rsidRPr="00790D92" w:rsidRDefault="00117845" w:rsidP="00944879">
      <w:pPr>
        <w:widowControl/>
        <w:ind w:left="720"/>
        <w:outlineLvl w:val="0"/>
        <w:rPr>
          <w:rFonts w:ascii="Times New Roman" w:hAnsi="Times New Roman"/>
        </w:rPr>
      </w:pPr>
      <w:r w:rsidRPr="00790D92">
        <w:rPr>
          <w:rFonts w:ascii="Times New Roman" w:hAnsi="Times New Roman"/>
        </w:rPr>
        <w:t>No payments or gifts are provided to respondents.</w:t>
      </w:r>
    </w:p>
    <w:p w:rsidR="00117845" w:rsidRPr="00790D92" w:rsidRDefault="00117845" w:rsidP="00944879">
      <w:pPr>
        <w:widowControl/>
        <w:ind w:left="720"/>
        <w:rPr>
          <w:rFonts w:ascii="Times New Roman" w:hAnsi="Times New Roman"/>
        </w:rPr>
      </w:pPr>
    </w:p>
    <w:p w:rsidR="00117845" w:rsidRPr="00790D92" w:rsidRDefault="00117845" w:rsidP="00944879">
      <w:pPr>
        <w:widowControl/>
        <w:tabs>
          <w:tab w:val="left" w:pos="-1440"/>
        </w:tabs>
        <w:ind w:left="720" w:hanging="720"/>
        <w:rPr>
          <w:rFonts w:ascii="Times New Roman" w:hAnsi="Times New Roman"/>
          <w:i/>
          <w:iCs/>
        </w:rPr>
      </w:pPr>
      <w:r w:rsidRPr="00790D92">
        <w:rPr>
          <w:rFonts w:ascii="Times New Roman" w:hAnsi="Times New Roman"/>
          <w:i/>
        </w:rPr>
        <w:t>10.</w:t>
      </w:r>
      <w:r w:rsidRPr="00790D92">
        <w:rPr>
          <w:rFonts w:ascii="Times New Roman" w:hAnsi="Times New Roman"/>
          <w:i/>
        </w:rPr>
        <w:tab/>
      </w:r>
      <w:r w:rsidRPr="00790D92">
        <w:rPr>
          <w:rFonts w:ascii="Times New Roman" w:hAnsi="Times New Roman"/>
          <w:i/>
          <w:iCs/>
        </w:rPr>
        <w:t>Describe any assurance of confidentiality provided to respondents and the basis for the assurance in statute, regulation, or agency policy.</w:t>
      </w:r>
    </w:p>
    <w:p w:rsidR="00117845" w:rsidRPr="00790D92" w:rsidRDefault="00117845" w:rsidP="00944879">
      <w:pPr>
        <w:widowControl/>
        <w:ind w:left="720"/>
        <w:rPr>
          <w:rFonts w:ascii="Times New Roman" w:hAnsi="Times New Roman"/>
        </w:rPr>
      </w:pPr>
    </w:p>
    <w:p w:rsidR="00117845" w:rsidRPr="00790D92" w:rsidRDefault="00C95718" w:rsidP="00944879">
      <w:pPr>
        <w:widowControl/>
        <w:ind w:left="720"/>
        <w:rPr>
          <w:rFonts w:ascii="Times New Roman" w:hAnsi="Times New Roman"/>
          <w:i/>
        </w:rPr>
      </w:pPr>
      <w:r w:rsidRPr="00790D92">
        <w:rPr>
          <w:rFonts w:ascii="Times New Roman" w:hAnsi="Times New Roman"/>
        </w:rPr>
        <w:t>Section III</w:t>
      </w:r>
      <w:r w:rsidR="00FC0A09" w:rsidRPr="00790D92">
        <w:rPr>
          <w:rFonts w:ascii="Times New Roman" w:hAnsi="Times New Roman"/>
        </w:rPr>
        <w:t xml:space="preserve"> </w:t>
      </w:r>
      <w:r w:rsidRPr="00790D92">
        <w:rPr>
          <w:rFonts w:ascii="Times New Roman" w:hAnsi="Times New Roman"/>
        </w:rPr>
        <w:t xml:space="preserve">(k) </w:t>
      </w:r>
      <w:r w:rsidR="002D0563" w:rsidRPr="00790D92">
        <w:rPr>
          <w:rFonts w:ascii="Times New Roman" w:hAnsi="Times New Roman"/>
        </w:rPr>
        <w:t xml:space="preserve">of the class exemption </w:t>
      </w:r>
      <w:r w:rsidRPr="00790D92">
        <w:rPr>
          <w:rFonts w:ascii="Times New Roman" w:hAnsi="Times New Roman"/>
        </w:rPr>
        <w:t>contains the disclosure and confidentiality provisions</w:t>
      </w:r>
      <w:r w:rsidR="00103E87" w:rsidRPr="00790D92">
        <w:rPr>
          <w:rFonts w:ascii="Times New Roman" w:hAnsi="Times New Roman"/>
        </w:rPr>
        <w:t>.</w:t>
      </w:r>
      <w:r w:rsidRPr="00790D92">
        <w:rPr>
          <w:rFonts w:ascii="Times New Roman" w:hAnsi="Times New Roman"/>
        </w:rPr>
        <w:t xml:space="preserve"> </w:t>
      </w:r>
      <w:r w:rsidR="00117845" w:rsidRPr="00790D92">
        <w:rPr>
          <w:rFonts w:ascii="Times New Roman" w:hAnsi="Times New Roman"/>
        </w:rPr>
        <w:t>There are no issues of confidentiality presented by the disclosure and recordkeeping requirements of the class exemption.  The class exemption limits access to trade secrets or privileged or confidential commercial or financial information to government representatives.</w:t>
      </w:r>
      <w:r w:rsidRPr="00790D92">
        <w:rPr>
          <w:rFonts w:ascii="Times New Roman" w:hAnsi="Times New Roman"/>
        </w:rPr>
        <w:t xml:space="preserve"> </w:t>
      </w:r>
      <w:r w:rsidR="002D0563" w:rsidRPr="00790D92">
        <w:rPr>
          <w:rFonts w:ascii="Times New Roman" w:hAnsi="Times New Roman"/>
          <w:i/>
        </w:rPr>
        <w:t xml:space="preserve"> </w:t>
      </w:r>
    </w:p>
    <w:p w:rsidR="00117845" w:rsidRPr="00790D92" w:rsidRDefault="00117845" w:rsidP="00944879">
      <w:pPr>
        <w:widowControl/>
        <w:ind w:left="720"/>
        <w:rPr>
          <w:rFonts w:ascii="Times New Roman" w:hAnsi="Times New Roman"/>
        </w:rPr>
      </w:pPr>
    </w:p>
    <w:p w:rsidR="00117845" w:rsidRPr="00790D92" w:rsidRDefault="00117845" w:rsidP="00944879">
      <w:pPr>
        <w:widowControl/>
        <w:tabs>
          <w:tab w:val="left" w:pos="-1440"/>
        </w:tabs>
        <w:ind w:left="720" w:hanging="720"/>
        <w:rPr>
          <w:rFonts w:ascii="Times New Roman" w:hAnsi="Times New Roman"/>
          <w:i/>
          <w:iCs/>
        </w:rPr>
      </w:pPr>
      <w:r w:rsidRPr="00790D92">
        <w:rPr>
          <w:rFonts w:ascii="Times New Roman" w:hAnsi="Times New Roman"/>
          <w:i/>
        </w:rPr>
        <w:t>11.</w:t>
      </w:r>
      <w:r w:rsidRPr="00790D92">
        <w:rPr>
          <w:rFonts w:ascii="Times New Roman" w:hAnsi="Times New Roman"/>
          <w:i/>
        </w:rPr>
        <w:tab/>
      </w:r>
      <w:r w:rsidRPr="00790D92">
        <w:rPr>
          <w:rFonts w:ascii="Times New Roman" w:hAnsi="Times New Roman"/>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17845" w:rsidRPr="00790D92" w:rsidRDefault="00117845" w:rsidP="00944879">
      <w:pPr>
        <w:widowControl/>
        <w:ind w:left="720"/>
        <w:rPr>
          <w:rFonts w:ascii="Times New Roman" w:hAnsi="Times New Roman"/>
        </w:rPr>
      </w:pPr>
    </w:p>
    <w:p w:rsidR="00117845" w:rsidRPr="00790D92" w:rsidRDefault="00696BBF" w:rsidP="00944879">
      <w:pPr>
        <w:widowControl/>
        <w:ind w:left="720"/>
        <w:rPr>
          <w:rFonts w:ascii="Times New Roman" w:hAnsi="Times New Roman"/>
        </w:rPr>
      </w:pPr>
      <w:r w:rsidRPr="00790D92">
        <w:rPr>
          <w:rFonts w:ascii="Times New Roman" w:hAnsi="Times New Roman"/>
        </w:rPr>
        <w:t>This information collection does not ask sensitive questions of the nature described</w:t>
      </w:r>
      <w:r w:rsidR="00117845" w:rsidRPr="00790D92">
        <w:rPr>
          <w:rFonts w:ascii="Times New Roman" w:hAnsi="Times New Roman"/>
        </w:rPr>
        <w:t>.</w:t>
      </w:r>
    </w:p>
    <w:p w:rsidR="00117845" w:rsidRPr="00790D92" w:rsidRDefault="00117845" w:rsidP="00944879">
      <w:pPr>
        <w:widowControl/>
        <w:ind w:left="720"/>
        <w:rPr>
          <w:rFonts w:ascii="Times New Roman" w:hAnsi="Times New Roman"/>
        </w:rPr>
      </w:pPr>
    </w:p>
    <w:p w:rsidR="00117845" w:rsidRPr="00790D92" w:rsidRDefault="00117845" w:rsidP="00944879">
      <w:pPr>
        <w:widowControl/>
        <w:tabs>
          <w:tab w:val="left" w:pos="-1440"/>
        </w:tabs>
        <w:ind w:left="720" w:hanging="720"/>
        <w:rPr>
          <w:rFonts w:ascii="Times New Roman" w:hAnsi="Times New Roman"/>
          <w:i/>
          <w:iCs/>
        </w:rPr>
      </w:pPr>
      <w:r w:rsidRPr="00790D92">
        <w:rPr>
          <w:rFonts w:ascii="Times New Roman" w:hAnsi="Times New Roman"/>
          <w:i/>
        </w:rPr>
        <w:t>12.</w:t>
      </w:r>
      <w:r w:rsidRPr="00790D92">
        <w:rPr>
          <w:rFonts w:ascii="Times New Roman" w:hAnsi="Times New Roman"/>
          <w:i/>
        </w:rPr>
        <w:tab/>
      </w:r>
      <w:r w:rsidRPr="00790D92">
        <w:rPr>
          <w:rFonts w:ascii="Times New Roman" w:hAnsi="Times New Roman"/>
          <w:i/>
          <w:iCs/>
        </w:rPr>
        <w:t>Provide estimates of the hour burden of the collection of information.  The statement should:</w:t>
      </w:r>
    </w:p>
    <w:p w:rsidR="00117845" w:rsidRPr="00790D92" w:rsidRDefault="00117845" w:rsidP="00944879">
      <w:pPr>
        <w:widowControl/>
        <w:tabs>
          <w:tab w:val="left" w:pos="-1440"/>
        </w:tabs>
        <w:ind w:left="1440" w:hanging="720"/>
        <w:rPr>
          <w:rFonts w:ascii="Times New Roman" w:hAnsi="Times New Roman"/>
          <w:i/>
          <w:iCs/>
        </w:rPr>
      </w:pPr>
      <w:r w:rsidRPr="00790D92">
        <w:rPr>
          <w:rFonts w:ascii="Times New Roman" w:hAnsi="Times New Roman"/>
          <w:i/>
          <w:iCs/>
        </w:rPr>
        <w:t>•</w:t>
      </w:r>
      <w:r w:rsidRPr="00790D92">
        <w:rPr>
          <w:rFonts w:ascii="Times New Roman" w:hAnsi="Times New Roman"/>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17845" w:rsidRPr="00790D92" w:rsidRDefault="00117845" w:rsidP="00944879">
      <w:pPr>
        <w:widowControl/>
        <w:tabs>
          <w:tab w:val="left" w:pos="-1440"/>
        </w:tabs>
        <w:ind w:left="1440" w:hanging="720"/>
        <w:rPr>
          <w:rFonts w:ascii="Times New Roman" w:hAnsi="Times New Roman"/>
          <w:i/>
          <w:iCs/>
        </w:rPr>
      </w:pPr>
      <w:r w:rsidRPr="00790D92">
        <w:rPr>
          <w:rFonts w:ascii="Times New Roman" w:hAnsi="Times New Roman"/>
          <w:i/>
          <w:iCs/>
        </w:rPr>
        <w:t>•</w:t>
      </w:r>
      <w:r w:rsidRPr="00790D92">
        <w:rPr>
          <w:rFonts w:ascii="Times New Roman" w:hAnsi="Times New Roman"/>
          <w:i/>
          <w:iCs/>
        </w:rPr>
        <w:tab/>
        <w:t>If this request for approval covers more than one form, provide separate hour burden estimates for each form and aggregate the hour burdens</w:t>
      </w:r>
      <w:r w:rsidR="002D0563" w:rsidRPr="00790D92">
        <w:rPr>
          <w:rFonts w:ascii="Times New Roman" w:hAnsi="Times New Roman"/>
          <w:i/>
          <w:iCs/>
        </w:rPr>
        <w:t xml:space="preserve">. </w:t>
      </w:r>
      <w:r w:rsidRPr="00790D92">
        <w:rPr>
          <w:rFonts w:ascii="Times New Roman" w:hAnsi="Times New Roman"/>
          <w:i/>
          <w:iCs/>
        </w:rPr>
        <w:t xml:space="preserve"> </w:t>
      </w:r>
    </w:p>
    <w:p w:rsidR="00117845" w:rsidRPr="00790D92" w:rsidRDefault="00117845" w:rsidP="00944879">
      <w:pPr>
        <w:widowControl/>
        <w:tabs>
          <w:tab w:val="left" w:pos="-1440"/>
        </w:tabs>
        <w:ind w:left="1440" w:hanging="720"/>
        <w:rPr>
          <w:rFonts w:ascii="Times New Roman" w:hAnsi="Times New Roman"/>
          <w:i/>
          <w:iCs/>
        </w:rPr>
      </w:pPr>
      <w:r w:rsidRPr="00790D92">
        <w:rPr>
          <w:rFonts w:ascii="Times New Roman" w:hAnsi="Times New Roman"/>
          <w:i/>
          <w:iCs/>
        </w:rPr>
        <w:t>•</w:t>
      </w:r>
      <w:r w:rsidRPr="00790D92">
        <w:rPr>
          <w:rFonts w:ascii="Times New Roman" w:hAnsi="Times New Roman"/>
          <w:i/>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117845" w:rsidRPr="00790D92" w:rsidRDefault="00117845" w:rsidP="00944879">
      <w:pPr>
        <w:widowControl/>
        <w:ind w:left="720"/>
        <w:rPr>
          <w:rFonts w:ascii="Times New Roman" w:hAnsi="Times New Roman"/>
        </w:rPr>
      </w:pPr>
    </w:p>
    <w:p w:rsidR="00810232" w:rsidRPr="00790D92" w:rsidRDefault="00117845" w:rsidP="00944879">
      <w:pPr>
        <w:widowControl/>
        <w:ind w:left="720"/>
        <w:rPr>
          <w:rFonts w:ascii="Times New Roman" w:hAnsi="Times New Roman"/>
        </w:rPr>
      </w:pPr>
      <w:r w:rsidRPr="00790D92">
        <w:rPr>
          <w:rFonts w:ascii="Times New Roman" w:hAnsi="Times New Roman"/>
        </w:rPr>
        <w:t>The Department staff estimates the annual hour burden of this info</w:t>
      </w:r>
      <w:r w:rsidR="007B310D" w:rsidRPr="00790D92">
        <w:rPr>
          <w:rFonts w:ascii="Times New Roman" w:hAnsi="Times New Roman"/>
        </w:rPr>
        <w:t>rmation collection to be 4,200</w:t>
      </w:r>
      <w:r w:rsidR="00D974DA" w:rsidRPr="00790D92">
        <w:rPr>
          <w:rFonts w:ascii="Times New Roman" w:hAnsi="Times New Roman"/>
        </w:rPr>
        <w:t xml:space="preserve"> hours</w:t>
      </w:r>
      <w:r w:rsidR="007B310D" w:rsidRPr="00790D92">
        <w:rPr>
          <w:rFonts w:ascii="Times New Roman" w:hAnsi="Times New Roman"/>
        </w:rPr>
        <w:t>.</w:t>
      </w:r>
      <w:r w:rsidRPr="00790D92">
        <w:rPr>
          <w:rFonts w:ascii="Times New Roman" w:hAnsi="Times New Roman"/>
        </w:rPr>
        <w:t xml:space="preserve"> </w:t>
      </w:r>
      <w:r w:rsidR="00706F93" w:rsidRPr="00790D92">
        <w:rPr>
          <w:rFonts w:ascii="Times New Roman" w:hAnsi="Times New Roman"/>
        </w:rPr>
        <w:t xml:space="preserve"> </w:t>
      </w:r>
      <w:r w:rsidRPr="00790D92">
        <w:rPr>
          <w:rFonts w:ascii="Times New Roman" w:hAnsi="Times New Roman"/>
        </w:rPr>
        <w:t xml:space="preserve">This estimate is based on the assumption that approximately 35 entities will use the exemption.  The </w:t>
      </w:r>
      <w:r w:rsidR="00657A89" w:rsidRPr="00790D92">
        <w:rPr>
          <w:rFonts w:ascii="Times New Roman" w:hAnsi="Times New Roman"/>
        </w:rPr>
        <w:t>Department</w:t>
      </w:r>
      <w:r w:rsidRPr="00790D92">
        <w:rPr>
          <w:rFonts w:ascii="Times New Roman" w:hAnsi="Times New Roman"/>
        </w:rPr>
        <w:t xml:space="preserve"> estimates that </w:t>
      </w:r>
      <w:r w:rsidR="00657A89" w:rsidRPr="00790D92">
        <w:rPr>
          <w:rFonts w:ascii="Times New Roman" w:hAnsi="Times New Roman"/>
        </w:rPr>
        <w:t xml:space="preserve">for </w:t>
      </w:r>
      <w:r w:rsidRPr="00790D92">
        <w:rPr>
          <w:rFonts w:ascii="Times New Roman" w:hAnsi="Times New Roman"/>
        </w:rPr>
        <w:t xml:space="preserve">approximately 30 minutes per day, </w:t>
      </w:r>
      <w:r w:rsidR="00657A89" w:rsidRPr="00790D92">
        <w:rPr>
          <w:rFonts w:ascii="Times New Roman" w:hAnsi="Times New Roman"/>
        </w:rPr>
        <w:t xml:space="preserve">for </w:t>
      </w:r>
      <w:r w:rsidRPr="00790D92">
        <w:rPr>
          <w:rFonts w:ascii="Times New Roman" w:hAnsi="Times New Roman"/>
        </w:rPr>
        <w:t>240 days per year, the 35 entities will conduct activities relating to the recordkeeping requirements of the exemption.</w:t>
      </w:r>
      <w:r w:rsidR="00851EE1">
        <w:rPr>
          <w:rFonts w:ascii="Times New Roman" w:hAnsi="Times New Roman"/>
        </w:rPr>
        <w:t xml:space="preserve"> </w:t>
      </w:r>
    </w:p>
    <w:p w:rsidR="00810232" w:rsidRPr="00790D92" w:rsidRDefault="00810232" w:rsidP="00944879">
      <w:pPr>
        <w:widowControl/>
        <w:ind w:left="720"/>
        <w:rPr>
          <w:rFonts w:ascii="Times New Roman" w:hAnsi="Times New Roman"/>
        </w:rPr>
      </w:pPr>
    </w:p>
    <w:p w:rsidR="00296510" w:rsidRPr="00790D92" w:rsidRDefault="00287503" w:rsidP="00944879">
      <w:pPr>
        <w:widowControl/>
        <w:ind w:left="720"/>
        <w:rPr>
          <w:rFonts w:ascii="Times New Roman" w:hAnsi="Times New Roman"/>
        </w:rPr>
      </w:pPr>
      <w:r w:rsidRPr="00790D92">
        <w:rPr>
          <w:rFonts w:ascii="Times New Roman" w:hAnsi="Times New Roman"/>
        </w:rPr>
        <w:t xml:space="preserve">The Department estimates that each of these entities has arrangements with 50 plans engaging in these transactions.  Since these transactions occur </w:t>
      </w:r>
      <w:r w:rsidR="00D8242E" w:rsidRPr="00790D92">
        <w:rPr>
          <w:rFonts w:ascii="Times New Roman" w:hAnsi="Times New Roman"/>
        </w:rPr>
        <w:t>240 days per year</w:t>
      </w:r>
      <w:r w:rsidRPr="00790D92">
        <w:rPr>
          <w:rFonts w:ascii="Times New Roman" w:hAnsi="Times New Roman"/>
        </w:rPr>
        <w:t>, the Department estimates that 420,000 notices are prepared each year (35 entities*50 plans</w:t>
      </w:r>
      <w:r w:rsidR="00810232" w:rsidRPr="00790D92">
        <w:rPr>
          <w:rFonts w:ascii="Times New Roman" w:hAnsi="Times New Roman"/>
        </w:rPr>
        <w:t xml:space="preserve"> per </w:t>
      </w:r>
      <w:r w:rsidRPr="00790D92">
        <w:rPr>
          <w:rFonts w:ascii="Times New Roman" w:hAnsi="Times New Roman"/>
        </w:rPr>
        <w:t>entity*240 days of transactions).</w:t>
      </w:r>
      <w:r w:rsidR="00CA4F51">
        <w:rPr>
          <w:rFonts w:ascii="Times New Roman" w:hAnsi="Times New Roman"/>
        </w:rPr>
        <w:t xml:space="preserve"> This averages to 36 seconds per response. </w:t>
      </w:r>
      <w:r w:rsidR="000D7BE0">
        <w:rPr>
          <w:rFonts w:ascii="Times New Roman" w:hAnsi="Times New Roman"/>
        </w:rPr>
        <w:t xml:space="preserve">(30 minutes/50 responses = 36 seconds or 0.01 hours.) </w:t>
      </w:r>
      <w:r w:rsidR="00CA4F51">
        <w:rPr>
          <w:rFonts w:ascii="Times New Roman" w:hAnsi="Times New Roman"/>
        </w:rPr>
        <w:t xml:space="preserve">As explained later in this section, that time is expected to be split evenly between a financial manager and clerical employee. </w:t>
      </w:r>
    </w:p>
    <w:p w:rsidR="00296510" w:rsidRPr="00790D92" w:rsidRDefault="00296510" w:rsidP="00944879">
      <w:pPr>
        <w:widowControl/>
        <w:ind w:left="720"/>
        <w:rPr>
          <w:rFonts w:ascii="Times New Roman" w:hAnsi="Times New Roman"/>
        </w:rPr>
      </w:pPr>
    </w:p>
    <w:p w:rsidR="00117845" w:rsidRPr="00790D92" w:rsidRDefault="00117845" w:rsidP="00944879">
      <w:pPr>
        <w:widowControl/>
        <w:ind w:left="720"/>
        <w:rPr>
          <w:rFonts w:ascii="Times New Roman" w:hAnsi="Times New Roman"/>
        </w:rPr>
      </w:pPr>
      <w:bookmarkStart w:id="2" w:name="OLE_LINK1"/>
      <w:r w:rsidRPr="00790D92">
        <w:rPr>
          <w:rFonts w:ascii="Times New Roman" w:hAnsi="Times New Roman"/>
        </w:rPr>
        <w:t>Th</w:t>
      </w:r>
      <w:r w:rsidR="007262FE" w:rsidRPr="00790D92">
        <w:rPr>
          <w:rFonts w:ascii="Times New Roman" w:hAnsi="Times New Roman"/>
        </w:rPr>
        <w:t>e</w:t>
      </w:r>
      <w:r w:rsidRPr="00790D92">
        <w:rPr>
          <w:rFonts w:ascii="Times New Roman" w:hAnsi="Times New Roman"/>
        </w:rPr>
        <w:t xml:space="preserve"> estimate</w:t>
      </w:r>
      <w:r w:rsidR="007262FE" w:rsidRPr="00790D92">
        <w:rPr>
          <w:rFonts w:ascii="Times New Roman" w:hAnsi="Times New Roman"/>
        </w:rPr>
        <w:t>s</w:t>
      </w:r>
      <w:r w:rsidRPr="00790D92">
        <w:rPr>
          <w:rFonts w:ascii="Times New Roman" w:hAnsi="Times New Roman"/>
        </w:rPr>
        <w:t xml:space="preserve"> do not include burden for preparation and distribution of written policies and procedures, advance written authorizations, and confirmation statements because these activities are believed to be usual and customary for banks and broker-dealers engaging in foreign exchange transactions.</w:t>
      </w:r>
    </w:p>
    <w:bookmarkEnd w:id="2"/>
    <w:p w:rsidR="00117845" w:rsidRPr="00790D92" w:rsidRDefault="00117845" w:rsidP="00944879">
      <w:pPr>
        <w:widowControl/>
        <w:ind w:left="720"/>
        <w:rPr>
          <w:rFonts w:ascii="Times New Roman" w:hAnsi="Times New Roman"/>
        </w:rPr>
      </w:pPr>
    </w:p>
    <w:p w:rsidR="007262FE" w:rsidRDefault="00117845" w:rsidP="00944879">
      <w:pPr>
        <w:widowControl/>
        <w:ind w:left="720"/>
        <w:rPr>
          <w:rFonts w:ascii="Times New Roman" w:hAnsi="Times New Roman"/>
        </w:rPr>
      </w:pPr>
      <w:r w:rsidRPr="00790D92">
        <w:rPr>
          <w:rFonts w:ascii="Times New Roman" w:hAnsi="Times New Roman"/>
        </w:rPr>
        <w:t xml:space="preserve">The Department staff estimates the </w:t>
      </w:r>
      <w:r w:rsidR="00296510" w:rsidRPr="00790D92">
        <w:rPr>
          <w:rFonts w:ascii="Times New Roman" w:hAnsi="Times New Roman"/>
        </w:rPr>
        <w:t xml:space="preserve">equivalent </w:t>
      </w:r>
      <w:r w:rsidRPr="00790D92">
        <w:rPr>
          <w:rFonts w:ascii="Times New Roman" w:hAnsi="Times New Roman"/>
        </w:rPr>
        <w:t>cost of the hour burden to be approximately $</w:t>
      </w:r>
      <w:r w:rsidR="00296510" w:rsidRPr="00790D92">
        <w:rPr>
          <w:rFonts w:ascii="Times New Roman" w:hAnsi="Times New Roman"/>
        </w:rPr>
        <w:t xml:space="preserve">440,979.  </w:t>
      </w:r>
      <w:r w:rsidRPr="00790D92">
        <w:rPr>
          <w:rFonts w:ascii="Times New Roman" w:hAnsi="Times New Roman"/>
        </w:rPr>
        <w:t xml:space="preserve">This estimate is based the assumption that </w:t>
      </w:r>
      <w:r w:rsidR="003609E5" w:rsidRPr="00790D92">
        <w:rPr>
          <w:rFonts w:ascii="Times New Roman" w:hAnsi="Times New Roman"/>
        </w:rPr>
        <w:t xml:space="preserve">a </w:t>
      </w:r>
      <w:r w:rsidR="00C1621C" w:rsidRPr="00790D92">
        <w:rPr>
          <w:rFonts w:ascii="Times New Roman" w:hAnsi="Times New Roman"/>
        </w:rPr>
        <w:t xml:space="preserve">financial </w:t>
      </w:r>
      <w:r w:rsidR="003609E5" w:rsidRPr="00790D92">
        <w:rPr>
          <w:rFonts w:ascii="Times New Roman" w:hAnsi="Times New Roman"/>
        </w:rPr>
        <w:t>manager</w:t>
      </w:r>
      <w:r w:rsidRPr="00790D92">
        <w:rPr>
          <w:rFonts w:ascii="Times New Roman" w:hAnsi="Times New Roman"/>
        </w:rPr>
        <w:t xml:space="preserve"> will provide half the services at an hourly rate of $</w:t>
      </w:r>
      <w:r w:rsidR="00787E7D" w:rsidRPr="00790D92">
        <w:rPr>
          <w:rFonts w:ascii="Times New Roman" w:hAnsi="Times New Roman"/>
        </w:rPr>
        <w:t>1</w:t>
      </w:r>
      <w:r w:rsidR="00296510" w:rsidRPr="00790D92">
        <w:rPr>
          <w:rFonts w:ascii="Times New Roman" w:hAnsi="Times New Roman"/>
        </w:rPr>
        <w:t>57.90</w:t>
      </w:r>
      <w:r w:rsidRPr="00790D92">
        <w:rPr>
          <w:rFonts w:ascii="Times New Roman" w:hAnsi="Times New Roman"/>
        </w:rPr>
        <w:t xml:space="preserve"> and clerical staff will provide half the s</w:t>
      </w:r>
      <w:r w:rsidR="00E062B2" w:rsidRPr="00790D92">
        <w:rPr>
          <w:rFonts w:ascii="Times New Roman" w:hAnsi="Times New Roman"/>
        </w:rPr>
        <w:t>ervices at an hourly rate of $</w:t>
      </w:r>
      <w:r w:rsidR="008D46B8" w:rsidRPr="00790D92">
        <w:rPr>
          <w:rFonts w:ascii="Times New Roman" w:hAnsi="Times New Roman"/>
        </w:rPr>
        <w:t>52.09</w:t>
      </w:r>
      <w:r w:rsidRPr="00790D92">
        <w:rPr>
          <w:rFonts w:ascii="Times New Roman" w:hAnsi="Times New Roman"/>
        </w:rPr>
        <w:t xml:space="preserve"> (2100 hours x $</w:t>
      </w:r>
      <w:r w:rsidR="00E55F02">
        <w:rPr>
          <w:rFonts w:ascii="Times New Roman" w:hAnsi="Times New Roman"/>
        </w:rPr>
        <w:t>157.90</w:t>
      </w:r>
      <w:r w:rsidR="00361918" w:rsidRPr="00790D92">
        <w:rPr>
          <w:rFonts w:ascii="Times New Roman" w:hAnsi="Times New Roman"/>
        </w:rPr>
        <w:t xml:space="preserve"> per </w:t>
      </w:r>
      <w:r w:rsidRPr="00790D92">
        <w:rPr>
          <w:rFonts w:ascii="Times New Roman" w:hAnsi="Times New Roman"/>
        </w:rPr>
        <w:t>h</w:t>
      </w:r>
      <w:r w:rsidR="00E062B2" w:rsidRPr="00790D92">
        <w:rPr>
          <w:rFonts w:ascii="Times New Roman" w:hAnsi="Times New Roman"/>
        </w:rPr>
        <w:t>our = $</w:t>
      </w:r>
      <w:r w:rsidR="008D46B8" w:rsidRPr="00790D92">
        <w:rPr>
          <w:rFonts w:ascii="Times New Roman" w:hAnsi="Times New Roman"/>
        </w:rPr>
        <w:t>331,590</w:t>
      </w:r>
      <w:r w:rsidR="00E062B2" w:rsidRPr="00790D92">
        <w:rPr>
          <w:rFonts w:ascii="Times New Roman" w:hAnsi="Times New Roman"/>
        </w:rPr>
        <w:t>; 2100 hours x $</w:t>
      </w:r>
      <w:r w:rsidR="008D46B8" w:rsidRPr="00790D92">
        <w:rPr>
          <w:rFonts w:ascii="Times New Roman" w:hAnsi="Times New Roman"/>
        </w:rPr>
        <w:t>52.09</w:t>
      </w:r>
      <w:r w:rsidR="00361918" w:rsidRPr="00790D92">
        <w:rPr>
          <w:rFonts w:ascii="Times New Roman" w:hAnsi="Times New Roman"/>
        </w:rPr>
        <w:t xml:space="preserve"> per </w:t>
      </w:r>
      <w:r w:rsidRPr="00790D92">
        <w:rPr>
          <w:rFonts w:ascii="Times New Roman" w:hAnsi="Times New Roman"/>
        </w:rPr>
        <w:t>hour = $</w:t>
      </w:r>
      <w:r w:rsidR="008D46B8" w:rsidRPr="00790D92">
        <w:rPr>
          <w:rFonts w:ascii="Times New Roman" w:hAnsi="Times New Roman"/>
        </w:rPr>
        <w:t>109,389</w:t>
      </w:r>
      <w:r w:rsidRPr="00790D92">
        <w:rPr>
          <w:rFonts w:ascii="Times New Roman" w:hAnsi="Times New Roman"/>
        </w:rPr>
        <w:t>).</w:t>
      </w:r>
      <w:r w:rsidR="00E062B2" w:rsidRPr="00790D92">
        <w:rPr>
          <w:rStyle w:val="FootnoteReference"/>
          <w:rFonts w:ascii="Times New Roman" w:hAnsi="Times New Roman"/>
          <w:vertAlign w:val="superscript"/>
        </w:rPr>
        <w:footnoteReference w:id="2"/>
      </w:r>
      <w:r w:rsidRPr="00790D92">
        <w:rPr>
          <w:rFonts w:ascii="Times New Roman" w:hAnsi="Times New Roman"/>
          <w:vertAlign w:val="superscript"/>
        </w:rPr>
        <w:t xml:space="preserve"> </w:t>
      </w:r>
      <w:r w:rsidRPr="00790D92">
        <w:rPr>
          <w:rFonts w:ascii="Times New Roman" w:hAnsi="Times New Roman"/>
        </w:rPr>
        <w:t xml:space="preserve"> </w:t>
      </w:r>
    </w:p>
    <w:p w:rsidR="00214A2A" w:rsidRDefault="00214A2A" w:rsidP="00944879">
      <w:pPr>
        <w:widowControl/>
        <w:ind w:left="720"/>
        <w:rPr>
          <w:rFonts w:ascii="Times New Roman" w:hAnsi="Times New Roman"/>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771"/>
        <w:gridCol w:w="1199"/>
        <w:gridCol w:w="1170"/>
        <w:gridCol w:w="990"/>
        <w:gridCol w:w="990"/>
        <w:gridCol w:w="1530"/>
      </w:tblGrid>
      <w:tr w:rsidR="00943AF3" w:rsidRPr="004354EF" w:rsidTr="00943AF3">
        <w:tc>
          <w:tcPr>
            <w:tcW w:w="1440" w:type="dxa"/>
            <w:tcBorders>
              <w:top w:val="single" w:sz="4" w:space="0" w:color="auto"/>
              <w:left w:val="single" w:sz="4" w:space="0" w:color="auto"/>
              <w:bottom w:val="single" w:sz="4" w:space="0" w:color="auto"/>
              <w:right w:val="single" w:sz="4" w:space="0" w:color="auto"/>
            </w:tcBorders>
            <w:shd w:val="clear" w:color="auto" w:fill="8DB3E2"/>
          </w:tcPr>
          <w:p w:rsidR="00943AF3" w:rsidRPr="004354EF" w:rsidRDefault="00943AF3" w:rsidP="00137508">
            <w:pPr>
              <w:spacing w:line="276" w:lineRule="auto"/>
              <w:jc w:val="center"/>
              <w:rPr>
                <w:rFonts w:ascii="Times New Roman" w:hAnsi="Times New Roman"/>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8DB3E2"/>
            <w:hideMark/>
          </w:tcPr>
          <w:p w:rsidR="00943AF3" w:rsidRPr="004354EF" w:rsidRDefault="00943AF3" w:rsidP="00137508">
            <w:pPr>
              <w:spacing w:line="276" w:lineRule="auto"/>
              <w:jc w:val="center"/>
              <w:rPr>
                <w:rFonts w:ascii="Times New Roman" w:hAnsi="Times New Roman"/>
                <w:sz w:val="22"/>
                <w:szCs w:val="22"/>
              </w:rPr>
            </w:pPr>
            <w:r w:rsidRPr="004354EF">
              <w:rPr>
                <w:rFonts w:ascii="Times New Roman" w:hAnsi="Times New Roman"/>
                <w:sz w:val="22"/>
                <w:szCs w:val="22"/>
              </w:rPr>
              <w:t>Number of Respondents</w:t>
            </w:r>
          </w:p>
        </w:tc>
        <w:tc>
          <w:tcPr>
            <w:tcW w:w="1771" w:type="dxa"/>
            <w:tcBorders>
              <w:top w:val="single" w:sz="4" w:space="0" w:color="auto"/>
              <w:left w:val="single" w:sz="4" w:space="0" w:color="auto"/>
              <w:bottom w:val="single" w:sz="4" w:space="0" w:color="auto"/>
              <w:right w:val="single" w:sz="4" w:space="0" w:color="auto"/>
            </w:tcBorders>
            <w:shd w:val="clear" w:color="auto" w:fill="8DB3E2"/>
            <w:hideMark/>
          </w:tcPr>
          <w:p w:rsidR="00943AF3" w:rsidRPr="004354EF" w:rsidRDefault="00943AF3" w:rsidP="00137508">
            <w:pPr>
              <w:spacing w:line="276" w:lineRule="auto"/>
              <w:jc w:val="center"/>
              <w:rPr>
                <w:rFonts w:ascii="Times New Roman" w:hAnsi="Times New Roman"/>
                <w:sz w:val="22"/>
                <w:szCs w:val="22"/>
              </w:rPr>
            </w:pPr>
            <w:r w:rsidRPr="004354EF">
              <w:rPr>
                <w:rFonts w:ascii="Times New Roman" w:hAnsi="Times New Roman"/>
                <w:sz w:val="22"/>
                <w:szCs w:val="22"/>
              </w:rPr>
              <w:t>Frequency</w:t>
            </w:r>
          </w:p>
        </w:tc>
        <w:tc>
          <w:tcPr>
            <w:tcW w:w="1199" w:type="dxa"/>
            <w:tcBorders>
              <w:top w:val="single" w:sz="4" w:space="0" w:color="auto"/>
              <w:left w:val="single" w:sz="4" w:space="0" w:color="auto"/>
              <w:bottom w:val="single" w:sz="4" w:space="0" w:color="auto"/>
              <w:right w:val="single" w:sz="4" w:space="0" w:color="auto"/>
            </w:tcBorders>
            <w:shd w:val="clear" w:color="auto" w:fill="8DB3E2"/>
            <w:hideMark/>
          </w:tcPr>
          <w:p w:rsidR="00943AF3" w:rsidRPr="004354EF" w:rsidRDefault="00943AF3" w:rsidP="00137508">
            <w:pPr>
              <w:spacing w:line="276" w:lineRule="auto"/>
              <w:jc w:val="center"/>
              <w:rPr>
                <w:rFonts w:ascii="Times New Roman" w:hAnsi="Times New Roman"/>
                <w:sz w:val="22"/>
                <w:szCs w:val="22"/>
              </w:rPr>
            </w:pPr>
            <w:r w:rsidRPr="004354EF">
              <w:rPr>
                <w:rFonts w:ascii="Times New Roman" w:hAnsi="Times New Roman"/>
                <w:sz w:val="22"/>
                <w:szCs w:val="22"/>
              </w:rPr>
              <w:t>Total Annual Responses</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943AF3" w:rsidRPr="004354EF" w:rsidRDefault="00943AF3" w:rsidP="00137508">
            <w:pPr>
              <w:spacing w:line="276" w:lineRule="auto"/>
              <w:jc w:val="center"/>
              <w:rPr>
                <w:rFonts w:ascii="Times New Roman" w:hAnsi="Times New Roman"/>
                <w:sz w:val="22"/>
                <w:szCs w:val="22"/>
              </w:rPr>
            </w:pPr>
            <w:r w:rsidRPr="004354EF">
              <w:rPr>
                <w:rFonts w:ascii="Times New Roman" w:hAnsi="Times New Roman"/>
                <w:sz w:val="22"/>
                <w:szCs w:val="22"/>
              </w:rPr>
              <w:t>Time Per Response (Hours)</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943AF3" w:rsidRPr="004354EF" w:rsidRDefault="00943AF3" w:rsidP="00137508">
            <w:pPr>
              <w:spacing w:line="276" w:lineRule="auto"/>
              <w:jc w:val="center"/>
              <w:rPr>
                <w:rFonts w:ascii="Times New Roman" w:hAnsi="Times New Roman"/>
                <w:sz w:val="22"/>
                <w:szCs w:val="22"/>
              </w:rPr>
            </w:pPr>
            <w:r w:rsidRPr="004354EF">
              <w:rPr>
                <w:rFonts w:ascii="Times New Roman" w:hAnsi="Times New Roman"/>
                <w:sz w:val="22"/>
                <w:szCs w:val="22"/>
              </w:rPr>
              <w:t>Total Annual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943AF3" w:rsidRPr="004354EF" w:rsidRDefault="00943AF3" w:rsidP="00137508">
            <w:pPr>
              <w:spacing w:line="276" w:lineRule="auto"/>
              <w:jc w:val="center"/>
              <w:rPr>
                <w:rFonts w:ascii="Times New Roman" w:hAnsi="Times New Roman"/>
                <w:sz w:val="22"/>
                <w:szCs w:val="22"/>
              </w:rPr>
            </w:pPr>
            <w:r w:rsidRPr="004354EF">
              <w:rPr>
                <w:rFonts w:ascii="Times New Roman" w:hAnsi="Times New Roman"/>
                <w:sz w:val="22"/>
                <w:szCs w:val="22"/>
              </w:rPr>
              <w:t>Hourly Rate*</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rsidR="00943AF3" w:rsidRPr="004354EF" w:rsidRDefault="00943AF3" w:rsidP="00137508">
            <w:pPr>
              <w:spacing w:line="276" w:lineRule="auto"/>
              <w:jc w:val="center"/>
              <w:rPr>
                <w:rFonts w:ascii="Times New Roman" w:hAnsi="Times New Roman"/>
                <w:sz w:val="22"/>
                <w:szCs w:val="22"/>
              </w:rPr>
            </w:pPr>
            <w:r w:rsidRPr="004354EF">
              <w:rPr>
                <w:rFonts w:ascii="Times New Roman" w:hAnsi="Times New Roman"/>
                <w:sz w:val="22"/>
                <w:szCs w:val="22"/>
              </w:rPr>
              <w:t>Monetized Value of Respondent Time</w:t>
            </w:r>
          </w:p>
        </w:tc>
      </w:tr>
      <w:tr w:rsidR="00943AF3" w:rsidRPr="004354EF" w:rsidTr="00943AF3">
        <w:tc>
          <w:tcPr>
            <w:tcW w:w="1440" w:type="dxa"/>
            <w:tcBorders>
              <w:top w:val="single" w:sz="4" w:space="0" w:color="auto"/>
              <w:left w:val="single" w:sz="4" w:space="0" w:color="auto"/>
              <w:bottom w:val="single" w:sz="4" w:space="0" w:color="auto"/>
              <w:right w:val="single" w:sz="4" w:space="0" w:color="auto"/>
            </w:tcBorders>
          </w:tcPr>
          <w:p w:rsidR="00943AF3" w:rsidRPr="004354EF" w:rsidRDefault="00943AF3" w:rsidP="00137508">
            <w:pPr>
              <w:spacing w:line="276" w:lineRule="auto"/>
              <w:jc w:val="center"/>
              <w:rPr>
                <w:rFonts w:ascii="Times New Roman" w:hAnsi="Times New Roman"/>
                <w:sz w:val="22"/>
                <w:szCs w:val="22"/>
              </w:rPr>
            </w:pPr>
            <w:r>
              <w:rPr>
                <w:rFonts w:ascii="Times New Roman" w:hAnsi="Times New Roman"/>
                <w:sz w:val="22"/>
                <w:szCs w:val="22"/>
              </w:rPr>
              <w:t>Financial Manager</w:t>
            </w:r>
          </w:p>
        </w:tc>
        <w:tc>
          <w:tcPr>
            <w:tcW w:w="1440" w:type="dxa"/>
            <w:tcBorders>
              <w:top w:val="single" w:sz="4" w:space="0" w:color="auto"/>
              <w:left w:val="single" w:sz="4" w:space="0" w:color="auto"/>
              <w:bottom w:val="single" w:sz="4" w:space="0" w:color="auto"/>
              <w:right w:val="single" w:sz="4" w:space="0" w:color="auto"/>
            </w:tcBorders>
            <w:vAlign w:val="bottom"/>
          </w:tcPr>
          <w:p w:rsidR="00943AF3" w:rsidRPr="004354EF" w:rsidRDefault="00943AF3" w:rsidP="00137508">
            <w:pPr>
              <w:spacing w:line="276" w:lineRule="auto"/>
              <w:jc w:val="center"/>
              <w:rPr>
                <w:rFonts w:ascii="Times New Roman" w:hAnsi="Times New Roman"/>
                <w:sz w:val="22"/>
                <w:szCs w:val="22"/>
              </w:rPr>
            </w:pPr>
            <w:r w:rsidRPr="004354EF">
              <w:rPr>
                <w:rFonts w:ascii="Times New Roman" w:hAnsi="Times New Roman"/>
                <w:sz w:val="22"/>
                <w:szCs w:val="22"/>
              </w:rPr>
              <w:t>35</w:t>
            </w:r>
          </w:p>
        </w:tc>
        <w:tc>
          <w:tcPr>
            <w:tcW w:w="1771" w:type="dxa"/>
            <w:tcBorders>
              <w:top w:val="single" w:sz="4" w:space="0" w:color="auto"/>
              <w:left w:val="single" w:sz="4" w:space="0" w:color="auto"/>
              <w:bottom w:val="single" w:sz="4" w:space="0" w:color="auto"/>
              <w:right w:val="single" w:sz="4" w:space="0" w:color="auto"/>
            </w:tcBorders>
            <w:vAlign w:val="bottom"/>
          </w:tcPr>
          <w:p w:rsidR="00943AF3" w:rsidRPr="004354EF" w:rsidRDefault="00851EE1" w:rsidP="00137508">
            <w:pPr>
              <w:spacing w:line="276" w:lineRule="auto"/>
              <w:jc w:val="center"/>
              <w:rPr>
                <w:rFonts w:ascii="Times New Roman" w:hAnsi="Times New Roman"/>
                <w:sz w:val="22"/>
                <w:szCs w:val="22"/>
              </w:rPr>
            </w:pPr>
            <w:r>
              <w:rPr>
                <w:rFonts w:ascii="Times New Roman" w:hAnsi="Times New Roman"/>
                <w:sz w:val="22"/>
                <w:szCs w:val="22"/>
              </w:rPr>
              <w:t>12,000 per year</w:t>
            </w:r>
          </w:p>
        </w:tc>
        <w:tc>
          <w:tcPr>
            <w:tcW w:w="1199" w:type="dxa"/>
            <w:tcBorders>
              <w:top w:val="single" w:sz="4" w:space="0" w:color="auto"/>
              <w:left w:val="single" w:sz="4" w:space="0" w:color="auto"/>
              <w:bottom w:val="single" w:sz="4" w:space="0" w:color="auto"/>
              <w:right w:val="single" w:sz="4" w:space="0" w:color="auto"/>
            </w:tcBorders>
            <w:vAlign w:val="bottom"/>
          </w:tcPr>
          <w:p w:rsidR="00943AF3" w:rsidRPr="004354EF" w:rsidRDefault="00E55F02" w:rsidP="00137508">
            <w:pPr>
              <w:spacing w:line="276" w:lineRule="auto"/>
              <w:jc w:val="center"/>
              <w:rPr>
                <w:rFonts w:ascii="Times New Roman" w:hAnsi="Times New Roman"/>
                <w:sz w:val="22"/>
                <w:szCs w:val="22"/>
              </w:rPr>
            </w:pPr>
            <w:r w:rsidRPr="00943AF3">
              <w:rPr>
                <w:rFonts w:ascii="Times New Roman" w:hAnsi="Times New Roman"/>
                <w:sz w:val="22"/>
                <w:szCs w:val="22"/>
              </w:rPr>
              <w:t>420</w:t>
            </w:r>
            <w:r>
              <w:rPr>
                <w:rFonts w:ascii="Times New Roman" w:hAnsi="Times New Roman"/>
                <w:sz w:val="22"/>
                <w:szCs w:val="22"/>
              </w:rPr>
              <w:t>,</w:t>
            </w:r>
            <w:r w:rsidRPr="00943AF3">
              <w:rPr>
                <w:rFonts w:ascii="Times New Roman" w:hAnsi="Times New Roman"/>
                <w:sz w:val="22"/>
                <w:szCs w:val="22"/>
              </w:rPr>
              <w:t>000</w:t>
            </w:r>
          </w:p>
        </w:tc>
        <w:tc>
          <w:tcPr>
            <w:tcW w:w="1170" w:type="dxa"/>
            <w:tcBorders>
              <w:top w:val="single" w:sz="4" w:space="0" w:color="auto"/>
              <w:left w:val="single" w:sz="4" w:space="0" w:color="auto"/>
              <w:bottom w:val="single" w:sz="4" w:space="0" w:color="auto"/>
              <w:right w:val="single" w:sz="4" w:space="0" w:color="auto"/>
            </w:tcBorders>
            <w:vAlign w:val="bottom"/>
          </w:tcPr>
          <w:p w:rsidR="00943AF3" w:rsidRPr="004354EF" w:rsidRDefault="00851EE1" w:rsidP="00137508">
            <w:pPr>
              <w:spacing w:line="276" w:lineRule="auto"/>
              <w:jc w:val="center"/>
              <w:rPr>
                <w:rFonts w:ascii="Times New Roman" w:hAnsi="Times New Roman"/>
                <w:sz w:val="22"/>
                <w:szCs w:val="22"/>
              </w:rPr>
            </w:pPr>
            <w:r>
              <w:rPr>
                <w:rFonts w:ascii="Times New Roman" w:hAnsi="Times New Roman"/>
                <w:sz w:val="22"/>
                <w:szCs w:val="22"/>
              </w:rPr>
              <w:t>0.005</w:t>
            </w:r>
          </w:p>
        </w:tc>
        <w:tc>
          <w:tcPr>
            <w:tcW w:w="990" w:type="dxa"/>
            <w:tcBorders>
              <w:top w:val="single" w:sz="4" w:space="0" w:color="auto"/>
              <w:left w:val="single" w:sz="4" w:space="0" w:color="auto"/>
              <w:bottom w:val="single" w:sz="4" w:space="0" w:color="auto"/>
              <w:right w:val="single" w:sz="4" w:space="0" w:color="auto"/>
            </w:tcBorders>
            <w:vAlign w:val="bottom"/>
          </w:tcPr>
          <w:p w:rsidR="00943AF3" w:rsidRPr="004354EF" w:rsidRDefault="00943AF3" w:rsidP="00137508">
            <w:pPr>
              <w:spacing w:line="276" w:lineRule="auto"/>
              <w:jc w:val="center"/>
              <w:rPr>
                <w:rFonts w:ascii="Times New Roman" w:hAnsi="Times New Roman"/>
                <w:sz w:val="22"/>
                <w:szCs w:val="22"/>
              </w:rPr>
            </w:pPr>
            <w:r>
              <w:rPr>
                <w:rFonts w:ascii="Times New Roman" w:hAnsi="Times New Roman"/>
                <w:sz w:val="22"/>
                <w:szCs w:val="22"/>
              </w:rPr>
              <w:t>2,100</w:t>
            </w:r>
          </w:p>
        </w:tc>
        <w:tc>
          <w:tcPr>
            <w:tcW w:w="990" w:type="dxa"/>
            <w:tcBorders>
              <w:top w:val="single" w:sz="4" w:space="0" w:color="auto"/>
              <w:left w:val="single" w:sz="4" w:space="0" w:color="auto"/>
              <w:bottom w:val="single" w:sz="4" w:space="0" w:color="auto"/>
              <w:right w:val="single" w:sz="4" w:space="0" w:color="auto"/>
            </w:tcBorders>
            <w:vAlign w:val="bottom"/>
          </w:tcPr>
          <w:p w:rsidR="00943AF3" w:rsidRPr="004354EF" w:rsidRDefault="00943AF3" w:rsidP="00137508">
            <w:pPr>
              <w:spacing w:line="276" w:lineRule="auto"/>
              <w:jc w:val="center"/>
              <w:rPr>
                <w:rFonts w:ascii="Times New Roman" w:hAnsi="Times New Roman"/>
                <w:sz w:val="22"/>
                <w:szCs w:val="22"/>
              </w:rPr>
            </w:pPr>
            <w:r>
              <w:rPr>
                <w:rFonts w:ascii="Times New Roman" w:hAnsi="Times New Roman"/>
                <w:sz w:val="22"/>
                <w:szCs w:val="22"/>
              </w:rPr>
              <w:t>$157.90</w:t>
            </w:r>
          </w:p>
        </w:tc>
        <w:tc>
          <w:tcPr>
            <w:tcW w:w="1530" w:type="dxa"/>
            <w:tcBorders>
              <w:top w:val="single" w:sz="4" w:space="0" w:color="auto"/>
              <w:left w:val="single" w:sz="4" w:space="0" w:color="auto"/>
              <w:bottom w:val="single" w:sz="4" w:space="0" w:color="auto"/>
              <w:right w:val="single" w:sz="4" w:space="0" w:color="auto"/>
            </w:tcBorders>
            <w:vAlign w:val="bottom"/>
          </w:tcPr>
          <w:p w:rsidR="00943AF3" w:rsidRPr="004354EF" w:rsidRDefault="00943AF3" w:rsidP="00137508">
            <w:pPr>
              <w:spacing w:line="276" w:lineRule="auto"/>
              <w:jc w:val="center"/>
              <w:rPr>
                <w:rFonts w:ascii="Times New Roman" w:hAnsi="Times New Roman"/>
                <w:sz w:val="22"/>
                <w:szCs w:val="22"/>
              </w:rPr>
            </w:pPr>
            <w:r>
              <w:rPr>
                <w:rFonts w:ascii="Times New Roman" w:hAnsi="Times New Roman"/>
                <w:sz w:val="22"/>
                <w:szCs w:val="22"/>
              </w:rPr>
              <w:t>331,590</w:t>
            </w:r>
          </w:p>
        </w:tc>
      </w:tr>
      <w:tr w:rsidR="00943AF3" w:rsidRPr="004354EF" w:rsidTr="00943AF3">
        <w:tc>
          <w:tcPr>
            <w:tcW w:w="1440" w:type="dxa"/>
            <w:tcBorders>
              <w:top w:val="single" w:sz="4" w:space="0" w:color="auto"/>
              <w:left w:val="single" w:sz="4" w:space="0" w:color="auto"/>
              <w:bottom w:val="single" w:sz="4" w:space="0" w:color="auto"/>
              <w:right w:val="single" w:sz="4" w:space="0" w:color="auto"/>
            </w:tcBorders>
          </w:tcPr>
          <w:p w:rsidR="00943AF3" w:rsidRPr="004354EF" w:rsidRDefault="00943AF3" w:rsidP="00137508">
            <w:pPr>
              <w:spacing w:line="276" w:lineRule="auto"/>
              <w:jc w:val="center"/>
              <w:rPr>
                <w:rFonts w:ascii="Times New Roman" w:hAnsi="Times New Roman"/>
                <w:sz w:val="22"/>
                <w:szCs w:val="22"/>
              </w:rPr>
            </w:pPr>
            <w:r>
              <w:rPr>
                <w:rFonts w:ascii="Times New Roman" w:hAnsi="Times New Roman"/>
                <w:sz w:val="22"/>
                <w:szCs w:val="22"/>
              </w:rPr>
              <w:t>Clerical Staff</w:t>
            </w:r>
          </w:p>
        </w:tc>
        <w:tc>
          <w:tcPr>
            <w:tcW w:w="1440" w:type="dxa"/>
            <w:tcBorders>
              <w:top w:val="single" w:sz="4" w:space="0" w:color="auto"/>
              <w:left w:val="single" w:sz="4" w:space="0" w:color="auto"/>
              <w:bottom w:val="single" w:sz="4" w:space="0" w:color="auto"/>
              <w:right w:val="single" w:sz="4" w:space="0" w:color="auto"/>
            </w:tcBorders>
            <w:vAlign w:val="bottom"/>
          </w:tcPr>
          <w:p w:rsidR="00943AF3" w:rsidRPr="004354EF" w:rsidRDefault="00245939" w:rsidP="00137508">
            <w:pPr>
              <w:spacing w:line="276" w:lineRule="auto"/>
              <w:jc w:val="center"/>
              <w:rPr>
                <w:rFonts w:ascii="Times New Roman" w:hAnsi="Times New Roman"/>
                <w:sz w:val="22"/>
                <w:szCs w:val="22"/>
              </w:rPr>
            </w:pPr>
            <w:r>
              <w:rPr>
                <w:rFonts w:ascii="Times New Roman" w:hAnsi="Times New Roman"/>
                <w:sz w:val="22"/>
                <w:szCs w:val="22"/>
              </w:rPr>
              <w:t>35</w:t>
            </w:r>
          </w:p>
        </w:tc>
        <w:tc>
          <w:tcPr>
            <w:tcW w:w="1771" w:type="dxa"/>
            <w:tcBorders>
              <w:top w:val="single" w:sz="4" w:space="0" w:color="auto"/>
              <w:left w:val="single" w:sz="4" w:space="0" w:color="auto"/>
              <w:bottom w:val="single" w:sz="4" w:space="0" w:color="auto"/>
              <w:right w:val="single" w:sz="4" w:space="0" w:color="auto"/>
            </w:tcBorders>
            <w:vAlign w:val="bottom"/>
          </w:tcPr>
          <w:p w:rsidR="00943AF3" w:rsidRPr="004354EF" w:rsidRDefault="00851EE1" w:rsidP="00137508">
            <w:pPr>
              <w:spacing w:line="276" w:lineRule="auto"/>
              <w:jc w:val="center"/>
              <w:rPr>
                <w:rFonts w:ascii="Times New Roman" w:hAnsi="Times New Roman"/>
                <w:sz w:val="22"/>
                <w:szCs w:val="22"/>
              </w:rPr>
            </w:pPr>
            <w:r>
              <w:rPr>
                <w:rFonts w:ascii="Times New Roman" w:hAnsi="Times New Roman"/>
                <w:sz w:val="22"/>
                <w:szCs w:val="22"/>
              </w:rPr>
              <w:t>12,000 per year</w:t>
            </w:r>
          </w:p>
        </w:tc>
        <w:tc>
          <w:tcPr>
            <w:tcW w:w="1199" w:type="dxa"/>
            <w:tcBorders>
              <w:top w:val="single" w:sz="4" w:space="0" w:color="auto"/>
              <w:left w:val="single" w:sz="4" w:space="0" w:color="auto"/>
              <w:bottom w:val="single" w:sz="4" w:space="0" w:color="auto"/>
              <w:right w:val="single" w:sz="4" w:space="0" w:color="auto"/>
            </w:tcBorders>
            <w:vAlign w:val="bottom"/>
          </w:tcPr>
          <w:p w:rsidR="00943AF3" w:rsidRPr="004354EF" w:rsidRDefault="00E55F02" w:rsidP="00137508">
            <w:pPr>
              <w:spacing w:line="276" w:lineRule="auto"/>
              <w:jc w:val="center"/>
              <w:rPr>
                <w:rFonts w:ascii="Times New Roman" w:hAnsi="Times New Roman"/>
                <w:sz w:val="22"/>
                <w:szCs w:val="22"/>
              </w:rPr>
            </w:pPr>
            <w:r w:rsidRPr="00943AF3">
              <w:rPr>
                <w:rFonts w:ascii="Times New Roman" w:hAnsi="Times New Roman"/>
                <w:sz w:val="22"/>
                <w:szCs w:val="22"/>
              </w:rPr>
              <w:t>420</w:t>
            </w:r>
            <w:r>
              <w:rPr>
                <w:rFonts w:ascii="Times New Roman" w:hAnsi="Times New Roman"/>
                <w:sz w:val="22"/>
                <w:szCs w:val="22"/>
              </w:rPr>
              <w:t>,</w:t>
            </w:r>
            <w:r w:rsidRPr="00943AF3">
              <w:rPr>
                <w:rFonts w:ascii="Times New Roman" w:hAnsi="Times New Roman"/>
                <w:sz w:val="22"/>
                <w:szCs w:val="22"/>
              </w:rPr>
              <w:t>000</w:t>
            </w:r>
          </w:p>
        </w:tc>
        <w:tc>
          <w:tcPr>
            <w:tcW w:w="1170" w:type="dxa"/>
            <w:tcBorders>
              <w:top w:val="single" w:sz="4" w:space="0" w:color="auto"/>
              <w:left w:val="single" w:sz="4" w:space="0" w:color="auto"/>
              <w:bottom w:val="single" w:sz="4" w:space="0" w:color="auto"/>
              <w:right w:val="single" w:sz="4" w:space="0" w:color="auto"/>
            </w:tcBorders>
            <w:vAlign w:val="bottom"/>
          </w:tcPr>
          <w:p w:rsidR="00943AF3" w:rsidRPr="004354EF" w:rsidRDefault="00851EE1" w:rsidP="00137508">
            <w:pPr>
              <w:spacing w:line="276" w:lineRule="auto"/>
              <w:jc w:val="center"/>
              <w:rPr>
                <w:rFonts w:ascii="Times New Roman" w:hAnsi="Times New Roman"/>
                <w:sz w:val="22"/>
                <w:szCs w:val="22"/>
              </w:rPr>
            </w:pPr>
            <w:r>
              <w:rPr>
                <w:rFonts w:ascii="Times New Roman" w:hAnsi="Times New Roman"/>
                <w:sz w:val="22"/>
                <w:szCs w:val="22"/>
              </w:rPr>
              <w:t>0.005</w:t>
            </w:r>
          </w:p>
        </w:tc>
        <w:tc>
          <w:tcPr>
            <w:tcW w:w="990" w:type="dxa"/>
            <w:tcBorders>
              <w:top w:val="single" w:sz="4" w:space="0" w:color="auto"/>
              <w:left w:val="single" w:sz="4" w:space="0" w:color="auto"/>
              <w:bottom w:val="single" w:sz="4" w:space="0" w:color="auto"/>
              <w:right w:val="single" w:sz="4" w:space="0" w:color="auto"/>
            </w:tcBorders>
            <w:vAlign w:val="bottom"/>
          </w:tcPr>
          <w:p w:rsidR="00943AF3" w:rsidRPr="004354EF" w:rsidRDefault="00943AF3" w:rsidP="00137508">
            <w:pPr>
              <w:spacing w:line="276" w:lineRule="auto"/>
              <w:jc w:val="center"/>
              <w:rPr>
                <w:rFonts w:ascii="Times New Roman" w:hAnsi="Times New Roman"/>
                <w:sz w:val="22"/>
                <w:szCs w:val="22"/>
              </w:rPr>
            </w:pPr>
            <w:r>
              <w:rPr>
                <w:rFonts w:ascii="Times New Roman" w:hAnsi="Times New Roman"/>
                <w:sz w:val="22"/>
                <w:szCs w:val="22"/>
              </w:rPr>
              <w:t>2,100</w:t>
            </w:r>
          </w:p>
        </w:tc>
        <w:tc>
          <w:tcPr>
            <w:tcW w:w="990" w:type="dxa"/>
            <w:tcBorders>
              <w:top w:val="single" w:sz="4" w:space="0" w:color="auto"/>
              <w:left w:val="single" w:sz="4" w:space="0" w:color="auto"/>
              <w:bottom w:val="single" w:sz="4" w:space="0" w:color="auto"/>
              <w:right w:val="single" w:sz="4" w:space="0" w:color="auto"/>
            </w:tcBorders>
            <w:vAlign w:val="bottom"/>
          </w:tcPr>
          <w:p w:rsidR="00943AF3" w:rsidRPr="004354EF" w:rsidRDefault="00943AF3" w:rsidP="00137508">
            <w:pPr>
              <w:spacing w:line="276" w:lineRule="auto"/>
              <w:jc w:val="center"/>
              <w:rPr>
                <w:rFonts w:ascii="Times New Roman" w:hAnsi="Times New Roman"/>
                <w:sz w:val="22"/>
                <w:szCs w:val="22"/>
              </w:rPr>
            </w:pPr>
            <w:r>
              <w:rPr>
                <w:rFonts w:ascii="Times New Roman" w:hAnsi="Times New Roman"/>
                <w:sz w:val="22"/>
                <w:szCs w:val="22"/>
              </w:rPr>
              <w:t>$52.09</w:t>
            </w:r>
          </w:p>
        </w:tc>
        <w:tc>
          <w:tcPr>
            <w:tcW w:w="1530" w:type="dxa"/>
            <w:tcBorders>
              <w:top w:val="single" w:sz="4" w:space="0" w:color="auto"/>
              <w:left w:val="single" w:sz="4" w:space="0" w:color="auto"/>
              <w:bottom w:val="single" w:sz="4" w:space="0" w:color="auto"/>
              <w:right w:val="single" w:sz="4" w:space="0" w:color="auto"/>
            </w:tcBorders>
            <w:vAlign w:val="bottom"/>
          </w:tcPr>
          <w:p w:rsidR="00943AF3" w:rsidRPr="004354EF" w:rsidRDefault="00943AF3" w:rsidP="00137508">
            <w:pPr>
              <w:spacing w:line="276" w:lineRule="auto"/>
              <w:jc w:val="center"/>
              <w:rPr>
                <w:rFonts w:ascii="Times New Roman" w:hAnsi="Times New Roman"/>
                <w:sz w:val="22"/>
                <w:szCs w:val="22"/>
              </w:rPr>
            </w:pPr>
            <w:r>
              <w:rPr>
                <w:rFonts w:ascii="Times New Roman" w:hAnsi="Times New Roman"/>
                <w:sz w:val="22"/>
                <w:szCs w:val="22"/>
              </w:rPr>
              <w:t>109,389</w:t>
            </w:r>
          </w:p>
        </w:tc>
      </w:tr>
      <w:tr w:rsidR="00943AF3" w:rsidRPr="004354EF" w:rsidTr="00943AF3">
        <w:tc>
          <w:tcPr>
            <w:tcW w:w="1440" w:type="dxa"/>
            <w:tcBorders>
              <w:top w:val="single" w:sz="4" w:space="0" w:color="auto"/>
              <w:left w:val="single" w:sz="4" w:space="0" w:color="auto"/>
              <w:bottom w:val="single" w:sz="4" w:space="0" w:color="auto"/>
              <w:right w:val="single" w:sz="4" w:space="0" w:color="auto"/>
            </w:tcBorders>
          </w:tcPr>
          <w:p w:rsidR="00943AF3" w:rsidRDefault="00851EE1" w:rsidP="00137508">
            <w:pPr>
              <w:spacing w:line="276" w:lineRule="auto"/>
              <w:jc w:val="center"/>
              <w:rPr>
                <w:rFonts w:ascii="Times New Roman" w:hAnsi="Times New Roman"/>
                <w:sz w:val="22"/>
                <w:szCs w:val="22"/>
              </w:rPr>
            </w:pPr>
            <w:r>
              <w:rPr>
                <w:rFonts w:ascii="Times New Roman" w:hAnsi="Times New Roman"/>
                <w:sz w:val="22"/>
                <w:szCs w:val="22"/>
              </w:rPr>
              <w:t xml:space="preserve">Unduplicated </w:t>
            </w:r>
            <w:r w:rsidR="00E55F02">
              <w:rPr>
                <w:rFonts w:ascii="Times New Roman" w:hAnsi="Times New Roman"/>
                <w:sz w:val="22"/>
                <w:szCs w:val="22"/>
              </w:rPr>
              <w:t>Total</w:t>
            </w:r>
          </w:p>
        </w:tc>
        <w:tc>
          <w:tcPr>
            <w:tcW w:w="1440" w:type="dxa"/>
            <w:tcBorders>
              <w:top w:val="single" w:sz="4" w:space="0" w:color="auto"/>
              <w:left w:val="single" w:sz="4" w:space="0" w:color="auto"/>
              <w:bottom w:val="single" w:sz="4" w:space="0" w:color="auto"/>
              <w:right w:val="single" w:sz="4" w:space="0" w:color="auto"/>
            </w:tcBorders>
            <w:vAlign w:val="bottom"/>
          </w:tcPr>
          <w:p w:rsidR="00943AF3" w:rsidRPr="004354EF" w:rsidRDefault="00943AF3" w:rsidP="00137508">
            <w:pPr>
              <w:spacing w:line="276" w:lineRule="auto"/>
              <w:jc w:val="center"/>
              <w:rPr>
                <w:rFonts w:ascii="Times New Roman" w:hAnsi="Times New Roman"/>
                <w:sz w:val="22"/>
                <w:szCs w:val="22"/>
              </w:rPr>
            </w:pPr>
            <w:r>
              <w:rPr>
                <w:rFonts w:ascii="Times New Roman" w:hAnsi="Times New Roman"/>
                <w:sz w:val="22"/>
                <w:szCs w:val="22"/>
              </w:rPr>
              <w:t>35</w:t>
            </w:r>
          </w:p>
        </w:tc>
        <w:tc>
          <w:tcPr>
            <w:tcW w:w="1771" w:type="dxa"/>
            <w:tcBorders>
              <w:top w:val="single" w:sz="4" w:space="0" w:color="auto"/>
              <w:left w:val="single" w:sz="4" w:space="0" w:color="auto"/>
              <w:bottom w:val="single" w:sz="4" w:space="0" w:color="auto"/>
              <w:right w:val="single" w:sz="4" w:space="0" w:color="auto"/>
            </w:tcBorders>
            <w:vAlign w:val="bottom"/>
          </w:tcPr>
          <w:p w:rsidR="00943AF3" w:rsidRPr="004354EF" w:rsidRDefault="00851EE1" w:rsidP="00137508">
            <w:pPr>
              <w:spacing w:line="276" w:lineRule="auto"/>
              <w:jc w:val="center"/>
              <w:rPr>
                <w:rFonts w:ascii="Times New Roman" w:hAnsi="Times New Roman"/>
                <w:sz w:val="22"/>
                <w:szCs w:val="22"/>
              </w:rPr>
            </w:pPr>
            <w:r>
              <w:rPr>
                <w:rFonts w:ascii="Times New Roman" w:hAnsi="Times New Roman"/>
                <w:sz w:val="22"/>
                <w:szCs w:val="22"/>
              </w:rPr>
              <w:t>12,000 per year</w:t>
            </w:r>
          </w:p>
        </w:tc>
        <w:tc>
          <w:tcPr>
            <w:tcW w:w="1199" w:type="dxa"/>
            <w:tcBorders>
              <w:top w:val="single" w:sz="4" w:space="0" w:color="auto"/>
              <w:left w:val="single" w:sz="4" w:space="0" w:color="auto"/>
              <w:bottom w:val="single" w:sz="4" w:space="0" w:color="auto"/>
              <w:right w:val="single" w:sz="4" w:space="0" w:color="auto"/>
            </w:tcBorders>
            <w:vAlign w:val="bottom"/>
          </w:tcPr>
          <w:p w:rsidR="00943AF3" w:rsidRPr="004354EF" w:rsidRDefault="00943AF3" w:rsidP="00137508">
            <w:pPr>
              <w:spacing w:line="276" w:lineRule="auto"/>
              <w:jc w:val="center"/>
              <w:rPr>
                <w:rFonts w:ascii="Times New Roman" w:hAnsi="Times New Roman"/>
                <w:sz w:val="22"/>
                <w:szCs w:val="22"/>
              </w:rPr>
            </w:pPr>
            <w:r w:rsidRPr="00943AF3">
              <w:rPr>
                <w:rFonts w:ascii="Times New Roman" w:hAnsi="Times New Roman"/>
                <w:sz w:val="22"/>
                <w:szCs w:val="22"/>
              </w:rPr>
              <w:t>420</w:t>
            </w:r>
            <w:r>
              <w:rPr>
                <w:rFonts w:ascii="Times New Roman" w:hAnsi="Times New Roman"/>
                <w:sz w:val="22"/>
                <w:szCs w:val="22"/>
              </w:rPr>
              <w:t>,</w:t>
            </w:r>
            <w:r w:rsidRPr="00943AF3">
              <w:rPr>
                <w:rFonts w:ascii="Times New Roman" w:hAnsi="Times New Roman"/>
                <w:sz w:val="22"/>
                <w:szCs w:val="22"/>
              </w:rPr>
              <w:t>000</w:t>
            </w:r>
          </w:p>
        </w:tc>
        <w:tc>
          <w:tcPr>
            <w:tcW w:w="1170" w:type="dxa"/>
            <w:tcBorders>
              <w:top w:val="single" w:sz="4" w:space="0" w:color="auto"/>
              <w:left w:val="single" w:sz="4" w:space="0" w:color="auto"/>
              <w:bottom w:val="single" w:sz="4" w:space="0" w:color="auto"/>
              <w:right w:val="single" w:sz="4" w:space="0" w:color="auto"/>
            </w:tcBorders>
            <w:vAlign w:val="bottom"/>
          </w:tcPr>
          <w:p w:rsidR="00943AF3" w:rsidRPr="004354EF" w:rsidRDefault="00851EE1" w:rsidP="00137508">
            <w:pPr>
              <w:spacing w:line="276" w:lineRule="auto"/>
              <w:jc w:val="center"/>
              <w:rPr>
                <w:rFonts w:ascii="Times New Roman" w:hAnsi="Times New Roman"/>
                <w:sz w:val="22"/>
                <w:szCs w:val="22"/>
              </w:rPr>
            </w:pPr>
            <w:r>
              <w:rPr>
                <w:rFonts w:ascii="Times New Roman" w:hAnsi="Times New Roman"/>
                <w:sz w:val="22"/>
                <w:szCs w:val="22"/>
              </w:rPr>
              <w:t>0.01</w:t>
            </w:r>
          </w:p>
        </w:tc>
        <w:tc>
          <w:tcPr>
            <w:tcW w:w="990" w:type="dxa"/>
            <w:tcBorders>
              <w:top w:val="single" w:sz="4" w:space="0" w:color="auto"/>
              <w:left w:val="single" w:sz="4" w:space="0" w:color="auto"/>
              <w:bottom w:val="single" w:sz="4" w:space="0" w:color="auto"/>
              <w:right w:val="single" w:sz="4" w:space="0" w:color="auto"/>
            </w:tcBorders>
            <w:vAlign w:val="bottom"/>
          </w:tcPr>
          <w:p w:rsidR="00943AF3" w:rsidRPr="004354EF" w:rsidRDefault="00943AF3" w:rsidP="00137508">
            <w:pPr>
              <w:spacing w:line="276" w:lineRule="auto"/>
              <w:jc w:val="center"/>
              <w:rPr>
                <w:rFonts w:ascii="Times New Roman" w:hAnsi="Times New Roman"/>
                <w:sz w:val="22"/>
                <w:szCs w:val="22"/>
              </w:rPr>
            </w:pPr>
            <w:r>
              <w:rPr>
                <w:rFonts w:ascii="Times New Roman" w:hAnsi="Times New Roman"/>
                <w:sz w:val="22"/>
                <w:szCs w:val="22"/>
              </w:rPr>
              <w:t>4,200</w:t>
            </w:r>
          </w:p>
        </w:tc>
        <w:tc>
          <w:tcPr>
            <w:tcW w:w="990" w:type="dxa"/>
            <w:tcBorders>
              <w:top w:val="single" w:sz="4" w:space="0" w:color="auto"/>
              <w:left w:val="single" w:sz="4" w:space="0" w:color="auto"/>
              <w:bottom w:val="single" w:sz="4" w:space="0" w:color="auto"/>
              <w:right w:val="single" w:sz="4" w:space="0" w:color="auto"/>
            </w:tcBorders>
            <w:vAlign w:val="bottom"/>
          </w:tcPr>
          <w:p w:rsidR="00943AF3" w:rsidRPr="004354EF" w:rsidRDefault="00851EE1" w:rsidP="00137508">
            <w:pPr>
              <w:spacing w:line="276" w:lineRule="auto"/>
              <w:jc w:val="center"/>
              <w:rPr>
                <w:rFonts w:ascii="Times New Roman" w:hAnsi="Times New Roman"/>
                <w:sz w:val="22"/>
                <w:szCs w:val="22"/>
              </w:rPr>
            </w:pPr>
            <w:r>
              <w:rPr>
                <w:rFonts w:ascii="Times New Roman" w:hAnsi="Times New Roman"/>
                <w:sz w:val="22"/>
                <w:szCs w:val="22"/>
              </w:rPr>
              <w:t>Varies</w:t>
            </w:r>
          </w:p>
        </w:tc>
        <w:tc>
          <w:tcPr>
            <w:tcW w:w="1530" w:type="dxa"/>
            <w:tcBorders>
              <w:top w:val="single" w:sz="4" w:space="0" w:color="auto"/>
              <w:left w:val="single" w:sz="4" w:space="0" w:color="auto"/>
              <w:bottom w:val="single" w:sz="4" w:space="0" w:color="auto"/>
              <w:right w:val="single" w:sz="4" w:space="0" w:color="auto"/>
            </w:tcBorders>
            <w:vAlign w:val="bottom"/>
          </w:tcPr>
          <w:p w:rsidR="00943AF3" w:rsidRPr="004354EF" w:rsidRDefault="00943AF3" w:rsidP="00137508">
            <w:pPr>
              <w:spacing w:line="276" w:lineRule="auto"/>
              <w:jc w:val="center"/>
              <w:rPr>
                <w:rFonts w:ascii="Times New Roman" w:hAnsi="Times New Roman"/>
                <w:sz w:val="22"/>
                <w:szCs w:val="22"/>
              </w:rPr>
            </w:pPr>
            <w:r>
              <w:rPr>
                <w:rFonts w:ascii="Times New Roman" w:hAnsi="Times New Roman"/>
                <w:sz w:val="22"/>
                <w:szCs w:val="22"/>
              </w:rPr>
              <w:t>440,979</w:t>
            </w:r>
          </w:p>
        </w:tc>
      </w:tr>
    </w:tbl>
    <w:p w:rsidR="00214A2A" w:rsidRPr="004354EF" w:rsidRDefault="00214A2A" w:rsidP="00944879">
      <w:pPr>
        <w:widowControl/>
        <w:ind w:left="720"/>
        <w:rPr>
          <w:rFonts w:ascii="Times New Roman" w:hAnsi="Times New Roman"/>
          <w:sz w:val="22"/>
          <w:szCs w:val="22"/>
        </w:rPr>
      </w:pPr>
    </w:p>
    <w:p w:rsidR="00117845" w:rsidRPr="00790D92" w:rsidRDefault="00117845" w:rsidP="00944879">
      <w:pPr>
        <w:widowControl/>
        <w:ind w:left="720"/>
        <w:rPr>
          <w:rFonts w:ascii="Times New Roman" w:hAnsi="Times New Roman"/>
        </w:rPr>
      </w:pPr>
    </w:p>
    <w:p w:rsidR="00117845" w:rsidRPr="00790D92" w:rsidRDefault="003C0565" w:rsidP="00944879">
      <w:pPr>
        <w:pStyle w:val="Quick1"/>
        <w:widowControl/>
        <w:numPr>
          <w:ilvl w:val="0"/>
          <w:numId w:val="0"/>
        </w:numPr>
        <w:tabs>
          <w:tab w:val="left" w:pos="-1440"/>
        </w:tabs>
        <w:ind w:left="720" w:hanging="720"/>
        <w:rPr>
          <w:rFonts w:ascii="Times New Roman" w:hAnsi="Times New Roman"/>
          <w:i/>
          <w:iCs/>
        </w:rPr>
      </w:pPr>
      <w:r w:rsidRPr="00790D92">
        <w:rPr>
          <w:rFonts w:ascii="Times New Roman" w:hAnsi="Times New Roman"/>
          <w:i/>
          <w:iCs/>
        </w:rPr>
        <w:t>13.</w:t>
      </w:r>
      <w:r w:rsidRPr="00790D92">
        <w:rPr>
          <w:rFonts w:ascii="Times New Roman" w:hAnsi="Times New Roman"/>
          <w:i/>
          <w:iCs/>
        </w:rPr>
        <w:tab/>
      </w:r>
      <w:r w:rsidR="00117845" w:rsidRPr="00790D92">
        <w:rPr>
          <w:rFonts w:ascii="Times New Roman" w:hAnsi="Times New Roman"/>
          <w:i/>
          <w:iCs/>
        </w:rPr>
        <w:t>Provide an estimate of the total annual cost burden to respondents or recordkeepers resulting from the collection of information.</w:t>
      </w:r>
    </w:p>
    <w:p w:rsidR="00117845" w:rsidRPr="00790D92" w:rsidRDefault="00117845" w:rsidP="00944879">
      <w:pPr>
        <w:widowControl/>
        <w:ind w:left="720"/>
        <w:rPr>
          <w:rFonts w:ascii="Times New Roman" w:hAnsi="Times New Roman"/>
          <w:i/>
          <w:iCs/>
        </w:rPr>
      </w:pPr>
    </w:p>
    <w:p w:rsidR="00117845" w:rsidRPr="00790D92" w:rsidRDefault="00117845" w:rsidP="00944879">
      <w:pPr>
        <w:widowControl/>
        <w:ind w:left="720"/>
        <w:rPr>
          <w:rFonts w:ascii="Times New Roman" w:hAnsi="Times New Roman"/>
          <w:i/>
          <w:iCs/>
        </w:rPr>
      </w:pPr>
      <w:r w:rsidRPr="00790D92">
        <w:rPr>
          <w:rFonts w:ascii="Times New Roman" w:hAnsi="Times New Roman"/>
        </w:rPr>
        <w:t>Th</w:t>
      </w:r>
      <w:r w:rsidR="00287503" w:rsidRPr="00790D92">
        <w:rPr>
          <w:rFonts w:ascii="Times New Roman" w:hAnsi="Times New Roman"/>
        </w:rPr>
        <w:t>is notice delivery</w:t>
      </w:r>
      <w:r w:rsidRPr="00790D92">
        <w:rPr>
          <w:rFonts w:ascii="Times New Roman" w:hAnsi="Times New Roman"/>
        </w:rPr>
        <w:t xml:space="preserve"> does not apply</w:t>
      </w:r>
      <w:r w:rsidR="00287503" w:rsidRPr="00790D92">
        <w:rPr>
          <w:rFonts w:ascii="Times New Roman" w:hAnsi="Times New Roman"/>
        </w:rPr>
        <w:t xml:space="preserve"> as a cost burden</w:t>
      </w:r>
      <w:r w:rsidRPr="00790D92">
        <w:rPr>
          <w:rFonts w:ascii="Times New Roman" w:hAnsi="Times New Roman"/>
        </w:rPr>
        <w:t xml:space="preserve"> because it is not likely that respondents will contract out or pay outside parties for information collection activities relating to this exemption.  The cost of material and postage for written policies and procedures, etc. are not counted because these are usual and customary costs for banks</w:t>
      </w:r>
      <w:r w:rsidRPr="00790D92">
        <w:rPr>
          <w:rFonts w:ascii="Times New Roman" w:hAnsi="Times New Roman"/>
          <w:i/>
          <w:iCs/>
        </w:rPr>
        <w:t xml:space="preserve"> </w:t>
      </w:r>
      <w:r w:rsidRPr="00790D92">
        <w:rPr>
          <w:rFonts w:ascii="Times New Roman" w:hAnsi="Times New Roman"/>
        </w:rPr>
        <w:t>broker-dealers engaging in foreign exchange transactions.</w:t>
      </w:r>
    </w:p>
    <w:p w:rsidR="00117845" w:rsidRPr="00790D92" w:rsidRDefault="00117845" w:rsidP="00944879">
      <w:pPr>
        <w:widowControl/>
        <w:tabs>
          <w:tab w:val="left" w:pos="-1440"/>
        </w:tabs>
        <w:ind w:left="720" w:hanging="720"/>
        <w:rPr>
          <w:rFonts w:ascii="Times New Roman" w:hAnsi="Times New Roman"/>
          <w:i/>
          <w:iCs/>
        </w:rPr>
      </w:pPr>
      <w:r w:rsidRPr="00790D92">
        <w:rPr>
          <w:rFonts w:ascii="Times New Roman" w:hAnsi="Times New Roman"/>
          <w:i/>
        </w:rPr>
        <w:t>14.</w:t>
      </w:r>
      <w:r w:rsidRPr="00790D92">
        <w:rPr>
          <w:rFonts w:ascii="Times New Roman" w:hAnsi="Times New Roman"/>
          <w:i/>
        </w:rPr>
        <w:tab/>
      </w:r>
      <w:r w:rsidRPr="00790D92">
        <w:rPr>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17845" w:rsidRPr="00790D92" w:rsidRDefault="00117845" w:rsidP="00944879">
      <w:pPr>
        <w:widowControl/>
        <w:ind w:left="720"/>
        <w:rPr>
          <w:rFonts w:ascii="Times New Roman" w:hAnsi="Times New Roman"/>
        </w:rPr>
      </w:pPr>
    </w:p>
    <w:p w:rsidR="00117845" w:rsidRPr="00790D92" w:rsidRDefault="005C220F" w:rsidP="00944879">
      <w:pPr>
        <w:widowControl/>
        <w:ind w:left="720"/>
        <w:outlineLvl w:val="0"/>
        <w:rPr>
          <w:rFonts w:ascii="Times New Roman" w:hAnsi="Times New Roman"/>
        </w:rPr>
      </w:pPr>
      <w:r w:rsidRPr="00790D92">
        <w:rPr>
          <w:rFonts w:ascii="Times New Roman" w:hAnsi="Times New Roman"/>
        </w:rPr>
        <w:t>The D</w:t>
      </w:r>
      <w:r w:rsidR="00EB0931" w:rsidRPr="00790D92">
        <w:rPr>
          <w:rFonts w:ascii="Times New Roman" w:hAnsi="Times New Roman"/>
        </w:rPr>
        <w:t>epartment</w:t>
      </w:r>
      <w:r w:rsidRPr="00790D92">
        <w:rPr>
          <w:rFonts w:ascii="Times New Roman" w:hAnsi="Times New Roman"/>
        </w:rPr>
        <w:t xml:space="preserve"> associates no Federal costs with this information collection.</w:t>
      </w:r>
    </w:p>
    <w:p w:rsidR="00117845" w:rsidRPr="00790D92" w:rsidRDefault="00117845" w:rsidP="00944879">
      <w:pPr>
        <w:widowControl/>
        <w:ind w:left="720"/>
        <w:rPr>
          <w:rFonts w:ascii="Times New Roman" w:hAnsi="Times New Roman"/>
        </w:rPr>
      </w:pPr>
    </w:p>
    <w:p w:rsidR="00117845" w:rsidRPr="00790D92" w:rsidRDefault="00117845">
      <w:pPr>
        <w:widowControl/>
        <w:tabs>
          <w:tab w:val="left" w:pos="-1440"/>
        </w:tabs>
        <w:ind w:left="720" w:hanging="720"/>
        <w:rPr>
          <w:rFonts w:ascii="Times New Roman" w:hAnsi="Times New Roman"/>
          <w:i/>
          <w:iCs/>
        </w:rPr>
      </w:pPr>
      <w:r w:rsidRPr="00790D92">
        <w:rPr>
          <w:rFonts w:ascii="Times New Roman" w:hAnsi="Times New Roman"/>
          <w:i/>
        </w:rPr>
        <w:t>15.</w:t>
      </w:r>
      <w:r w:rsidRPr="00790D92">
        <w:rPr>
          <w:rFonts w:ascii="Times New Roman" w:hAnsi="Times New Roman"/>
          <w:i/>
        </w:rPr>
        <w:tab/>
      </w:r>
      <w:r w:rsidRPr="00790D92">
        <w:rPr>
          <w:rFonts w:ascii="Times New Roman" w:hAnsi="Times New Roman"/>
          <w:i/>
          <w:iCs/>
        </w:rPr>
        <w:t>Explain the reasons for any program changes or adjustments reporting in Items 13 or 14.</w:t>
      </w:r>
    </w:p>
    <w:p w:rsidR="00117845" w:rsidRPr="00790D92" w:rsidRDefault="00117845" w:rsidP="00944879">
      <w:pPr>
        <w:widowControl/>
        <w:ind w:left="720"/>
        <w:rPr>
          <w:rFonts w:ascii="Times New Roman" w:hAnsi="Times New Roman"/>
        </w:rPr>
      </w:pPr>
    </w:p>
    <w:p w:rsidR="00117845" w:rsidRPr="00790D92" w:rsidRDefault="00A611AC" w:rsidP="003222FD">
      <w:pPr>
        <w:widowControl/>
        <w:ind w:left="720"/>
        <w:rPr>
          <w:rFonts w:ascii="Times New Roman" w:hAnsi="Times New Roman"/>
        </w:rPr>
      </w:pPr>
      <w:r w:rsidRPr="00790D92">
        <w:rPr>
          <w:rFonts w:ascii="Times New Roman" w:hAnsi="Times New Roman"/>
        </w:rPr>
        <w:t xml:space="preserve">There are no program changes or adjustments for this submission.  The hour burden and cost burden for this collection remain unchanged.  </w:t>
      </w:r>
      <w:r w:rsidR="00D94A05" w:rsidRPr="00790D92">
        <w:rPr>
          <w:rFonts w:ascii="Times New Roman" w:hAnsi="Times New Roman"/>
        </w:rPr>
        <w:t xml:space="preserve">The equivalent cost of the hour burden increased </w:t>
      </w:r>
      <w:r w:rsidRPr="00790D92">
        <w:rPr>
          <w:rFonts w:ascii="Times New Roman" w:hAnsi="Times New Roman"/>
        </w:rPr>
        <w:t xml:space="preserve">due to </w:t>
      </w:r>
      <w:r w:rsidR="00D94A05" w:rsidRPr="00790D92">
        <w:rPr>
          <w:rFonts w:ascii="Times New Roman" w:hAnsi="Times New Roman"/>
        </w:rPr>
        <w:t xml:space="preserve">wage rage </w:t>
      </w:r>
      <w:r w:rsidRPr="00790D92">
        <w:rPr>
          <w:rFonts w:ascii="Times New Roman" w:hAnsi="Times New Roman"/>
        </w:rPr>
        <w:t xml:space="preserve">inflation and a methodological change in how the Department calculates </w:t>
      </w:r>
      <w:r w:rsidR="00D94A05" w:rsidRPr="00790D92">
        <w:rPr>
          <w:rFonts w:ascii="Times New Roman" w:hAnsi="Times New Roman"/>
        </w:rPr>
        <w:t>labor costs.</w:t>
      </w:r>
    </w:p>
    <w:p w:rsidR="00D94A05" w:rsidRPr="00790D92" w:rsidRDefault="00D94A05" w:rsidP="003222FD">
      <w:pPr>
        <w:widowControl/>
        <w:ind w:left="720"/>
        <w:rPr>
          <w:rFonts w:ascii="Times New Roman" w:hAnsi="Times New Roman"/>
        </w:rPr>
      </w:pPr>
    </w:p>
    <w:p w:rsidR="00117845" w:rsidRPr="00790D92" w:rsidRDefault="00117845" w:rsidP="00944879">
      <w:pPr>
        <w:widowControl/>
        <w:tabs>
          <w:tab w:val="left" w:pos="-1440"/>
        </w:tabs>
        <w:ind w:left="720" w:hanging="720"/>
        <w:rPr>
          <w:rFonts w:ascii="Times New Roman" w:hAnsi="Times New Roman"/>
          <w:i/>
          <w:iCs/>
        </w:rPr>
      </w:pPr>
      <w:r w:rsidRPr="00790D92">
        <w:rPr>
          <w:rFonts w:ascii="Times New Roman" w:hAnsi="Times New Roman"/>
          <w:i/>
        </w:rPr>
        <w:t>16.</w:t>
      </w:r>
      <w:r w:rsidRPr="00790D92">
        <w:rPr>
          <w:rFonts w:ascii="Times New Roman" w:hAnsi="Times New Roman"/>
          <w:i/>
        </w:rPr>
        <w:tab/>
      </w:r>
      <w:r w:rsidRPr="00790D92">
        <w:rPr>
          <w:rFonts w:ascii="Times New Roman" w:hAnsi="Times New Roman"/>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17845" w:rsidRPr="00790D92" w:rsidRDefault="00117845" w:rsidP="00944879">
      <w:pPr>
        <w:widowControl/>
        <w:ind w:left="720"/>
        <w:rPr>
          <w:rFonts w:ascii="Times New Roman" w:hAnsi="Times New Roman"/>
        </w:rPr>
      </w:pPr>
    </w:p>
    <w:p w:rsidR="00117845" w:rsidRPr="00790D92" w:rsidRDefault="00BD438D" w:rsidP="00944879">
      <w:pPr>
        <w:widowControl/>
        <w:ind w:left="720"/>
        <w:outlineLvl w:val="0"/>
        <w:rPr>
          <w:rFonts w:ascii="Times New Roman" w:hAnsi="Times New Roman"/>
        </w:rPr>
      </w:pPr>
      <w:r w:rsidRPr="00790D92">
        <w:rPr>
          <w:rFonts w:ascii="Times New Roman" w:hAnsi="Times New Roman"/>
        </w:rPr>
        <w:t>This is not a collection of information for statistical use and there are no plans to publish the results of this collection.</w:t>
      </w:r>
    </w:p>
    <w:p w:rsidR="00117845" w:rsidRPr="00790D92" w:rsidRDefault="00117845" w:rsidP="00944879">
      <w:pPr>
        <w:widowControl/>
        <w:ind w:left="720"/>
        <w:rPr>
          <w:rFonts w:ascii="Times New Roman" w:hAnsi="Times New Roman"/>
        </w:rPr>
      </w:pPr>
    </w:p>
    <w:p w:rsidR="00117845" w:rsidRPr="00790D92" w:rsidRDefault="00117845" w:rsidP="00944879">
      <w:pPr>
        <w:widowControl/>
        <w:tabs>
          <w:tab w:val="left" w:pos="-1440"/>
        </w:tabs>
        <w:ind w:left="720" w:hanging="720"/>
        <w:rPr>
          <w:rFonts w:ascii="Times New Roman" w:hAnsi="Times New Roman"/>
          <w:i/>
          <w:iCs/>
        </w:rPr>
      </w:pPr>
      <w:r w:rsidRPr="00790D92">
        <w:rPr>
          <w:rFonts w:ascii="Times New Roman" w:hAnsi="Times New Roman"/>
          <w:i/>
        </w:rPr>
        <w:t>17.</w:t>
      </w:r>
      <w:r w:rsidRPr="00790D92">
        <w:rPr>
          <w:rFonts w:ascii="Times New Roman" w:hAnsi="Times New Roman"/>
          <w:i/>
        </w:rPr>
        <w:tab/>
      </w:r>
      <w:r w:rsidRPr="00790D92">
        <w:rPr>
          <w:rFonts w:ascii="Times New Roman" w:hAnsi="Times New Roman"/>
          <w:i/>
          <w:iCs/>
        </w:rPr>
        <w:t>If seeking approval to not display the expiration date for OMB approval of the information collection, explain the reasons that display would be inappropriate.</w:t>
      </w:r>
    </w:p>
    <w:p w:rsidR="00117845" w:rsidRPr="00790D92" w:rsidRDefault="00117845" w:rsidP="00944879">
      <w:pPr>
        <w:widowControl/>
        <w:ind w:left="720"/>
        <w:rPr>
          <w:rFonts w:ascii="Times New Roman" w:hAnsi="Times New Roman"/>
        </w:rPr>
      </w:pPr>
    </w:p>
    <w:p w:rsidR="00117845" w:rsidRPr="00790D92" w:rsidRDefault="000F47F8" w:rsidP="00944879">
      <w:pPr>
        <w:widowControl/>
        <w:ind w:left="720"/>
        <w:rPr>
          <w:rFonts w:ascii="Times New Roman" w:hAnsi="Times New Roman"/>
        </w:rPr>
      </w:pPr>
      <w:r w:rsidRPr="00790D92">
        <w:rPr>
          <w:rFonts w:ascii="Times New Roman" w:hAnsi="Times New Roman"/>
        </w:rPr>
        <w:t>The expiration date will be published in the Federal Register following OMB approval.</w:t>
      </w:r>
    </w:p>
    <w:p w:rsidR="00117845" w:rsidRPr="00790D92" w:rsidRDefault="00117845" w:rsidP="00944879">
      <w:pPr>
        <w:widowControl/>
        <w:ind w:left="720"/>
        <w:rPr>
          <w:rFonts w:ascii="Times New Roman" w:hAnsi="Times New Roman"/>
        </w:rPr>
      </w:pPr>
    </w:p>
    <w:p w:rsidR="00117845" w:rsidRPr="00790D92" w:rsidRDefault="003222FD" w:rsidP="00944879">
      <w:pPr>
        <w:widowControl/>
        <w:tabs>
          <w:tab w:val="left" w:pos="-1440"/>
        </w:tabs>
        <w:ind w:left="720" w:hanging="720"/>
        <w:rPr>
          <w:rFonts w:ascii="Times New Roman" w:hAnsi="Times New Roman"/>
          <w:i/>
          <w:iCs/>
        </w:rPr>
      </w:pPr>
      <w:r w:rsidRPr="00790D92">
        <w:rPr>
          <w:rFonts w:ascii="Times New Roman" w:hAnsi="Times New Roman"/>
          <w:i/>
        </w:rPr>
        <w:t>18.</w:t>
      </w:r>
      <w:r w:rsidRPr="00790D92">
        <w:rPr>
          <w:rFonts w:ascii="Times New Roman" w:hAnsi="Times New Roman"/>
          <w:i/>
        </w:rPr>
        <w:tab/>
      </w:r>
      <w:r w:rsidRPr="00790D92">
        <w:rPr>
          <w:rFonts w:ascii="Times New Roman" w:hAnsi="Times New Roman"/>
          <w:i/>
          <w:iCs/>
        </w:rPr>
        <w:t>Explain each exception to the certification statement identified in Item 19, "Certification for Paperwork Reduction Act Submission."</w:t>
      </w:r>
    </w:p>
    <w:p w:rsidR="00117845" w:rsidRPr="00790D92" w:rsidRDefault="00117845" w:rsidP="00944879">
      <w:pPr>
        <w:widowControl/>
        <w:ind w:left="720"/>
        <w:rPr>
          <w:rFonts w:ascii="Times New Roman" w:hAnsi="Times New Roman"/>
        </w:rPr>
      </w:pPr>
    </w:p>
    <w:p w:rsidR="00117845" w:rsidRPr="00790D92" w:rsidRDefault="00BD438D" w:rsidP="00944879">
      <w:pPr>
        <w:widowControl/>
        <w:ind w:left="720"/>
        <w:outlineLvl w:val="0"/>
        <w:rPr>
          <w:rFonts w:ascii="Times New Roman" w:hAnsi="Times New Roman"/>
        </w:rPr>
      </w:pPr>
      <w:r w:rsidRPr="00790D92">
        <w:rPr>
          <w:rFonts w:ascii="Times New Roman" w:hAnsi="Times New Roman"/>
        </w:rPr>
        <w:t>Not applicable; no exceptions to the certification statement.</w:t>
      </w:r>
    </w:p>
    <w:p w:rsidR="00AF6D3C" w:rsidRPr="004C5D3B" w:rsidRDefault="00AF6D3C" w:rsidP="00AF6D3C">
      <w:pPr>
        <w:ind w:left="720"/>
        <w:rPr>
          <w:rFonts w:ascii="Times New Roman" w:hAnsi="Times New Roman"/>
        </w:rPr>
      </w:pPr>
    </w:p>
    <w:p w:rsidR="00AF6D3C" w:rsidRPr="004C5D3B" w:rsidRDefault="00AF6D3C" w:rsidP="00AF6D3C">
      <w:pPr>
        <w:tabs>
          <w:tab w:val="left" w:pos="-1440"/>
        </w:tabs>
        <w:ind w:left="720" w:hanging="720"/>
        <w:outlineLvl w:val="0"/>
        <w:rPr>
          <w:rFonts w:ascii="Times New Roman" w:hAnsi="Times New Roman"/>
        </w:rPr>
      </w:pPr>
      <w:r w:rsidRPr="004C5D3B">
        <w:rPr>
          <w:rFonts w:ascii="Times New Roman" w:hAnsi="Times New Roman"/>
          <w:b/>
          <w:bCs/>
        </w:rPr>
        <w:t>B.</w:t>
      </w:r>
      <w:r w:rsidRPr="004C5D3B">
        <w:rPr>
          <w:rFonts w:ascii="Times New Roman" w:hAnsi="Times New Roman"/>
          <w:b/>
          <w:bCs/>
        </w:rPr>
        <w:tab/>
        <w:t>Collections of Information Employing Statistical Methods</w:t>
      </w:r>
    </w:p>
    <w:p w:rsidR="00AF6D3C" w:rsidRPr="004C5D3B" w:rsidRDefault="00AF6D3C" w:rsidP="00AF6D3C">
      <w:pPr>
        <w:ind w:left="720"/>
        <w:rPr>
          <w:rFonts w:ascii="Times New Roman" w:hAnsi="Times New Roman"/>
        </w:rPr>
      </w:pPr>
    </w:p>
    <w:p w:rsidR="00902725" w:rsidRPr="00790D92" w:rsidRDefault="004D5DAA" w:rsidP="004D5DAA">
      <w:pPr>
        <w:ind w:left="720"/>
        <w:outlineLvl w:val="0"/>
        <w:rPr>
          <w:rFonts w:ascii="Times New Roman" w:hAnsi="Times New Roman"/>
        </w:rPr>
      </w:pPr>
      <w:r w:rsidRPr="004D5DAA">
        <w:rPr>
          <w:rFonts w:ascii="Times New Roman" w:hAnsi="Times New Roman"/>
        </w:rPr>
        <w:t>Not applicable.  The use of statistical methods is not relevant to this collection of information.</w:t>
      </w:r>
    </w:p>
    <w:sectPr w:rsidR="00902725" w:rsidRPr="00790D92">
      <w:headerReference w:type="default" r:id="rId9"/>
      <w:endnotePr>
        <w:numFmt w:val="decimal"/>
      </w:endnotePr>
      <w:type w:val="continuous"/>
      <w:pgSz w:w="12240" w:h="15840"/>
      <w:pgMar w:top="1354" w:right="1440" w:bottom="1440" w:left="1440" w:header="1354"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DA" w:rsidRDefault="00AF48DA">
      <w:r>
        <w:separator/>
      </w:r>
    </w:p>
  </w:endnote>
  <w:endnote w:type="continuationSeparator" w:id="0">
    <w:p w:rsidR="00AF48DA" w:rsidRDefault="00AF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DA" w:rsidRDefault="00AF48DA">
      <w:r>
        <w:separator/>
      </w:r>
    </w:p>
  </w:footnote>
  <w:footnote w:type="continuationSeparator" w:id="0">
    <w:p w:rsidR="00AF48DA" w:rsidRDefault="00AF48DA">
      <w:r>
        <w:continuationSeparator/>
      </w:r>
    </w:p>
  </w:footnote>
  <w:footnote w:id="1">
    <w:p w:rsidR="00103E87" w:rsidRPr="00E062B2" w:rsidRDefault="00103E87" w:rsidP="00E062B2">
      <w:pPr>
        <w:rPr>
          <w:rFonts w:ascii="Times New Roman" w:hAnsi="Times New Roman"/>
          <w:sz w:val="20"/>
          <w:szCs w:val="20"/>
        </w:rPr>
      </w:pPr>
      <w:r w:rsidRPr="00E062B2">
        <w:rPr>
          <w:rStyle w:val="FootnoteReference"/>
          <w:rFonts w:ascii="Times New Roman" w:hAnsi="Times New Roman"/>
          <w:sz w:val="20"/>
          <w:szCs w:val="20"/>
          <w:vertAlign w:val="superscript"/>
        </w:rPr>
        <w:footnoteRef/>
      </w:r>
      <w:r w:rsidRPr="00E062B2">
        <w:rPr>
          <w:rFonts w:ascii="Times New Roman" w:hAnsi="Times New Roman"/>
          <w:sz w:val="20"/>
          <w:szCs w:val="20"/>
        </w:rPr>
        <w:t xml:space="preserve">  The exemption includes both retroactive (i.e., for transactions which occurred between June 18, 1991 and the effective date of this exemption) and prospective conditions.  </w:t>
      </w:r>
    </w:p>
  </w:footnote>
  <w:footnote w:id="2">
    <w:p w:rsidR="00103E87" w:rsidRPr="00E062B2" w:rsidRDefault="00103E87">
      <w:pPr>
        <w:pStyle w:val="FootnoteText"/>
        <w:rPr>
          <w:rFonts w:ascii="Times New Roman" w:hAnsi="Times New Roman"/>
        </w:rPr>
      </w:pPr>
      <w:r w:rsidRPr="00DB7D25">
        <w:rPr>
          <w:rStyle w:val="FootnoteReference"/>
          <w:rFonts w:ascii="Times New Roman" w:hAnsi="Times New Roman"/>
          <w:vertAlign w:val="superscript"/>
        </w:rPr>
        <w:footnoteRef/>
      </w:r>
      <w:r w:rsidR="00EB0931" w:rsidRPr="00EB0931">
        <w:rPr>
          <w:rFonts w:ascii="Times New Roman" w:hAnsi="Times New Roman"/>
        </w:rPr>
        <w:t>For a description of the Department’s methodology for calculating wage rates, see https://www.dol.gov/sites/default/files/ebsa/laws-and-regulations/rules-and-regulations/technical-appendices/labor-cost-inputs-used-in-ebsa-opr-ria-and-pra-burden-calculations-july-2017.pdf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7" w:rsidRDefault="00103E87">
    <w:pPr>
      <w:jc w:val="right"/>
      <w:rPr>
        <w:rFonts w:ascii="CG Times" w:hAnsi="CG Times"/>
        <w:b/>
        <w:bCs/>
        <w:sz w:val="20"/>
        <w:szCs w:val="20"/>
      </w:rPr>
    </w:pPr>
    <w:r>
      <w:rPr>
        <w:rFonts w:ascii="CG Times" w:hAnsi="CG Times"/>
        <w:b/>
        <w:bCs/>
        <w:sz w:val="20"/>
        <w:szCs w:val="20"/>
      </w:rPr>
      <w:t>PTE 98-54 Relating to Certain Employee Benefit Plan Foreign</w:t>
    </w:r>
    <w:r w:rsidR="003A2D08">
      <w:rPr>
        <w:rFonts w:ascii="CG Times" w:hAnsi="CG Times"/>
        <w:b/>
        <w:bCs/>
        <w:sz w:val="20"/>
        <w:szCs w:val="20"/>
      </w:rPr>
      <w:t xml:space="preserve"> </w:t>
    </w:r>
    <w:r>
      <w:rPr>
        <w:rFonts w:ascii="CG Times" w:hAnsi="CG Times"/>
        <w:b/>
        <w:bCs/>
        <w:sz w:val="20"/>
        <w:szCs w:val="20"/>
      </w:rPr>
      <w:t>Exchange Transactions Executed Pursuant to Standing Instructions</w:t>
    </w:r>
  </w:p>
  <w:p w:rsidR="00103E87" w:rsidRDefault="00103E87">
    <w:pPr>
      <w:jc w:val="right"/>
      <w:rPr>
        <w:rFonts w:ascii="CG Times" w:hAnsi="CG Times"/>
        <w:b/>
        <w:bCs/>
        <w:sz w:val="20"/>
        <w:szCs w:val="20"/>
      </w:rPr>
    </w:pPr>
    <w:r>
      <w:rPr>
        <w:rFonts w:ascii="CG Times" w:hAnsi="CG Times"/>
        <w:b/>
        <w:bCs/>
        <w:sz w:val="20"/>
        <w:szCs w:val="20"/>
      </w:rPr>
      <w:t>OMB Number 1210-0111</w:t>
    </w:r>
  </w:p>
  <w:p w:rsidR="00103E87" w:rsidRDefault="000D7BE0" w:rsidP="00610E02">
    <w:pPr>
      <w:jc w:val="right"/>
      <w:rPr>
        <w:rFonts w:ascii="CG Times" w:hAnsi="CG Times"/>
        <w:b/>
        <w:bCs/>
        <w:sz w:val="20"/>
        <w:szCs w:val="20"/>
      </w:rPr>
    </w:pPr>
    <w:r>
      <w:rPr>
        <w:rFonts w:ascii="CG Times" w:hAnsi="CG Times"/>
        <w:b/>
        <w:bCs/>
        <w:sz w:val="20"/>
        <w:szCs w:val="20"/>
      </w:rPr>
      <w:t xml:space="preserve">September </w:t>
    </w:r>
    <w:r w:rsidR="00FC0A09">
      <w:rPr>
        <w:rFonts w:ascii="CG Times" w:hAnsi="CG Times"/>
        <w:b/>
        <w:bCs/>
        <w:sz w:val="20"/>
        <w:szCs w:val="20"/>
      </w:rPr>
      <w:t>2017</w:t>
    </w:r>
  </w:p>
  <w:p w:rsidR="00640318" w:rsidRDefault="00640318" w:rsidP="00610E02">
    <w:pPr>
      <w:jc w:val="righ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D5A492C"/>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5CC6668D"/>
    <w:multiLevelType w:val="hybridMultilevel"/>
    <w:tmpl w:val="BC5EE51C"/>
    <w:lvl w:ilvl="0" w:tplc="D1F2DA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rPr>
          <w:i/>
        </w:rPr>
      </w:lvl>
    </w:lvlOverride>
  </w:num>
  <w:num w:numId="2">
    <w:abstractNumId w:val="0"/>
    <w:lvlOverride w:ilvl="0">
      <w:startOverride w:val="13"/>
      <w:lvl w:ilvl="0">
        <w:start w:val="13"/>
        <w:numFmt w:val="decimal"/>
        <w:pStyle w:val="Quick1"/>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A5C"/>
    <w:rsid w:val="00010FB6"/>
    <w:rsid w:val="00060562"/>
    <w:rsid w:val="00071A14"/>
    <w:rsid w:val="00072D0A"/>
    <w:rsid w:val="00083F8E"/>
    <w:rsid w:val="000D2EA6"/>
    <w:rsid w:val="000D7BE0"/>
    <w:rsid w:val="000F47F8"/>
    <w:rsid w:val="00101595"/>
    <w:rsid w:val="00103E87"/>
    <w:rsid w:val="00103EA1"/>
    <w:rsid w:val="00117845"/>
    <w:rsid w:val="001307F1"/>
    <w:rsid w:val="00137508"/>
    <w:rsid w:val="00167D34"/>
    <w:rsid w:val="0018525B"/>
    <w:rsid w:val="001D0C14"/>
    <w:rsid w:val="001E7A71"/>
    <w:rsid w:val="001F3A5C"/>
    <w:rsid w:val="001F72DF"/>
    <w:rsid w:val="00214A2A"/>
    <w:rsid w:val="00227F74"/>
    <w:rsid w:val="00233267"/>
    <w:rsid w:val="00245939"/>
    <w:rsid w:val="002462A6"/>
    <w:rsid w:val="00255F50"/>
    <w:rsid w:val="0028645C"/>
    <w:rsid w:val="00287503"/>
    <w:rsid w:val="00294F14"/>
    <w:rsid w:val="00296510"/>
    <w:rsid w:val="002B16B6"/>
    <w:rsid w:val="002D030F"/>
    <w:rsid w:val="002D0563"/>
    <w:rsid w:val="002D730D"/>
    <w:rsid w:val="00314812"/>
    <w:rsid w:val="003222FD"/>
    <w:rsid w:val="00352ACB"/>
    <w:rsid w:val="003609E5"/>
    <w:rsid w:val="00361918"/>
    <w:rsid w:val="00365CE6"/>
    <w:rsid w:val="00383FF4"/>
    <w:rsid w:val="003A2D08"/>
    <w:rsid w:val="003C0565"/>
    <w:rsid w:val="004075E5"/>
    <w:rsid w:val="00417ADB"/>
    <w:rsid w:val="004354EF"/>
    <w:rsid w:val="00462FFC"/>
    <w:rsid w:val="00491BA7"/>
    <w:rsid w:val="004B5252"/>
    <w:rsid w:val="004D5DAA"/>
    <w:rsid w:val="004E44C2"/>
    <w:rsid w:val="004F695F"/>
    <w:rsid w:val="0050128B"/>
    <w:rsid w:val="00507372"/>
    <w:rsid w:val="005377C9"/>
    <w:rsid w:val="00543B9B"/>
    <w:rsid w:val="005B5BDB"/>
    <w:rsid w:val="005C220F"/>
    <w:rsid w:val="005D6614"/>
    <w:rsid w:val="00610E02"/>
    <w:rsid w:val="00622220"/>
    <w:rsid w:val="0062342E"/>
    <w:rsid w:val="00631AD6"/>
    <w:rsid w:val="00640318"/>
    <w:rsid w:val="006505C9"/>
    <w:rsid w:val="00657A89"/>
    <w:rsid w:val="00686E8D"/>
    <w:rsid w:val="00696BBF"/>
    <w:rsid w:val="006A3D78"/>
    <w:rsid w:val="006F2765"/>
    <w:rsid w:val="00706F93"/>
    <w:rsid w:val="007262FE"/>
    <w:rsid w:val="00786342"/>
    <w:rsid w:val="00787E7D"/>
    <w:rsid w:val="00790D92"/>
    <w:rsid w:val="007A6DDB"/>
    <w:rsid w:val="007B0D6A"/>
    <w:rsid w:val="007B310D"/>
    <w:rsid w:val="00803871"/>
    <w:rsid w:val="00810232"/>
    <w:rsid w:val="008143A2"/>
    <w:rsid w:val="0084278C"/>
    <w:rsid w:val="00851EE1"/>
    <w:rsid w:val="00883D5F"/>
    <w:rsid w:val="00897438"/>
    <w:rsid w:val="008C315F"/>
    <w:rsid w:val="008C3855"/>
    <w:rsid w:val="008D46B8"/>
    <w:rsid w:val="00902725"/>
    <w:rsid w:val="00943AF3"/>
    <w:rsid w:val="00944879"/>
    <w:rsid w:val="00970AE9"/>
    <w:rsid w:val="00976611"/>
    <w:rsid w:val="00977129"/>
    <w:rsid w:val="009814CF"/>
    <w:rsid w:val="0099571A"/>
    <w:rsid w:val="009B52D3"/>
    <w:rsid w:val="009D06FD"/>
    <w:rsid w:val="009D3A39"/>
    <w:rsid w:val="009D62C2"/>
    <w:rsid w:val="00A24956"/>
    <w:rsid w:val="00A575EB"/>
    <w:rsid w:val="00A611AC"/>
    <w:rsid w:val="00AC5D16"/>
    <w:rsid w:val="00AF48DA"/>
    <w:rsid w:val="00AF6D3C"/>
    <w:rsid w:val="00B2542F"/>
    <w:rsid w:val="00BA3043"/>
    <w:rsid w:val="00BA3B35"/>
    <w:rsid w:val="00BA663F"/>
    <w:rsid w:val="00BC07BE"/>
    <w:rsid w:val="00BD438D"/>
    <w:rsid w:val="00C1621C"/>
    <w:rsid w:val="00C17445"/>
    <w:rsid w:val="00C32913"/>
    <w:rsid w:val="00C40D7A"/>
    <w:rsid w:val="00C60FBB"/>
    <w:rsid w:val="00C765CC"/>
    <w:rsid w:val="00C807CA"/>
    <w:rsid w:val="00C81496"/>
    <w:rsid w:val="00C95112"/>
    <w:rsid w:val="00C95718"/>
    <w:rsid w:val="00CA4F51"/>
    <w:rsid w:val="00CE67EA"/>
    <w:rsid w:val="00D104B9"/>
    <w:rsid w:val="00D210CB"/>
    <w:rsid w:val="00D243E9"/>
    <w:rsid w:val="00D373E6"/>
    <w:rsid w:val="00D3769F"/>
    <w:rsid w:val="00D8242E"/>
    <w:rsid w:val="00D94A05"/>
    <w:rsid w:val="00D974DA"/>
    <w:rsid w:val="00DB7D25"/>
    <w:rsid w:val="00E062B2"/>
    <w:rsid w:val="00E55F02"/>
    <w:rsid w:val="00E86003"/>
    <w:rsid w:val="00EB0931"/>
    <w:rsid w:val="00EB1F07"/>
    <w:rsid w:val="00F47294"/>
    <w:rsid w:val="00F55CD8"/>
    <w:rsid w:val="00FC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styleId="BodyTextIndent">
    <w:name w:val="Body Text Indent"/>
    <w:basedOn w:val="Normal"/>
    <w:pPr>
      <w:ind w:firstLine="7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sid w:val="00E062B2"/>
    <w:rPr>
      <w:sz w:val="20"/>
      <w:szCs w:val="20"/>
    </w:rPr>
  </w:style>
  <w:style w:type="paragraph" w:styleId="BalloonText">
    <w:name w:val="Balloon Text"/>
    <w:basedOn w:val="Normal"/>
    <w:semiHidden/>
    <w:rsid w:val="00DB7D25"/>
    <w:rPr>
      <w:rFonts w:ascii="Tahoma" w:hAnsi="Tahoma" w:cs="Tahoma"/>
      <w:sz w:val="16"/>
      <w:szCs w:val="16"/>
    </w:rPr>
  </w:style>
  <w:style w:type="paragraph" w:styleId="DocumentMap">
    <w:name w:val="Document Map"/>
    <w:basedOn w:val="Normal"/>
    <w:semiHidden/>
    <w:rsid w:val="003C0565"/>
    <w:pPr>
      <w:shd w:val="clear" w:color="auto" w:fill="000080"/>
    </w:pPr>
    <w:rPr>
      <w:rFonts w:ascii="Tahoma" w:hAnsi="Tahoma" w:cs="Tahoma"/>
      <w:sz w:val="20"/>
      <w:szCs w:val="20"/>
    </w:rPr>
  </w:style>
  <w:style w:type="character" w:styleId="CommentReference">
    <w:name w:val="annotation reference"/>
    <w:rsid w:val="00507372"/>
    <w:rPr>
      <w:sz w:val="16"/>
      <w:szCs w:val="16"/>
    </w:rPr>
  </w:style>
  <w:style w:type="paragraph" w:styleId="CommentText">
    <w:name w:val="annotation text"/>
    <w:basedOn w:val="Normal"/>
    <w:link w:val="CommentTextChar"/>
    <w:rsid w:val="00507372"/>
    <w:rPr>
      <w:sz w:val="20"/>
      <w:szCs w:val="20"/>
    </w:rPr>
  </w:style>
  <w:style w:type="character" w:customStyle="1" w:styleId="CommentTextChar">
    <w:name w:val="Comment Text Char"/>
    <w:link w:val="CommentText"/>
    <w:rsid w:val="00507372"/>
    <w:rPr>
      <w:rFonts w:ascii="Courier" w:hAnsi="Courier"/>
    </w:rPr>
  </w:style>
  <w:style w:type="paragraph" w:styleId="CommentSubject">
    <w:name w:val="annotation subject"/>
    <w:basedOn w:val="CommentText"/>
    <w:next w:val="CommentText"/>
    <w:link w:val="CommentSubjectChar"/>
    <w:rsid w:val="00507372"/>
    <w:rPr>
      <w:b/>
      <w:bCs/>
    </w:rPr>
  </w:style>
  <w:style w:type="character" w:customStyle="1" w:styleId="CommentSubjectChar">
    <w:name w:val="Comment Subject Char"/>
    <w:link w:val="CommentSubject"/>
    <w:rsid w:val="00507372"/>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08D0-3795-4D20-93B2-AABC9B31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altman.laurie</dc:creator>
  <cp:lastModifiedBy>SYSTEM</cp:lastModifiedBy>
  <cp:revision>2</cp:revision>
  <cp:lastPrinted>2010-10-19T18:41:00Z</cp:lastPrinted>
  <dcterms:created xsi:type="dcterms:W3CDTF">2017-09-13T17:24:00Z</dcterms:created>
  <dcterms:modified xsi:type="dcterms:W3CDTF">2017-09-13T17:24:00Z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