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201475" w:rsidRPr="00201475" w:rsidTr="00201475">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201475" w:rsidRPr="00201475" w:rsidTr="00201475">
              <w:trPr>
                <w:tblCellSpacing w:w="15" w:type="dxa"/>
                <w:jc w:val="center"/>
              </w:trPr>
              <w:tc>
                <w:tcPr>
                  <w:tcW w:w="0" w:type="auto"/>
                  <w:hideMark/>
                </w:tcPr>
                <w:p w:rsidR="00201475" w:rsidRPr="00201475" w:rsidRDefault="00201475" w:rsidP="00201475">
                  <w:pPr>
                    <w:spacing w:before="100" w:beforeAutospacing="1" w:after="100" w:afterAutospacing="1" w:line="240" w:lineRule="auto"/>
                    <w:rPr>
                      <w:rFonts w:ascii="Times New Roman" w:eastAsia="Times New Roman" w:hAnsi="Times New Roman" w:cs="Times New Roman"/>
                      <w:b/>
                      <w:bCs/>
                      <w:color w:val="FF0000"/>
                      <w:sz w:val="24"/>
                      <w:szCs w:val="24"/>
                    </w:rPr>
                  </w:pPr>
                  <w:r w:rsidRPr="00201475">
                    <w:rPr>
                      <w:rFonts w:ascii="Times New Roman" w:eastAsia="Times New Roman" w:hAnsi="Times New Roman" w:cs="Times New Roman"/>
                      <w:b/>
                      <w:bCs/>
                      <w:color w:val="FF0000"/>
                      <w:sz w:val="24"/>
                      <w:szCs w:val="24"/>
                    </w:rPr>
                    <w:t>e-CFR data is current as of June 29, 2017</w:t>
                  </w:r>
                </w:p>
              </w:tc>
            </w:tr>
          </w:tbl>
          <w:p w:rsidR="00201475" w:rsidRPr="00201475" w:rsidRDefault="00201475" w:rsidP="00201475">
            <w:pPr>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63"/>
            </w:tblGrid>
            <w:tr w:rsidR="00201475" w:rsidRPr="00201475" w:rsidTr="00201475">
              <w:trPr>
                <w:tblCellSpacing w:w="15" w:type="dxa"/>
                <w:jc w:val="center"/>
              </w:trPr>
              <w:tc>
                <w:tcPr>
                  <w:tcW w:w="0" w:type="auto"/>
                  <w:hideMark/>
                </w:tcPr>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hyperlink r:id="rId5" w:history="1">
                    <w:r w:rsidRPr="00201475">
                      <w:rPr>
                        <w:rFonts w:ascii="Times New Roman" w:eastAsia="Times New Roman" w:hAnsi="Times New Roman" w:cs="Times New Roman"/>
                        <w:color w:val="0000FF"/>
                        <w:sz w:val="24"/>
                        <w:szCs w:val="24"/>
                      </w:rPr>
                      <w:t>Title 29</w:t>
                    </w:r>
                  </w:hyperlink>
                  <w:r w:rsidRPr="00201475">
                    <w:rPr>
                      <w:rFonts w:ascii="Times New Roman" w:eastAsia="Times New Roman" w:hAnsi="Times New Roman" w:cs="Times New Roman"/>
                      <w:sz w:val="24"/>
                      <w:szCs w:val="24"/>
                    </w:rPr>
                    <w:t xml:space="preserve"> → </w:t>
                  </w:r>
                  <w:hyperlink r:id="rId6" w:history="1">
                    <w:r w:rsidRPr="00201475">
                      <w:rPr>
                        <w:rFonts w:ascii="Times New Roman" w:eastAsia="Times New Roman" w:hAnsi="Times New Roman" w:cs="Times New Roman"/>
                        <w:color w:val="0000FF"/>
                        <w:sz w:val="24"/>
                        <w:szCs w:val="24"/>
                      </w:rPr>
                      <w:t>Subtitle B</w:t>
                    </w:r>
                  </w:hyperlink>
                  <w:r w:rsidRPr="00201475">
                    <w:rPr>
                      <w:rFonts w:ascii="Times New Roman" w:eastAsia="Times New Roman" w:hAnsi="Times New Roman" w:cs="Times New Roman"/>
                      <w:sz w:val="24"/>
                      <w:szCs w:val="24"/>
                    </w:rPr>
                    <w:t xml:space="preserve"> → </w:t>
                  </w:r>
                  <w:hyperlink r:id="rId7" w:history="1">
                    <w:r w:rsidRPr="00201475">
                      <w:rPr>
                        <w:rFonts w:ascii="Times New Roman" w:eastAsia="Times New Roman" w:hAnsi="Times New Roman" w:cs="Times New Roman"/>
                        <w:color w:val="0000FF"/>
                        <w:sz w:val="24"/>
                        <w:szCs w:val="24"/>
                      </w:rPr>
                      <w:t>Chapter XVII</w:t>
                    </w:r>
                  </w:hyperlink>
                  <w:r w:rsidRPr="00201475">
                    <w:rPr>
                      <w:rFonts w:ascii="Times New Roman" w:eastAsia="Times New Roman" w:hAnsi="Times New Roman" w:cs="Times New Roman"/>
                      <w:sz w:val="24"/>
                      <w:szCs w:val="24"/>
                    </w:rPr>
                    <w:t xml:space="preserve"> → </w:t>
                  </w:r>
                  <w:hyperlink r:id="rId8" w:history="1">
                    <w:r w:rsidRPr="00201475">
                      <w:rPr>
                        <w:rFonts w:ascii="Times New Roman" w:eastAsia="Times New Roman" w:hAnsi="Times New Roman" w:cs="Times New Roman"/>
                        <w:color w:val="0000FF"/>
                        <w:sz w:val="24"/>
                        <w:szCs w:val="24"/>
                      </w:rPr>
                      <w:t>Part 1910</w:t>
                    </w:r>
                  </w:hyperlink>
                  <w:r w:rsidRPr="00201475">
                    <w:rPr>
                      <w:rFonts w:ascii="Times New Roman" w:eastAsia="Times New Roman" w:hAnsi="Times New Roman" w:cs="Times New Roman"/>
                      <w:sz w:val="24"/>
                      <w:szCs w:val="24"/>
                    </w:rPr>
                    <w:t xml:space="preserve"> → </w:t>
                  </w:r>
                  <w:hyperlink r:id="rId9" w:history="1">
                    <w:r w:rsidRPr="00201475">
                      <w:rPr>
                        <w:rFonts w:ascii="Times New Roman" w:eastAsia="Times New Roman" w:hAnsi="Times New Roman" w:cs="Times New Roman"/>
                        <w:color w:val="0000FF"/>
                        <w:sz w:val="24"/>
                        <w:szCs w:val="24"/>
                      </w:rPr>
                      <w:t>Subpart H</w:t>
                    </w:r>
                  </w:hyperlink>
                  <w:r w:rsidRPr="00201475">
                    <w:rPr>
                      <w:rFonts w:ascii="Times New Roman" w:eastAsia="Times New Roman" w:hAnsi="Times New Roman" w:cs="Times New Roman"/>
                      <w:sz w:val="24"/>
                      <w:szCs w:val="24"/>
                    </w:rPr>
                    <w:t xml:space="preserve"> → §1910.111</w:t>
                  </w:r>
                </w:p>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pict>
                      <v:rect id="_x0000_i1025" style="width:0;height:1.5pt" o:hrstd="t" o:hrnoshade="t" o:hr="t" fillcolor="black" stroked="f"/>
                    </w:pict>
                  </w:r>
                </w:p>
              </w:tc>
            </w:tr>
          </w:tbl>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bookmarkStart w:id="0" w:name="_GoBack"/>
            <w:bookmarkEnd w:id="0"/>
            <w:r w:rsidRPr="00201475">
              <w:rPr>
                <w:rFonts w:ascii="Times New Roman" w:eastAsia="Times New Roman" w:hAnsi="Times New Roman" w:cs="Times New Roman"/>
                <w:sz w:val="24"/>
                <w:szCs w:val="24"/>
              </w:rPr>
              <w:t xml:space="preserve">Title 29: Labor </w:t>
            </w:r>
            <w:r w:rsidRPr="00201475">
              <w:rPr>
                <w:rFonts w:ascii="Times New Roman" w:eastAsia="Times New Roman" w:hAnsi="Times New Roman" w:cs="Times New Roman"/>
                <w:sz w:val="24"/>
                <w:szCs w:val="24"/>
              </w:rPr>
              <w:br/>
            </w:r>
            <w:hyperlink r:id="rId10" w:history="1">
              <w:r w:rsidRPr="00201475">
                <w:rPr>
                  <w:rFonts w:ascii="Times New Roman" w:eastAsia="Times New Roman" w:hAnsi="Times New Roman" w:cs="Times New Roman"/>
                  <w:color w:val="0000FF"/>
                  <w:sz w:val="24"/>
                  <w:szCs w:val="24"/>
                </w:rPr>
                <w:t>PART 1910—OCCUPATIONAL SAFETY AND HEALTH STANDARDS</w:t>
              </w:r>
            </w:hyperlink>
            <w:r w:rsidRPr="00201475">
              <w:rPr>
                <w:rFonts w:ascii="Times New Roman" w:eastAsia="Times New Roman" w:hAnsi="Times New Roman" w:cs="Times New Roman"/>
                <w:sz w:val="24"/>
                <w:szCs w:val="24"/>
              </w:rPr>
              <w:t xml:space="preserve"> </w:t>
            </w:r>
            <w:r w:rsidRPr="00201475">
              <w:rPr>
                <w:rFonts w:ascii="Times New Roman" w:eastAsia="Times New Roman" w:hAnsi="Times New Roman" w:cs="Times New Roman"/>
                <w:sz w:val="24"/>
                <w:szCs w:val="24"/>
              </w:rPr>
              <w:br/>
            </w:r>
            <w:hyperlink r:id="rId11" w:history="1">
              <w:r w:rsidRPr="00201475">
                <w:rPr>
                  <w:rFonts w:ascii="Times New Roman" w:eastAsia="Times New Roman" w:hAnsi="Times New Roman" w:cs="Times New Roman"/>
                  <w:color w:val="0000FF"/>
                  <w:sz w:val="24"/>
                  <w:szCs w:val="24"/>
                </w:rPr>
                <w:t>Subpart H—Hazardous Materials</w:t>
              </w:r>
            </w:hyperlink>
            <w:r w:rsidRPr="00201475">
              <w:rPr>
                <w:rFonts w:ascii="Times New Roman" w:eastAsia="Times New Roman" w:hAnsi="Times New Roman" w:cs="Times New Roman"/>
                <w:sz w:val="24"/>
                <w:szCs w:val="24"/>
              </w:rPr>
              <w:t xml:space="preserve"> </w:t>
            </w:r>
          </w:p>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pict>
                <v:rect id="_x0000_i1026" style="width:0;height:1.5pt" o:hrstd="t" o:hr="t" fillcolor="#a0a0a0" stroked="f"/>
              </w:pict>
            </w:r>
          </w:p>
          <w:p w:rsidR="00201475" w:rsidRPr="00201475" w:rsidRDefault="00201475" w:rsidP="00201475">
            <w:pPr>
              <w:spacing w:before="200" w:after="100" w:line="240" w:lineRule="auto"/>
              <w:outlineLvl w:val="1"/>
              <w:rPr>
                <w:rFonts w:ascii="Times New Roman" w:eastAsia="Times New Roman" w:hAnsi="Times New Roman" w:cs="Times New Roman"/>
                <w:b/>
                <w:bCs/>
                <w:sz w:val="24"/>
                <w:szCs w:val="24"/>
              </w:rPr>
            </w:pPr>
            <w:bookmarkStart w:id="1" w:name="_top"/>
            <w:bookmarkEnd w:id="1"/>
            <w:r w:rsidRPr="00201475">
              <w:rPr>
                <w:rFonts w:ascii="Times New Roman" w:eastAsia="Times New Roman" w:hAnsi="Times New Roman" w:cs="Times New Roman"/>
                <w:b/>
                <w:bCs/>
                <w:sz w:val="24"/>
                <w:szCs w:val="24"/>
              </w:rPr>
              <w:t>§1910.111   Storage and handling of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(a) </w:t>
            </w:r>
            <w:r w:rsidRPr="00201475">
              <w:rPr>
                <w:rFonts w:ascii="Times New Roman" w:eastAsia="Times New Roman" w:hAnsi="Times New Roman" w:cs="Times New Roman"/>
                <w:i/>
                <w:iCs/>
                <w:sz w:val="24"/>
                <w:szCs w:val="24"/>
              </w:rPr>
              <w:t>General</w:t>
            </w: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Scope.</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This standard is intended to apply to the design, construction, location, installation, and operation of anhydrous ammonia systems including refrigerated ammonia storage systems.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This standard does not apply to:</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Ammonia manufacturing plants.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Refrigeration plants where ammonia is used solely as a refrigerant.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Definitions.</w:t>
            </w:r>
            <w:r w:rsidRPr="00201475">
              <w:rPr>
                <w:rFonts w:ascii="Times New Roman" w:eastAsia="Times New Roman" w:hAnsi="Times New Roman" w:cs="Times New Roman"/>
                <w:sz w:val="24"/>
                <w:szCs w:val="24"/>
              </w:rPr>
              <w:t xml:space="preserve"> As used in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w:t>
            </w:r>
            <w:r w:rsidRPr="00201475">
              <w:rPr>
                <w:rFonts w:ascii="Times New Roman" w:eastAsia="Times New Roman" w:hAnsi="Times New Roman" w:cs="Times New Roman"/>
                <w:i/>
                <w:iCs/>
                <w:sz w:val="24"/>
                <w:szCs w:val="24"/>
              </w:rPr>
              <w:t>Appurtenances.</w:t>
            </w:r>
            <w:r w:rsidRPr="00201475">
              <w:rPr>
                <w:rFonts w:ascii="Times New Roman" w:eastAsia="Times New Roman" w:hAnsi="Times New Roman" w:cs="Times New Roman"/>
                <w:sz w:val="24"/>
                <w:szCs w:val="24"/>
              </w:rPr>
              <w:t xml:space="preserve"> All devices such as pumps, compressors, safety relief devices, liquid-level gaging devices, valves and pressure gages.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w:t>
            </w:r>
            <w:r w:rsidRPr="00201475">
              <w:rPr>
                <w:rFonts w:ascii="Times New Roman" w:eastAsia="Times New Roman" w:hAnsi="Times New Roman" w:cs="Times New Roman"/>
                <w:i/>
                <w:iCs/>
                <w:sz w:val="24"/>
                <w:szCs w:val="24"/>
              </w:rPr>
              <w:t>Cylinder.</w:t>
            </w:r>
            <w:r w:rsidRPr="00201475">
              <w:rPr>
                <w:rFonts w:ascii="Times New Roman" w:eastAsia="Times New Roman" w:hAnsi="Times New Roman" w:cs="Times New Roman"/>
                <w:sz w:val="24"/>
                <w:szCs w:val="24"/>
              </w:rPr>
              <w:t xml:space="preserve"> A container of 1,000 pounds of water capacity or less constructed in accordance with Department of Transportation specifications.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w:t>
            </w:r>
            <w:r w:rsidRPr="00201475">
              <w:rPr>
                <w:rFonts w:ascii="Times New Roman" w:eastAsia="Times New Roman" w:hAnsi="Times New Roman" w:cs="Times New Roman"/>
                <w:i/>
                <w:iCs/>
                <w:sz w:val="24"/>
                <w:szCs w:val="24"/>
              </w:rPr>
              <w:t>Code.</w:t>
            </w:r>
            <w:r w:rsidRPr="00201475">
              <w:rPr>
                <w:rFonts w:ascii="Times New Roman" w:eastAsia="Times New Roman" w:hAnsi="Times New Roman" w:cs="Times New Roman"/>
                <w:sz w:val="24"/>
                <w:szCs w:val="24"/>
              </w:rPr>
              <w:t xml:space="preserve"> The Boiler and Pressure Vessel Code, Section VIII, Unfired Pressure Vessels of the American Society of Mechanical Engineers (ASME)—1968.</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(iv) </w:t>
            </w:r>
            <w:r w:rsidRPr="00201475">
              <w:rPr>
                <w:rFonts w:ascii="Times New Roman" w:eastAsia="Times New Roman" w:hAnsi="Times New Roman" w:cs="Times New Roman"/>
                <w:i/>
                <w:iCs/>
                <w:sz w:val="24"/>
                <w:szCs w:val="24"/>
              </w:rPr>
              <w:t>Container.</w:t>
            </w:r>
            <w:r w:rsidRPr="00201475">
              <w:rPr>
                <w:rFonts w:ascii="Times New Roman" w:eastAsia="Times New Roman" w:hAnsi="Times New Roman" w:cs="Times New Roman"/>
                <w:sz w:val="24"/>
                <w:szCs w:val="24"/>
              </w:rPr>
              <w:t xml:space="preserve"> Includes all vessels, tanks, cylinders, or spheres used for transportation, storage, or application of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(v) </w:t>
            </w:r>
            <w:r w:rsidRPr="00201475">
              <w:rPr>
                <w:rFonts w:ascii="Times New Roman" w:eastAsia="Times New Roman" w:hAnsi="Times New Roman" w:cs="Times New Roman"/>
                <w:i/>
                <w:iCs/>
                <w:sz w:val="24"/>
                <w:szCs w:val="24"/>
              </w:rPr>
              <w:t>DOT.</w:t>
            </w:r>
            <w:r w:rsidRPr="00201475">
              <w:rPr>
                <w:rFonts w:ascii="Times New Roman" w:eastAsia="Times New Roman" w:hAnsi="Times New Roman" w:cs="Times New Roman"/>
                <w:sz w:val="24"/>
                <w:szCs w:val="24"/>
              </w:rPr>
              <w:t xml:space="preserve"> U.S. Department of Transportation.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(vi) </w:t>
            </w:r>
            <w:r w:rsidRPr="00201475">
              <w:rPr>
                <w:rFonts w:ascii="Times New Roman" w:eastAsia="Times New Roman" w:hAnsi="Times New Roman" w:cs="Times New Roman"/>
                <w:i/>
                <w:iCs/>
                <w:sz w:val="24"/>
                <w:szCs w:val="24"/>
              </w:rPr>
              <w:t>Design pressure</w:t>
            </w:r>
            <w:r w:rsidRPr="00201475">
              <w:rPr>
                <w:rFonts w:ascii="Times New Roman" w:eastAsia="Times New Roman" w:hAnsi="Times New Roman" w:cs="Times New Roman"/>
                <w:sz w:val="24"/>
                <w:szCs w:val="24"/>
              </w:rPr>
              <w:t xml:space="preserve"> is identical to the term </w:t>
            </w:r>
            <w:r w:rsidRPr="00201475">
              <w:rPr>
                <w:rFonts w:ascii="Times New Roman" w:eastAsia="Times New Roman" w:hAnsi="Times New Roman" w:cs="Times New Roman"/>
                <w:i/>
                <w:iCs/>
                <w:sz w:val="24"/>
                <w:szCs w:val="24"/>
              </w:rPr>
              <w:t>Maximum Allowable Working Pressure</w:t>
            </w:r>
            <w:r w:rsidRPr="00201475">
              <w:rPr>
                <w:rFonts w:ascii="Times New Roman" w:eastAsia="Times New Roman" w:hAnsi="Times New Roman" w:cs="Times New Roman"/>
                <w:sz w:val="24"/>
                <w:szCs w:val="24"/>
              </w:rPr>
              <w:t xml:space="preserve"> used in the Code.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(vii) </w:t>
            </w:r>
            <w:r w:rsidRPr="00201475">
              <w:rPr>
                <w:rFonts w:ascii="Times New Roman" w:eastAsia="Times New Roman" w:hAnsi="Times New Roman" w:cs="Times New Roman"/>
                <w:i/>
                <w:iCs/>
                <w:sz w:val="24"/>
                <w:szCs w:val="24"/>
              </w:rPr>
              <w:t>Farm vehicle</w:t>
            </w:r>
            <w:r w:rsidRPr="00201475">
              <w:rPr>
                <w:rFonts w:ascii="Times New Roman" w:eastAsia="Times New Roman" w:hAnsi="Times New Roman" w:cs="Times New Roman"/>
                <w:sz w:val="24"/>
                <w:szCs w:val="24"/>
              </w:rPr>
              <w:t xml:space="preserve"> (implement of husbandry). A vehicle for use on a farm on which is mounted a container of not over 1,200 gallons water capacity.</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(viii) </w:t>
            </w:r>
            <w:r w:rsidRPr="00201475">
              <w:rPr>
                <w:rFonts w:ascii="Times New Roman" w:eastAsia="Times New Roman" w:hAnsi="Times New Roman" w:cs="Times New Roman"/>
                <w:i/>
                <w:iCs/>
                <w:sz w:val="24"/>
                <w:szCs w:val="24"/>
              </w:rPr>
              <w:t>Filling density.</w:t>
            </w:r>
            <w:r w:rsidRPr="00201475">
              <w:rPr>
                <w:rFonts w:ascii="Times New Roman" w:eastAsia="Times New Roman" w:hAnsi="Times New Roman" w:cs="Times New Roman"/>
                <w:sz w:val="24"/>
                <w:szCs w:val="24"/>
              </w:rPr>
              <w:t xml:space="preserve"> </w:t>
            </w:r>
            <w:proofErr w:type="gramStart"/>
            <w:r w:rsidRPr="00201475">
              <w:rPr>
                <w:rFonts w:ascii="Times New Roman" w:eastAsia="Times New Roman" w:hAnsi="Times New Roman" w:cs="Times New Roman"/>
                <w:sz w:val="24"/>
                <w:szCs w:val="24"/>
              </w:rPr>
              <w:t>the</w:t>
            </w:r>
            <w:proofErr w:type="gramEnd"/>
            <w:r w:rsidRPr="00201475">
              <w:rPr>
                <w:rFonts w:ascii="Times New Roman" w:eastAsia="Times New Roman" w:hAnsi="Times New Roman" w:cs="Times New Roman"/>
                <w:sz w:val="24"/>
                <w:szCs w:val="24"/>
              </w:rPr>
              <w:t xml:space="preserve"> percent ratio of the weight of the gas in a container to the weight of water at 60 °F. </w:t>
            </w:r>
            <w:proofErr w:type="gramStart"/>
            <w:r w:rsidRPr="00201475">
              <w:rPr>
                <w:rFonts w:ascii="Times New Roman" w:eastAsia="Times New Roman" w:hAnsi="Times New Roman" w:cs="Times New Roman"/>
                <w:sz w:val="24"/>
                <w:szCs w:val="24"/>
              </w:rPr>
              <w:t>that</w:t>
            </w:r>
            <w:proofErr w:type="gramEnd"/>
            <w:r w:rsidRPr="00201475">
              <w:rPr>
                <w:rFonts w:ascii="Times New Roman" w:eastAsia="Times New Roman" w:hAnsi="Times New Roman" w:cs="Times New Roman"/>
                <w:sz w:val="24"/>
                <w:szCs w:val="24"/>
              </w:rPr>
              <w:t xml:space="preserve"> the container will hold.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(ix) </w:t>
            </w:r>
            <w:r w:rsidRPr="00201475">
              <w:rPr>
                <w:rFonts w:ascii="Times New Roman" w:eastAsia="Times New Roman" w:hAnsi="Times New Roman" w:cs="Times New Roman"/>
                <w:i/>
                <w:iCs/>
                <w:sz w:val="24"/>
                <w:szCs w:val="24"/>
              </w:rPr>
              <w:t>Gas.</w:t>
            </w:r>
            <w:r w:rsidRPr="00201475">
              <w:rPr>
                <w:rFonts w:ascii="Times New Roman" w:eastAsia="Times New Roman" w:hAnsi="Times New Roman" w:cs="Times New Roman"/>
                <w:sz w:val="24"/>
                <w:szCs w:val="24"/>
              </w:rPr>
              <w:t xml:space="preserve"> Anhydrous ammonia in either the gaseous or liquefied state.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(x) </w:t>
            </w:r>
            <w:r w:rsidRPr="00201475">
              <w:rPr>
                <w:rFonts w:ascii="Times New Roman" w:eastAsia="Times New Roman" w:hAnsi="Times New Roman" w:cs="Times New Roman"/>
                <w:i/>
                <w:iCs/>
                <w:sz w:val="24"/>
                <w:szCs w:val="24"/>
              </w:rPr>
              <w:t>Gas masks.</w:t>
            </w:r>
            <w:r w:rsidRPr="00201475">
              <w:rPr>
                <w:rFonts w:ascii="Times New Roman" w:eastAsia="Times New Roman" w:hAnsi="Times New Roman" w:cs="Times New Roman"/>
                <w:sz w:val="24"/>
                <w:szCs w:val="24"/>
              </w:rPr>
              <w:t xml:space="preserve"> Gas masks must be approved by the National Institute for Occupational Safety and Health (NIOSH) under 42 CFR part 84 for use with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(xi) </w:t>
            </w:r>
            <w:r w:rsidRPr="00201475">
              <w:rPr>
                <w:rFonts w:ascii="Times New Roman" w:eastAsia="Times New Roman" w:hAnsi="Times New Roman" w:cs="Times New Roman"/>
                <w:i/>
                <w:iCs/>
                <w:sz w:val="24"/>
                <w:szCs w:val="24"/>
              </w:rPr>
              <w:t>Capacity.</w:t>
            </w:r>
            <w:r w:rsidRPr="00201475">
              <w:rPr>
                <w:rFonts w:ascii="Times New Roman" w:eastAsia="Times New Roman" w:hAnsi="Times New Roman" w:cs="Times New Roman"/>
                <w:sz w:val="24"/>
                <w:szCs w:val="24"/>
              </w:rPr>
              <w:t xml:space="preserve"> Total volume of the container in standard U.S. gallons.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(xii) DOT specifications—Regulations of the Department of Transportation published in 49 CFR Chapter I.</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(b) </w:t>
            </w:r>
            <w:r w:rsidRPr="00201475">
              <w:rPr>
                <w:rFonts w:ascii="Times New Roman" w:eastAsia="Times New Roman" w:hAnsi="Times New Roman" w:cs="Times New Roman"/>
                <w:i/>
                <w:iCs/>
                <w:sz w:val="24"/>
                <w:szCs w:val="24"/>
              </w:rPr>
              <w:t>Basic rules.</w:t>
            </w:r>
            <w:r w:rsidRPr="00201475">
              <w:rPr>
                <w:rFonts w:ascii="Times New Roman" w:eastAsia="Times New Roman" w:hAnsi="Times New Roman" w:cs="Times New Roman"/>
                <w:sz w:val="24"/>
                <w:szCs w:val="24"/>
              </w:rPr>
              <w:t xml:space="preserve"> This paragraph applies to all paragraphs of this section unless otherwise noted.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Approval of equipment and systems.</w:t>
            </w:r>
            <w:r w:rsidRPr="00201475">
              <w:rPr>
                <w:rFonts w:ascii="Times New Roman" w:eastAsia="Times New Roman" w:hAnsi="Times New Roman" w:cs="Times New Roman"/>
                <w:sz w:val="24"/>
                <w:szCs w:val="24"/>
              </w:rPr>
              <w:t xml:space="preserve"> Each appurtenance shall be approved in accordance with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1)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(ii), (iii), or (iv) of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It was installed before February 8, 1973, and was approved, tested, and installed in accordance with either the provisions of the American National Standard for the Storage and Handling of Anhydrous Ammonia, K61.1, or the Fertilizer Institute Standards for the Storage and Handling of Agricultural Anhydrous Ammonia, M-1, (both of which are incorporated by reference as specified in §1910.6) in effect at the time of installation; 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It is accepted, or certified, or listed, or labeled, or otherwise determined to be safe by a nationally recognized testing laboratory; 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It is a type which no nationally recognized testing laboratory does, or will undertake to, accept, certify, list, label, or determine to be safe; and such equipment is inspected or tested by any Federal, State, municipal, or other local authority responsible for enforcing occupational safety provisions of a Federal, State, municipal or other local law, code, or regulation pertaining to the storage, handling, transport, and use of anhydrous ammonia, and found to be in compliance with either the provisions of the American National Standard for the Storage and Handling of Anhydrous Ammonia, K61.1, or the Fertilizer Institute Standards for the Storage and Handling of Agricultural Anhydrous Ammonia, M-1, in effect at the time of installation; 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(iv) It is a custom-designed and custom-built unit, which no nationally recognized testing laboratory, or Federal, State, municipal or local authority responsible for the enforcement of a Federal, State, municipal, or local law, code or regulation pertaining to the storage, transportation and use of anhydrous ammonia is willing to undertake to accept, certify, list, label or determine to be safe, and the employer has on file a document attesting to its safe condition following the conduct of appropriate tests. The document shall be signed by a registered professional engineer or other person having special training or experience sufficient to permit him to form an opinion as to safety of the unit involved. The document shall set forth the test bases, test data and results, </w:t>
            </w:r>
            <w:r w:rsidRPr="00201475">
              <w:rPr>
                <w:rFonts w:ascii="Times New Roman" w:eastAsia="Times New Roman" w:hAnsi="Times New Roman" w:cs="Times New Roman"/>
                <w:sz w:val="24"/>
                <w:szCs w:val="24"/>
              </w:rPr>
              <w:lastRenderedPageBreak/>
              <w:t>and also the qualifications of the certifying person.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For the purposes of this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 xml:space="preserve">1), the word </w:t>
            </w:r>
            <w:r w:rsidRPr="00201475">
              <w:rPr>
                <w:rFonts w:ascii="Times New Roman" w:eastAsia="Times New Roman" w:hAnsi="Times New Roman" w:cs="Times New Roman"/>
                <w:i/>
                <w:iCs/>
                <w:sz w:val="24"/>
                <w:szCs w:val="24"/>
              </w:rPr>
              <w:t>listed</w:t>
            </w:r>
            <w:r w:rsidRPr="00201475">
              <w:rPr>
                <w:rFonts w:ascii="Times New Roman" w:eastAsia="Times New Roman" w:hAnsi="Times New Roman" w:cs="Times New Roman"/>
                <w:sz w:val="24"/>
                <w:szCs w:val="24"/>
              </w:rPr>
              <w:t xml:space="preserve"> means that equipment is of a kind mentioned in a list which is published by a nationally recognized laboratory which makes periodic inspection of the production of such equipment, and states such equipment meets nationally recognized standards or has been tested and found safe for use in a specified manner. </w:t>
            </w:r>
            <w:r w:rsidRPr="00201475">
              <w:rPr>
                <w:rFonts w:ascii="Times New Roman" w:eastAsia="Times New Roman" w:hAnsi="Times New Roman" w:cs="Times New Roman"/>
                <w:i/>
                <w:iCs/>
                <w:sz w:val="24"/>
                <w:szCs w:val="24"/>
              </w:rPr>
              <w:t>Labeled</w:t>
            </w:r>
            <w:r w:rsidRPr="00201475">
              <w:rPr>
                <w:rFonts w:ascii="Times New Roman" w:eastAsia="Times New Roman" w:hAnsi="Times New Roman" w:cs="Times New Roman"/>
                <w:sz w:val="24"/>
                <w:szCs w:val="24"/>
              </w:rPr>
              <w:t xml:space="preserve"> means there is attached to it a label, symbol, or other identifying mark of a nationally recognized testing laboratory which, makes periodic inspections of the production of such equipment, and whose labeling indicates compliance with nationally recognized standards or tests to determine safe use in a specified manner. </w:t>
            </w:r>
            <w:r w:rsidRPr="00201475">
              <w:rPr>
                <w:rFonts w:ascii="Times New Roman" w:eastAsia="Times New Roman" w:hAnsi="Times New Roman" w:cs="Times New Roman"/>
                <w:i/>
                <w:iCs/>
                <w:sz w:val="24"/>
                <w:szCs w:val="24"/>
              </w:rPr>
              <w:t>Certified</w:t>
            </w:r>
            <w:r w:rsidRPr="00201475">
              <w:rPr>
                <w:rFonts w:ascii="Times New Roman" w:eastAsia="Times New Roman" w:hAnsi="Times New Roman" w:cs="Times New Roman"/>
                <w:sz w:val="24"/>
                <w:szCs w:val="24"/>
              </w:rPr>
              <w:t xml:space="preserve"> means it has been tested and found by a nationally recognized testing laboratory to meet nationally recognized standards or to be safe for use in a specified manner, or is of a kind whose production is periodically inspected by a nationally recognized testing laboratory, and it bears a label, tag, or other record of certification.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For the purposes of this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1), refer to §1910.7 for definition of nationally recognized testing laboratory.</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 xml:space="preserve">Requirements for construction, original test and requalification of </w:t>
            </w:r>
            <w:proofErr w:type="spellStart"/>
            <w:r w:rsidRPr="00201475">
              <w:rPr>
                <w:rFonts w:ascii="Times New Roman" w:eastAsia="Times New Roman" w:hAnsi="Times New Roman" w:cs="Times New Roman"/>
                <w:i/>
                <w:iCs/>
                <w:sz w:val="24"/>
                <w:szCs w:val="24"/>
              </w:rPr>
              <w:t>nonrefrigerated</w:t>
            </w:r>
            <w:proofErr w:type="spellEnd"/>
            <w:r w:rsidRPr="00201475">
              <w:rPr>
                <w:rFonts w:ascii="Times New Roman" w:eastAsia="Times New Roman" w:hAnsi="Times New Roman" w:cs="Times New Roman"/>
                <w:i/>
                <w:iCs/>
                <w:sz w:val="24"/>
                <w:szCs w:val="24"/>
              </w:rPr>
              <w:t xml:space="preserve">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Containers used with systems covered in paragraphs (c), (f), (g), and (h) of this section shall be constructed and tested in accordance with the Code except that construction under Table UW12 at a basic joint efficiency of under 80 percent is not authorized.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Containers built according to the Code do not have to comply with Paragraphs UG125 to UG128 inclusive, and Paragraphs UG132 and UG133 of the Code.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Containers exceeding 36 inches in diameter or 250 gallons water capacity shall be constructed to comply with one or more of the following: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Containers shall be stress relieved after fabrication in accordance with the Code, 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Cold-form heads when used, shall be stress relieved, 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c</w:t>
            </w:r>
            <w:r w:rsidRPr="00201475">
              <w:rPr>
                <w:rFonts w:ascii="Times New Roman" w:eastAsia="Times New Roman" w:hAnsi="Times New Roman" w:cs="Times New Roman"/>
                <w:sz w:val="24"/>
                <w:szCs w:val="24"/>
              </w:rPr>
              <w:t>) Hot-formed heads shall be used.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Welding to the shell, head, or any other part of the container subject to internal pressure shall be done in compliance with the Code. Other welding is permitted only on saddle plates, lugs, or brackets attached to the container by the container manufacturer.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Containers used with systems covered in paragraph (e) of this section shall be constructed and tested in accordance with the DOT specifications.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The provisions of subdivision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of this subparagraph shall not be construed as prohibiting the continued use or reinstallation of containers constructed and maintained in accordance with the 1949, 1950, 1952, 1956, 1959, and 1962 editions of the Code or any revisions thereof in effect at the time of fabrication.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(3) </w:t>
            </w:r>
            <w:r w:rsidRPr="00201475">
              <w:rPr>
                <w:rFonts w:ascii="Times New Roman" w:eastAsia="Times New Roman" w:hAnsi="Times New Roman" w:cs="Times New Roman"/>
                <w:i/>
                <w:iCs/>
                <w:sz w:val="24"/>
                <w:szCs w:val="24"/>
              </w:rPr>
              <w:t xml:space="preserve">Marking </w:t>
            </w:r>
            <w:proofErr w:type="spellStart"/>
            <w:r w:rsidRPr="00201475">
              <w:rPr>
                <w:rFonts w:ascii="Times New Roman" w:eastAsia="Times New Roman" w:hAnsi="Times New Roman" w:cs="Times New Roman"/>
                <w:i/>
                <w:iCs/>
                <w:sz w:val="24"/>
                <w:szCs w:val="24"/>
              </w:rPr>
              <w:t>nonrefrigerated</w:t>
            </w:r>
            <w:proofErr w:type="spellEnd"/>
            <w:r w:rsidRPr="00201475">
              <w:rPr>
                <w:rFonts w:ascii="Times New Roman" w:eastAsia="Times New Roman" w:hAnsi="Times New Roman" w:cs="Times New Roman"/>
                <w:i/>
                <w:iCs/>
                <w:sz w:val="24"/>
                <w:szCs w:val="24"/>
              </w:rPr>
              <w:t xml:space="preserve">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System nameplates, when required, shall be permanently attached to the system so as to be readily accessible for inspection and shall include markings as prescribed in subdivision (ii) of this subparagraph.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Each container or system covered in paragraphs (c), (f), (g), and (h) of this section shall be marked as specified in the following: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With a notation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With a marking identifying compliance with the rules of the Code under which the container is constructed.</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Container and system nameplate.</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 ground: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c</w:t>
            </w:r>
            <w:r w:rsidRPr="00201475">
              <w:rPr>
                <w:rFonts w:ascii="Times New Roman" w:eastAsia="Times New Roman" w:hAnsi="Times New Roman" w:cs="Times New Roman"/>
                <w:sz w:val="24"/>
                <w:szCs w:val="24"/>
              </w:rPr>
              <w:t>) With a notation whether the system is designed for underground or aboveground installation or both.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d</w:t>
            </w:r>
            <w:r w:rsidRPr="00201475">
              <w:rPr>
                <w:rFonts w:ascii="Times New Roman" w:eastAsia="Times New Roman" w:hAnsi="Times New Roman" w:cs="Times New Roman"/>
                <w:sz w:val="24"/>
                <w:szCs w:val="24"/>
              </w:rPr>
              <w:t>) With the name and address of the supplier of the system or the trade name of the system and with the date of fabrication.</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and above ground: System nameplate.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e</w:t>
            </w:r>
            <w:r w:rsidRPr="00201475">
              <w:rPr>
                <w:rFonts w:ascii="Times New Roman" w:eastAsia="Times New Roman" w:hAnsi="Times New Roman" w:cs="Times New Roman"/>
                <w:sz w:val="24"/>
                <w:szCs w:val="24"/>
              </w:rPr>
              <w:t xml:space="preserve">) With the water capacity of the container in pounds at 60 °F. </w:t>
            </w:r>
            <w:proofErr w:type="gramStart"/>
            <w:r w:rsidRPr="00201475">
              <w:rPr>
                <w:rFonts w:ascii="Times New Roman" w:eastAsia="Times New Roman" w:hAnsi="Times New Roman" w:cs="Times New Roman"/>
                <w:sz w:val="24"/>
                <w:szCs w:val="24"/>
              </w:rPr>
              <w:t>or</w:t>
            </w:r>
            <w:proofErr w:type="gramEnd"/>
            <w:r w:rsidRPr="00201475">
              <w:rPr>
                <w:rFonts w:ascii="Times New Roman" w:eastAsia="Times New Roman" w:hAnsi="Times New Roman" w:cs="Times New Roman"/>
                <w:sz w:val="24"/>
                <w:szCs w:val="24"/>
              </w:rPr>
              <w:t xml:space="preserve"> gallons, U.S. Standard.</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Container and system nameplate.</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 ground: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f</w:t>
            </w:r>
            <w:r w:rsidRPr="00201475">
              <w:rPr>
                <w:rFonts w:ascii="Times New Roman" w:eastAsia="Times New Roman" w:hAnsi="Times New Roman" w:cs="Times New Roman"/>
                <w:sz w:val="24"/>
                <w:szCs w:val="24"/>
              </w:rPr>
              <w:t>) With the design pressure in pounds per square inch.</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Container and system nameplate.</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 ground: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g</w:t>
            </w:r>
            <w:r w:rsidRPr="00201475">
              <w:rPr>
                <w:rFonts w:ascii="Times New Roman" w:eastAsia="Times New Roman" w:hAnsi="Times New Roman" w:cs="Times New Roman"/>
                <w:sz w:val="24"/>
                <w:szCs w:val="24"/>
              </w:rPr>
              <w:t>) With the wall thickness of the shell and heads.</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Container and system nameplate.</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 ground: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gramStart"/>
            <w:r w:rsidRPr="00201475">
              <w:rPr>
                <w:rFonts w:ascii="Times New Roman" w:eastAsia="Times New Roman" w:hAnsi="Times New Roman" w:cs="Times New Roman"/>
                <w:i/>
                <w:iCs/>
                <w:sz w:val="24"/>
                <w:szCs w:val="24"/>
              </w:rPr>
              <w:t>h</w:t>
            </w:r>
            <w:proofErr w:type="gramEnd"/>
            <w:r w:rsidRPr="00201475">
              <w:rPr>
                <w:rFonts w:ascii="Times New Roman" w:eastAsia="Times New Roman" w:hAnsi="Times New Roman" w:cs="Times New Roman"/>
                <w:sz w:val="24"/>
                <w:szCs w:val="24"/>
              </w:rPr>
              <w:t xml:space="preserve">) With marking indicating the maximum level to which the container may be filled with liquid anhydrous ammonia at temperatures between 20 °F. </w:t>
            </w:r>
            <w:proofErr w:type="gramStart"/>
            <w:r w:rsidRPr="00201475">
              <w:rPr>
                <w:rFonts w:ascii="Times New Roman" w:eastAsia="Times New Roman" w:hAnsi="Times New Roman" w:cs="Times New Roman"/>
                <w:sz w:val="24"/>
                <w:szCs w:val="24"/>
              </w:rPr>
              <w:t>and</w:t>
            </w:r>
            <w:proofErr w:type="gramEnd"/>
            <w:r w:rsidRPr="00201475">
              <w:rPr>
                <w:rFonts w:ascii="Times New Roman" w:eastAsia="Times New Roman" w:hAnsi="Times New Roman" w:cs="Times New Roman"/>
                <w:sz w:val="24"/>
                <w:szCs w:val="24"/>
              </w:rPr>
              <w:t xml:space="preserve"> 130 °F. </w:t>
            </w:r>
            <w:proofErr w:type="gramStart"/>
            <w:r w:rsidRPr="00201475">
              <w:rPr>
                <w:rFonts w:ascii="Times New Roman" w:eastAsia="Times New Roman" w:hAnsi="Times New Roman" w:cs="Times New Roman"/>
                <w:sz w:val="24"/>
                <w:szCs w:val="24"/>
              </w:rPr>
              <w:t>except</w:t>
            </w:r>
            <w:proofErr w:type="gramEnd"/>
            <w:r w:rsidRPr="00201475">
              <w:rPr>
                <w:rFonts w:ascii="Times New Roman" w:eastAsia="Times New Roman" w:hAnsi="Times New Roman" w:cs="Times New Roman"/>
                <w:sz w:val="24"/>
                <w:szCs w:val="24"/>
              </w:rPr>
              <w:t xml:space="preserve"> on containers provided with fixed level indicators, such as fixed length dip tubes, or containers that are filled with weight. Markings shall be in increments of not more than 20 °F.</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Above ground and </w:t>
            </w:r>
            <w:proofErr w:type="spellStart"/>
            <w:r w:rsidRPr="00201475">
              <w:rPr>
                <w:rFonts w:ascii="Times New Roman" w:eastAsia="Times New Roman" w:hAnsi="Times New Roman" w:cs="Times New Roman"/>
                <w:sz w:val="24"/>
                <w:szCs w:val="24"/>
              </w:rPr>
              <w:t>under ground</w:t>
            </w:r>
            <w:proofErr w:type="spellEnd"/>
            <w:r w:rsidRPr="00201475">
              <w:rPr>
                <w:rFonts w:ascii="Times New Roman" w:eastAsia="Times New Roman" w:hAnsi="Times New Roman" w:cs="Times New Roman"/>
                <w:sz w:val="24"/>
                <w:szCs w:val="24"/>
              </w:rPr>
              <w:t>: System nameplate or on liquid-level gaging device.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spellStart"/>
            <w:r w:rsidRPr="00201475">
              <w:rPr>
                <w:rFonts w:ascii="Times New Roman" w:eastAsia="Times New Roman" w:hAnsi="Times New Roman" w:cs="Times New Roman"/>
                <w:i/>
                <w:iCs/>
                <w:sz w:val="24"/>
                <w:szCs w:val="24"/>
              </w:rPr>
              <w:t>i</w:t>
            </w:r>
            <w:proofErr w:type="spellEnd"/>
            <w:r w:rsidRPr="00201475">
              <w:rPr>
                <w:rFonts w:ascii="Times New Roman" w:eastAsia="Times New Roman" w:hAnsi="Times New Roman" w:cs="Times New Roman"/>
                <w:sz w:val="24"/>
                <w:szCs w:val="24"/>
              </w:rPr>
              <w:t>) With the total outside surface area of the container in square feet.</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 ground: System nameplate.</w:t>
            </w:r>
          </w:p>
          <w:p w:rsidR="00201475" w:rsidRPr="00201475" w:rsidRDefault="00201475" w:rsidP="00201475">
            <w:pPr>
              <w:spacing w:before="200" w:after="100" w:line="240" w:lineRule="auto"/>
              <w:ind w:left="480" w:hanging="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 ground: No requirement.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j</w:t>
            </w:r>
            <w:r w:rsidRPr="00201475">
              <w:rPr>
                <w:rFonts w:ascii="Times New Roman" w:eastAsia="Times New Roman" w:hAnsi="Times New Roman" w:cs="Times New Roman"/>
                <w:sz w:val="24"/>
                <w:szCs w:val="24"/>
              </w:rPr>
              <w:t>) Marking specified on the container shall be on the container itself or on a nameplate permanently attached to it.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Marking refrigerated containers.</w:t>
            </w:r>
            <w:r w:rsidRPr="00201475">
              <w:rPr>
                <w:rFonts w:ascii="Times New Roman" w:eastAsia="Times New Roman" w:hAnsi="Times New Roman" w:cs="Times New Roman"/>
                <w:sz w:val="24"/>
                <w:szCs w:val="24"/>
              </w:rPr>
              <w:t xml:space="preserve"> Each refrigerated container shall be marked with nameplate on the outer covering in an accessible place as specified in the following: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With the notation,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With the name and address of the builder and the date of fabrication.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With the water capacity of the container in gallons, U.S. Standard.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With the design pressure.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With the minimum temperature in degrees Fahrenheit for which the container was designed.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The maximum allowable water level to which the container may be filled for test purposes.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 With the density of the product in pounds per cubic foot for which the container was designed.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(viii) With the maximum level to which the container may be filled with liquid anhydrous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(5) </w:t>
            </w:r>
            <w:r w:rsidRPr="00201475">
              <w:rPr>
                <w:rFonts w:ascii="Times New Roman" w:eastAsia="Times New Roman" w:hAnsi="Times New Roman" w:cs="Times New Roman"/>
                <w:i/>
                <w:iCs/>
                <w:sz w:val="24"/>
                <w:szCs w:val="24"/>
              </w:rPr>
              <w:t>Location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Consideration shall be given to the physiological effects of ammonia as well as to adjacent fire hazards in selecting the location for a storage container. Containers shall be located outside of buildings or in buildings or sections thereof especially provided for this purpose.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Permanent storage containers shall be located at least 50 feet from a dug well or other sources of potable water supply, unless the container is a part of a water-treatment installation.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(iii)-(iv) [Reserved]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(v) Storage areas shall be kept free of readily </w:t>
            </w:r>
            <w:proofErr w:type="spellStart"/>
            <w:r w:rsidRPr="00201475">
              <w:rPr>
                <w:rFonts w:ascii="Times New Roman" w:eastAsia="Times New Roman" w:hAnsi="Times New Roman" w:cs="Times New Roman"/>
                <w:sz w:val="24"/>
                <w:szCs w:val="24"/>
              </w:rPr>
              <w:t>ignitible</w:t>
            </w:r>
            <w:proofErr w:type="spellEnd"/>
            <w:r w:rsidRPr="00201475">
              <w:rPr>
                <w:rFonts w:ascii="Times New Roman" w:eastAsia="Times New Roman" w:hAnsi="Times New Roman" w:cs="Times New Roman"/>
                <w:sz w:val="24"/>
                <w:szCs w:val="24"/>
              </w:rPr>
              <w:t xml:space="preserve"> materials such as waste, weeds, and long dry grass.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(6) </w:t>
            </w:r>
            <w:r w:rsidRPr="00201475">
              <w:rPr>
                <w:rFonts w:ascii="Times New Roman" w:eastAsia="Times New Roman" w:hAnsi="Times New Roman" w:cs="Times New Roman"/>
                <w:i/>
                <w:iCs/>
                <w:sz w:val="24"/>
                <w:szCs w:val="24"/>
              </w:rPr>
              <w:t>Container appurtenances.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All appurtenances shall be designed for not less than the maximum working pressure of that portion of the system on which they are installed. All appurtenances shall be fabricated from materials proved suitable for anhydrous ammonia service.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connections to containers except safety relief devices, gaging devices, or those fitted with No. 54 drill-size orifice shall have shutoff valves located as close to the container as practicable.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Excess flow valves where required by these standards shall close automatically at the rated flows of vapor or liquid as specified by the manufacturer. The connections and line including valves and fittings being protected by an excess flow valve shall have a greater capacity than the rated flow of the excess flow valve so that the valve will close in case of failure of the line or fittings.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Liquid-level gaging devices that require bleeding of the product to the atmosphere and which are so constructed that outward flow will not exceed that passed by a No. 54 drill-size opening need not be equipped with excess flow valves.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Openings from the container or through fittings attached directly on the container to which pressure gage connections are made need not be equipped with excess flow valves if such openings are not larger than No. 54 drill size.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Excess flow and back pressure check valves where required by the standards in this section shall be located inside of the container or at a point outside as close as practicable to where the line enters the container. In the latter case installation shall be made in such manner that any undue strain beyond the excess flow or back pressure check valve will not cause breakage between the container and the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 Excess flow valves shall be designed with a bypass, not to exceed a No. 60 drill-size opening to allow equalization of pressures.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(viii) All excess flow valves shall be plainly and permanently marked with the name or trademark of the manufacturer, the catalog number, and the rated capacity.</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(7) </w:t>
            </w:r>
            <w:r w:rsidRPr="00201475">
              <w:rPr>
                <w:rFonts w:ascii="Times New Roman" w:eastAsia="Times New Roman" w:hAnsi="Times New Roman" w:cs="Times New Roman"/>
                <w:i/>
                <w:iCs/>
                <w:sz w:val="24"/>
                <w:szCs w:val="24"/>
              </w:rPr>
              <w:t>Piping, tubing, and fittings.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All piping, tubing, and fittings shall be made of material suitable for anhydrous ammonia service.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piping, tubing, and fittings shall be designed for a pressure not less than the maximum pressure to which they may be subjected in service.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All refrigerated piping shall conform to the Refrigeration Piping Code, American National Standards Institute, B31.5-1966 with addenda B31.1a-1968, which is incorporated by reference as specified in §1910.6, as it applies to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(iv) Piping used on non-refrigerated systems shall be at least American Society for Testing </w:t>
            </w:r>
            <w:r w:rsidRPr="00201475">
              <w:rPr>
                <w:rFonts w:ascii="Times New Roman" w:eastAsia="Times New Roman" w:hAnsi="Times New Roman" w:cs="Times New Roman"/>
                <w:sz w:val="24"/>
                <w:szCs w:val="24"/>
              </w:rPr>
              <w:lastRenderedPageBreak/>
              <w:t>and Materials (ASTM) A-53-69 Grade B Electric Resistance Welded and Electric Flash Welded Pipe, which is incorporated by reference as specified in §1910.6, or equal. Such pipe shall be at least schedule 40 when joints are welded, or welded and flanged. Such pipe shall be at least schedule 80 when joints are threaded. Threaded connections shall not be back-welded. Brass, copper, or galvanized steel pipe shall not be used.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Tubing made of brass, copper, or other material subject to attack by ammonia shall not be used.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Cast iron fittings shall not be used but this shall not prohibit the use of fittings made specifically for ammonia service of malleable, nodular, or high strength gray iron meeting American Society for Testing and Materials (ASTM) A47-68, ASTM 395-68, or ASTM A126-66 Class B or C all of which are incorporated by reference as specified in §1910.6.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 Joint compounds shall be resistant to ammonia.</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(8) </w:t>
            </w:r>
            <w:r w:rsidRPr="00201475">
              <w:rPr>
                <w:rFonts w:ascii="Times New Roman" w:eastAsia="Times New Roman" w:hAnsi="Times New Roman" w:cs="Times New Roman"/>
                <w:i/>
                <w:iCs/>
                <w:sz w:val="24"/>
                <w:szCs w:val="24"/>
              </w:rPr>
              <w:t>Hose specifications.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Hose used in ammonia service shall conform to the joint Agricultural Ammonia Institute—Rubber Manufacturers Association Specifications for Anhydrous Ammonia Hose.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Hose subject to container pressure shall be designed for a minimum working pressure </w:t>
            </w:r>
            <w:proofErr w:type="gramStart"/>
            <w:r w:rsidRPr="00201475">
              <w:rPr>
                <w:rFonts w:ascii="Times New Roman" w:eastAsia="Times New Roman" w:hAnsi="Times New Roman" w:cs="Times New Roman"/>
                <w:sz w:val="24"/>
                <w:szCs w:val="24"/>
              </w:rPr>
              <w:t xml:space="preserve">of 350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 xml:space="preserve"> and a minimum burst pressure of 1,750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xml:space="preserve">. Hose assemblies, when made up, shall be capable of withstanding a test pressure of 500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Hose and hose connections located on the low-pressure side of flow control of pressure-reducing valves shall be designed for a bursting pressure of not less than 5 times the pressure setting of the safety relief devices protecting that portion of the system but not less than 125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All connections shall be so designed and constructed that there will be no leakage when connected.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Where hose is to be used for transferring liquid from one container to another, “wet” hose is recommended. Such hose shall be equipped with approved shutoff valves at the discharge end. Provision shall be made to prevent excessive pressure in the hose.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On all hose one-half inch outside diameter and larger, used for the transfer of anhydrous ammonia liquid or vapor, there shall be etched, cast, or impressed at 5-foot intervals the following information.</w:t>
            </w:r>
          </w:p>
          <w:p w:rsidR="00201475" w:rsidRPr="00201475" w:rsidRDefault="00201475" w:rsidP="00201475">
            <w:pPr>
              <w:spacing w:before="200" w:after="100" w:line="240" w:lineRule="auto"/>
              <w:ind w:left="960" w:hanging="96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“Anhydrous Ammonia” xxx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(maximum working pressure), manufacturer's name or trademark, year of manufacture.</w:t>
            </w:r>
          </w:p>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In lieu of this requirement the same information may be contained on a nameplate permanently attached to the hose.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b/>
                <w:bCs/>
                <w:smallCaps/>
                <w:sz w:val="24"/>
                <w:szCs w:val="24"/>
              </w:rPr>
            </w:pPr>
            <w:r w:rsidRPr="00201475">
              <w:rPr>
                <w:rFonts w:ascii="Times New Roman" w:eastAsia="Times New Roman" w:hAnsi="Times New Roman" w:cs="Times New Roman"/>
                <w:b/>
                <w:bCs/>
                <w:smallCaps/>
                <w:sz w:val="24"/>
                <w:szCs w:val="24"/>
              </w:rPr>
              <w:t>Table H-36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[Minimum required rate of discharge in cubic feet per minute of air at 120 percent of the maximum permitted start to discharge pressure of safety relief valves]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40"/>
              <w:gridCol w:w="4504"/>
            </w:tblGrid>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Surface area (sq.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Flow rate CFM air</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258</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408</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455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501</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547</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591</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635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678</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762</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804</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845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885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925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965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150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1,530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180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1,570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185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1,670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210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220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1,850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230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240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2,050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260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2,120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270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2,180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280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2,250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290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2,320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2,380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310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2,450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320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330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2,570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340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2,640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2,700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360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2,760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370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2,830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380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2,890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390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2,950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3,010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3,320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3,620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3,910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4,200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4,480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4,760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5,040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5,300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5,590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5,850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6,120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6,380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6,640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6,900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7,160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7,410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7,660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7,910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8,160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8,410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1,450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8,650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8,900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9,140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9,380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1,650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9,620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9,860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1,750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1,800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10,330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1,850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10,560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10,800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1,950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11,030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2,000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11,260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2,050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11,490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2,100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11,720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2,150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11,950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2,200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12,180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2,250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12,400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2,300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12,630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2,350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12,850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2,400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13,080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2,450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13,300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2,500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13,520</w:t>
                  </w:r>
                </w:p>
              </w:tc>
            </w:tr>
          </w:tbl>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Surface Area = total outside surface area of container in square feet. When the surface area is not stamped on the nameplate or when the marking is not legible the area can be calculated by using one of the following formulas: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 Cylindrical container with hemispherical heads:</w:t>
            </w:r>
          </w:p>
          <w:p w:rsidR="00201475" w:rsidRPr="00201475" w:rsidRDefault="00201475" w:rsidP="00201475">
            <w:pPr>
              <w:spacing w:before="200" w:after="100" w:line="240" w:lineRule="auto"/>
              <w:ind w:left="960" w:hanging="96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Area = overall length in feet times outside diameter in feet times 3.1416.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(2) Cylindrical container with other than hemispherical heads:</w:t>
            </w:r>
          </w:p>
          <w:p w:rsidR="00201475" w:rsidRPr="00201475" w:rsidRDefault="00201475" w:rsidP="00201475">
            <w:pPr>
              <w:spacing w:before="200" w:after="100" w:line="240" w:lineRule="auto"/>
              <w:ind w:left="960" w:hanging="96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Area = (overall length in feet plus 0.3 outside diameter in feet) times outside diameter in feet times 3.1416.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 Spherical container:</w:t>
            </w:r>
          </w:p>
          <w:p w:rsidR="00201475" w:rsidRPr="00201475" w:rsidRDefault="00201475" w:rsidP="00201475">
            <w:pPr>
              <w:spacing w:before="200" w:after="100" w:line="240" w:lineRule="auto"/>
              <w:ind w:left="960" w:hanging="96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Area = outside diameter in feet squared times 3.1416.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Flow Rate—CFM Air = cubic feet per minute of air required at standard conditions, 60 °F. </w:t>
            </w:r>
            <w:proofErr w:type="gramStart"/>
            <w:r w:rsidRPr="00201475">
              <w:rPr>
                <w:rFonts w:ascii="Times New Roman" w:eastAsia="Times New Roman" w:hAnsi="Times New Roman" w:cs="Times New Roman"/>
                <w:sz w:val="24"/>
                <w:szCs w:val="24"/>
              </w:rPr>
              <w:t>and</w:t>
            </w:r>
            <w:proofErr w:type="gramEnd"/>
            <w:r w:rsidRPr="00201475">
              <w:rPr>
                <w:rFonts w:ascii="Times New Roman" w:eastAsia="Times New Roman" w:hAnsi="Times New Roman" w:cs="Times New Roman"/>
                <w:sz w:val="24"/>
                <w:szCs w:val="24"/>
              </w:rPr>
              <w:t xml:space="preserve"> atmospheric pressure (14.7 </w:t>
            </w:r>
            <w:proofErr w:type="spellStart"/>
            <w:r w:rsidRPr="00201475">
              <w:rPr>
                <w:rFonts w:ascii="Times New Roman" w:eastAsia="Times New Roman" w:hAnsi="Times New Roman" w:cs="Times New Roman"/>
                <w:sz w:val="24"/>
                <w:szCs w:val="24"/>
              </w:rPr>
              <w:t>p.s.i.a</w:t>
            </w:r>
            <w:proofErr w:type="spell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The rate of discharge may be interpolated for intermediate values of surface area. For </w:t>
            </w:r>
            <w:r w:rsidRPr="00201475">
              <w:rPr>
                <w:rFonts w:ascii="Times New Roman" w:eastAsia="Times New Roman" w:hAnsi="Times New Roman" w:cs="Times New Roman"/>
                <w:sz w:val="24"/>
                <w:szCs w:val="24"/>
              </w:rPr>
              <w:lastRenderedPageBreak/>
              <w:t>containers with total outside surface area greater than 2,500 square feet, the required flow rate can be calculated using the formula: Flow Rate CFM Air = 22.11 A</w:t>
            </w:r>
            <w:r w:rsidRPr="00201475">
              <w:rPr>
                <w:rFonts w:ascii="Times New Roman" w:eastAsia="Times New Roman" w:hAnsi="Times New Roman" w:cs="Times New Roman"/>
                <w:sz w:val="24"/>
                <w:szCs w:val="24"/>
                <w:vertAlign w:val="superscript"/>
              </w:rPr>
              <w:t>0 82</w:t>
            </w:r>
            <w:r w:rsidRPr="00201475">
              <w:rPr>
                <w:rFonts w:ascii="Times New Roman" w:eastAsia="Times New Roman" w:hAnsi="Times New Roman" w:cs="Times New Roman"/>
                <w:sz w:val="24"/>
                <w:szCs w:val="24"/>
              </w:rPr>
              <w:t>, where A = outside surface area of the container in square feet.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(9) </w:t>
            </w:r>
            <w:r w:rsidRPr="00201475">
              <w:rPr>
                <w:rFonts w:ascii="Times New Roman" w:eastAsia="Times New Roman" w:hAnsi="Times New Roman" w:cs="Times New Roman"/>
                <w:i/>
                <w:iCs/>
                <w:sz w:val="24"/>
                <w:szCs w:val="24"/>
              </w:rPr>
              <w:t>Safety relief devices.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Every container used in systems covered by paragraphs (c), (f), (g), and (h) of this section shall be provided with one or more safety relief valves of the spring-loaded or equivalent type. The discharge from safety-relief valves shall be vented away from the container upward and unobstructed to the atmosphere. All relief-valve discharge openings shall have suitable rain caps that will allow free discharge of the vapor and prevent entrance of water. Provision shall be made for draining condensate which may accumulate. The rate of the discharge shall be in accordance with the provisions of Table H-36.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Container safety-relief valves shall be set to start-to-discharge as follows, with relation to the design pressure of the container:</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142"/>
              <w:gridCol w:w="2576"/>
              <w:gridCol w:w="2626"/>
            </w:tblGrid>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Containers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Minimum (percent)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Maximum (percent)</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ASME-U-68, U-69</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110</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125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ASME-U-200, U-201</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ASME 1959, 1956, 1952, or 1962</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API-ASME</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U.S. Coast Guard</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100</w:t>
                  </w:r>
                </w:p>
              </w:tc>
            </w:tr>
          </w:tbl>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As required by DOT Regulations.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Safety relief devices used in systems covered by paragraphs (c), (f), (g), and (h) of this section shall be constructed to discharge at not less than the rates required in paragraph (b)(9)(</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of this section before the pressure is in excess of 120 percent (not including the 10 percent tolerance referred to in paragraph (b)(9)(ii) of this section) of the maximum permitted start-to-discharge pressure setting of the device.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Safety-relief valves shall be so arranged that the possibility of tampering will be minimized. If the pressure setting adjustment is external, the relief valves shall be provided with means for sealing the adjustment.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Shutoff valves shall not be installed between the safety-relief valves and the container; except, that a shutoff valve may be used where the arrangement of this valve is such as always to afford full required capacity flow through the relief valves.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Safety-relief valves shall have direct communication with the vapor space of the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(vii) Each container safety-relief valve used with systems covered by paragraphs (c), (f), </w:t>
            </w:r>
            <w:r w:rsidRPr="00201475">
              <w:rPr>
                <w:rFonts w:ascii="Times New Roman" w:eastAsia="Times New Roman" w:hAnsi="Times New Roman" w:cs="Times New Roman"/>
                <w:sz w:val="24"/>
                <w:szCs w:val="24"/>
              </w:rPr>
              <w:lastRenderedPageBreak/>
              <w:t>(g), and (h) of this section shall be plainly and permanently marked with the symbol “NH</w:t>
            </w:r>
            <w:r w:rsidRPr="00201475">
              <w:rPr>
                <w:rFonts w:ascii="Times New Roman" w:eastAsia="Times New Roman" w:hAnsi="Times New Roman" w:cs="Times New Roman"/>
                <w:sz w:val="24"/>
                <w:szCs w:val="24"/>
                <w:vertAlign w:val="subscript"/>
              </w:rPr>
              <w:t>3</w:t>
            </w:r>
            <w:r w:rsidRPr="00201475">
              <w:rPr>
                <w:rFonts w:ascii="Times New Roman" w:eastAsia="Times New Roman" w:hAnsi="Times New Roman" w:cs="Times New Roman"/>
                <w:sz w:val="24"/>
                <w:szCs w:val="24"/>
              </w:rPr>
              <w:t xml:space="preserve">” or “AA”; with the pressure in pounds-per-square-inch gage at which the valve is set to start-to-discharge; with the actual rate of discharge of the valve at its full open position in cubic feet per minute of air at 60 °F. </w:t>
            </w:r>
            <w:proofErr w:type="gramStart"/>
            <w:r w:rsidRPr="00201475">
              <w:rPr>
                <w:rFonts w:ascii="Times New Roman" w:eastAsia="Times New Roman" w:hAnsi="Times New Roman" w:cs="Times New Roman"/>
                <w:sz w:val="24"/>
                <w:szCs w:val="24"/>
              </w:rPr>
              <w:t>and</w:t>
            </w:r>
            <w:proofErr w:type="gramEnd"/>
            <w:r w:rsidRPr="00201475">
              <w:rPr>
                <w:rFonts w:ascii="Times New Roman" w:eastAsia="Times New Roman" w:hAnsi="Times New Roman" w:cs="Times New Roman"/>
                <w:sz w:val="24"/>
                <w:szCs w:val="24"/>
              </w:rPr>
              <w:t xml:space="preserve"> atmospheric pressure; and with the manufacturer's name and catalog number. Example: “NH</w:t>
            </w:r>
            <w:r w:rsidRPr="00201475">
              <w:rPr>
                <w:rFonts w:ascii="Times New Roman" w:eastAsia="Times New Roman" w:hAnsi="Times New Roman" w:cs="Times New Roman"/>
                <w:sz w:val="24"/>
                <w:szCs w:val="24"/>
                <w:vertAlign w:val="subscript"/>
              </w:rPr>
              <w:t>3</w:t>
            </w:r>
            <w:r w:rsidRPr="00201475">
              <w:rPr>
                <w:rFonts w:ascii="Times New Roman" w:eastAsia="Times New Roman" w:hAnsi="Times New Roman" w:cs="Times New Roman"/>
                <w:sz w:val="24"/>
                <w:szCs w:val="24"/>
              </w:rPr>
              <w:t xml:space="preserve"> 250-4050 Air” indicates that the valve is suitable for use on an anhydrous ammonia container, is set to start-to-discharge at a pressure of 250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and that its rate of discharge at full open position (subdivisions (ii) and (iii) of this subparagraph) is 4,050 cubic feet per minute of air.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(viii) The flow capacity of the relief valve shall not be restricted by any connection to it on either the upstream or downstream side.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(ix) A hydrostatic relief valve shall be installed between each pair of valves in the liquid ammonia piping or hose where liquid may be trapped so as to relieve into the atmosphere at a safe location.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(10) </w:t>
            </w:r>
            <w:r w:rsidRPr="00201475">
              <w:rPr>
                <w:rFonts w:ascii="Times New Roman" w:eastAsia="Times New Roman" w:hAnsi="Times New Roman" w:cs="Times New Roman"/>
                <w:i/>
                <w:iCs/>
                <w:sz w:val="24"/>
                <w:szCs w:val="24"/>
              </w:rPr>
              <w:t>General.</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[Reserved]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Stationary storage installations must have at least two suitable gas masks in readily-accessible locations. Full-face masks with ammonia canisters that have been approved by NIOSH under 42 CFR part 84 are suitable for emergency action involving most anhydrous ammonia leaks, particularly leaks that occur outdoors. For respiratory protection in concentrated ammonia atmospheres, a self-contained breathing apparatus is required.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Stationary storage installations shall have an easily accessible shower or a 50-gallon drum of water.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proofErr w:type="gramStart"/>
            <w:r w:rsidRPr="00201475">
              <w:rPr>
                <w:rFonts w:ascii="Times New Roman" w:eastAsia="Times New Roman" w:hAnsi="Times New Roman" w:cs="Times New Roman"/>
                <w:sz w:val="24"/>
                <w:szCs w:val="24"/>
              </w:rPr>
              <w:t>(iv) Each vehicle transporting ammonia</w:t>
            </w:r>
            <w:proofErr w:type="gramEnd"/>
            <w:r w:rsidRPr="00201475">
              <w:rPr>
                <w:rFonts w:ascii="Times New Roman" w:eastAsia="Times New Roman" w:hAnsi="Times New Roman" w:cs="Times New Roman"/>
                <w:sz w:val="24"/>
                <w:szCs w:val="24"/>
              </w:rPr>
              <w:t xml:space="preserve"> in bulk except farm applicator vehicles shall carry a container of at least 5 gallons of water and shall be equipped with a full face mask.</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(11) </w:t>
            </w:r>
            <w:r w:rsidRPr="00201475">
              <w:rPr>
                <w:rFonts w:ascii="Times New Roman" w:eastAsia="Times New Roman" w:hAnsi="Times New Roman" w:cs="Times New Roman"/>
                <w:i/>
                <w:iCs/>
                <w:sz w:val="24"/>
                <w:szCs w:val="24"/>
              </w:rPr>
              <w:t>Charging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filling densities for containers that are not refrigerated shall not exceed the following: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722"/>
              <w:gridCol w:w="2270"/>
              <w:gridCol w:w="2352"/>
            </w:tblGrid>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Type of container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Percent by weight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01475" w:rsidRPr="00201475" w:rsidRDefault="00201475" w:rsidP="00201475">
                  <w:pPr>
                    <w:spacing w:after="0" w:line="240" w:lineRule="auto"/>
                    <w:rPr>
                      <w:rFonts w:ascii="Times New Roman" w:eastAsia="Times New Roman" w:hAnsi="Times New Roman" w:cs="Times New Roman"/>
                      <w:b/>
                      <w:bCs/>
                      <w:sz w:val="24"/>
                      <w:szCs w:val="24"/>
                    </w:rPr>
                  </w:pPr>
                  <w:r w:rsidRPr="00201475">
                    <w:rPr>
                      <w:rFonts w:ascii="Times New Roman" w:eastAsia="Times New Roman" w:hAnsi="Times New Roman" w:cs="Times New Roman"/>
                      <w:b/>
                      <w:bCs/>
                      <w:sz w:val="24"/>
                      <w:szCs w:val="24"/>
                    </w:rPr>
                    <w:t>Percent by volume</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56</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82</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87.5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Aboveground-Insulated</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57</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83.5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Underground-Uninsulated</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58</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85</w:t>
                  </w:r>
                </w:p>
              </w:tc>
            </w:tr>
            <w:tr w:rsidR="00201475" w:rsidRPr="00201475" w:rsidTr="00201475">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DOT—In accord with DOT regulations.</w:t>
                  </w: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01475" w:rsidRPr="00201475" w:rsidRDefault="00201475" w:rsidP="00201475">
                  <w:pPr>
                    <w:spacing w:after="0" w:line="240" w:lineRule="auto"/>
                    <w:rPr>
                      <w:rFonts w:ascii="Times New Roman" w:eastAsia="Times New Roman" w:hAnsi="Times New Roman" w:cs="Times New Roman"/>
                      <w:sz w:val="24"/>
                      <w:szCs w:val="24"/>
                    </w:rPr>
                  </w:pPr>
                </w:p>
              </w:tc>
            </w:tr>
          </w:tbl>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(ii) Aboveground uninsulated containers may be charged 87.5 percent by volume provided the temperature of the anhydrous ammonia being charged is determined to be not lower than 30 °F. </w:t>
            </w:r>
            <w:proofErr w:type="gramStart"/>
            <w:r w:rsidRPr="00201475">
              <w:rPr>
                <w:rFonts w:ascii="Times New Roman" w:eastAsia="Times New Roman" w:hAnsi="Times New Roman" w:cs="Times New Roman"/>
                <w:sz w:val="24"/>
                <w:szCs w:val="24"/>
              </w:rPr>
              <w:t>or</w:t>
            </w:r>
            <w:proofErr w:type="gramEnd"/>
            <w:r w:rsidRPr="00201475">
              <w:rPr>
                <w:rFonts w:ascii="Times New Roman" w:eastAsia="Times New Roman" w:hAnsi="Times New Roman" w:cs="Times New Roman"/>
                <w:sz w:val="24"/>
                <w:szCs w:val="24"/>
              </w:rPr>
              <w:t xml:space="preserve"> provided the charging of the container is stopped at the first indication of frost or ice formation on its outside surface and is not resumed until such frost or ice has disappeared.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(12) </w:t>
            </w:r>
            <w:r w:rsidRPr="00201475">
              <w:rPr>
                <w:rFonts w:ascii="Times New Roman" w:eastAsia="Times New Roman" w:hAnsi="Times New Roman" w:cs="Times New Roman"/>
                <w:i/>
                <w:iCs/>
                <w:sz w:val="24"/>
                <w:szCs w:val="24"/>
              </w:rPr>
              <w:t>Transfer of liquids.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Anhydrous ammonia shall always be at a temperature suitable for the material of construction and the design of the receiving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employer shall require the continuous presence of an attendant in the vicinity of the operation during such time as ammonia is being transferred.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Containers shall be charged or used only upon authorization of the owner.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Containers shall be gaged and charged only in the open atmosphere or in buildings or areas thereof provided for that purpose.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Pumps used for transferring ammonia shall be those manufactured for that purpose.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xml:space="preserve">) Pumps shall be designed for at least 250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working pressure.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Positive displacement pumps shall have, installed off the discharged port, a constant differential relief valve discharging into the suction port of the pump through a line of sufficient size to carry the full capacity of the pump at relief valve setting, which setting and installation shall be according to the pump manufacturer's recommendations.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c</w:t>
            </w:r>
            <w:r w:rsidRPr="00201475">
              <w:rPr>
                <w:rFonts w:ascii="Times New Roman" w:eastAsia="Times New Roman" w:hAnsi="Times New Roman" w:cs="Times New Roman"/>
                <w:sz w:val="24"/>
                <w:szCs w:val="24"/>
              </w:rPr>
              <w:t xml:space="preserve">) On the discharge side of the pump, before the relief valve line, there shall be installed a pressure gage graduated from 0 to 400 </w:t>
            </w:r>
            <w:proofErr w:type="spellStart"/>
            <w:r w:rsidRPr="00201475">
              <w:rPr>
                <w:rFonts w:ascii="Times New Roman" w:eastAsia="Times New Roman" w:hAnsi="Times New Roman" w:cs="Times New Roman"/>
                <w:sz w:val="24"/>
                <w:szCs w:val="24"/>
              </w:rPr>
              <w:t>p.s.i</w:t>
            </w:r>
            <w:proofErr w:type="spell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d</w:t>
            </w:r>
            <w:r w:rsidRPr="00201475">
              <w:rPr>
                <w:rFonts w:ascii="Times New Roman" w:eastAsia="Times New Roman" w:hAnsi="Times New Roman" w:cs="Times New Roman"/>
                <w:sz w:val="24"/>
                <w:szCs w:val="24"/>
              </w:rPr>
              <w:t>) Plant piping shall contain shutoff valves located as close as practical to pump connections.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Compressors used for transferring or refrigerating ammonia shall be recommended for ammonia service by the manufacturer.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xml:space="preserve">) Compressors shall be designed for at least 250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working pressure.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Plant piping shall contain shutoff valves located as close as practical to compressor connections.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c</w:t>
            </w:r>
            <w:r w:rsidRPr="00201475">
              <w:rPr>
                <w:rFonts w:ascii="Times New Roman" w:eastAsia="Times New Roman" w:hAnsi="Times New Roman" w:cs="Times New Roman"/>
                <w:sz w:val="24"/>
                <w:szCs w:val="24"/>
              </w:rPr>
              <w:t>) A relief valve large enough to discharge the full capacity of the compressor shall be connected to the discharge before any shutoff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d</w:t>
            </w:r>
            <w:r w:rsidRPr="00201475">
              <w:rPr>
                <w:rFonts w:ascii="Times New Roman" w:eastAsia="Times New Roman" w:hAnsi="Times New Roman" w:cs="Times New Roman"/>
                <w:sz w:val="24"/>
                <w:szCs w:val="24"/>
              </w:rPr>
              <w:t>) Compressors shall have pressure gages at suction and discharge graduated to at least one and one-half times the maximum pressure that can be developed.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w:t>
            </w:r>
            <w:r w:rsidRPr="00201475">
              <w:rPr>
                <w:rFonts w:ascii="Times New Roman" w:eastAsia="Times New Roman" w:hAnsi="Times New Roman" w:cs="Times New Roman"/>
                <w:i/>
                <w:iCs/>
                <w:sz w:val="24"/>
                <w:szCs w:val="24"/>
              </w:rPr>
              <w:t>e</w:t>
            </w:r>
            <w:r w:rsidRPr="00201475">
              <w:rPr>
                <w:rFonts w:ascii="Times New Roman" w:eastAsia="Times New Roman" w:hAnsi="Times New Roman" w:cs="Times New Roman"/>
                <w:sz w:val="24"/>
                <w:szCs w:val="24"/>
              </w:rPr>
              <w:t>) Adequate means, such as drainable liquid trap, shall be provided on the compressor suction to minimize the entry of liquid into the compressor.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 Loading and unloading systems shall be protected by suitable devices to prevent emptying of the storage container or the container being loaded or unloaded in the event of severance of the hose. Backflow check valves or properly sized excess flow valves shall be installed where necessary to provide such protection. In the event that such valves are not practical, remotely operated shutoff valves may be installed.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(13) </w:t>
            </w:r>
            <w:r w:rsidRPr="00201475">
              <w:rPr>
                <w:rFonts w:ascii="Times New Roman" w:eastAsia="Times New Roman" w:hAnsi="Times New Roman" w:cs="Times New Roman"/>
                <w:i/>
                <w:iCs/>
                <w:sz w:val="24"/>
                <w:szCs w:val="24"/>
              </w:rPr>
              <w:t>Tank car unloading points and operations.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Provisions for unloading tank cars shall conform to the applicable recommendations contained in the DOT regulations.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employer shall insure that unloading operations are performed by reliable persons properly instructed and given the authority to monitor careful compliance with all applicable procedures.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Caution signs shall be so placed on the track or car as to give necessary warning to persons approaching the car from open end or ends of siding and shall be left up until after the car is unloaded and disconnected from discharge connections. Signs shall be of metal or other suitable material, at least 12 by 15 inches in size and bear the words “STOP—Tank Car Connected” or “STOP—Men at Work” the word, “STOP,” being in letters at least 4 inches high and the other words in letters at least 2 inches high.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The track of a tank car siding shall be substantially level.</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Brakes shall be set and wheels blocked on all cars being unloaded.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(14) </w:t>
            </w:r>
            <w:r w:rsidRPr="00201475">
              <w:rPr>
                <w:rFonts w:ascii="Times New Roman" w:eastAsia="Times New Roman" w:hAnsi="Times New Roman" w:cs="Times New Roman"/>
                <w:i/>
                <w:iCs/>
                <w:sz w:val="24"/>
                <w:szCs w:val="24"/>
              </w:rPr>
              <w:t>Liquid-level gaging device.</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Each container except those filled by weight shall be equipped with an approved liquid-level gaging device. A thermometer well shall be provided in all containers not utilizing a fixed liquid-level gaging device.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gaging devices shall be arranged so that the maximum liquid level to which the container is filled is readily determined.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Gaging devices that require bleeding of the product to the atmosphere such as the rotary tube, fixed tube, and slip tube devices shall be designed so that the maximum opening of the bleed valve is not larger than No. 54 drill size unless provided with an excess flow valve. (This requirement does not apply to farm vehicles used for the application of ammonia as covered in paragraph (h) of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Gaging devices shall have a design pressure equal to or greater than the design pressure of the container on which they are installed.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Fixed tube liquid-level gages shall be designed and installed to indicate that level at which the container is filled to 85 percent of its water capacity in gallons.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(vi) Gage glasses of the columnar type shall be restricted to stationary storage installations. They shall be equipped with shutoff valves having metallic </w:t>
            </w:r>
            <w:proofErr w:type="spellStart"/>
            <w:r w:rsidRPr="00201475">
              <w:rPr>
                <w:rFonts w:ascii="Times New Roman" w:eastAsia="Times New Roman" w:hAnsi="Times New Roman" w:cs="Times New Roman"/>
                <w:sz w:val="24"/>
                <w:szCs w:val="24"/>
              </w:rPr>
              <w:t>handwheels</w:t>
            </w:r>
            <w:proofErr w:type="spellEnd"/>
            <w:r w:rsidRPr="00201475">
              <w:rPr>
                <w:rFonts w:ascii="Times New Roman" w:eastAsia="Times New Roman" w:hAnsi="Times New Roman" w:cs="Times New Roman"/>
                <w:sz w:val="24"/>
                <w:szCs w:val="24"/>
              </w:rPr>
              <w:t>, with excess-flow valves, and with extra heavy glass adequately protected with a metal housing applied by the gage manufacturer. They shall be shielded against the direct rays of the sun.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(15) [Reserved]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(16) </w:t>
            </w:r>
            <w:r w:rsidRPr="00201475">
              <w:rPr>
                <w:rFonts w:ascii="Times New Roman" w:eastAsia="Times New Roman" w:hAnsi="Times New Roman" w:cs="Times New Roman"/>
                <w:i/>
                <w:iCs/>
                <w:sz w:val="24"/>
                <w:szCs w:val="24"/>
              </w:rPr>
              <w:t>Electrical equipment and wiring.</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Electrical equipment and wiring for use in ammonia installations shall be general purpose or weather resistant as appropriate.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Electrical systems shall be installed and maintained in accordance with subpart S of this part.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(c) </w:t>
            </w:r>
            <w:r w:rsidRPr="00201475">
              <w:rPr>
                <w:rFonts w:ascii="Times New Roman" w:eastAsia="Times New Roman" w:hAnsi="Times New Roman" w:cs="Times New Roman"/>
                <w:i/>
                <w:iCs/>
                <w:sz w:val="24"/>
                <w:szCs w:val="24"/>
              </w:rPr>
              <w:t xml:space="preserve">Systems utilizing stationary, </w:t>
            </w:r>
            <w:proofErr w:type="spellStart"/>
            <w:r w:rsidRPr="00201475">
              <w:rPr>
                <w:rFonts w:ascii="Times New Roman" w:eastAsia="Times New Roman" w:hAnsi="Times New Roman" w:cs="Times New Roman"/>
                <w:i/>
                <w:iCs/>
                <w:sz w:val="24"/>
                <w:szCs w:val="24"/>
              </w:rPr>
              <w:t>nonrefrigerated</w:t>
            </w:r>
            <w:proofErr w:type="spellEnd"/>
            <w:r w:rsidRPr="00201475">
              <w:rPr>
                <w:rFonts w:ascii="Times New Roman" w:eastAsia="Times New Roman" w:hAnsi="Times New Roman" w:cs="Times New Roman"/>
                <w:i/>
                <w:iCs/>
                <w:sz w:val="24"/>
                <w:szCs w:val="24"/>
              </w:rPr>
              <w:t xml:space="preserve"> storage containers.</w:t>
            </w:r>
            <w:r w:rsidRPr="00201475">
              <w:rPr>
                <w:rFonts w:ascii="Times New Roman" w:eastAsia="Times New Roman" w:hAnsi="Times New Roman" w:cs="Times New Roman"/>
                <w:sz w:val="24"/>
                <w:szCs w:val="24"/>
              </w:rPr>
              <w:t xml:space="preserve"> This paragraph applies to stationary, </w:t>
            </w:r>
            <w:proofErr w:type="spellStart"/>
            <w:r w:rsidRPr="00201475">
              <w:rPr>
                <w:rFonts w:ascii="Times New Roman" w:eastAsia="Times New Roman" w:hAnsi="Times New Roman" w:cs="Times New Roman"/>
                <w:sz w:val="24"/>
                <w:szCs w:val="24"/>
              </w:rPr>
              <w:t>nonrefrigerated</w:t>
            </w:r>
            <w:proofErr w:type="spellEnd"/>
            <w:r w:rsidRPr="00201475">
              <w:rPr>
                <w:rFonts w:ascii="Times New Roman" w:eastAsia="Times New Roman" w:hAnsi="Times New Roman" w:cs="Times New Roman"/>
                <w:sz w:val="24"/>
                <w:szCs w:val="24"/>
              </w:rPr>
              <w:t xml:space="preserve"> storage installations utilizing containers other than those covered in paragraph (e) of this section. Paragraph (b) of this section applies to this paragraph unless otherwise noted.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Design pressure and construction of containers.</w:t>
            </w:r>
            <w:r w:rsidRPr="00201475">
              <w:rPr>
                <w:rFonts w:ascii="Times New Roman" w:eastAsia="Times New Roman" w:hAnsi="Times New Roman" w:cs="Times New Roman"/>
                <w:sz w:val="24"/>
                <w:szCs w:val="24"/>
              </w:rPr>
              <w:t xml:space="preserve"> The minimum design pressure for </w:t>
            </w:r>
            <w:proofErr w:type="spellStart"/>
            <w:r w:rsidRPr="00201475">
              <w:rPr>
                <w:rFonts w:ascii="Times New Roman" w:eastAsia="Times New Roman" w:hAnsi="Times New Roman" w:cs="Times New Roman"/>
                <w:sz w:val="24"/>
                <w:szCs w:val="24"/>
              </w:rPr>
              <w:t>nonrefrigerated</w:t>
            </w:r>
            <w:proofErr w:type="spellEnd"/>
            <w:r w:rsidRPr="00201475">
              <w:rPr>
                <w:rFonts w:ascii="Times New Roman" w:eastAsia="Times New Roman" w:hAnsi="Times New Roman" w:cs="Times New Roman"/>
                <w:sz w:val="24"/>
                <w:szCs w:val="24"/>
              </w:rPr>
              <w:t xml:space="preserve"> containers shall be </w:t>
            </w:r>
            <w:proofErr w:type="gramStart"/>
            <w:r w:rsidRPr="00201475">
              <w:rPr>
                <w:rFonts w:ascii="Times New Roman" w:eastAsia="Times New Roman" w:hAnsi="Times New Roman" w:cs="Times New Roman"/>
                <w:sz w:val="24"/>
                <w:szCs w:val="24"/>
              </w:rPr>
              <w:t xml:space="preserve">250 </w:t>
            </w:r>
            <w:proofErr w:type="spellStart"/>
            <w:r w:rsidRPr="00201475">
              <w:rPr>
                <w:rFonts w:ascii="Times New Roman" w:eastAsia="Times New Roman" w:hAnsi="Times New Roman" w:cs="Times New Roman"/>
                <w:sz w:val="24"/>
                <w:szCs w:val="24"/>
              </w:rPr>
              <w:t>p.s.i.g</w:t>
            </w:r>
            <w:proofErr w:type="spellEnd"/>
            <w:proofErr w:type="gram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Container valves and accessories, filling and discharge connections.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Each filling connection shall be provided with combination back-pressure check valve and excess-flow valve; one double or two single back-pressure check valves; or a positive shutoff valve in conjunction with either an internal back-pressure check valve or an internal excess flow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liquid and vapor connections to containers except filling pipes, safety relief connections, and liquid-level gaging and pressure gage connections provided with orifices not larger than No. 54 drill size as required in paragraphs (b)(6) (iv) and (v) of this section shall be equipped with excess-flow valves.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Each storage container shall be provided with a pressure gage graduated from 0 to 400 </w:t>
            </w:r>
            <w:proofErr w:type="spellStart"/>
            <w:r w:rsidRPr="00201475">
              <w:rPr>
                <w:rFonts w:ascii="Times New Roman" w:eastAsia="Times New Roman" w:hAnsi="Times New Roman" w:cs="Times New Roman"/>
                <w:sz w:val="24"/>
                <w:szCs w:val="24"/>
              </w:rPr>
              <w:t>p.s.i</w:t>
            </w:r>
            <w:proofErr w:type="spellEnd"/>
            <w:r w:rsidRPr="00201475">
              <w:rPr>
                <w:rFonts w:ascii="Times New Roman" w:eastAsia="Times New Roman" w:hAnsi="Times New Roman" w:cs="Times New Roman"/>
                <w:sz w:val="24"/>
                <w:szCs w:val="24"/>
              </w:rPr>
              <w:t>. Gages shall be designated for use in ammonia service.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All containers shall be equipped with vapor return valves.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Safety-relief devices.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Every container shall be provided with one or more safety-relief valves of the spring-loaded or equivalent type in accordance with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9) of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The rate of discharge of spring-loaded safety relief valves installed on underground containers may be reduced to a minimum of 30 percent of the rate of discharge specified in Table H-36. Containers so protected shall not be uncovered after installation until the liquid ammonia has been removed. Containers which may contain liquid ammonia before being installed underground and before being completely covered with earth are to be considered aboveground </w:t>
            </w:r>
            <w:r w:rsidRPr="00201475">
              <w:rPr>
                <w:rFonts w:ascii="Times New Roman" w:eastAsia="Times New Roman" w:hAnsi="Times New Roman" w:cs="Times New Roman"/>
                <w:sz w:val="24"/>
                <w:szCs w:val="24"/>
              </w:rPr>
              <w:lastRenderedPageBreak/>
              <w:t>containers when determining the rate of discharge requirements of the safety-relief valves.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On underground installations where there is a probability of the manhole or housing becoming flooded, the discharge from vent lines shall be located above the high water level. All manholes or housings shall be provided with ventilated louvers or their equivalent, the area of such openings </w:t>
            </w:r>
            <w:proofErr w:type="spellStart"/>
            <w:r w:rsidRPr="00201475">
              <w:rPr>
                <w:rFonts w:ascii="Times New Roman" w:eastAsia="Times New Roman" w:hAnsi="Times New Roman" w:cs="Times New Roman"/>
                <w:sz w:val="24"/>
                <w:szCs w:val="24"/>
              </w:rPr>
              <w:t>equalling</w:t>
            </w:r>
            <w:proofErr w:type="spellEnd"/>
            <w:r w:rsidRPr="00201475">
              <w:rPr>
                <w:rFonts w:ascii="Times New Roman" w:eastAsia="Times New Roman" w:hAnsi="Times New Roman" w:cs="Times New Roman"/>
                <w:sz w:val="24"/>
                <w:szCs w:val="24"/>
              </w:rPr>
              <w:t xml:space="preserve"> or exceeding combined discharge areas of safety-relief valves and vent lines which discharge their content into the manhole housing.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Vent pipes, when used, shall not be restricted or of smaller diameter than the relief-valve outlet connection.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If desired, vent pipes from two or more safety-relief devices located on the same unit, or similar lines from two or more different units may be run into a common discharge header, provided the capacity of such header is at least equal to the sum of the capacities of the individual discharge lines.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Reinstallation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Containers once installed </w:t>
            </w:r>
            <w:proofErr w:type="spellStart"/>
            <w:r w:rsidRPr="00201475">
              <w:rPr>
                <w:rFonts w:ascii="Times New Roman" w:eastAsia="Times New Roman" w:hAnsi="Times New Roman" w:cs="Times New Roman"/>
                <w:sz w:val="24"/>
                <w:szCs w:val="24"/>
              </w:rPr>
              <w:t>under ground</w:t>
            </w:r>
            <w:proofErr w:type="spellEnd"/>
            <w:r w:rsidRPr="00201475">
              <w:rPr>
                <w:rFonts w:ascii="Times New Roman" w:eastAsia="Times New Roman" w:hAnsi="Times New Roman" w:cs="Times New Roman"/>
                <w:sz w:val="24"/>
                <w:szCs w:val="24"/>
              </w:rPr>
              <w:t xml:space="preserve"> shall not later be reinstalled above ground or </w:t>
            </w:r>
            <w:proofErr w:type="spellStart"/>
            <w:r w:rsidRPr="00201475">
              <w:rPr>
                <w:rFonts w:ascii="Times New Roman" w:eastAsia="Times New Roman" w:hAnsi="Times New Roman" w:cs="Times New Roman"/>
                <w:sz w:val="24"/>
                <w:szCs w:val="24"/>
              </w:rPr>
              <w:t>under ground</w:t>
            </w:r>
            <w:proofErr w:type="spellEnd"/>
            <w:r w:rsidRPr="00201475">
              <w:rPr>
                <w:rFonts w:ascii="Times New Roman" w:eastAsia="Times New Roman" w:hAnsi="Times New Roman" w:cs="Times New Roman"/>
                <w:sz w:val="24"/>
                <w:szCs w:val="24"/>
              </w:rPr>
              <w:t>, unless they successfully withstand hydrostatic pressure retests at the pressure specified for the original hydrostatic test as required by the code under which constructed and show no evidence of serious corrosion.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Where containers are reinstalled above ground, safety devices or gaging devices shall comply with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9) of this section and this paragraph respectively for aboveground containers.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(5) </w:t>
            </w:r>
            <w:r w:rsidRPr="00201475">
              <w:rPr>
                <w:rFonts w:ascii="Times New Roman" w:eastAsia="Times New Roman" w:hAnsi="Times New Roman" w:cs="Times New Roman"/>
                <w:i/>
                <w:iCs/>
                <w:sz w:val="24"/>
                <w:szCs w:val="24"/>
              </w:rPr>
              <w:t>Installation of storage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Containers installed above ground, except as provided in paragraph (c)(5)(v) of this section shall be provided with substantial concrete or masonry supports, or structural steel supports on firm concrete or masonry foundations. All foundations shall extend below the frost line.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Horizontal aboveground containers shall be so mounted on foundations as to permit expansion and contraction. Every container shall be supported to prevent the concentration of excessive loads on the supporting portion of the shell. That portion of the container in contact with foundations or saddles shall be protected against corrosion.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Containers installed </w:t>
            </w:r>
            <w:proofErr w:type="spellStart"/>
            <w:r w:rsidRPr="00201475">
              <w:rPr>
                <w:rFonts w:ascii="Times New Roman" w:eastAsia="Times New Roman" w:hAnsi="Times New Roman" w:cs="Times New Roman"/>
                <w:sz w:val="24"/>
                <w:szCs w:val="24"/>
              </w:rPr>
              <w:t>under ground</w:t>
            </w:r>
            <w:proofErr w:type="spellEnd"/>
            <w:r w:rsidRPr="00201475">
              <w:rPr>
                <w:rFonts w:ascii="Times New Roman" w:eastAsia="Times New Roman" w:hAnsi="Times New Roman" w:cs="Times New Roman"/>
                <w:sz w:val="24"/>
                <w:szCs w:val="24"/>
              </w:rPr>
              <w:t xml:space="preserve"> shall be so placed that the top of the container is below the frost line and in no case less than 2 feet below the surface of the ground. Should ground conditions make compliance with these requirements impracticable, installation shall be made otherwise to prevent physical damage. It will not be necessary to cover the portion of the container to which manhole and other connections are affixed. When necessary to prevent floating, containers shall be securely anchored or weighted.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(iv) Underground containers shall be set on a firm foundation (firm earth may be used) and surrounded with earth or sand well tamped in place. The container, prior to being placed under ground, shall be given a corrosion resisting protective coating. The container thus coated shall be </w:t>
            </w:r>
            <w:r w:rsidRPr="00201475">
              <w:rPr>
                <w:rFonts w:ascii="Times New Roman" w:eastAsia="Times New Roman" w:hAnsi="Times New Roman" w:cs="Times New Roman"/>
                <w:sz w:val="24"/>
                <w:szCs w:val="24"/>
              </w:rPr>
              <w:lastRenderedPageBreak/>
              <w:t>so lowered into place as to prevent abrasion or other damage to the coating.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Containers with foundations attached (portable or semiportable tank containers with suitable steel “runners” or “skids” and commonly known in the industry as “skid tanks”) shall be designed and constructed in accordance with paragraph (c</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1) of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Secure anchorage or adequate pier height shall be provided against container flotation wherever sufficiently high flood water might occur.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 The distance between underground containers of over 2,000 gallons capacity shall be at least 5 feet.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(6) </w:t>
            </w:r>
            <w:r w:rsidRPr="00201475">
              <w:rPr>
                <w:rFonts w:ascii="Times New Roman" w:eastAsia="Times New Roman" w:hAnsi="Times New Roman" w:cs="Times New Roman"/>
                <w:i/>
                <w:iCs/>
                <w:sz w:val="24"/>
                <w:szCs w:val="24"/>
              </w:rPr>
              <w:t>Protection of appurtenances.</w:t>
            </w:r>
            <w:r w:rsidRPr="00201475">
              <w:rPr>
                <w:rFonts w:ascii="Times New Roman" w:eastAsia="Times New Roman" w:hAnsi="Times New Roman" w:cs="Times New Roman"/>
                <w:sz w:val="24"/>
                <w:szCs w:val="24"/>
              </w:rPr>
              <w:t xml:space="preserve"> (</w:t>
            </w:r>
            <w:proofErr w:type="spellStart"/>
            <w:proofErr w:type="gramStart"/>
            <w:r w:rsidRPr="00201475">
              <w:rPr>
                <w:rFonts w:ascii="Times New Roman" w:eastAsia="Times New Roman" w:hAnsi="Times New Roman" w:cs="Times New Roman"/>
                <w:sz w:val="24"/>
                <w:szCs w:val="24"/>
              </w:rPr>
              <w:t>i</w:t>
            </w:r>
            <w:proofErr w:type="spellEnd"/>
            <w:proofErr w:type="gramEnd"/>
            <w:r w:rsidRPr="00201475">
              <w:rPr>
                <w:rFonts w:ascii="Times New Roman" w:eastAsia="Times New Roman" w:hAnsi="Times New Roman" w:cs="Times New Roman"/>
                <w:sz w:val="24"/>
                <w:szCs w:val="24"/>
              </w:rPr>
              <w:t>) Valves, regulating, gaging, and other appurtenances shall be protected against tampering and physical damage. Such appurtenances shall also be protected during transit of containers.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connections to underground containers shall be located within a dome, housing, or manhole and with access thereto by means of a substantial cover.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(7) </w:t>
            </w:r>
            <w:r w:rsidRPr="00201475">
              <w:rPr>
                <w:rFonts w:ascii="Times New Roman" w:eastAsia="Times New Roman" w:hAnsi="Times New Roman" w:cs="Times New Roman"/>
                <w:i/>
                <w:iCs/>
                <w:sz w:val="24"/>
                <w:szCs w:val="24"/>
              </w:rPr>
              <w:t>Damage from vehicles.</w:t>
            </w:r>
            <w:r w:rsidRPr="00201475">
              <w:rPr>
                <w:rFonts w:ascii="Times New Roman" w:eastAsia="Times New Roman" w:hAnsi="Times New Roman" w:cs="Times New Roman"/>
                <w:sz w:val="24"/>
                <w:szCs w:val="24"/>
              </w:rPr>
              <w:t xml:space="preserve"> Precaution shall be taken against damage to ammonia systems from vehicles.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(d) </w:t>
            </w:r>
            <w:r w:rsidRPr="00201475">
              <w:rPr>
                <w:rFonts w:ascii="Times New Roman" w:eastAsia="Times New Roman" w:hAnsi="Times New Roman" w:cs="Times New Roman"/>
                <w:i/>
                <w:iCs/>
                <w:sz w:val="24"/>
                <w:szCs w:val="24"/>
              </w:rPr>
              <w:t>Refrigerated storage systems.</w:t>
            </w:r>
            <w:r w:rsidRPr="00201475">
              <w:rPr>
                <w:rFonts w:ascii="Times New Roman" w:eastAsia="Times New Roman" w:hAnsi="Times New Roman" w:cs="Times New Roman"/>
                <w:sz w:val="24"/>
                <w:szCs w:val="24"/>
              </w:rPr>
              <w:t xml:space="preserve"> This paragraph applies to systems utilizing containers with the storage of anhydrous ammonia under refrigerated conditions. All applicable rules of paragraph (b) of this section apply to this paragraph unless otherwise noted.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Design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design temperature shall be the minimum temperature to which the container will be refrigerated.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Containers with a design pressure exceeding 15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shall be constructed in accordance with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2) of this section, and the materials shall be selected from those listed in API Standard 620, Recommended Rules for Design and Construction of Large, Welded, Low-Pressure Storage Tanks, Fourth Edition, 1970, Tables 2.02, R2.2, R2.2(A), R2.2.1, or R2.3 which are incorporated by reference as specified in §1910.6.</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Containers with a design pressure of </w:t>
            </w:r>
            <w:proofErr w:type="gramStart"/>
            <w:r w:rsidRPr="00201475">
              <w:rPr>
                <w:rFonts w:ascii="Times New Roman" w:eastAsia="Times New Roman" w:hAnsi="Times New Roman" w:cs="Times New Roman"/>
                <w:sz w:val="24"/>
                <w:szCs w:val="24"/>
              </w:rPr>
              <w:t xml:space="preserve">15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 xml:space="preserve"> and less shall be constructed in accordance with the applicable requirements of API Standard 620 including its appendix 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When austenitic steels or nonferrous materials are used, the Code shall be used as a guide in the selection of materials for use at the design temperature.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The filling density for refrigerated storage containers shall be such that the container will not be liquid full at a liquid temperature corresponding to the vapor pressure at the start-to-discharge pressure setting of the safety-relief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(2) </w:t>
            </w:r>
            <w:r w:rsidRPr="00201475">
              <w:rPr>
                <w:rFonts w:ascii="Times New Roman" w:eastAsia="Times New Roman" w:hAnsi="Times New Roman" w:cs="Times New Roman"/>
                <w:i/>
                <w:iCs/>
                <w:sz w:val="24"/>
                <w:szCs w:val="24"/>
              </w:rPr>
              <w:t>Installation of refrigerated storage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Containers shall be supported on suitable noncombustible foundations designed to accommodate the type of container being used.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Adequate protection against flotation or other water damage shall be provided wherever high flood water might occur.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Containers for product storage at less than 32 °F. </w:t>
            </w:r>
            <w:proofErr w:type="gramStart"/>
            <w:r w:rsidRPr="00201475">
              <w:rPr>
                <w:rFonts w:ascii="Times New Roman" w:eastAsia="Times New Roman" w:hAnsi="Times New Roman" w:cs="Times New Roman"/>
                <w:sz w:val="24"/>
                <w:szCs w:val="24"/>
              </w:rPr>
              <w:t>shall</w:t>
            </w:r>
            <w:proofErr w:type="gramEnd"/>
            <w:r w:rsidRPr="00201475">
              <w:rPr>
                <w:rFonts w:ascii="Times New Roman" w:eastAsia="Times New Roman" w:hAnsi="Times New Roman" w:cs="Times New Roman"/>
                <w:sz w:val="24"/>
                <w:szCs w:val="24"/>
              </w:rPr>
              <w:t xml:space="preserve"> be supported in such a way, or heat shall be supplied, to prevent the effects of freezing and consequent frost heaving.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Shutoff valves.</w:t>
            </w:r>
            <w:r w:rsidRPr="00201475">
              <w:rPr>
                <w:rFonts w:ascii="Times New Roman" w:eastAsia="Times New Roman" w:hAnsi="Times New Roman" w:cs="Times New Roman"/>
                <w:sz w:val="24"/>
                <w:szCs w:val="24"/>
              </w:rPr>
              <w:t xml:space="preserve"> When operating conditions make it advisable, a check valve shall be installed on the fill connection and a remotely operated shutoff valve on other connections located below the maximum liquid level.</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Safety relief devices.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Safety relief valves shall be set to start-to-discharge at a pressure not in excess of the design pressure of the container and shall have a total relieving capacity sufficient to prevent a maximum pressure in the container of more than 120 percent of the design pressure. Relief valves for refrigerated storage containers shall be self-contained spring-loaded, weight-loaded, or self-contained pilot-operated type.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total relieving capacity shall be the larger of:</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Possible refrigeration system upset such as (</w:t>
            </w:r>
            <w:r w:rsidRPr="00201475">
              <w:rPr>
                <w:rFonts w:ascii="Times New Roman" w:eastAsia="Times New Roman" w:hAnsi="Times New Roman" w:cs="Times New Roman"/>
                <w:i/>
                <w:iCs/>
                <w:sz w:val="24"/>
                <w:szCs w:val="24"/>
              </w:rPr>
              <w:t>1</w:t>
            </w:r>
            <w:r w:rsidRPr="00201475">
              <w:rPr>
                <w:rFonts w:ascii="Times New Roman" w:eastAsia="Times New Roman" w:hAnsi="Times New Roman" w:cs="Times New Roman"/>
                <w:sz w:val="24"/>
                <w:szCs w:val="24"/>
              </w:rPr>
              <w:t>) cooling water failure, (</w:t>
            </w:r>
            <w:r w:rsidRPr="00201475">
              <w:rPr>
                <w:rFonts w:ascii="Times New Roman" w:eastAsia="Times New Roman" w:hAnsi="Times New Roman" w:cs="Times New Roman"/>
                <w:i/>
                <w:iCs/>
                <w:sz w:val="24"/>
                <w:szCs w:val="24"/>
              </w:rPr>
              <w:t>2</w:t>
            </w:r>
            <w:r w:rsidRPr="00201475">
              <w:rPr>
                <w:rFonts w:ascii="Times New Roman" w:eastAsia="Times New Roman" w:hAnsi="Times New Roman" w:cs="Times New Roman"/>
                <w:sz w:val="24"/>
                <w:szCs w:val="24"/>
              </w:rPr>
              <w:t>) power failure, (</w:t>
            </w:r>
            <w:r w:rsidRPr="00201475">
              <w:rPr>
                <w:rFonts w:ascii="Times New Roman" w:eastAsia="Times New Roman" w:hAnsi="Times New Roman" w:cs="Times New Roman"/>
                <w:i/>
                <w:iCs/>
                <w:sz w:val="24"/>
                <w:szCs w:val="24"/>
              </w:rPr>
              <w:t>3</w:t>
            </w:r>
            <w:r w:rsidRPr="00201475">
              <w:rPr>
                <w:rFonts w:ascii="Times New Roman" w:eastAsia="Times New Roman" w:hAnsi="Times New Roman" w:cs="Times New Roman"/>
                <w:sz w:val="24"/>
                <w:szCs w:val="24"/>
              </w:rPr>
              <w:t>) instrument air or instrument failure, (</w:t>
            </w:r>
            <w:r w:rsidRPr="00201475">
              <w:rPr>
                <w:rFonts w:ascii="Times New Roman" w:eastAsia="Times New Roman" w:hAnsi="Times New Roman" w:cs="Times New Roman"/>
                <w:i/>
                <w:iCs/>
                <w:sz w:val="24"/>
                <w:szCs w:val="24"/>
              </w:rPr>
              <w:t>4</w:t>
            </w:r>
            <w:r w:rsidRPr="00201475">
              <w:rPr>
                <w:rFonts w:ascii="Times New Roman" w:eastAsia="Times New Roman" w:hAnsi="Times New Roman" w:cs="Times New Roman"/>
                <w:sz w:val="24"/>
                <w:szCs w:val="24"/>
              </w:rPr>
              <w:t>) mechanical failure of any equipment, (</w:t>
            </w:r>
            <w:r w:rsidRPr="00201475">
              <w:rPr>
                <w:rFonts w:ascii="Times New Roman" w:eastAsia="Times New Roman" w:hAnsi="Times New Roman" w:cs="Times New Roman"/>
                <w:i/>
                <w:iCs/>
                <w:sz w:val="24"/>
                <w:szCs w:val="24"/>
              </w:rPr>
              <w:t>5</w:t>
            </w:r>
            <w:r w:rsidRPr="00201475">
              <w:rPr>
                <w:rFonts w:ascii="Times New Roman" w:eastAsia="Times New Roman" w:hAnsi="Times New Roman" w:cs="Times New Roman"/>
                <w:sz w:val="24"/>
                <w:szCs w:val="24"/>
              </w:rPr>
              <w:t>) excessive pumping rates.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Fire exposure determined in accordance with Compressed Gas Association (CGA) S-1, part 3, Safety Relief Device Standards for Compressed Gas Storage Containers, 1959, which is incorporated by reference as specified in §1910.6, except that “A” shall be the total exposed surface area in square feet up to 25 foot above grade or to the equator of the storage container if it is a sphere, whichever is greater. If the relieving capacity required for fire exposure is greater than that required by (</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of this subdivision, the additional capacity may be provided by weak roof to shell seams in containers operating at essentially atmospheric pressure and having an inherently weak roof-to-shell seam. The weak roof-to-shell seam is not to be considered as providing any of the capacity required in (</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of this subdivision.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If vent lines are installed to conduct the vapors from the relief valve, the back pressure under full relieving conditions shall not exceed 50 percent of the start-to-discharge pressure for pressure balanced valves or 10 percent of the start-to-discharge pressure for conventional valves. The vent lines shall be installed to prevent accumulation of liquid in the lines.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The valve or valve installation shall provide weather protection.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Atmospheric storage shall be provided with vacuum breakers. Ammonia gas, nitrogen, methane, or other inert gases can be used to provide a pad.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 xml:space="preserve">(5) </w:t>
            </w:r>
            <w:r w:rsidRPr="00201475">
              <w:rPr>
                <w:rFonts w:ascii="Times New Roman" w:eastAsia="Times New Roman" w:hAnsi="Times New Roman" w:cs="Times New Roman"/>
                <w:i/>
                <w:iCs/>
                <w:sz w:val="24"/>
                <w:szCs w:val="24"/>
              </w:rPr>
              <w:t>Protection of container appurtenances.</w:t>
            </w:r>
            <w:r w:rsidRPr="00201475">
              <w:rPr>
                <w:rFonts w:ascii="Times New Roman" w:eastAsia="Times New Roman" w:hAnsi="Times New Roman" w:cs="Times New Roman"/>
                <w:sz w:val="24"/>
                <w:szCs w:val="24"/>
              </w:rPr>
              <w:t xml:space="preserve"> Appurtenances shall be protected against tampering and physical damage.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(6) </w:t>
            </w:r>
            <w:r w:rsidRPr="00201475">
              <w:rPr>
                <w:rFonts w:ascii="Times New Roman" w:eastAsia="Times New Roman" w:hAnsi="Times New Roman" w:cs="Times New Roman"/>
                <w:i/>
                <w:iCs/>
                <w:sz w:val="24"/>
                <w:szCs w:val="24"/>
              </w:rPr>
              <w:t>Reinstallation of refrigerated storage containers.</w:t>
            </w:r>
            <w:r w:rsidRPr="00201475">
              <w:rPr>
                <w:rFonts w:ascii="Times New Roman" w:eastAsia="Times New Roman" w:hAnsi="Times New Roman" w:cs="Times New Roman"/>
                <w:sz w:val="24"/>
                <w:szCs w:val="24"/>
              </w:rPr>
              <w:t xml:space="preserve"> Containers of such size as to require field fabrication shall, when moved and reinstalled, be reconstructed and </w:t>
            </w:r>
            <w:proofErr w:type="spellStart"/>
            <w:r w:rsidRPr="00201475">
              <w:rPr>
                <w:rFonts w:ascii="Times New Roman" w:eastAsia="Times New Roman" w:hAnsi="Times New Roman" w:cs="Times New Roman"/>
                <w:sz w:val="24"/>
                <w:szCs w:val="24"/>
              </w:rPr>
              <w:t>reinspected</w:t>
            </w:r>
            <w:proofErr w:type="spellEnd"/>
            <w:r w:rsidRPr="00201475">
              <w:rPr>
                <w:rFonts w:ascii="Times New Roman" w:eastAsia="Times New Roman" w:hAnsi="Times New Roman" w:cs="Times New Roman"/>
                <w:sz w:val="24"/>
                <w:szCs w:val="24"/>
              </w:rPr>
              <w:t xml:space="preserve"> in complete accordance with the requirements under which they were constructed. The containers shall be subjected to a pressure retest and if rerating is necessary, rerating shall be in accordance with applicable requirements.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(7) </w:t>
            </w:r>
            <w:r w:rsidRPr="00201475">
              <w:rPr>
                <w:rFonts w:ascii="Times New Roman" w:eastAsia="Times New Roman" w:hAnsi="Times New Roman" w:cs="Times New Roman"/>
                <w:i/>
                <w:iCs/>
                <w:sz w:val="24"/>
                <w:szCs w:val="24"/>
              </w:rPr>
              <w:t>Damage from vehicles.</w:t>
            </w:r>
            <w:r w:rsidRPr="00201475">
              <w:rPr>
                <w:rFonts w:ascii="Times New Roman" w:eastAsia="Times New Roman" w:hAnsi="Times New Roman" w:cs="Times New Roman"/>
                <w:sz w:val="24"/>
                <w:szCs w:val="24"/>
              </w:rPr>
              <w:t xml:space="preserve"> Precaution shall be taken against damage from vehicles.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(8) </w:t>
            </w:r>
            <w:r w:rsidRPr="00201475">
              <w:rPr>
                <w:rFonts w:ascii="Times New Roman" w:eastAsia="Times New Roman" w:hAnsi="Times New Roman" w:cs="Times New Roman"/>
                <w:i/>
                <w:iCs/>
                <w:sz w:val="24"/>
                <w:szCs w:val="24"/>
              </w:rPr>
              <w:t>Refrigeration load and equipment.</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total refrigeration load shall be computed as the sum of the following: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Load imposed by heat flow into the container caused by the temperature differential between design ambient temperature and storage temperature.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Load imposed by heat flow into the container caused by maximum sun radiation.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r w:rsidRPr="00201475">
              <w:rPr>
                <w:rFonts w:ascii="Times New Roman" w:eastAsia="Times New Roman" w:hAnsi="Times New Roman" w:cs="Times New Roman"/>
                <w:i/>
                <w:iCs/>
                <w:sz w:val="24"/>
                <w:szCs w:val="24"/>
              </w:rPr>
              <w:t>c</w:t>
            </w:r>
            <w:r w:rsidRPr="00201475">
              <w:rPr>
                <w:rFonts w:ascii="Times New Roman" w:eastAsia="Times New Roman" w:hAnsi="Times New Roman" w:cs="Times New Roman"/>
                <w:sz w:val="24"/>
                <w:szCs w:val="24"/>
              </w:rPr>
              <w:t>) Maximum load imposed by filling the container with ammonia warmer than the design storage temperature.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More than one storage container may be handled by the same refrigeration system.</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(9) </w:t>
            </w:r>
            <w:r w:rsidRPr="00201475">
              <w:rPr>
                <w:rFonts w:ascii="Times New Roman" w:eastAsia="Times New Roman" w:hAnsi="Times New Roman" w:cs="Times New Roman"/>
                <w:i/>
                <w:iCs/>
                <w:sz w:val="24"/>
                <w:szCs w:val="24"/>
              </w:rPr>
              <w:t>Compressors.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 minimum of two compressors shall be provided either of which shall be of sufficient size to handle the loads listed in paragraphs (d</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8)(</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and (</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of this section. Where more than two compressors are provided minimum standby equipment equal to the largest normally operating equipment shall be installed. Filling compressors may be used as standby equipment for holding compressors.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Compressors shall be sized to operate with a suction pressure at least 10 percent below the minimum setting of the safety valve(s) on the storage container and shall withstand a suction pressure at least equal to 120 percent of the design pressure of the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(10) </w:t>
            </w:r>
            <w:r w:rsidRPr="00201475">
              <w:rPr>
                <w:rFonts w:ascii="Times New Roman" w:eastAsia="Times New Roman" w:hAnsi="Times New Roman" w:cs="Times New Roman"/>
                <w:i/>
                <w:iCs/>
                <w:sz w:val="24"/>
                <w:szCs w:val="24"/>
              </w:rPr>
              <w:t>Compressor drives.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Each compressor shall have its individual driving unit.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An emergency source of power of sufficient capacity to handle the loads listed in paragraphs (d</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8)(</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w:t>
            </w:r>
            <w:r w:rsidRPr="00201475">
              <w:rPr>
                <w:rFonts w:ascii="Times New Roman" w:eastAsia="Times New Roman" w:hAnsi="Times New Roman" w:cs="Times New Roman"/>
                <w:i/>
                <w:iCs/>
                <w:sz w:val="24"/>
                <w:szCs w:val="24"/>
              </w:rPr>
              <w:t>a</w:t>
            </w:r>
            <w:r w:rsidRPr="00201475">
              <w:rPr>
                <w:rFonts w:ascii="Times New Roman" w:eastAsia="Times New Roman" w:hAnsi="Times New Roman" w:cs="Times New Roman"/>
                <w:sz w:val="24"/>
                <w:szCs w:val="24"/>
              </w:rPr>
              <w:t>) and (</w:t>
            </w:r>
            <w:r w:rsidRPr="00201475">
              <w:rPr>
                <w:rFonts w:ascii="Times New Roman" w:eastAsia="Times New Roman" w:hAnsi="Times New Roman" w:cs="Times New Roman"/>
                <w:i/>
                <w:iCs/>
                <w:sz w:val="24"/>
                <w:szCs w:val="24"/>
              </w:rPr>
              <w:t>b</w:t>
            </w:r>
            <w:r w:rsidRPr="00201475">
              <w:rPr>
                <w:rFonts w:ascii="Times New Roman" w:eastAsia="Times New Roman" w:hAnsi="Times New Roman" w:cs="Times New Roman"/>
                <w:sz w:val="24"/>
                <w:szCs w:val="24"/>
              </w:rPr>
              <w:t>) of this section shall be provided unless facilities are available to safely dispose of vented vapors while the refrigeration system is not operating.</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(11) </w:t>
            </w:r>
            <w:r w:rsidRPr="00201475">
              <w:rPr>
                <w:rFonts w:ascii="Times New Roman" w:eastAsia="Times New Roman" w:hAnsi="Times New Roman" w:cs="Times New Roman"/>
                <w:i/>
                <w:iCs/>
                <w:sz w:val="24"/>
                <w:szCs w:val="24"/>
              </w:rPr>
              <w:t>Automatic control equipment.</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refrigeration system shall be arranged with suitable controls to govern the compressor operation in accordance with the load as evidenced by the pressure in the container(s).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An emergency alarm system shall be installed to function in the event the pressure in the </w:t>
            </w:r>
            <w:r w:rsidRPr="00201475">
              <w:rPr>
                <w:rFonts w:ascii="Times New Roman" w:eastAsia="Times New Roman" w:hAnsi="Times New Roman" w:cs="Times New Roman"/>
                <w:sz w:val="24"/>
                <w:szCs w:val="24"/>
              </w:rPr>
              <w:lastRenderedPageBreak/>
              <w:t>container(s) rises to the maximum allowable operating pressure.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An emergency alarm and shutoff shall be located in the condenser system to respond to excess discharge pressure caused by failure of the cooling medium.</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All automatic controls shall be installed in a manner to preclude operation of alternate compressors unless the controls will function with the alternate compressors.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(12) </w:t>
            </w:r>
            <w:r w:rsidRPr="00201475">
              <w:rPr>
                <w:rFonts w:ascii="Times New Roman" w:eastAsia="Times New Roman" w:hAnsi="Times New Roman" w:cs="Times New Roman"/>
                <w:i/>
                <w:iCs/>
                <w:sz w:val="24"/>
                <w:szCs w:val="24"/>
              </w:rPr>
              <w:t>Separators for compressors.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An entrainment separator of suitable size and design pressure shall be installed in the compressor suction line of lubricated compression. The separator shall be equipped with a drain and gaging device.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[Reserved]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(13) </w:t>
            </w:r>
            <w:r w:rsidRPr="00201475">
              <w:rPr>
                <w:rFonts w:ascii="Times New Roman" w:eastAsia="Times New Roman" w:hAnsi="Times New Roman" w:cs="Times New Roman"/>
                <w:i/>
                <w:iCs/>
                <w:sz w:val="24"/>
                <w:szCs w:val="24"/>
              </w:rPr>
              <w:t>Condensers.</w:t>
            </w:r>
            <w:r w:rsidRPr="00201475">
              <w:rPr>
                <w:rFonts w:ascii="Times New Roman" w:eastAsia="Times New Roman" w:hAnsi="Times New Roman" w:cs="Times New Roman"/>
                <w:sz w:val="24"/>
                <w:szCs w:val="24"/>
              </w:rPr>
              <w:t xml:space="preserve"> The condenser system may be cooled by air or water or both. The condenser shall be designed </w:t>
            </w:r>
            <w:proofErr w:type="gramStart"/>
            <w:r w:rsidRPr="00201475">
              <w:rPr>
                <w:rFonts w:ascii="Times New Roman" w:eastAsia="Times New Roman" w:hAnsi="Times New Roman" w:cs="Times New Roman"/>
                <w:sz w:val="24"/>
                <w:szCs w:val="24"/>
              </w:rPr>
              <w:t xml:space="preserve">for at least 250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xml:space="preserve">. Provision shall be made for purging </w:t>
            </w:r>
            <w:proofErr w:type="spellStart"/>
            <w:r w:rsidRPr="00201475">
              <w:rPr>
                <w:rFonts w:ascii="Times New Roman" w:eastAsia="Times New Roman" w:hAnsi="Times New Roman" w:cs="Times New Roman"/>
                <w:sz w:val="24"/>
                <w:szCs w:val="24"/>
              </w:rPr>
              <w:t>noncondensibles</w:t>
            </w:r>
            <w:proofErr w:type="spellEnd"/>
            <w:r w:rsidRPr="00201475">
              <w:rPr>
                <w:rFonts w:ascii="Times New Roman" w:eastAsia="Times New Roman" w:hAnsi="Times New Roman" w:cs="Times New Roman"/>
                <w:sz w:val="24"/>
                <w:szCs w:val="24"/>
              </w:rPr>
              <w:t xml:space="preserve"> either manually or automatically</w:t>
            </w:r>
            <w:proofErr w:type="gram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(14) </w:t>
            </w:r>
            <w:r w:rsidRPr="00201475">
              <w:rPr>
                <w:rFonts w:ascii="Times New Roman" w:eastAsia="Times New Roman" w:hAnsi="Times New Roman" w:cs="Times New Roman"/>
                <w:i/>
                <w:iCs/>
                <w:sz w:val="24"/>
                <w:szCs w:val="24"/>
              </w:rPr>
              <w:t>Receiver and liquid drain.</w:t>
            </w:r>
            <w:r w:rsidRPr="00201475">
              <w:rPr>
                <w:rFonts w:ascii="Times New Roman" w:eastAsia="Times New Roman" w:hAnsi="Times New Roman" w:cs="Times New Roman"/>
                <w:sz w:val="24"/>
                <w:szCs w:val="24"/>
              </w:rPr>
              <w:t xml:space="preserve"> A receiver shall be provided with a liquid-level control to discharge the liquid ammonia to storage. The receiver shall be designed </w:t>
            </w:r>
            <w:proofErr w:type="gramStart"/>
            <w:r w:rsidRPr="00201475">
              <w:rPr>
                <w:rFonts w:ascii="Times New Roman" w:eastAsia="Times New Roman" w:hAnsi="Times New Roman" w:cs="Times New Roman"/>
                <w:sz w:val="24"/>
                <w:szCs w:val="24"/>
              </w:rPr>
              <w:t xml:space="preserve">for at least 250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 xml:space="preserve"> and be equipped with the necessary connections, safety valves, and gaging device.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(15) </w:t>
            </w:r>
            <w:r w:rsidRPr="00201475">
              <w:rPr>
                <w:rFonts w:ascii="Times New Roman" w:eastAsia="Times New Roman" w:hAnsi="Times New Roman" w:cs="Times New Roman"/>
                <w:i/>
                <w:iCs/>
                <w:sz w:val="24"/>
                <w:szCs w:val="24"/>
              </w:rPr>
              <w:t>Insulation.</w:t>
            </w:r>
            <w:r w:rsidRPr="00201475">
              <w:rPr>
                <w:rFonts w:ascii="Times New Roman" w:eastAsia="Times New Roman" w:hAnsi="Times New Roman" w:cs="Times New Roman"/>
                <w:sz w:val="24"/>
                <w:szCs w:val="24"/>
              </w:rPr>
              <w:t xml:space="preserve"> Refrigerated containers and pipelines which are insulated shall be covered with a material of suitable quality and thickness for the temperatures encountered. Insulation shall be suitably supported and protected against the weather. Weatherproofing shall be of a type which will not support flame propagation.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(e) </w:t>
            </w:r>
            <w:r w:rsidRPr="00201475">
              <w:rPr>
                <w:rFonts w:ascii="Times New Roman" w:eastAsia="Times New Roman" w:hAnsi="Times New Roman" w:cs="Times New Roman"/>
                <w:i/>
                <w:iCs/>
                <w:sz w:val="24"/>
                <w:szCs w:val="24"/>
              </w:rPr>
              <w:t>Systems utilizing portable DOT containers</w:t>
            </w: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Conformance.</w:t>
            </w:r>
            <w:r w:rsidRPr="00201475">
              <w:rPr>
                <w:rFonts w:ascii="Times New Roman" w:eastAsia="Times New Roman" w:hAnsi="Times New Roman" w:cs="Times New Roman"/>
                <w:sz w:val="24"/>
                <w:szCs w:val="24"/>
              </w:rPr>
              <w:t xml:space="preserve"> Cylinders shall comply with DOT specifications and shall be maintained, filled, packaged, marked, labeled, and shipped to comply with 49 CFR chapter I and the marking requirements set forth in §1910.253(b)(1)(ii).</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Storage.</w:t>
            </w:r>
            <w:r w:rsidRPr="00201475">
              <w:rPr>
                <w:rFonts w:ascii="Times New Roman" w:eastAsia="Times New Roman" w:hAnsi="Times New Roman" w:cs="Times New Roman"/>
                <w:sz w:val="24"/>
                <w:szCs w:val="24"/>
              </w:rPr>
              <w:t xml:space="preserve"> Cylinders shall be stored in an area free from ignitable debris and in such manner as to prevent external corrosion. Storage may be indoors or outdoors.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Heat protection.</w:t>
            </w:r>
            <w:r w:rsidRPr="00201475">
              <w:rPr>
                <w:rFonts w:ascii="Times New Roman" w:eastAsia="Times New Roman" w:hAnsi="Times New Roman" w:cs="Times New Roman"/>
                <w:sz w:val="24"/>
                <w:szCs w:val="24"/>
              </w:rPr>
              <w:t xml:space="preserve"> Cylinders filled in accordance with DOT regulations will become liquid full at 145 °F. Cylinders shall be protected from heat sources such as radiant flame and </w:t>
            </w:r>
            <w:proofErr w:type="spellStart"/>
            <w:r w:rsidRPr="00201475">
              <w:rPr>
                <w:rFonts w:ascii="Times New Roman" w:eastAsia="Times New Roman" w:hAnsi="Times New Roman" w:cs="Times New Roman"/>
                <w:sz w:val="24"/>
                <w:szCs w:val="24"/>
              </w:rPr>
              <w:t>steampipes</w:t>
            </w:r>
            <w:proofErr w:type="spellEnd"/>
            <w:r w:rsidRPr="00201475">
              <w:rPr>
                <w:rFonts w:ascii="Times New Roman" w:eastAsia="Times New Roman" w:hAnsi="Times New Roman" w:cs="Times New Roman"/>
                <w:sz w:val="24"/>
                <w:szCs w:val="24"/>
              </w:rPr>
              <w:t>. Heat shall not be applied directly to cylinders to raise the pressure.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Protection.</w:t>
            </w:r>
            <w:r w:rsidRPr="00201475">
              <w:rPr>
                <w:rFonts w:ascii="Times New Roman" w:eastAsia="Times New Roman" w:hAnsi="Times New Roman" w:cs="Times New Roman"/>
                <w:sz w:val="24"/>
                <w:szCs w:val="24"/>
              </w:rPr>
              <w:t xml:space="preserve"> Cylinders shall be stored in such manner as to protect them from moving vehicles or external damage.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(5) </w:t>
            </w:r>
            <w:r w:rsidRPr="00201475">
              <w:rPr>
                <w:rFonts w:ascii="Times New Roman" w:eastAsia="Times New Roman" w:hAnsi="Times New Roman" w:cs="Times New Roman"/>
                <w:i/>
                <w:iCs/>
                <w:sz w:val="24"/>
                <w:szCs w:val="24"/>
              </w:rPr>
              <w:t>Valve cap.</w:t>
            </w:r>
            <w:r w:rsidRPr="00201475">
              <w:rPr>
                <w:rFonts w:ascii="Times New Roman" w:eastAsia="Times New Roman" w:hAnsi="Times New Roman" w:cs="Times New Roman"/>
                <w:sz w:val="24"/>
                <w:szCs w:val="24"/>
              </w:rPr>
              <w:t xml:space="preserve"> Any cylinder which is designed to have a valve protection cap shall have the cap securely in place when the cylinder is not in service.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(f) </w:t>
            </w:r>
            <w:r w:rsidRPr="00201475">
              <w:rPr>
                <w:rFonts w:ascii="Times New Roman" w:eastAsia="Times New Roman" w:hAnsi="Times New Roman" w:cs="Times New Roman"/>
                <w:i/>
                <w:iCs/>
                <w:sz w:val="24"/>
                <w:szCs w:val="24"/>
              </w:rPr>
              <w:t>Tank motor vehicles for the transportation of ammonia.</w:t>
            </w:r>
            <w:r w:rsidRPr="00201475">
              <w:rPr>
                <w:rFonts w:ascii="Times New Roman" w:eastAsia="Times New Roman" w:hAnsi="Times New Roman" w:cs="Times New Roman"/>
                <w:sz w:val="24"/>
                <w:szCs w:val="24"/>
              </w:rPr>
              <w:t xml:space="preserve"> (1) This paragraph applies to </w:t>
            </w:r>
            <w:r w:rsidRPr="00201475">
              <w:rPr>
                <w:rFonts w:ascii="Times New Roman" w:eastAsia="Times New Roman" w:hAnsi="Times New Roman" w:cs="Times New Roman"/>
                <w:sz w:val="24"/>
                <w:szCs w:val="24"/>
              </w:rPr>
              <w:lastRenderedPageBreak/>
              <w:t>containers and pertinent equipment mounted on tank motor vehicles including semitrailers and full trailers used for the transportation of ammonia. This paragraph does not apply to farm vehicles. For requirements covering farm vehicles, refer to paragraphs (g) and (h) of this section.</w:t>
            </w:r>
          </w:p>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Paragraph (b) of this section applies to this paragraph unless otherwise noted. Containers and pertinent equipment for tank motor vehicles for the transportation of anhydrous ammonia, in addition to complying with the requirements of this section, shall also comply with the requirements of DOT.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Design pressure and construction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minimum design pressure for containers shall be that specified in the regulations of the DOT.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shell or head thickness of any container shall not be less than three-sixteenth inch.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All container openings, except safety relief valves, liquid-level gaging devices, and pressure gages, shall be labeled to designate whether they communicate with liquid or vapor space.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Container appurtenances.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All appurtenances shall be protected against physical damage.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connections to containers, except filling connections, safety relief devices, and liquid-level and pressure gage connections, shall be provided with suitable automatic excess flow valves, or in lieu thereof, may be fitted with quick-closing internal valves, which shall remain closed except during delivery operations. The control mechanism for such valves may be provided with a secondary control remote from the delivery connections and such control mechanism shall be provided with a fusible section (melting point 208 °F. to 220 °F.) which will permit the internal valve to close automatically in case of fire.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Filling connections shall be provided with automatic back-pressure check valves, excess-flow valves, or quick-closing internal valves, to prevent back-flow in case the filling connection is broken. Where the filling and discharge connect to a common opening in the container shell and that opening is fitted with a quick-closing internal valve as specified in paragraph (f)(3)(ii) of this section, the automatic valve shall not be required.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All containers shall be equipped for spray loading (filling in the vapor space) or with an approved vapor return valve of adequate capacity.</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Piping and fittings.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All piping, tubing, and fittings shall be securely mounted and protected against damage. Means shall be provided to protect hoses while the vehicle is in motion.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Fittings shall comply with paragraph (b</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6) of this section. Pipe shall be Schedule 80.</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(5) </w:t>
            </w:r>
            <w:r w:rsidRPr="00201475">
              <w:rPr>
                <w:rFonts w:ascii="Times New Roman" w:eastAsia="Times New Roman" w:hAnsi="Times New Roman" w:cs="Times New Roman"/>
                <w:i/>
                <w:iCs/>
                <w:sz w:val="24"/>
                <w:szCs w:val="24"/>
              </w:rPr>
              <w:t>Safety relief devices.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The discharge from safety relief valves shall be vented away </w:t>
            </w:r>
            <w:r w:rsidRPr="00201475">
              <w:rPr>
                <w:rFonts w:ascii="Times New Roman" w:eastAsia="Times New Roman" w:hAnsi="Times New Roman" w:cs="Times New Roman"/>
                <w:sz w:val="24"/>
                <w:szCs w:val="24"/>
              </w:rPr>
              <w:lastRenderedPageBreak/>
              <w:t>from the container upward and unobstructed to the open air in such a manner as to prevent any impingement of escaping gas upon the container; loose-fitting rain caps shall be used. Size of discharge lines from safety valves shall not be smaller than the nominal size of the safety-relief valve outlet connection. Suitable provision shall be made for draining condensate which may accumulate in the discharge pipe.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Any portion of liquid ammonia piping which at any time may be closed at both ends shall be provided with a hydrostatic relief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(6) </w:t>
            </w:r>
            <w:r w:rsidRPr="00201475">
              <w:rPr>
                <w:rFonts w:ascii="Times New Roman" w:eastAsia="Times New Roman" w:hAnsi="Times New Roman" w:cs="Times New Roman"/>
                <w:i/>
                <w:iCs/>
                <w:sz w:val="24"/>
                <w:szCs w:val="24"/>
              </w:rPr>
              <w:t>Transfer of liquids.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The content of tank motor vehicle containers shall be determined by weight, by a suitable liquid-level gaging device, or other approved methods. If the content of a container is to be determined by liquid-level measurement, the container shall have a thermometer well so that the internal liquid temperature can be easily determined. This volume when converted to weight shall not exceed the filling density specified by the DOT.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Any pump, except a constant speed centrifugal pump, shall be equipped with a suitable pressure actuated bypass valve permitting flow from discharge to suction when the discharge pressure rises above a predetermined point. Pump discharge shall also be equipped with a spring-loaded safety relief valve set at a pressure not more than 135 percent of the setting of the bypass valve or </w:t>
            </w:r>
            <w:proofErr w:type="gramStart"/>
            <w:r w:rsidRPr="00201475">
              <w:rPr>
                <w:rFonts w:ascii="Times New Roman" w:eastAsia="Times New Roman" w:hAnsi="Times New Roman" w:cs="Times New Roman"/>
                <w:sz w:val="24"/>
                <w:szCs w:val="24"/>
              </w:rPr>
              <w:t xml:space="preserve">more than 400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 whichever is larger</w:t>
            </w:r>
            <w:proofErr w:type="gram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(iii) Compressors shall be equipped with manually operated shutoff valves on both suction and discharge connections. Pressure gages of bourdon-tube type shall be installed on the suction and discharge of the compressor before the shutoff valves. The compressor shall not be operated if either pressure gage is removed or is inoperative. A spring-loaded, safety-relief valve capable of discharging to atmosphere the full flow of gas from the compressor at a pressure not exceeding </w:t>
            </w:r>
            <w:proofErr w:type="gramStart"/>
            <w:r w:rsidRPr="00201475">
              <w:rPr>
                <w:rFonts w:ascii="Times New Roman" w:eastAsia="Times New Roman" w:hAnsi="Times New Roman" w:cs="Times New Roman"/>
                <w:sz w:val="24"/>
                <w:szCs w:val="24"/>
              </w:rPr>
              <w:t xml:space="preserve">300 </w:t>
            </w:r>
            <w:proofErr w:type="spellStart"/>
            <w:r w:rsidRPr="00201475">
              <w:rPr>
                <w:rFonts w:ascii="Times New Roman" w:eastAsia="Times New Roman" w:hAnsi="Times New Roman" w:cs="Times New Roman"/>
                <w:sz w:val="24"/>
                <w:szCs w:val="24"/>
              </w:rPr>
              <w:t>p.s.i.g</w:t>
            </w:r>
            <w:proofErr w:type="spellEnd"/>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 xml:space="preserve"> shall be connected between the compressor discharge and the discharge shutoff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w:t>
            </w:r>
            <w:proofErr w:type="gramStart"/>
            <w:r w:rsidRPr="00201475">
              <w:rPr>
                <w:rFonts w:ascii="Times New Roman" w:eastAsia="Times New Roman" w:hAnsi="Times New Roman" w:cs="Times New Roman"/>
                <w:sz w:val="24"/>
                <w:szCs w:val="24"/>
              </w:rPr>
              <w:t>iv</w:t>
            </w:r>
            <w:proofErr w:type="gramEnd"/>
            <w:r w:rsidRPr="00201475">
              <w:rPr>
                <w:rFonts w:ascii="Times New Roman" w:eastAsia="Times New Roman" w:hAnsi="Times New Roman" w:cs="Times New Roman"/>
                <w:sz w:val="24"/>
                <w:szCs w:val="24"/>
              </w:rPr>
              <w:t>) Valve functions shall be clearly and legibly identified by metal tags or nameplates permanently affixed to each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(7)-(8) [Reserved]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(9) </w:t>
            </w:r>
            <w:r w:rsidRPr="00201475">
              <w:rPr>
                <w:rFonts w:ascii="Times New Roman" w:eastAsia="Times New Roman" w:hAnsi="Times New Roman" w:cs="Times New Roman"/>
                <w:i/>
                <w:iCs/>
                <w:sz w:val="24"/>
                <w:szCs w:val="24"/>
              </w:rPr>
              <w:t>Chock blocks.</w:t>
            </w:r>
            <w:r w:rsidRPr="00201475">
              <w:rPr>
                <w:rFonts w:ascii="Times New Roman" w:eastAsia="Times New Roman" w:hAnsi="Times New Roman" w:cs="Times New Roman"/>
                <w:sz w:val="24"/>
                <w:szCs w:val="24"/>
              </w:rPr>
              <w:t xml:space="preserve"> At least two chock blocks shall be provided. These blocks shall be placed to prevent rolling of the vehicle whenever it is parked during loading and unloading operations.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(10) </w:t>
            </w:r>
            <w:r w:rsidRPr="00201475">
              <w:rPr>
                <w:rFonts w:ascii="Times New Roman" w:eastAsia="Times New Roman" w:hAnsi="Times New Roman" w:cs="Times New Roman"/>
                <w:i/>
                <w:iCs/>
                <w:sz w:val="24"/>
                <w:szCs w:val="24"/>
              </w:rPr>
              <w:t>Portable tank containers (skid tanks).</w:t>
            </w:r>
            <w:r w:rsidRPr="00201475">
              <w:rPr>
                <w:rFonts w:ascii="Times New Roman" w:eastAsia="Times New Roman" w:hAnsi="Times New Roman" w:cs="Times New Roman"/>
                <w:sz w:val="24"/>
                <w:szCs w:val="24"/>
              </w:rPr>
              <w:t xml:space="preserve"> Where portable tank containers are used for farm storage they shall comply with paragraph (c</w:t>
            </w:r>
            <w:proofErr w:type="gramStart"/>
            <w:r w:rsidRPr="00201475">
              <w:rPr>
                <w:rFonts w:ascii="Times New Roman" w:eastAsia="Times New Roman" w:hAnsi="Times New Roman" w:cs="Times New Roman"/>
                <w:sz w:val="24"/>
                <w:szCs w:val="24"/>
              </w:rPr>
              <w:t>)(</w:t>
            </w:r>
            <w:proofErr w:type="gramEnd"/>
            <w:r w:rsidRPr="00201475">
              <w:rPr>
                <w:rFonts w:ascii="Times New Roman" w:eastAsia="Times New Roman" w:hAnsi="Times New Roman" w:cs="Times New Roman"/>
                <w:sz w:val="24"/>
                <w:szCs w:val="24"/>
              </w:rPr>
              <w:t>1) of this section. When portable tank containers are used in lieu of cargo tanks and are permanently mounted on tank motor vehicles for the transportation of ammonia, they shall comply with the requirements of this paragraph.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(g) </w:t>
            </w:r>
            <w:r w:rsidRPr="00201475">
              <w:rPr>
                <w:rFonts w:ascii="Times New Roman" w:eastAsia="Times New Roman" w:hAnsi="Times New Roman" w:cs="Times New Roman"/>
                <w:i/>
                <w:iCs/>
                <w:sz w:val="24"/>
                <w:szCs w:val="24"/>
              </w:rPr>
              <w:t>Systems mounted on farm vehicles other than for the application of ammonia</w:t>
            </w:r>
            <w:r w:rsidRPr="00201475">
              <w:rPr>
                <w:rFonts w:ascii="Times New Roman" w:eastAsia="Times New Roman" w:hAnsi="Times New Roman" w:cs="Times New Roman"/>
                <w:sz w:val="24"/>
                <w:szCs w:val="24"/>
              </w:rPr>
              <w:t xml:space="preserve">—(1) </w:t>
            </w:r>
            <w:r w:rsidRPr="00201475">
              <w:rPr>
                <w:rFonts w:ascii="Times New Roman" w:eastAsia="Times New Roman" w:hAnsi="Times New Roman" w:cs="Times New Roman"/>
                <w:i/>
                <w:iCs/>
                <w:sz w:val="24"/>
                <w:szCs w:val="24"/>
              </w:rPr>
              <w:t>Application.</w:t>
            </w:r>
            <w:r w:rsidRPr="00201475">
              <w:rPr>
                <w:rFonts w:ascii="Times New Roman" w:eastAsia="Times New Roman" w:hAnsi="Times New Roman" w:cs="Times New Roman"/>
                <w:sz w:val="24"/>
                <w:szCs w:val="24"/>
              </w:rPr>
              <w:t xml:space="preserve"> This paragraph applies to containers of 1,200 gallons capacity or less and pertinent equipment mounted on farm vehicles (implements of husbandry) and used other than for the </w:t>
            </w:r>
            <w:r w:rsidRPr="00201475">
              <w:rPr>
                <w:rFonts w:ascii="Times New Roman" w:eastAsia="Times New Roman" w:hAnsi="Times New Roman" w:cs="Times New Roman"/>
                <w:sz w:val="24"/>
                <w:szCs w:val="24"/>
              </w:rPr>
              <w:lastRenderedPageBreak/>
              <w:t>application of ammonia to the soil. Paragraph (b) of this section applies to this paragraph unless otherwise noted.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Design pressure and classification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The minimum design pressure for containers shall be </w:t>
            </w:r>
            <w:proofErr w:type="gramStart"/>
            <w:r w:rsidRPr="00201475">
              <w:rPr>
                <w:rFonts w:ascii="Times New Roman" w:eastAsia="Times New Roman" w:hAnsi="Times New Roman" w:cs="Times New Roman"/>
                <w:sz w:val="24"/>
                <w:szCs w:val="24"/>
              </w:rPr>
              <w:t xml:space="preserve">250 </w:t>
            </w:r>
            <w:proofErr w:type="spellStart"/>
            <w:r w:rsidRPr="00201475">
              <w:rPr>
                <w:rFonts w:ascii="Times New Roman" w:eastAsia="Times New Roman" w:hAnsi="Times New Roman" w:cs="Times New Roman"/>
                <w:sz w:val="24"/>
                <w:szCs w:val="24"/>
              </w:rPr>
              <w:t>p.s.i.g</w:t>
            </w:r>
            <w:proofErr w:type="spellEnd"/>
            <w:proofErr w:type="gram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shell or head thickness of any container shall be not less than three-sixteenths of an inch.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Mounting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 suitable “stop” or “stops” shall be mounted on the vehicle or on the container in such a way that the container shall not be dislodged from its mounting due to the vehicle coming to a sudden stop. Back slippage shall also be prevented by proper methods.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 suitable “hold down” device shall be provided which will anchor the container to the vehicle at one or more places on each side of the container.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When containers are mounted on four-wheel trailers, care shall be taken to insure that the weight is distributed evenly over both axles.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When the cradle and the tank are not welded together suitable material shall be used between them to eliminate metal-to-metal friction.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Container appurtenances.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All containers shall be equipped with a fixed liquid-level gage.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(ii) All containers with a capacity exceeding 250 gallons shall be equipped with a pressure gage having a dial graduated from 0-400 </w:t>
            </w:r>
            <w:proofErr w:type="spellStart"/>
            <w:r w:rsidRPr="00201475">
              <w:rPr>
                <w:rFonts w:ascii="Times New Roman" w:eastAsia="Times New Roman" w:hAnsi="Times New Roman" w:cs="Times New Roman"/>
                <w:sz w:val="24"/>
                <w:szCs w:val="24"/>
              </w:rPr>
              <w:t>p.s.i</w:t>
            </w:r>
            <w:proofErr w:type="spell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The filling connection shall be fitted with combination back-pressure check valve and excess-flow valve; one double or two single back-pressure check valves; or a positive shutoff valve in conjunction with either an internal back-pressure check valve or an internal excess flow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All containers with a capacity exceeding 250 gallons shall be equipped for spray loading or with an approved vapor return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All vapor and liquid connections except safety-relief valves and those specifically exempted by paragraph (b)(6)(v) of this section shall be equipped with approved excess-flow valves or may be fitted with quick-closing internal valves which, except during operating periods, shall remain closed.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 Fittings shall be adequately protected from damage by a metal box or cylinder with open top securely fastened to the container or by rigid guards, well braced, welded to the container on both sides of the fittings or by a metal dome. If a metal dome is used, the relief valve shall be properly vented through the dome.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lastRenderedPageBreak/>
              <w:t>(vii) If a liquid withdrawal line is installed in the bottom of a container, the connections thereto, including hose, shall not be lower than the lowest horizontal edge of the vehicle axle.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(viii) Provision shall be made to secure both ends of the hose while in transit.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(5) </w:t>
            </w:r>
            <w:r w:rsidRPr="00201475">
              <w:rPr>
                <w:rFonts w:ascii="Times New Roman" w:eastAsia="Times New Roman" w:hAnsi="Times New Roman" w:cs="Times New Roman"/>
                <w:i/>
                <w:iCs/>
                <w:sz w:val="24"/>
                <w:szCs w:val="24"/>
              </w:rPr>
              <w:t>Marking the container.</w:t>
            </w:r>
            <w:r w:rsidRPr="00201475">
              <w:rPr>
                <w:rFonts w:ascii="Times New Roman" w:eastAsia="Times New Roman" w:hAnsi="Times New Roman" w:cs="Times New Roman"/>
                <w:sz w:val="24"/>
                <w:szCs w:val="24"/>
              </w:rPr>
              <w:t xml:space="preserve"> There shall appear on each side and on the rear end of the container in letters at least 4 inches high, the words, “Caution—Ammonia” or the container shall be marked in accordance with DOT regulations.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(6) </w:t>
            </w:r>
            <w:r w:rsidRPr="00201475">
              <w:rPr>
                <w:rFonts w:ascii="Times New Roman" w:eastAsia="Times New Roman" w:hAnsi="Times New Roman" w:cs="Times New Roman"/>
                <w:i/>
                <w:iCs/>
                <w:sz w:val="24"/>
                <w:szCs w:val="24"/>
              </w:rPr>
              <w:t>Farm vehicles.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Farm vehicles shall conform </w:t>
            </w:r>
            <w:proofErr w:type="gramStart"/>
            <w:r w:rsidRPr="00201475">
              <w:rPr>
                <w:rFonts w:ascii="Times New Roman" w:eastAsia="Times New Roman" w:hAnsi="Times New Roman" w:cs="Times New Roman"/>
                <w:sz w:val="24"/>
                <w:szCs w:val="24"/>
              </w:rPr>
              <w:t>with</w:t>
            </w:r>
            <w:proofErr w:type="gramEnd"/>
            <w:r w:rsidRPr="00201475">
              <w:rPr>
                <w:rFonts w:ascii="Times New Roman" w:eastAsia="Times New Roman" w:hAnsi="Times New Roman" w:cs="Times New Roman"/>
                <w:sz w:val="24"/>
                <w:szCs w:val="24"/>
              </w:rPr>
              <w:t xml:space="preserve"> State regulations.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All trailers shall be securely attached to the vehicle drawing them by means of drawbars supplemented by suitable safety chains.</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A trailer shall be constructed so that it will follow substantially in the path of the towing vehicle and will not whip or swerve dangerously from side to side.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(iv) All vehicles shall carry a can containing 5 gallons or more of water.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(h) </w:t>
            </w:r>
            <w:r w:rsidRPr="00201475">
              <w:rPr>
                <w:rFonts w:ascii="Times New Roman" w:eastAsia="Times New Roman" w:hAnsi="Times New Roman" w:cs="Times New Roman"/>
                <w:i/>
                <w:iCs/>
                <w:sz w:val="24"/>
                <w:szCs w:val="24"/>
              </w:rPr>
              <w:t>Systems mounted on farm vehicles for the application of ammonia.</w:t>
            </w:r>
            <w:r w:rsidRPr="00201475">
              <w:rPr>
                <w:rFonts w:ascii="Times New Roman" w:eastAsia="Times New Roman" w:hAnsi="Times New Roman" w:cs="Times New Roman"/>
                <w:sz w:val="24"/>
                <w:szCs w:val="24"/>
              </w:rPr>
              <w:t xml:space="preserve"> (1) This paragraph applies to systems utilizing containers of 250 gallons capacity or less which are mounted on farm vehicles (implement of husbandry) and used for the application of ammonia to the soil. Paragraph (b) of this section applies to this paragraph unless otherwise noted. Where larger containers are used, they shall comply with paragraph (g) of this section.</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(2) </w:t>
            </w:r>
            <w:r w:rsidRPr="00201475">
              <w:rPr>
                <w:rFonts w:ascii="Times New Roman" w:eastAsia="Times New Roman" w:hAnsi="Times New Roman" w:cs="Times New Roman"/>
                <w:i/>
                <w:iCs/>
                <w:sz w:val="24"/>
                <w:szCs w:val="24"/>
              </w:rPr>
              <w:t>Design pressure and classification of containers.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xml:space="preserve">) The minimum design pressure for containers shall be </w:t>
            </w:r>
            <w:proofErr w:type="gramStart"/>
            <w:r w:rsidRPr="00201475">
              <w:rPr>
                <w:rFonts w:ascii="Times New Roman" w:eastAsia="Times New Roman" w:hAnsi="Times New Roman" w:cs="Times New Roman"/>
                <w:sz w:val="24"/>
                <w:szCs w:val="24"/>
              </w:rPr>
              <w:t xml:space="preserve">250 </w:t>
            </w:r>
            <w:proofErr w:type="spellStart"/>
            <w:r w:rsidRPr="00201475">
              <w:rPr>
                <w:rFonts w:ascii="Times New Roman" w:eastAsia="Times New Roman" w:hAnsi="Times New Roman" w:cs="Times New Roman"/>
                <w:sz w:val="24"/>
                <w:szCs w:val="24"/>
              </w:rPr>
              <w:t>p.s.i.g</w:t>
            </w:r>
            <w:proofErr w:type="spellEnd"/>
            <w:proofErr w:type="gramEnd"/>
            <w:r w:rsidRPr="00201475">
              <w:rPr>
                <w:rFonts w:ascii="Times New Roman" w:eastAsia="Times New Roman" w:hAnsi="Times New Roman" w:cs="Times New Roman"/>
                <w:sz w:val="24"/>
                <w:szCs w:val="24"/>
              </w:rPr>
              <w:t>.</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shell or head thickness of any container shall not be less than three-sixteenths inch.</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(3) </w:t>
            </w:r>
            <w:r w:rsidRPr="00201475">
              <w:rPr>
                <w:rFonts w:ascii="Times New Roman" w:eastAsia="Times New Roman" w:hAnsi="Times New Roman" w:cs="Times New Roman"/>
                <w:i/>
                <w:iCs/>
                <w:sz w:val="24"/>
                <w:szCs w:val="24"/>
              </w:rPr>
              <w:t>Mounting of containers.</w:t>
            </w:r>
            <w:r w:rsidRPr="00201475">
              <w:rPr>
                <w:rFonts w:ascii="Times New Roman" w:eastAsia="Times New Roman" w:hAnsi="Times New Roman" w:cs="Times New Roman"/>
                <w:sz w:val="24"/>
                <w:szCs w:val="24"/>
              </w:rPr>
              <w:t xml:space="preserve"> All containers and flow-control devices shall be securely mounted.</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(4) </w:t>
            </w:r>
            <w:r w:rsidRPr="00201475">
              <w:rPr>
                <w:rFonts w:ascii="Times New Roman" w:eastAsia="Times New Roman" w:hAnsi="Times New Roman" w:cs="Times New Roman"/>
                <w:i/>
                <w:iCs/>
                <w:sz w:val="24"/>
                <w:szCs w:val="24"/>
              </w:rPr>
              <w:t>Container valves and accessories.</w:t>
            </w:r>
            <w:r w:rsidRPr="00201475">
              <w:rPr>
                <w:rFonts w:ascii="Times New Roman" w:eastAsia="Times New Roman" w:hAnsi="Times New Roman" w:cs="Times New Roman"/>
                <w:sz w:val="24"/>
                <w:szCs w:val="24"/>
              </w:rPr>
              <w:t xml:space="preserve"> (</w:t>
            </w:r>
            <w:proofErr w:type="spellStart"/>
            <w:r w:rsidRPr="00201475">
              <w:rPr>
                <w:rFonts w:ascii="Times New Roman" w:eastAsia="Times New Roman" w:hAnsi="Times New Roman" w:cs="Times New Roman"/>
                <w:sz w:val="24"/>
                <w:szCs w:val="24"/>
              </w:rPr>
              <w:t>i</w:t>
            </w:r>
            <w:proofErr w:type="spellEnd"/>
            <w:r w:rsidRPr="00201475">
              <w:rPr>
                <w:rFonts w:ascii="Times New Roman" w:eastAsia="Times New Roman" w:hAnsi="Times New Roman" w:cs="Times New Roman"/>
                <w:sz w:val="24"/>
                <w:szCs w:val="24"/>
              </w:rPr>
              <w:t>) Each container shall have a fixed liquid-level gage.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 The filling connection shall be fitted with a combination back-pressure check valve and an excess-flow valve; one double or two single back-pressure check valves: or a positive shutoff valve in conjunction with an internal back-pressure check valve or an internal excess-flow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(iii) The applicator tank may be filled by venting to open air provided the bleeder valve orifice does not exceed seven-sixteenths inch in diameter.</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 xml:space="preserve">(iv) Regulation equipment may be connected directly to the tank coupling or flange, in which case a flexible connection shall be used between such regulating equipment and the </w:t>
            </w:r>
            <w:r w:rsidRPr="00201475">
              <w:rPr>
                <w:rFonts w:ascii="Times New Roman" w:eastAsia="Times New Roman" w:hAnsi="Times New Roman" w:cs="Times New Roman"/>
                <w:sz w:val="24"/>
                <w:szCs w:val="24"/>
              </w:rPr>
              <w:lastRenderedPageBreak/>
              <w:t>remainder of the liquid withdrawal system. Regulating equipment not so installed shall be flexibly connected to the container shutoff valve.</w:t>
            </w:r>
          </w:p>
          <w:p w:rsidR="00201475" w:rsidRPr="00201475" w:rsidRDefault="00201475" w:rsidP="00201475">
            <w:pPr>
              <w:spacing w:before="100" w:beforeAutospacing="1" w:after="100" w:afterAutospacing="1" w:line="240" w:lineRule="auto"/>
              <w:ind w:firstLine="480"/>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(v) No excess flow valve is required in the liquid withdrawal line provided the controlling orifice between the contents of the container and the outlet of the shutoff valve does not exceed seven-sixteenths inch in diameter.</w:t>
            </w:r>
          </w:p>
          <w:p w:rsidR="00201475" w:rsidRPr="00201475" w:rsidRDefault="00201475" w:rsidP="00201475">
            <w:pPr>
              <w:spacing w:before="200" w:after="100" w:afterAutospacing="1" w:line="240" w:lineRule="auto"/>
              <w:rPr>
                <w:rFonts w:ascii="Times New Roman" w:eastAsia="Times New Roman" w:hAnsi="Times New Roman" w:cs="Times New Roman"/>
                <w:sz w:val="24"/>
                <w:szCs w:val="24"/>
              </w:rPr>
            </w:pPr>
            <w:r w:rsidRPr="00201475">
              <w:rPr>
                <w:rFonts w:ascii="Times New Roman" w:eastAsia="Times New Roman" w:hAnsi="Times New Roman" w:cs="Times New Roman"/>
                <w:sz w:val="24"/>
                <w:szCs w:val="24"/>
              </w:rPr>
              <w:t>[39 FR 23502, June 27, 1974, as amended at 43 FR 49748, Oct. 24, 1978; 49 FR 5322, Feb. 10, 1984; 53 FR 12122, Apr. 12, 1988; 61 FR 9238, Mar. 7, 1996; 63 FR 1269, Jan. 8, 1998; 63 FR 33466, June 18, 1998; 72 FR 71069, Dec. 14, 2007]</w:t>
            </w:r>
          </w:p>
          <w:p w:rsidR="00201475" w:rsidRPr="00201475" w:rsidRDefault="00201475" w:rsidP="00201475">
            <w:pPr>
              <w:spacing w:after="0" w:line="240" w:lineRule="auto"/>
              <w:rPr>
                <w:rFonts w:ascii="Times New Roman" w:eastAsia="Times New Roman" w:hAnsi="Times New Roman" w:cs="Times New Roman"/>
                <w:sz w:val="24"/>
                <w:szCs w:val="24"/>
              </w:rPr>
            </w:pPr>
          </w:p>
        </w:tc>
      </w:tr>
    </w:tbl>
    <w:p w:rsidR="00201475" w:rsidRPr="00201475" w:rsidRDefault="00201475" w:rsidP="00201475">
      <w:pPr>
        <w:shd w:val="clear" w:color="auto" w:fill="FFFFFF"/>
        <w:spacing w:after="0" w:line="240" w:lineRule="auto"/>
        <w:rPr>
          <w:rFonts w:ascii="Times New Roman" w:eastAsia="Times New Roman" w:hAnsi="Times New Roman" w:cs="Times New Roman"/>
          <w:color w:val="000000"/>
          <w:sz w:val="24"/>
          <w:szCs w:val="24"/>
          <w:lang w:val="en"/>
        </w:rPr>
      </w:pPr>
    </w:p>
    <w:p w:rsidR="00597B35" w:rsidRPr="00201475" w:rsidRDefault="00201475" w:rsidP="00201475">
      <w:pPr>
        <w:rPr>
          <w:rFonts w:ascii="Times New Roman" w:hAnsi="Times New Roman" w:cs="Times New Roman"/>
          <w:sz w:val="24"/>
          <w:szCs w:val="24"/>
        </w:rPr>
      </w:pPr>
    </w:p>
    <w:sectPr w:rsidR="00597B35" w:rsidRPr="0020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75"/>
    <w:rsid w:val="00201475"/>
    <w:rsid w:val="002157BB"/>
    <w:rsid w:val="0050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147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147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0147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20147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0147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201475"/>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1475"/>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20147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01475"/>
    <w:pPr>
      <w:spacing w:before="200" w:after="100" w:line="240" w:lineRule="auto"/>
      <w:ind w:left="960" w:hanging="960"/>
    </w:pPr>
    <w:rPr>
      <w:rFonts w:ascii="Times New Roman" w:eastAsia="Times New Roman" w:hAnsi="Times New Roman" w:cs="Times New Roman"/>
      <w:sz w:val="24"/>
      <w:szCs w:val="24"/>
    </w:rPr>
  </w:style>
  <w:style w:type="paragraph" w:customStyle="1" w:styleId="gpotbltitle">
    <w:name w:val="gpotbl_title"/>
    <w:basedOn w:val="Normal"/>
    <w:rsid w:val="0020147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0147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character" w:customStyle="1" w:styleId="su1">
    <w:name w:val="su1"/>
    <w:basedOn w:val="DefaultParagraphFont"/>
    <w:rsid w:val="00201475"/>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1475"/>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147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01475"/>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20147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0147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201475"/>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201475"/>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20147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01475"/>
    <w:pPr>
      <w:spacing w:before="200" w:after="100" w:line="240" w:lineRule="auto"/>
      <w:ind w:left="960" w:hanging="960"/>
    </w:pPr>
    <w:rPr>
      <w:rFonts w:ascii="Times New Roman" w:eastAsia="Times New Roman" w:hAnsi="Times New Roman" w:cs="Times New Roman"/>
      <w:sz w:val="24"/>
      <w:szCs w:val="24"/>
    </w:rPr>
  </w:style>
  <w:style w:type="paragraph" w:customStyle="1" w:styleId="gpotbltitle">
    <w:name w:val="gpotbl_title"/>
    <w:basedOn w:val="Normal"/>
    <w:rsid w:val="0020147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0147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character" w:customStyle="1" w:styleId="su1">
    <w:name w:val="su1"/>
    <w:basedOn w:val="DefaultParagraphFont"/>
    <w:rsid w:val="00201475"/>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0005">
      <w:bodyDiv w:val="1"/>
      <w:marLeft w:val="0"/>
      <w:marRight w:val="0"/>
      <w:marTop w:val="30"/>
      <w:marBottom w:val="750"/>
      <w:divBdr>
        <w:top w:val="none" w:sz="0" w:space="0" w:color="auto"/>
        <w:left w:val="none" w:sz="0" w:space="0" w:color="auto"/>
        <w:bottom w:val="none" w:sz="0" w:space="0" w:color="auto"/>
        <w:right w:val="none" w:sz="0" w:space="0" w:color="auto"/>
      </w:divBdr>
      <w:divsChild>
        <w:div w:id="1738429505">
          <w:marLeft w:val="0"/>
          <w:marRight w:val="0"/>
          <w:marTop w:val="0"/>
          <w:marBottom w:val="0"/>
          <w:divBdr>
            <w:top w:val="none" w:sz="0" w:space="0" w:color="auto"/>
            <w:left w:val="none" w:sz="0" w:space="0" w:color="auto"/>
            <w:bottom w:val="none" w:sz="0" w:space="0" w:color="auto"/>
            <w:right w:val="none" w:sz="0" w:space="0" w:color="auto"/>
          </w:divBdr>
          <w:divsChild>
            <w:div w:id="1540507499">
              <w:marLeft w:val="0"/>
              <w:marRight w:val="0"/>
              <w:marTop w:val="0"/>
              <w:marBottom w:val="0"/>
              <w:divBdr>
                <w:top w:val="none" w:sz="0" w:space="0" w:color="auto"/>
                <w:left w:val="none" w:sz="0" w:space="0" w:color="auto"/>
                <w:bottom w:val="none" w:sz="0" w:space="0" w:color="auto"/>
                <w:right w:val="none" w:sz="0" w:space="0" w:color="auto"/>
              </w:divBdr>
            </w:div>
            <w:div w:id="1770151951">
              <w:marLeft w:val="0"/>
              <w:marRight w:val="0"/>
              <w:marTop w:val="0"/>
              <w:marBottom w:val="0"/>
              <w:divBdr>
                <w:top w:val="none" w:sz="0" w:space="0" w:color="auto"/>
                <w:left w:val="none" w:sz="0" w:space="0" w:color="auto"/>
                <w:bottom w:val="none" w:sz="0" w:space="0" w:color="auto"/>
                <w:right w:val="none" w:sz="0" w:space="0" w:color="auto"/>
              </w:divBdr>
            </w:div>
            <w:div w:id="1021735693">
              <w:marLeft w:val="0"/>
              <w:marRight w:val="0"/>
              <w:marTop w:val="0"/>
              <w:marBottom w:val="0"/>
              <w:divBdr>
                <w:top w:val="none" w:sz="0" w:space="0" w:color="auto"/>
                <w:left w:val="none" w:sz="0" w:space="0" w:color="auto"/>
                <w:bottom w:val="none" w:sz="0" w:space="0" w:color="auto"/>
                <w:right w:val="none" w:sz="0" w:space="0" w:color="auto"/>
              </w:divBdr>
            </w:div>
            <w:div w:id="1780566581">
              <w:marLeft w:val="0"/>
              <w:marRight w:val="0"/>
              <w:marTop w:val="0"/>
              <w:marBottom w:val="0"/>
              <w:divBdr>
                <w:top w:val="none" w:sz="0" w:space="0" w:color="auto"/>
                <w:left w:val="none" w:sz="0" w:space="0" w:color="auto"/>
                <w:bottom w:val="none" w:sz="0" w:space="0" w:color="auto"/>
                <w:right w:val="none" w:sz="0" w:space="0" w:color="auto"/>
              </w:divBdr>
            </w:div>
            <w:div w:id="2049648801">
              <w:marLeft w:val="0"/>
              <w:marRight w:val="0"/>
              <w:marTop w:val="0"/>
              <w:marBottom w:val="0"/>
              <w:divBdr>
                <w:top w:val="none" w:sz="0" w:space="0" w:color="auto"/>
                <w:left w:val="none" w:sz="0" w:space="0" w:color="auto"/>
                <w:bottom w:val="none" w:sz="0" w:space="0" w:color="auto"/>
                <w:right w:val="none" w:sz="0" w:space="0" w:color="auto"/>
              </w:divBdr>
            </w:div>
            <w:div w:id="851653023">
              <w:marLeft w:val="0"/>
              <w:marRight w:val="0"/>
              <w:marTop w:val="0"/>
              <w:marBottom w:val="0"/>
              <w:divBdr>
                <w:top w:val="none" w:sz="0" w:space="0" w:color="auto"/>
                <w:left w:val="none" w:sz="0" w:space="0" w:color="auto"/>
                <w:bottom w:val="none" w:sz="0" w:space="0" w:color="auto"/>
                <w:right w:val="none" w:sz="0" w:space="0" w:color="auto"/>
              </w:divBdr>
            </w:div>
            <w:div w:id="1122729665">
              <w:marLeft w:val="0"/>
              <w:marRight w:val="0"/>
              <w:marTop w:val="0"/>
              <w:marBottom w:val="0"/>
              <w:divBdr>
                <w:top w:val="none" w:sz="0" w:space="0" w:color="auto"/>
                <w:left w:val="none" w:sz="0" w:space="0" w:color="auto"/>
                <w:bottom w:val="none" w:sz="0" w:space="0" w:color="auto"/>
                <w:right w:val="none" w:sz="0" w:space="0" w:color="auto"/>
              </w:divBdr>
            </w:div>
            <w:div w:id="1463764724">
              <w:marLeft w:val="0"/>
              <w:marRight w:val="0"/>
              <w:marTop w:val="0"/>
              <w:marBottom w:val="0"/>
              <w:divBdr>
                <w:top w:val="none" w:sz="0" w:space="0" w:color="auto"/>
                <w:left w:val="none" w:sz="0" w:space="0" w:color="auto"/>
                <w:bottom w:val="none" w:sz="0" w:space="0" w:color="auto"/>
                <w:right w:val="none" w:sz="0" w:space="0" w:color="auto"/>
              </w:divBdr>
            </w:div>
            <w:div w:id="192157901">
              <w:marLeft w:val="0"/>
              <w:marRight w:val="0"/>
              <w:marTop w:val="0"/>
              <w:marBottom w:val="0"/>
              <w:divBdr>
                <w:top w:val="none" w:sz="0" w:space="0" w:color="auto"/>
                <w:left w:val="none" w:sz="0" w:space="0" w:color="auto"/>
                <w:bottom w:val="none" w:sz="0" w:space="0" w:color="auto"/>
                <w:right w:val="none" w:sz="0" w:space="0" w:color="auto"/>
              </w:divBdr>
            </w:div>
            <w:div w:id="10380186">
              <w:marLeft w:val="0"/>
              <w:marRight w:val="0"/>
              <w:marTop w:val="0"/>
              <w:marBottom w:val="0"/>
              <w:divBdr>
                <w:top w:val="none" w:sz="0" w:space="0" w:color="auto"/>
                <w:left w:val="none" w:sz="0" w:space="0" w:color="auto"/>
                <w:bottom w:val="none" w:sz="0" w:space="0" w:color="auto"/>
                <w:right w:val="none" w:sz="0" w:space="0" w:color="auto"/>
              </w:divBdr>
              <w:divsChild>
                <w:div w:id="163479439">
                  <w:marLeft w:val="0"/>
                  <w:marRight w:val="0"/>
                  <w:marTop w:val="0"/>
                  <w:marBottom w:val="0"/>
                  <w:divBdr>
                    <w:top w:val="none" w:sz="0" w:space="0" w:color="auto"/>
                    <w:left w:val="none" w:sz="0" w:space="0" w:color="auto"/>
                    <w:bottom w:val="none" w:sz="0" w:space="0" w:color="auto"/>
                    <w:right w:val="none" w:sz="0" w:space="0" w:color="auto"/>
                  </w:divBdr>
                </w:div>
                <w:div w:id="16744090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31104005">
              <w:marLeft w:val="0"/>
              <w:marRight w:val="0"/>
              <w:marTop w:val="0"/>
              <w:marBottom w:val="0"/>
              <w:divBdr>
                <w:top w:val="none" w:sz="0" w:space="0" w:color="auto"/>
                <w:left w:val="none" w:sz="0" w:space="0" w:color="auto"/>
                <w:bottom w:val="none" w:sz="0" w:space="0" w:color="auto"/>
                <w:right w:val="none" w:sz="0" w:space="0" w:color="auto"/>
              </w:divBdr>
            </w:div>
            <w:div w:id="1776945257">
              <w:marLeft w:val="0"/>
              <w:marRight w:val="0"/>
              <w:marTop w:val="0"/>
              <w:marBottom w:val="0"/>
              <w:divBdr>
                <w:top w:val="none" w:sz="0" w:space="0" w:color="auto"/>
                <w:left w:val="none" w:sz="0" w:space="0" w:color="auto"/>
                <w:bottom w:val="none" w:sz="0" w:space="0" w:color="auto"/>
                <w:right w:val="none" w:sz="0" w:space="0" w:color="auto"/>
              </w:divBdr>
              <w:divsChild>
                <w:div w:id="8061255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42519714">
              <w:marLeft w:val="0"/>
              <w:marRight w:val="0"/>
              <w:marTop w:val="0"/>
              <w:marBottom w:val="0"/>
              <w:divBdr>
                <w:top w:val="none" w:sz="0" w:space="0" w:color="auto"/>
                <w:left w:val="none" w:sz="0" w:space="0" w:color="auto"/>
                <w:bottom w:val="none" w:sz="0" w:space="0" w:color="auto"/>
                <w:right w:val="none" w:sz="0" w:space="0" w:color="auto"/>
              </w:divBdr>
              <w:divsChild>
                <w:div w:id="4166330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893422147">
          <w:marLeft w:val="0"/>
          <w:marRight w:val="0"/>
          <w:marTop w:val="30"/>
          <w:marBottom w:val="75"/>
          <w:divBdr>
            <w:top w:val="single" w:sz="6" w:space="0" w:color="FFFFFF"/>
            <w:left w:val="single" w:sz="6" w:space="0" w:color="FFFFFF"/>
            <w:bottom w:val="single" w:sz="6" w:space="0" w:color="FFFFFF"/>
            <w:right w:val="single" w:sz="6" w:space="0" w:color="FFFFFF"/>
          </w:divBdr>
          <w:divsChild>
            <w:div w:id="655915138">
              <w:marLeft w:val="0"/>
              <w:marRight w:val="0"/>
              <w:marTop w:val="0"/>
              <w:marBottom w:val="0"/>
              <w:divBdr>
                <w:top w:val="single" w:sz="6" w:space="0" w:color="FFFFFF"/>
                <w:left w:val="single" w:sz="6" w:space="8" w:color="FFFFFF"/>
                <w:bottom w:val="single" w:sz="6" w:space="0" w:color="FFFFFF"/>
                <w:right w:val="single" w:sz="6" w:space="0" w:color="FFFFFF"/>
              </w:divBdr>
            </w:div>
            <w:div w:id="131702645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3c7e14fa763f1a62917d96d797156671&amp;mc=true&amp;n=pt29.5.1910&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text-idx?gp=&amp;SID=3c7e14fa763f1a62917d96d797156671&amp;mc=true&amp;tpl=/ecfrbrowse/Title29/29chapterXVII.t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3c7e14fa763f1a62917d96d797156671&amp;mc=true&amp;tpl=/ecfrbrowse/Title29/29subtitleB.tpl" TargetMode="External"/><Relationship Id="rId11" Type="http://schemas.openxmlformats.org/officeDocument/2006/relationships/hyperlink" Target="https://www.ecfr.gov/cgi-bin/retrieveECFR?gp=&amp;SID=3c7e14fa763f1a62917d96d797156671&amp;mc=true&amp;n=sp29.5.1910.h&amp;r=SUBPART&amp;ty=HTML" TargetMode="External"/><Relationship Id="rId5" Type="http://schemas.openxmlformats.org/officeDocument/2006/relationships/hyperlink" Target="https://www.ecfr.gov/cgi-bin/text-idx?gp=&amp;SID=3c7e14fa763f1a62917d96d797156671&amp;mc=true&amp;tpl=/ecfrbrowse/Title29/29tab_02.tpl" TargetMode="External"/><Relationship Id="rId10" Type="http://schemas.openxmlformats.org/officeDocument/2006/relationships/hyperlink" Target="https://www.ecfr.gov/cgi-bin/retrieveECFR?gp=&amp;SID=3c7e14fa763f1a62917d96d797156671&amp;mc=true&amp;n=pt29.5.1910&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3c7e14fa763f1a62917d96d797156671&amp;mc=true&amp;n=sp29.5.1910.h&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8264</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2017-07-03T18:36:00Z</dcterms:created>
  <dcterms:modified xsi:type="dcterms:W3CDTF">2017-07-03T18:39:00Z</dcterms:modified>
</cp:coreProperties>
</file>