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C6" w:rsidRPr="0005323E" w:rsidRDefault="00AB03C6" w:rsidP="00AB03C6">
      <w:pPr>
        <w:widowControl/>
        <w:jc w:val="center"/>
        <w:rPr>
          <w:b/>
          <w:bCs/>
        </w:rPr>
      </w:pPr>
      <w:bookmarkStart w:id="0" w:name="_GoBack"/>
      <w:bookmarkEnd w:id="0"/>
      <w:r w:rsidRPr="0005323E">
        <w:rPr>
          <w:b/>
          <w:bCs/>
        </w:rPr>
        <w:t>SUPPORTING STATEMENT FOR THE</w:t>
      </w:r>
    </w:p>
    <w:p w:rsidR="00AB03C6" w:rsidRPr="0005323E" w:rsidRDefault="00AB03C6" w:rsidP="00AB03C6">
      <w:pPr>
        <w:widowControl/>
        <w:jc w:val="center"/>
        <w:rPr>
          <w:b/>
          <w:bCs/>
        </w:rPr>
      </w:pPr>
      <w:r w:rsidRPr="0005323E">
        <w:rPr>
          <w:b/>
          <w:bCs/>
        </w:rPr>
        <w:t>INFORMATION</w:t>
      </w:r>
      <w:r>
        <w:rPr>
          <w:b/>
          <w:bCs/>
        </w:rPr>
        <w:t xml:space="preserve"> </w:t>
      </w:r>
      <w:r w:rsidRPr="0005323E">
        <w:rPr>
          <w:b/>
          <w:bCs/>
        </w:rPr>
        <w:t>COLLECTION REQUIREMENTS OF THE</w:t>
      </w:r>
    </w:p>
    <w:p w:rsidR="00AB03C6" w:rsidRPr="0005323E" w:rsidRDefault="00AB03C6" w:rsidP="00AB03C6">
      <w:pPr>
        <w:widowControl/>
        <w:jc w:val="center"/>
        <w:rPr>
          <w:b/>
          <w:bCs/>
        </w:rPr>
      </w:pPr>
      <w:r w:rsidRPr="0005323E">
        <w:rPr>
          <w:b/>
          <w:bCs/>
        </w:rPr>
        <w:t>STANDARD ON THE STORAGE AND HANDLING</w:t>
      </w:r>
    </w:p>
    <w:p w:rsidR="00AB03C6" w:rsidRPr="0005323E" w:rsidRDefault="00AB03C6" w:rsidP="00AB03C6">
      <w:pPr>
        <w:widowControl/>
        <w:jc w:val="center"/>
      </w:pPr>
      <w:r w:rsidRPr="0005323E">
        <w:rPr>
          <w:b/>
          <w:bCs/>
        </w:rPr>
        <w:t>OF ANHYDROUS AMMONIA (29 CFR 1910.111)</w:t>
      </w:r>
      <w:r w:rsidRPr="00B51137">
        <w:rPr>
          <w:rStyle w:val="FootnoteReference"/>
          <w:sz w:val="28"/>
          <w:szCs w:val="28"/>
          <w:vertAlign w:val="superscript"/>
        </w:rPr>
        <w:footnoteReference w:id="1"/>
      </w:r>
    </w:p>
    <w:p w:rsidR="00AB03C6" w:rsidRDefault="00AB03C6" w:rsidP="00AB03C6">
      <w:pPr>
        <w:widowControl/>
        <w:jc w:val="center"/>
        <w:rPr>
          <w:b/>
          <w:bCs/>
        </w:rPr>
      </w:pPr>
      <w:r>
        <w:rPr>
          <w:b/>
          <w:bCs/>
        </w:rPr>
        <w:t>OFFICE OF MANAGEMENT AND BUDGET</w:t>
      </w:r>
    </w:p>
    <w:p w:rsidR="00AB03C6" w:rsidRPr="0005323E" w:rsidRDefault="00AB03C6" w:rsidP="00AB03C6">
      <w:pPr>
        <w:widowControl/>
        <w:jc w:val="center"/>
      </w:pPr>
      <w:r>
        <w:rPr>
          <w:b/>
          <w:bCs/>
        </w:rPr>
        <w:t xml:space="preserve">(OMB) CONTROL NO. </w:t>
      </w:r>
      <w:r w:rsidRPr="0005323E">
        <w:rPr>
          <w:b/>
          <w:bCs/>
        </w:rPr>
        <w:t>1218-0208 (</w:t>
      </w:r>
      <w:r>
        <w:rPr>
          <w:b/>
          <w:bCs/>
        </w:rPr>
        <w:t>July 2017)</w:t>
      </w:r>
    </w:p>
    <w:p w:rsidR="00AB03C6" w:rsidRPr="0005323E" w:rsidRDefault="00AB03C6" w:rsidP="00AB03C6">
      <w:pPr>
        <w:widowControl/>
        <w:jc w:val="center"/>
      </w:pPr>
      <w:r w:rsidRPr="0005323E">
        <w:t xml:space="preserve"> </w:t>
      </w:r>
    </w:p>
    <w:p w:rsidR="00AB03C6" w:rsidRDefault="00AB03C6" w:rsidP="00AB03C6">
      <w:pPr>
        <w:widowControl/>
      </w:pPr>
    </w:p>
    <w:p w:rsidR="00AB03C6" w:rsidRDefault="00AB03C6" w:rsidP="00AB03C6">
      <w:pPr>
        <w:widowControl/>
      </w:pPr>
    </w:p>
    <w:p w:rsidR="00AB03C6" w:rsidRPr="0005323E" w:rsidRDefault="00AB03C6" w:rsidP="00AB03C6">
      <w:pPr>
        <w:widowControl/>
      </w:pPr>
      <w:r>
        <w:rPr>
          <w:b/>
          <w:bCs/>
        </w:rPr>
        <w:t xml:space="preserve">A. </w:t>
      </w:r>
      <w:r w:rsidRPr="0005323E">
        <w:rPr>
          <w:b/>
          <w:bCs/>
        </w:rPr>
        <w:t>JUSTIFICATION</w:t>
      </w:r>
    </w:p>
    <w:p w:rsidR="00AB03C6" w:rsidRPr="0005323E" w:rsidRDefault="00AB03C6" w:rsidP="00AB03C6">
      <w:pPr>
        <w:widowControl/>
      </w:pPr>
    </w:p>
    <w:p w:rsidR="00AB03C6" w:rsidRPr="0005323E" w:rsidRDefault="00AB03C6" w:rsidP="00AB03C6">
      <w:pPr>
        <w:widowControl/>
        <w:tabs>
          <w:tab w:val="left" w:pos="0"/>
        </w:tabs>
        <w:ind w:hanging="360"/>
        <w:rPr>
          <w:b/>
          <w:bCs/>
        </w:rPr>
      </w:pPr>
      <w:r>
        <w:rPr>
          <w:b/>
          <w:bCs/>
        </w:rPr>
        <w:tab/>
      </w:r>
      <w:r w:rsidRPr="0005323E">
        <w:rPr>
          <w:b/>
          <w:bCs/>
        </w:rPr>
        <w:t xml:space="preserve"> </w:t>
      </w:r>
      <w:r w:rsidRPr="0005323E">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03C6" w:rsidRPr="0005323E" w:rsidRDefault="00AB03C6" w:rsidP="00AB03C6">
      <w:pPr>
        <w:widowControl/>
      </w:pPr>
    </w:p>
    <w:p w:rsidR="00AB03C6" w:rsidRPr="0005323E" w:rsidRDefault="00AB03C6" w:rsidP="00AB03C6">
      <w:pPr>
        <w:widowControl/>
      </w:pPr>
      <w:r w:rsidRPr="0005323E">
        <w:t>The main purpose of the Occupational Safety and Health Act (OSH Act) is to “assure so far as possible every working man and woman in the Nation safe and healthful working conditions and to preserve our human resources” (29 U.S.C. 651)</w:t>
      </w:r>
      <w:r>
        <w:t>.</w:t>
      </w:r>
      <w:r w:rsidRPr="0005323E">
        <w:t xml:space="preserve">  To achieve this objective, the OSH Act specifically authorizes “the development and promulgation of occupational safety and health standards” (29 U.S.C. 651)</w:t>
      </w:r>
      <w:r>
        <w:t>.</w:t>
      </w:r>
      <w:r w:rsidRPr="0005323E">
        <w:t xml:space="preserve">  In addition, the OSH Act specifies that “[e]ach employer shall make, keep and preserve, and make available to the Secretary . . . such records . . . as the Secretary . . . may prescribe by regulation as necessary or appropriate for the enforcement of this Act . . .” (29 U.S.C. 657)</w:t>
      </w:r>
      <w:r>
        <w:t>.</w:t>
      </w:r>
    </w:p>
    <w:p w:rsidR="00AB03C6" w:rsidRDefault="00AB03C6" w:rsidP="00AB03C6">
      <w:pPr>
        <w:widowControl/>
      </w:pPr>
    </w:p>
    <w:p w:rsidR="00AB03C6" w:rsidRDefault="00AB03C6" w:rsidP="00AB03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Section 6(b</w:t>
      </w:r>
      <w:proofErr w:type="gramStart"/>
      <w:r>
        <w:t>)(</w:t>
      </w:r>
      <w:proofErr w:type="gramEnd"/>
      <w:r>
        <w:t>7) of the Act specifies that [a]</w:t>
      </w:r>
      <w:proofErr w:type="spellStart"/>
      <w:r>
        <w:t>ny</w:t>
      </w:r>
      <w:proofErr w:type="spellEnd"/>
      <w:r>
        <w:t xml:space="preserve">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AB03C6" w:rsidRPr="0005323E" w:rsidRDefault="00AB03C6" w:rsidP="00AB03C6">
      <w:pPr>
        <w:widowControl/>
      </w:pPr>
    </w:p>
    <w:p w:rsidR="00AB03C6" w:rsidRPr="0005323E" w:rsidRDefault="00AB03C6" w:rsidP="00AB03C6">
      <w:pPr>
        <w:widowControl/>
      </w:pPr>
      <w:r w:rsidRPr="0005323E">
        <w:t xml:space="preserve">Under the authority granted by the OSH Act, the Occupational Safety and Health Administration (“OSHA” or “the Agency”) published the Anhydrous Ammonia Standard (the “Standard”; 29 CFR 1910.111).  </w:t>
      </w:r>
      <w:bookmarkStart w:id="1" w:name="OLE_LINK1"/>
      <w:bookmarkStart w:id="2" w:name="OLE_LINK2"/>
      <w:r w:rsidRPr="0005323E">
        <w:t>Paragraphs (b</w:t>
      </w:r>
      <w:proofErr w:type="gramStart"/>
      <w:r w:rsidRPr="0005323E">
        <w:t>)(</w:t>
      </w:r>
      <w:proofErr w:type="gramEnd"/>
      <w:r w:rsidRPr="0005323E">
        <w:t xml:space="preserve">3) and (b)(4) of the Standard have paperwork requirements that apply to </w:t>
      </w:r>
      <w:proofErr w:type="spellStart"/>
      <w:r w:rsidRPr="0005323E">
        <w:t>nonrefrigerated</w:t>
      </w:r>
      <w:proofErr w:type="spellEnd"/>
      <w:r w:rsidRPr="0005323E">
        <w:t xml:space="preserve"> containers and systems</w:t>
      </w:r>
      <w:r>
        <w:t>,</w:t>
      </w:r>
      <w:r w:rsidRPr="0005323E">
        <w:t xml:space="preserve"> and refrigerated containers, respectively; employers use these containers and systems to store and transfer anhydrous ammonia in the workplace</w:t>
      </w:r>
      <w:bookmarkEnd w:id="1"/>
      <w:bookmarkEnd w:id="2"/>
      <w:r w:rsidRPr="0005323E">
        <w:t>.</w:t>
      </w:r>
    </w:p>
    <w:p w:rsidR="00AB03C6" w:rsidRPr="0005323E" w:rsidRDefault="00AB03C6" w:rsidP="00AB03C6">
      <w:pPr>
        <w:widowControl/>
      </w:pPr>
    </w:p>
    <w:p w:rsidR="00AB03C6" w:rsidRPr="0005323E" w:rsidRDefault="00AB03C6" w:rsidP="00AB03C6">
      <w:pPr>
        <w:widowControl/>
        <w:rPr>
          <w:b/>
          <w:bCs/>
        </w:rPr>
      </w:pPr>
      <w:r>
        <w:rPr>
          <w:b/>
          <w:bCs/>
          <w:sz w:val="20"/>
          <w:szCs w:val="20"/>
        </w:rPr>
        <w:t xml:space="preserve"> </w:t>
      </w:r>
      <w:r w:rsidRPr="0005323E">
        <w:rPr>
          <w:b/>
          <w:bCs/>
          <w:sz w:val="20"/>
          <w:szCs w:val="20"/>
        </w:rPr>
        <w:t>2.  Indicate how, by whom, and for what purpose the information is to be used.  Except for a new collection, indicate the actual use the Agency has made of the information received from the current collection.</w:t>
      </w:r>
    </w:p>
    <w:p w:rsidR="00AB03C6" w:rsidRPr="0005323E" w:rsidRDefault="00AB03C6" w:rsidP="00AB03C6">
      <w:pPr>
        <w:widowControl/>
      </w:pPr>
    </w:p>
    <w:p w:rsidR="00AB03C6" w:rsidRPr="0005323E" w:rsidRDefault="00AB03C6" w:rsidP="00AB03C6">
      <w:pPr>
        <w:widowControl/>
      </w:pPr>
      <w:r w:rsidRPr="0005323E">
        <w:t>Paragraph (b</w:t>
      </w:r>
      <w:proofErr w:type="gramStart"/>
      <w:r w:rsidRPr="0005323E">
        <w:t>)(</w:t>
      </w:r>
      <w:proofErr w:type="gramEnd"/>
      <w:r w:rsidRPr="0005323E">
        <w:t xml:space="preserve">3) of the Standard specifies that </w:t>
      </w:r>
      <w:r>
        <w:t xml:space="preserve">containers and </w:t>
      </w:r>
      <w:r w:rsidRPr="0005323E">
        <w:t xml:space="preserve">systems have nameplates if required, and that these nameplates “be permanently attached to the system </w:t>
      </w:r>
      <w:r>
        <w:t>(as specified by paragraph (b)(3)(ii)(</w:t>
      </w:r>
      <w:r w:rsidRPr="00950FAA">
        <w:rPr>
          <w:i/>
        </w:rPr>
        <w:t>j</w:t>
      </w:r>
      <w:r>
        <w:t xml:space="preserve">)) </w:t>
      </w:r>
      <w:r w:rsidRPr="0005323E">
        <w:t xml:space="preserve">so as to be readily accessible for inspection . . . .”  In addition, this paragraph requires that markings on containers and systems covered by paragraphs (c) (“Systems utilizing stationary, </w:t>
      </w:r>
      <w:proofErr w:type="spellStart"/>
      <w:r w:rsidRPr="0005323E">
        <w:t>nonrefrigerated</w:t>
      </w:r>
      <w:proofErr w:type="spellEnd"/>
      <w:r w:rsidRPr="0005323E">
        <w:t xml:space="preserve"> storage containers”), (f) (“Tank motor vehicles for the transportation of ammonia”), (g) (“Systems mounted on farm vehicles other than for the application of ammonia”), and (h) (“Systems mounted on farm vehicles for the application of ammonia”) provide information regarding nine specific characteristics of the containers and systems.  Similarly, paragraph (b</w:t>
      </w:r>
      <w:proofErr w:type="gramStart"/>
      <w:r w:rsidRPr="0005323E">
        <w:t>)(</w:t>
      </w:r>
      <w:proofErr w:type="gramEnd"/>
      <w:r w:rsidRPr="0005323E">
        <w:t xml:space="preserve">4) of the Standard specifies that </w:t>
      </w:r>
      <w:r>
        <w:t xml:space="preserve">refrigerated containers be marked with a nameplate on the outer covering in an accessible place which provides </w:t>
      </w:r>
      <w:r w:rsidRPr="0005323E">
        <w:t xml:space="preserve">information regarding </w:t>
      </w:r>
      <w:r>
        <w:t>eight</w:t>
      </w:r>
      <w:r w:rsidRPr="0005323E">
        <w:t xml:space="preserve"> specific characteristics of the container</w:t>
      </w:r>
      <w:r>
        <w:t>.</w:t>
      </w:r>
    </w:p>
    <w:p w:rsidR="00AB03C6" w:rsidRPr="0005323E" w:rsidRDefault="00AB03C6" w:rsidP="00AB03C6">
      <w:pPr>
        <w:widowControl/>
      </w:pPr>
    </w:p>
    <w:p w:rsidR="00AB03C6" w:rsidRPr="0005323E" w:rsidRDefault="00AB03C6" w:rsidP="00AB03C6">
      <w:pPr>
        <w:widowControl/>
      </w:pPr>
      <w:r w:rsidRPr="0005323E">
        <w:t>The required markings ensure that employers use only properly designed and tested containers and systems to store anhydrous ammonia, thereby</w:t>
      </w:r>
      <w:r>
        <w:t>,</w:t>
      </w:r>
      <w:r w:rsidRPr="0005323E">
        <w:t xml:space="preserve"> preventing accidental rele</w:t>
      </w:r>
      <w:r>
        <w:t>ase of, and exposure of worker</w:t>
      </w:r>
      <w:r w:rsidRPr="0005323E">
        <w:t>s to, this highly toxic and corrosive substance.</w:t>
      </w:r>
    </w:p>
    <w:p w:rsidR="00AB03C6" w:rsidRPr="0005323E" w:rsidRDefault="00AB03C6" w:rsidP="00AB03C6">
      <w:pPr>
        <w:widowControl/>
      </w:pPr>
    </w:p>
    <w:p w:rsidR="00AB03C6" w:rsidRPr="0005323E" w:rsidRDefault="00AB03C6" w:rsidP="00AB03C6">
      <w:pPr>
        <w:widowControl/>
        <w:tabs>
          <w:tab w:val="decimal" w:pos="0"/>
        </w:tabs>
        <w:ind w:hanging="270"/>
      </w:pPr>
      <w:r>
        <w:rPr>
          <w:b/>
          <w:bCs/>
          <w:sz w:val="20"/>
          <w:szCs w:val="20"/>
        </w:rPr>
        <w:tab/>
        <w:t xml:space="preserve">      </w:t>
      </w:r>
      <w:r w:rsidRPr="0005323E">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3C6" w:rsidRPr="0005323E" w:rsidRDefault="00AB03C6" w:rsidP="00AB03C6">
      <w:pPr>
        <w:widowControl/>
        <w:rPr>
          <w:sz w:val="20"/>
          <w:szCs w:val="20"/>
        </w:rPr>
      </w:pPr>
    </w:p>
    <w:p w:rsidR="00AB03C6" w:rsidRPr="0005323E" w:rsidRDefault="00AB03C6" w:rsidP="00AB03C6">
      <w:pPr>
        <w:widowControl/>
      </w:pPr>
      <w:r w:rsidRPr="0005323E">
        <w:t>Employers may use any available technology to provide the required information.</w:t>
      </w:r>
    </w:p>
    <w:p w:rsidR="00AB03C6" w:rsidRPr="0005323E" w:rsidRDefault="00AB03C6" w:rsidP="00AB03C6">
      <w:pPr>
        <w:widowControl/>
      </w:pPr>
    </w:p>
    <w:p w:rsidR="00AB03C6" w:rsidRPr="0005323E" w:rsidRDefault="00AB03C6" w:rsidP="00AB03C6">
      <w:pPr>
        <w:widowControl/>
      </w:pPr>
      <w:r>
        <w:rPr>
          <w:b/>
          <w:bCs/>
          <w:sz w:val="20"/>
          <w:szCs w:val="20"/>
        </w:rPr>
        <w:t xml:space="preserve"> </w:t>
      </w:r>
      <w:r w:rsidRPr="0005323E">
        <w:rPr>
          <w:b/>
          <w:bCs/>
          <w:sz w:val="20"/>
          <w:szCs w:val="20"/>
        </w:rPr>
        <w:t xml:space="preserve">4.  Describe efforts to identify duplication.  Show specifically why any similar information already available cannot be used or modified for use for the purposes described in Item </w:t>
      </w:r>
      <w:r>
        <w:rPr>
          <w:b/>
          <w:bCs/>
          <w:sz w:val="20"/>
          <w:szCs w:val="20"/>
        </w:rPr>
        <w:t>A.</w:t>
      </w:r>
      <w:r w:rsidRPr="0005323E">
        <w:rPr>
          <w:b/>
          <w:bCs/>
          <w:sz w:val="20"/>
          <w:szCs w:val="20"/>
        </w:rPr>
        <w:t>2 above.</w:t>
      </w:r>
    </w:p>
    <w:p w:rsidR="00AB03C6" w:rsidRPr="0005323E" w:rsidRDefault="00AB03C6" w:rsidP="00AB03C6">
      <w:pPr>
        <w:widowControl/>
      </w:pPr>
    </w:p>
    <w:p w:rsidR="00AB03C6" w:rsidRPr="0005323E" w:rsidRDefault="00AB03C6" w:rsidP="00AB03C6">
      <w:pPr>
        <w:widowControl/>
      </w:pPr>
      <w:r w:rsidRPr="0005323E">
        <w:t>The information</w:t>
      </w:r>
      <w:r>
        <w:t xml:space="preserve"> </w:t>
      </w:r>
      <w:r w:rsidRPr="0005323E">
        <w:t>collection requirements in the Standard are specific to each employer involved and no other source or agency duplicates these requirements or can make the required information available to OSHA (i.e., the required information is available only from employers).</w:t>
      </w:r>
    </w:p>
    <w:p w:rsidR="00AB03C6" w:rsidRPr="0005323E" w:rsidRDefault="00AB03C6" w:rsidP="00AB03C6">
      <w:pPr>
        <w:widowControl/>
      </w:pPr>
    </w:p>
    <w:p w:rsidR="00AB03C6" w:rsidRPr="0005323E" w:rsidRDefault="00AB03C6" w:rsidP="00AB03C6">
      <w:pPr>
        <w:widowControl/>
        <w:tabs>
          <w:tab w:val="decimal" w:pos="0"/>
        </w:tabs>
        <w:ind w:hanging="270"/>
      </w:pPr>
      <w:r>
        <w:rPr>
          <w:b/>
          <w:bCs/>
          <w:sz w:val="20"/>
          <w:szCs w:val="20"/>
        </w:rPr>
        <w:tab/>
        <w:t xml:space="preserve">      </w:t>
      </w:r>
      <w:r w:rsidRPr="0005323E">
        <w:rPr>
          <w:b/>
          <w:bCs/>
          <w:sz w:val="20"/>
          <w:szCs w:val="20"/>
        </w:rPr>
        <w:t>5.  If the collection of information impacts small businesses or other small entities, describe any methods used to minimize burden.</w:t>
      </w:r>
    </w:p>
    <w:p w:rsidR="00AB03C6" w:rsidRPr="0005323E" w:rsidRDefault="00AB03C6" w:rsidP="00AB03C6">
      <w:pPr>
        <w:widowControl/>
      </w:pPr>
    </w:p>
    <w:p w:rsidR="00AB03C6" w:rsidRPr="0005323E" w:rsidRDefault="00AB03C6" w:rsidP="00AB03C6">
      <w:pPr>
        <w:widowControl/>
      </w:pPr>
      <w:r w:rsidRPr="0005323E">
        <w:t>The information</w:t>
      </w:r>
      <w:r>
        <w:t xml:space="preserve"> </w:t>
      </w:r>
      <w:r w:rsidRPr="0005323E">
        <w:t>collection requirements specified by the Standard do not have a significant impact on a substantial number of small entities.</w:t>
      </w:r>
    </w:p>
    <w:p w:rsidR="00AB03C6" w:rsidRPr="0005323E" w:rsidRDefault="00AB03C6" w:rsidP="00AB03C6">
      <w:pPr>
        <w:widowControl/>
      </w:pPr>
    </w:p>
    <w:p w:rsidR="00AB03C6" w:rsidRPr="0005323E" w:rsidRDefault="00AB03C6" w:rsidP="00AB03C6">
      <w:pPr>
        <w:widowControl/>
      </w:pPr>
      <w:r>
        <w:rPr>
          <w:b/>
          <w:bCs/>
          <w:sz w:val="20"/>
          <w:szCs w:val="20"/>
        </w:rPr>
        <w:t xml:space="preserve"> </w:t>
      </w:r>
      <w:r w:rsidRPr="0005323E">
        <w:rPr>
          <w:b/>
          <w:bCs/>
          <w:sz w:val="20"/>
          <w:szCs w:val="20"/>
        </w:rPr>
        <w:t>6.  Describe the consequence to Federal program or policy activities if the collection is not conducted or is conducted less frequently, as well as any technical or legal obstacles to reducing burden.</w:t>
      </w:r>
    </w:p>
    <w:p w:rsidR="00AB03C6" w:rsidRPr="0005323E" w:rsidRDefault="00AB03C6" w:rsidP="00AB03C6">
      <w:pPr>
        <w:widowControl/>
      </w:pPr>
    </w:p>
    <w:p w:rsidR="00AB03C6" w:rsidRPr="0005323E" w:rsidRDefault="00AB03C6" w:rsidP="00AB03C6">
      <w:pPr>
        <w:widowControl/>
      </w:pPr>
      <w:r w:rsidRPr="0005323E">
        <w:t>Employers need to collect the required information only if it becomes unreadable because of equipment damage or use, or because it no longer represents the operational characteristics of the equipment.  Any reduction in frequency would eliminate the requirements entirely.</w:t>
      </w:r>
    </w:p>
    <w:p w:rsidR="00AB03C6" w:rsidRPr="0005323E" w:rsidRDefault="00AB03C6" w:rsidP="00AB03C6">
      <w:pPr>
        <w:widowControl/>
      </w:pPr>
    </w:p>
    <w:p w:rsidR="00AB03C6" w:rsidRDefault="00AB03C6" w:rsidP="00AB03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05323E">
        <w:rPr>
          <w:b/>
          <w:bCs/>
          <w:sz w:val="20"/>
          <w:szCs w:val="20"/>
        </w:rPr>
        <w:lastRenderedPageBreak/>
        <w:t xml:space="preserve"> </w:t>
      </w:r>
      <w:r>
        <w:rPr>
          <w:b/>
          <w:bCs/>
          <w:sz w:val="20"/>
          <w:szCs w:val="20"/>
        </w:rPr>
        <w:t xml:space="preserve"> 7.  Explain any special circumstances that would cause an information collection to be conducted in a manner:</w:t>
      </w:r>
    </w:p>
    <w:p w:rsidR="00AB03C6" w:rsidRDefault="00AB03C6" w:rsidP="00AB03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B03C6" w:rsidRDefault="00AB03C6" w:rsidP="00AB03C6">
      <w:pPr>
        <w:widowControl/>
        <w:numPr>
          <w:ilvl w:val="0"/>
          <w:numId w:val="2"/>
        </w:numPr>
        <w:tabs>
          <w:tab w:val="left" w:pos="-1080"/>
          <w:tab w:val="left" w:pos="-720"/>
          <w:tab w:val="left" w:pos="0"/>
          <w:tab w:val="left" w:pos="990"/>
          <w:tab w:val="left" w:pos="2160"/>
        </w:tabs>
        <w:rPr>
          <w:b/>
          <w:bCs/>
          <w:sz w:val="20"/>
          <w:szCs w:val="20"/>
        </w:rPr>
      </w:pPr>
      <w:r>
        <w:rPr>
          <w:b/>
          <w:bCs/>
          <w:sz w:val="20"/>
          <w:szCs w:val="20"/>
        </w:rPr>
        <w:t>Requiring respondents to report information to the agency more often than quarterly;</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Requiring respondents to prepare a written response to a collection of information in fewer than 30 days after receipt of it;</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Requiring respondents to submit more than an original and two copies of any document;</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Requiring respondents to retain records, other than health, medical, government contract, grant-in-aid, or tax records for more than three years;</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In connection with a statistical survey that is not designed to produce valid and reliable results that can be generalized to the universe of study;</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Requiring the use of statistical data classification that has not been reviewed and approved by OMB;</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b/>
          <w:bCs/>
          <w:sz w:val="20"/>
          <w:szCs w:val="20"/>
        </w:rPr>
      </w:pPr>
      <w:r>
        <w:rPr>
          <w:b/>
          <w:bCs/>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pStyle w:val="Level1"/>
        <w:widowControl/>
        <w:numPr>
          <w:ilvl w:val="0"/>
          <w:numId w:val="2"/>
        </w:numPr>
        <w:tabs>
          <w:tab w:val="left" w:pos="-1080"/>
          <w:tab w:val="left" w:pos="-720"/>
          <w:tab w:val="left" w:pos="0"/>
          <w:tab w:val="left" w:pos="990"/>
          <w:tab w:val="left" w:pos="2160"/>
        </w:tabs>
        <w:outlineLvl w:val="9"/>
        <w:rPr>
          <w:sz w:val="20"/>
          <w:szCs w:val="20"/>
        </w:rPr>
      </w:pPr>
      <w:r>
        <w:rPr>
          <w:b/>
          <w:bCs/>
          <w:sz w:val="20"/>
          <w:szCs w:val="20"/>
        </w:rPr>
        <w:t>Requiring respondents to submit proprietary trade secret, or other confidential information unless the agency can prove that it has instituted procedures to protect the information's confidentially to the extent permitted by law.</w:t>
      </w:r>
    </w:p>
    <w:p w:rsidR="00AB03C6" w:rsidRDefault="00AB03C6" w:rsidP="00AB03C6">
      <w:pPr>
        <w:widowControl/>
        <w:tabs>
          <w:tab w:val="left" w:pos="-1080"/>
          <w:tab w:val="left" w:pos="-720"/>
          <w:tab w:val="left" w:pos="0"/>
          <w:tab w:val="left" w:pos="720"/>
          <w:tab w:val="left" w:pos="990"/>
          <w:tab w:val="left" w:pos="2160"/>
        </w:tabs>
        <w:rPr>
          <w:sz w:val="20"/>
          <w:szCs w:val="20"/>
        </w:rPr>
      </w:pPr>
    </w:p>
    <w:p w:rsidR="00AB03C6" w:rsidRDefault="00AB03C6" w:rsidP="00AB03C6">
      <w:pPr>
        <w:widowControl/>
        <w:tabs>
          <w:tab w:val="left" w:pos="-1080"/>
          <w:tab w:val="left" w:pos="-720"/>
          <w:tab w:val="left" w:pos="0"/>
          <w:tab w:val="left" w:pos="720"/>
          <w:tab w:val="left" w:pos="990"/>
          <w:tab w:val="left" w:pos="2160"/>
        </w:tabs>
      </w:pPr>
      <w:r>
        <w:t>No special circumstances exist that require employers to collect information using the procedures specified by this item.  The requirements are within the guidelines set forth in 5 CFR 1320.5.</w:t>
      </w:r>
    </w:p>
    <w:p w:rsidR="00AB03C6" w:rsidRDefault="00AB03C6" w:rsidP="00AB03C6">
      <w:pPr>
        <w:widowControl/>
        <w:tabs>
          <w:tab w:val="left" w:pos="-1080"/>
          <w:tab w:val="left" w:pos="-720"/>
          <w:tab w:val="left" w:pos="0"/>
          <w:tab w:val="left" w:pos="720"/>
          <w:tab w:val="left" w:pos="990"/>
          <w:tab w:val="left" w:pos="2160"/>
        </w:tabs>
        <w:rPr>
          <w:sz w:val="20"/>
          <w:szCs w:val="20"/>
        </w:rPr>
      </w:pPr>
    </w:p>
    <w:p w:rsidR="00AB03C6" w:rsidRDefault="00AB03C6" w:rsidP="00AB03C6">
      <w:pPr>
        <w:widowControl/>
        <w:tabs>
          <w:tab w:val="left" w:pos="-1080"/>
          <w:tab w:val="left" w:pos="-720"/>
          <w:tab w:val="left" w:pos="0"/>
          <w:tab w:val="left" w:pos="720"/>
          <w:tab w:val="left" w:pos="990"/>
          <w:tab w:val="left" w:pos="2160"/>
        </w:tabs>
        <w:rPr>
          <w:b/>
          <w:bCs/>
          <w:sz w:val="20"/>
          <w:szCs w:val="20"/>
        </w:rPr>
      </w:pPr>
      <w:r>
        <w:rPr>
          <w:b/>
          <w:bCs/>
          <w:sz w:val="20"/>
          <w:szCs w:val="20"/>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AB03C6" w:rsidRDefault="00AB03C6" w:rsidP="00AB03C6">
      <w:pPr>
        <w:widowControl/>
        <w:tabs>
          <w:tab w:val="left" w:pos="-1080"/>
          <w:tab w:val="left" w:pos="-720"/>
          <w:tab w:val="left" w:pos="0"/>
          <w:tab w:val="left" w:pos="720"/>
          <w:tab w:val="left" w:pos="990"/>
          <w:tab w:val="left" w:pos="2160"/>
        </w:tabs>
        <w:ind w:left="720"/>
        <w:rPr>
          <w:b/>
          <w:bCs/>
          <w:sz w:val="20"/>
          <w:szCs w:val="20"/>
        </w:rPr>
      </w:pPr>
    </w:p>
    <w:p w:rsidR="00AB03C6" w:rsidRDefault="00AB03C6" w:rsidP="00AB03C6">
      <w:pPr>
        <w:widowControl/>
        <w:tabs>
          <w:tab w:val="left" w:pos="-1080"/>
          <w:tab w:val="left" w:pos="-720"/>
          <w:tab w:val="left" w:pos="0"/>
          <w:tab w:val="left" w:pos="720"/>
          <w:tab w:val="left" w:pos="990"/>
          <w:tab w:val="left" w:pos="216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AB03C6" w:rsidRDefault="00AB03C6" w:rsidP="00AB03C6">
      <w:pPr>
        <w:widowControl/>
        <w:tabs>
          <w:tab w:val="left" w:pos="-1080"/>
          <w:tab w:val="left" w:pos="-720"/>
          <w:tab w:val="left" w:pos="0"/>
          <w:tab w:val="left" w:pos="720"/>
          <w:tab w:val="left" w:pos="990"/>
          <w:tab w:val="left" w:pos="2160"/>
        </w:tabs>
        <w:rPr>
          <w:b/>
          <w:bCs/>
          <w:sz w:val="20"/>
          <w:szCs w:val="20"/>
        </w:rPr>
      </w:pPr>
    </w:p>
    <w:p w:rsidR="00AB03C6" w:rsidRDefault="00AB03C6" w:rsidP="00AB03C6">
      <w:pPr>
        <w:widowControl/>
        <w:tabs>
          <w:tab w:val="left" w:pos="-1080"/>
          <w:tab w:val="left" w:pos="-720"/>
          <w:tab w:val="left" w:pos="0"/>
          <w:tab w:val="left" w:pos="720"/>
          <w:tab w:val="left" w:pos="990"/>
          <w:tab w:val="left" w:pos="2160"/>
        </w:tabs>
        <w:rPr>
          <w:b/>
          <w:bCs/>
          <w:sz w:val="20"/>
          <w:szCs w:val="20"/>
        </w:rPr>
      </w:pPr>
      <w:r>
        <w:rPr>
          <w:b/>
          <w:bCs/>
          <w:sz w:val="20"/>
          <w:szCs w:val="20"/>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proofErr w:type="gramStart"/>
      <w:r>
        <w:rPr>
          <w:b/>
          <w:bCs/>
          <w:sz w:val="20"/>
          <w:szCs w:val="20"/>
        </w:rPr>
        <w:t>mitigate</w:t>
      </w:r>
      <w:proofErr w:type="gramEnd"/>
      <w:r>
        <w:rPr>
          <w:b/>
          <w:bCs/>
          <w:sz w:val="20"/>
          <w:szCs w:val="20"/>
        </w:rPr>
        <w:t xml:space="preserve"> against consultation in a specific situation.  These circumstances should be explained.</w:t>
      </w:r>
    </w:p>
    <w:p w:rsidR="00AB03C6" w:rsidRDefault="00C03006" w:rsidP="00C2776C">
      <w:pPr>
        <w:adjustRightInd/>
        <w:spacing w:before="288"/>
      </w:pPr>
      <w:r>
        <w:rPr>
          <w:spacing w:val="-4"/>
        </w:rPr>
        <w:t>Pursuant to the Paperwork Reduction Act of 1995 (44 U.S.C. 3506(c</w:t>
      </w:r>
      <w:proofErr w:type="gramStart"/>
      <w:r>
        <w:rPr>
          <w:spacing w:val="-4"/>
        </w:rPr>
        <w:t>)(</w:t>
      </w:r>
      <w:proofErr w:type="gramEnd"/>
      <w:r>
        <w:rPr>
          <w:spacing w:val="-4"/>
        </w:rPr>
        <w:t xml:space="preserve">2)(A)), OSHA published a </w:t>
      </w:r>
      <w:r>
        <w:rPr>
          <w:spacing w:val="-2"/>
        </w:rPr>
        <w:t xml:space="preserve">notice in the </w:t>
      </w:r>
      <w:r>
        <w:rPr>
          <w:i/>
          <w:iCs/>
          <w:spacing w:val="-2"/>
          <w:u w:val="single"/>
        </w:rPr>
        <w:t>Federal</w:t>
      </w:r>
      <w:r>
        <w:rPr>
          <w:i/>
          <w:iCs/>
          <w:spacing w:val="-2"/>
        </w:rPr>
        <w:t xml:space="preserve"> </w:t>
      </w:r>
      <w:r>
        <w:rPr>
          <w:i/>
          <w:iCs/>
          <w:spacing w:val="-2"/>
          <w:u w:val="single"/>
        </w:rPr>
        <w:t>Registe</w:t>
      </w:r>
      <w:r>
        <w:rPr>
          <w:i/>
          <w:iCs/>
          <w:spacing w:val="-2"/>
        </w:rPr>
        <w:t xml:space="preserve">r </w:t>
      </w:r>
      <w:r>
        <w:rPr>
          <w:spacing w:val="-2"/>
        </w:rPr>
        <w:t>on April 25, 2017</w:t>
      </w:r>
      <w:r w:rsidR="00035921">
        <w:rPr>
          <w:spacing w:val="-2"/>
        </w:rPr>
        <w:t xml:space="preserve"> (82</w:t>
      </w:r>
      <w:r>
        <w:rPr>
          <w:spacing w:val="-2"/>
        </w:rPr>
        <w:t xml:space="preserve"> FR </w:t>
      </w:r>
      <w:r w:rsidR="00035921">
        <w:rPr>
          <w:spacing w:val="-2"/>
        </w:rPr>
        <w:t>19087</w:t>
      </w:r>
      <w:r>
        <w:rPr>
          <w:spacing w:val="-2"/>
        </w:rPr>
        <w:t xml:space="preserve">) soliciting comments on its </w:t>
      </w:r>
      <w:r>
        <w:rPr>
          <w:spacing w:val="4"/>
        </w:rPr>
        <w:t xml:space="preserve">proposal to extend the Office of Management and Budget’s approval of the information collection requirements specified by the </w:t>
      </w:r>
      <w:r>
        <w:rPr>
          <w:rFonts w:eastAsia="Batang"/>
        </w:rPr>
        <w:t>Standard on the Storage  and Handling of Anhydrous</w:t>
      </w:r>
      <w:r>
        <w:rPr>
          <w:spacing w:val="4"/>
        </w:rPr>
        <w:t xml:space="preserve"> (29 CFR part 1910.111)</w:t>
      </w:r>
      <w:r w:rsidR="000407F8">
        <w:rPr>
          <w:spacing w:val="4"/>
        </w:rPr>
        <w:t xml:space="preserve"> under Docket Number OSHA-2010-0050-0006</w:t>
      </w:r>
      <w:r>
        <w:rPr>
          <w:spacing w:val="4"/>
        </w:rPr>
        <w:t xml:space="preserve">. </w:t>
      </w:r>
      <w:r>
        <w:rPr>
          <w:spacing w:val="-4"/>
        </w:rPr>
        <w:t xml:space="preserve">This notice was part of a preclearance consultation program that provided the general public and </w:t>
      </w:r>
      <w:r>
        <w:rPr>
          <w:spacing w:val="4"/>
        </w:rPr>
        <w:t xml:space="preserve">government agencies with an opportunity to comment. The Agency did not receive any </w:t>
      </w:r>
      <w:r>
        <w:t xml:space="preserve">comments in response to </w:t>
      </w:r>
      <w:r>
        <w:lastRenderedPageBreak/>
        <w:t>this notice.</w:t>
      </w:r>
    </w:p>
    <w:p w:rsidR="00C2776C" w:rsidRPr="00C2776C" w:rsidRDefault="00C2776C" w:rsidP="00C2776C">
      <w:pPr>
        <w:adjustRightInd/>
        <w:spacing w:before="288"/>
      </w:pPr>
    </w:p>
    <w:p w:rsidR="00AB03C6" w:rsidRPr="0005323E" w:rsidRDefault="00C2776C" w:rsidP="00AB03C6">
      <w:pPr>
        <w:widowControl/>
        <w:tabs>
          <w:tab w:val="left" w:pos="90"/>
        </w:tabs>
        <w:ind w:hanging="90"/>
      </w:pPr>
      <w:r>
        <w:rPr>
          <w:b/>
          <w:bCs/>
          <w:sz w:val="20"/>
          <w:szCs w:val="20"/>
        </w:rPr>
        <w:t xml:space="preserve">  </w:t>
      </w:r>
      <w:r w:rsidR="00AB03C6">
        <w:rPr>
          <w:b/>
          <w:bCs/>
          <w:sz w:val="20"/>
          <w:szCs w:val="20"/>
        </w:rPr>
        <w:t>9</w:t>
      </w:r>
      <w:r w:rsidR="00AB03C6" w:rsidRPr="0005323E">
        <w:rPr>
          <w:b/>
          <w:bCs/>
          <w:sz w:val="20"/>
          <w:szCs w:val="20"/>
        </w:rPr>
        <w:t xml:space="preserve">.  Explain any decision to provide any payment or gift to respondents, other than </w:t>
      </w:r>
      <w:proofErr w:type="spellStart"/>
      <w:r w:rsidR="00AB03C6" w:rsidRPr="0005323E">
        <w:rPr>
          <w:b/>
          <w:bCs/>
          <w:sz w:val="20"/>
          <w:szCs w:val="20"/>
        </w:rPr>
        <w:t>reenumeration</w:t>
      </w:r>
      <w:proofErr w:type="spellEnd"/>
      <w:r w:rsidR="00AB03C6" w:rsidRPr="0005323E">
        <w:rPr>
          <w:b/>
          <w:bCs/>
          <w:sz w:val="20"/>
          <w:szCs w:val="20"/>
        </w:rPr>
        <w:t xml:space="preserve"> of contractors or grantees.</w:t>
      </w:r>
    </w:p>
    <w:p w:rsidR="00AB03C6" w:rsidRPr="0005323E" w:rsidRDefault="00AB03C6" w:rsidP="00AB03C6">
      <w:pPr>
        <w:widowControl/>
        <w:ind w:left="-90"/>
      </w:pPr>
    </w:p>
    <w:p w:rsidR="00AB03C6" w:rsidRPr="0005323E" w:rsidRDefault="00AB03C6" w:rsidP="00AB03C6">
      <w:pPr>
        <w:widowControl/>
      </w:pPr>
      <w:r w:rsidRPr="0005323E">
        <w:t xml:space="preserve">The Agency will </w:t>
      </w:r>
      <w:r w:rsidRPr="0005323E">
        <w:rPr>
          <w:u w:val="single"/>
        </w:rPr>
        <w:t>not</w:t>
      </w:r>
      <w:r w:rsidRPr="0005323E">
        <w:t xml:space="preserve"> provide payments or gifts to the respondents.</w:t>
      </w:r>
    </w:p>
    <w:p w:rsidR="00AB03C6" w:rsidRDefault="00AB03C6" w:rsidP="00AB03C6">
      <w:pPr>
        <w:widowControl/>
        <w:ind w:left="360" w:hanging="360"/>
        <w:rPr>
          <w:b/>
          <w:bCs/>
          <w:sz w:val="20"/>
          <w:szCs w:val="20"/>
        </w:rPr>
      </w:pPr>
    </w:p>
    <w:p w:rsidR="00AB03C6" w:rsidRPr="0005323E" w:rsidRDefault="00AB03C6" w:rsidP="00AB03C6">
      <w:pPr>
        <w:widowControl/>
        <w:ind w:hanging="90"/>
      </w:pPr>
      <w:r>
        <w:rPr>
          <w:b/>
          <w:bCs/>
          <w:sz w:val="20"/>
          <w:szCs w:val="20"/>
        </w:rPr>
        <w:t xml:space="preserve"> </w:t>
      </w:r>
      <w:r w:rsidRPr="0005323E">
        <w:rPr>
          <w:b/>
          <w:bCs/>
          <w:sz w:val="20"/>
          <w:szCs w:val="20"/>
        </w:rPr>
        <w:t>10.  Describe any assurance of confidentiality provided to respondents and</w:t>
      </w:r>
      <w:r>
        <w:rPr>
          <w:b/>
          <w:bCs/>
          <w:sz w:val="20"/>
          <w:szCs w:val="20"/>
        </w:rPr>
        <w:t xml:space="preserve"> the basis for the assurance in </w:t>
      </w:r>
      <w:r w:rsidRPr="0005323E">
        <w:rPr>
          <w:b/>
          <w:bCs/>
          <w:sz w:val="20"/>
          <w:szCs w:val="20"/>
        </w:rPr>
        <w:t>statute, regulation, or agency policy.</w:t>
      </w:r>
    </w:p>
    <w:p w:rsidR="00AB03C6" w:rsidRPr="0005323E" w:rsidRDefault="00AB03C6" w:rsidP="00AB03C6">
      <w:pPr>
        <w:widowControl/>
      </w:pPr>
    </w:p>
    <w:p w:rsidR="00AB03C6" w:rsidRPr="0005323E" w:rsidRDefault="00AB03C6" w:rsidP="00AB03C6">
      <w:pPr>
        <w:widowControl/>
      </w:pPr>
      <w:r w:rsidRPr="0005323E">
        <w:t>The paperwork requirements specified by the Standard do not involve confidential information.</w:t>
      </w:r>
    </w:p>
    <w:p w:rsidR="00AB03C6" w:rsidRPr="0005323E" w:rsidRDefault="00AB03C6" w:rsidP="00AB03C6">
      <w:pPr>
        <w:widowControl/>
      </w:pPr>
    </w:p>
    <w:p w:rsidR="00AB03C6" w:rsidRPr="0005323E" w:rsidRDefault="00AB03C6" w:rsidP="00AB03C6">
      <w:pPr>
        <w:widowControl/>
      </w:pPr>
      <w:r w:rsidRPr="0005323E">
        <w:rPr>
          <w:b/>
          <w:bCs/>
          <w:sz w:val="20"/>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AB03C6" w:rsidRPr="0005323E" w:rsidRDefault="00AB03C6" w:rsidP="00AB03C6">
      <w:pPr>
        <w:widowControl/>
      </w:pPr>
    </w:p>
    <w:p w:rsidR="00AB03C6" w:rsidRPr="0005323E" w:rsidRDefault="00AB03C6" w:rsidP="00AB03C6">
      <w:pPr>
        <w:widowControl/>
      </w:pPr>
      <w:r w:rsidRPr="0005323E">
        <w:t>The paperwork requirements specified by the Standard do not involve sensitive information.</w:t>
      </w:r>
    </w:p>
    <w:p w:rsidR="00AB03C6" w:rsidRPr="0005323E" w:rsidRDefault="00AB03C6" w:rsidP="00AB03C6">
      <w:pPr>
        <w:widowControl/>
      </w:pPr>
    </w:p>
    <w:p w:rsidR="00AB03C6" w:rsidRPr="0005323E" w:rsidRDefault="00AB03C6" w:rsidP="00AB03C6">
      <w:pPr>
        <w:widowControl/>
        <w:rPr>
          <w:b/>
          <w:bCs/>
          <w:sz w:val="20"/>
          <w:szCs w:val="20"/>
        </w:rPr>
      </w:pPr>
      <w:r w:rsidRPr="0005323E">
        <w:rPr>
          <w:b/>
          <w:bCs/>
          <w:sz w:val="20"/>
          <w:szCs w:val="20"/>
        </w:rPr>
        <w:t>12.  Provide estimates of the hour burden of the collection of information.  The statement should:</w:t>
      </w:r>
    </w:p>
    <w:p w:rsidR="00AB03C6" w:rsidRPr="0005323E" w:rsidRDefault="00AB03C6" w:rsidP="00AB03C6">
      <w:pPr>
        <w:widowControl/>
        <w:rPr>
          <w:b/>
          <w:bCs/>
          <w:sz w:val="20"/>
          <w:szCs w:val="20"/>
        </w:rPr>
      </w:pPr>
    </w:p>
    <w:p w:rsidR="00AB03C6" w:rsidRPr="0005323E" w:rsidRDefault="00AB03C6" w:rsidP="00AB03C6">
      <w:pPr>
        <w:widowControl/>
        <w:ind w:left="450" w:hanging="450"/>
        <w:rPr>
          <w:b/>
          <w:bCs/>
          <w:sz w:val="20"/>
          <w:szCs w:val="20"/>
        </w:rPr>
      </w:pPr>
      <w:r w:rsidRPr="0005323E">
        <w:rPr>
          <w:b/>
          <w:bCs/>
          <w:sz w:val="20"/>
          <w:szCs w:val="20"/>
        </w:rPr>
        <w:t xml:space="preserve">     </w:t>
      </w:r>
      <w:proofErr w:type="gramStart"/>
      <w:r w:rsidRPr="0005323E">
        <w:rPr>
          <w:b/>
          <w:bCs/>
          <w:sz w:val="20"/>
          <w:szCs w:val="20"/>
        </w:rPr>
        <w:t>·  Indicate</w:t>
      </w:r>
      <w:proofErr w:type="gramEnd"/>
      <w:r w:rsidRPr="0005323E">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03C6" w:rsidRPr="0005323E" w:rsidRDefault="00AB03C6" w:rsidP="00AB03C6">
      <w:pPr>
        <w:widowControl/>
        <w:rPr>
          <w:b/>
          <w:bCs/>
          <w:sz w:val="20"/>
          <w:szCs w:val="20"/>
        </w:rPr>
      </w:pPr>
    </w:p>
    <w:p w:rsidR="00AB03C6" w:rsidRPr="0005323E" w:rsidRDefault="00AB03C6" w:rsidP="00AB03C6">
      <w:pPr>
        <w:widowControl/>
        <w:ind w:left="450" w:hanging="450"/>
        <w:rPr>
          <w:b/>
          <w:bCs/>
          <w:sz w:val="20"/>
          <w:szCs w:val="20"/>
        </w:rPr>
      </w:pPr>
      <w:r w:rsidRPr="0005323E">
        <w:rPr>
          <w:b/>
          <w:bCs/>
          <w:sz w:val="20"/>
          <w:szCs w:val="20"/>
        </w:rPr>
        <w:t xml:space="preserve">     </w:t>
      </w:r>
      <w:proofErr w:type="gramStart"/>
      <w:r w:rsidRPr="0005323E">
        <w:rPr>
          <w:b/>
          <w:bCs/>
          <w:sz w:val="20"/>
          <w:szCs w:val="20"/>
        </w:rPr>
        <w:t>·  If</w:t>
      </w:r>
      <w:proofErr w:type="gramEnd"/>
      <w:r w:rsidRPr="0005323E">
        <w:rPr>
          <w:b/>
          <w:bCs/>
          <w:sz w:val="20"/>
          <w:szCs w:val="20"/>
        </w:rPr>
        <w:t xml:space="preserve"> this request for approval covers more than one form, provide separate hour burden estimates for each form and aggregate the hour burdens.</w:t>
      </w:r>
    </w:p>
    <w:p w:rsidR="00AB03C6" w:rsidRPr="0005323E" w:rsidRDefault="00AB03C6" w:rsidP="00AB03C6">
      <w:pPr>
        <w:widowControl/>
        <w:rPr>
          <w:b/>
          <w:bCs/>
          <w:sz w:val="20"/>
          <w:szCs w:val="20"/>
        </w:rPr>
      </w:pPr>
    </w:p>
    <w:p w:rsidR="00AB03C6" w:rsidRDefault="00AB03C6" w:rsidP="00AB03C6">
      <w:pPr>
        <w:widowControl/>
        <w:ind w:left="360" w:hanging="360"/>
        <w:rPr>
          <w:b/>
          <w:bCs/>
          <w:sz w:val="20"/>
          <w:szCs w:val="20"/>
        </w:rPr>
      </w:pPr>
      <w:r w:rsidRPr="0005323E">
        <w:rPr>
          <w:b/>
          <w:bCs/>
          <w:sz w:val="20"/>
          <w:szCs w:val="20"/>
        </w:rPr>
        <w:t xml:space="preserve">     </w:t>
      </w:r>
      <w:proofErr w:type="gramStart"/>
      <w:r w:rsidRPr="0005323E">
        <w:rPr>
          <w:b/>
          <w:bCs/>
          <w:sz w:val="20"/>
          <w:szCs w:val="20"/>
        </w:rPr>
        <w:t>·  Provide</w:t>
      </w:r>
      <w:proofErr w:type="gramEnd"/>
      <w:r w:rsidRPr="0005323E">
        <w:rPr>
          <w:b/>
          <w:bCs/>
          <w:sz w:val="20"/>
          <w:szCs w:val="20"/>
        </w:rPr>
        <w:t xml:space="preserve"> estimates of annualized cost to respondents for the hour burdens for collections of information, identifying and using appropriate wage-rate categories.</w:t>
      </w:r>
    </w:p>
    <w:p w:rsidR="00AB03C6" w:rsidRPr="0005323E" w:rsidRDefault="00AB03C6" w:rsidP="00AB03C6">
      <w:pPr>
        <w:widowControl/>
        <w:ind w:left="360" w:hanging="360"/>
      </w:pPr>
    </w:p>
    <w:p w:rsidR="006B7763" w:rsidRDefault="006B7763" w:rsidP="006B7763">
      <w:pPr>
        <w:rPr>
          <w:b/>
        </w:rPr>
      </w:pPr>
      <w:r>
        <w:rPr>
          <w:b/>
        </w:rPr>
        <w:t>Burden-Hour and Cost Determination</w:t>
      </w:r>
    </w:p>
    <w:p w:rsidR="006B7763" w:rsidRDefault="006B7763" w:rsidP="00AB03C6">
      <w:pPr>
        <w:widowControl/>
        <w:rPr>
          <w:color w:val="000000"/>
        </w:rPr>
      </w:pPr>
    </w:p>
    <w:p w:rsidR="006B7763" w:rsidRDefault="006B7763" w:rsidP="00AB03C6">
      <w:pPr>
        <w:widowControl/>
      </w:pPr>
      <w:r w:rsidRPr="00192A41">
        <w:rPr>
          <w:color w:val="000000"/>
        </w:rPr>
        <w:t xml:space="preserve">The Agency adopted the mean </w:t>
      </w:r>
      <w:r>
        <w:rPr>
          <w:color w:val="000000"/>
        </w:rPr>
        <w:t xml:space="preserve">hourly </w:t>
      </w:r>
      <w:r w:rsidRPr="00192A41">
        <w:rPr>
          <w:color w:val="000000"/>
        </w:rPr>
        <w:t xml:space="preserve">wage rates from </w:t>
      </w:r>
      <w:r>
        <w:rPr>
          <w:color w:val="000000"/>
        </w:rPr>
        <w:t xml:space="preserve">the </w:t>
      </w:r>
      <w:r w:rsidRPr="00192A41">
        <w:rPr>
          <w:i/>
          <w:color w:val="000000"/>
        </w:rPr>
        <w:t>“</w:t>
      </w:r>
      <w:r>
        <w:rPr>
          <w:i/>
          <w:color w:val="000000"/>
        </w:rPr>
        <w:t xml:space="preserve">Occupational Employment Statistics, </w:t>
      </w:r>
      <w:r w:rsidRPr="00192A41">
        <w:rPr>
          <w:i/>
          <w:iCs/>
          <w:color w:val="000000"/>
        </w:rPr>
        <w:t>Occupational Employment and Wage</w:t>
      </w:r>
      <w:r>
        <w:rPr>
          <w:i/>
          <w:iCs/>
          <w:color w:val="000000"/>
        </w:rPr>
        <w:t>s,</w:t>
      </w:r>
      <w:r w:rsidRPr="00192A41">
        <w:rPr>
          <w:i/>
          <w:iCs/>
          <w:color w:val="000000"/>
        </w:rPr>
        <w:t xml:space="preserve"> May</w:t>
      </w:r>
      <w:r w:rsidRPr="00192A41">
        <w:rPr>
          <w:rFonts w:cs="Arial"/>
          <w:color w:val="0000FF"/>
          <w:szCs w:val="20"/>
        </w:rPr>
        <w:t> </w:t>
      </w:r>
      <w:r w:rsidRPr="00192A41">
        <w:rPr>
          <w:i/>
          <w:iCs/>
          <w:color w:val="000000"/>
        </w:rPr>
        <w:t>201</w:t>
      </w:r>
      <w:r>
        <w:rPr>
          <w:i/>
          <w:iCs/>
          <w:color w:val="000000"/>
        </w:rPr>
        <w:t>6</w:t>
      </w:r>
      <w:r w:rsidRPr="00192A41">
        <w:rPr>
          <w:i/>
          <w:iCs/>
          <w:color w:val="000000"/>
        </w:rPr>
        <w:t xml:space="preserve">,” </w:t>
      </w:r>
      <w:r w:rsidRPr="007F7C09">
        <w:rPr>
          <w:iCs/>
          <w:color w:val="000000"/>
        </w:rPr>
        <w:t>Bureau of Labor Statistics</w:t>
      </w:r>
      <w:r w:rsidRPr="00192A41">
        <w:rPr>
          <w:i/>
          <w:iCs/>
          <w:color w:val="000000"/>
        </w:rPr>
        <w:t xml:space="preserve">, </w:t>
      </w:r>
      <w:r>
        <w:rPr>
          <w:i/>
          <w:iCs/>
          <w:color w:val="000000"/>
        </w:rPr>
        <w:t>U.S. Department of Labor</w:t>
      </w:r>
      <w:r w:rsidRPr="00192A41">
        <w:rPr>
          <w:i/>
          <w:iCs/>
          <w:color w:val="000000"/>
        </w:rPr>
        <w:t>,</w:t>
      </w:r>
      <w:proofErr w:type="gramStart"/>
      <w:r w:rsidRPr="00192A41">
        <w:rPr>
          <w:rFonts w:cs="Arial"/>
          <w:color w:val="0000FF"/>
          <w:szCs w:val="20"/>
        </w:rPr>
        <w:t xml:space="preserve">  </w:t>
      </w:r>
      <w:proofErr w:type="gramEnd"/>
      <w:r>
        <w:fldChar w:fldCharType="begin"/>
      </w:r>
      <w:r>
        <w:instrText xml:space="preserve"> HYPERLINK "http://www.bls.gov/oes/current/oes510000.htm" </w:instrText>
      </w:r>
      <w:r>
        <w:fldChar w:fldCharType="separate"/>
      </w:r>
      <w:r w:rsidRPr="00EA23CC">
        <w:rPr>
          <w:rStyle w:val="Hyperlink"/>
        </w:rPr>
        <w:t>http://www.bls.gov/oes/current/oes510000.htm</w:t>
      </w:r>
      <w:r>
        <w:rPr>
          <w:rStyle w:val="Hyperlink"/>
        </w:rPr>
        <w:fldChar w:fldCharType="end"/>
      </w:r>
      <w:r>
        <w:rPr>
          <w:color w:val="000000"/>
        </w:rPr>
        <w:t>.</w:t>
      </w:r>
      <w:r w:rsidRPr="00192A41">
        <w:rPr>
          <w:color w:val="000000"/>
        </w:rPr>
        <w:t xml:space="preserve"> </w:t>
      </w:r>
      <w:r>
        <w:rPr>
          <w:color w:val="000000"/>
        </w:rPr>
        <w:t xml:space="preserve"> To account for fringe benefits, we used the fringe rate reported in BLS’ Employer Costs for Employee Compensation –March 2017</w:t>
      </w:r>
      <w:proofErr w:type="gramStart"/>
      <w:r>
        <w:rPr>
          <w:color w:val="000000"/>
        </w:rPr>
        <w:t>,(</w:t>
      </w:r>
      <w:proofErr w:type="gramEnd"/>
      <w:r>
        <w:rPr>
          <w:color w:val="000000"/>
        </w:rPr>
        <w:t xml:space="preserve">ECEC) news </w:t>
      </w:r>
      <w:r w:rsidRPr="007F7C09">
        <w:t xml:space="preserve">release </w:t>
      </w:r>
      <w:r>
        <w:t>June 9, 2017</w:t>
      </w:r>
      <w:r w:rsidRPr="007F7C09">
        <w:t xml:space="preserve">  . BLS reported that for private industry, fringes accounted for 31</w:t>
      </w:r>
      <w:r>
        <w:t>7</w:t>
      </w:r>
      <w:r w:rsidRPr="007F7C09">
        <w:t xml:space="preserve"> percent of total compensation and wages accounted for the remaining 68.</w:t>
      </w:r>
      <w:r>
        <w:t>3</w:t>
      </w:r>
      <w:r w:rsidRPr="007F7C09">
        <w:t xml:space="preserve"> percent. To calculate the loaded hourly wage for each occupation, we thus divide the mean hourly wage by 68.</w:t>
      </w:r>
      <w:r>
        <w:t>3</w:t>
      </w:r>
      <w:r w:rsidRPr="007F7C09">
        <w:t xml:space="preserve"> percent." (17.</w:t>
      </w:r>
      <w:r>
        <w:t>88</w:t>
      </w:r>
      <w:r w:rsidRPr="007F7C09">
        <w:t>/.68</w:t>
      </w:r>
      <w:r>
        <w:t>3</w:t>
      </w:r>
      <w:r w:rsidRPr="007F7C09">
        <w:t xml:space="preserve"> = $2</w:t>
      </w:r>
      <w:r w:rsidR="003356DA">
        <w:t>6.18</w:t>
      </w:r>
      <w:r w:rsidRPr="007F7C09">
        <w:t>)</w:t>
      </w:r>
    </w:p>
    <w:p w:rsidR="006B7763" w:rsidRDefault="006B7763" w:rsidP="00AB03C6">
      <w:pPr>
        <w:widowControl/>
      </w:pPr>
    </w:p>
    <w:p w:rsidR="00AB03C6" w:rsidRPr="0005323E" w:rsidRDefault="00AB03C6" w:rsidP="00AB03C6">
      <w:pPr>
        <w:widowControl/>
      </w:pPr>
      <w:r>
        <w:lastRenderedPageBreak/>
        <w:t xml:space="preserve">The Agency estimates that there are approximately 198,000 refrigerated and non-refrigerated anhydrous ammonia containers covered by the Standard.  </w:t>
      </w:r>
      <w:r w:rsidR="00206F9A">
        <w:t>In the previous ICR, OSHA had d</w:t>
      </w:r>
      <w:r>
        <w:t>iscussions with a representative of the Fertilizer Institute (a</w:t>
      </w:r>
      <w:r w:rsidRPr="0005323E">
        <w:t xml:space="preserve"> leading manufacturer of this equipment</w:t>
      </w:r>
      <w:r>
        <w:t>)</w:t>
      </w:r>
      <w:r w:rsidRPr="0005323E">
        <w:t xml:space="preserve"> informed the Agency that employers place about 1,</w:t>
      </w:r>
      <w:r>
        <w:t>1</w:t>
      </w:r>
      <w:r w:rsidRPr="0005323E">
        <w:t xml:space="preserve">00 units into service each year, and that manufacturers and suppliers of this equipment provide the markings required by paragraphs (b)(3) and (b)(4) </w:t>
      </w:r>
      <w:r>
        <w:t xml:space="preserve">of the Standard.  </w:t>
      </w:r>
      <w:r w:rsidRPr="0005323E">
        <w:t xml:space="preserve">Accordingly, during the three-year period covered by this Supporting Statement, employers would place about </w:t>
      </w:r>
      <w:r>
        <w:t>(</w:t>
      </w:r>
      <w:r w:rsidRPr="0005323E">
        <w:t>3,</w:t>
      </w:r>
      <w:r>
        <w:t>3</w:t>
      </w:r>
      <w:r w:rsidRPr="0005323E">
        <w:t>00</w:t>
      </w:r>
      <w:r>
        <w:t xml:space="preserve"> =</w:t>
      </w:r>
      <w:r w:rsidRPr="0005323E">
        <w:t xml:space="preserve"> </w:t>
      </w:r>
      <w:r>
        <w:t xml:space="preserve">1,100 x 3) </w:t>
      </w:r>
      <w:r w:rsidRPr="0005323E">
        <w:t xml:space="preserve">new containers into service, for a total of </w:t>
      </w:r>
      <w:r>
        <w:t>201,300 containers</w:t>
      </w:r>
      <w:r w:rsidRPr="0005323E">
        <w:t>.</w:t>
      </w:r>
      <w:r>
        <w:t xml:space="preserve">  OSHA notes that the 201,300 estimate is likely an overestimate since it does not take into account tanks going out of service. </w:t>
      </w:r>
    </w:p>
    <w:p w:rsidR="00AB03C6" w:rsidRPr="0005323E" w:rsidRDefault="00AB03C6" w:rsidP="00AB03C6">
      <w:pPr>
        <w:widowControl/>
      </w:pPr>
    </w:p>
    <w:p w:rsidR="00AB03C6" w:rsidRDefault="00AB03C6" w:rsidP="00AB03C6">
      <w:pPr>
        <w:pStyle w:val="NormalWeb"/>
        <w:spacing w:before="2" w:after="2"/>
        <w:rPr>
          <w:rFonts w:ascii="Times" w:hAnsi="Times"/>
          <w:color w:val="000000"/>
        </w:rPr>
      </w:pPr>
      <w:r w:rsidRPr="0005323E">
        <w:t xml:space="preserve">While manufacturers and suppliers of this equipment provide the markings initially, employers must subsequently replace or revise some of these markings because they become unreadable due to equipment damage or use, or because they no longer represent the operational characteristics of the equipment.  </w:t>
      </w:r>
      <w:r>
        <w:t xml:space="preserve">OSHA believes it very unlikely that new tanks would need to have replacement markings since the “new” tanks have the markings securely affixed.  </w:t>
      </w:r>
      <w:r w:rsidRPr="0005323E">
        <w:t xml:space="preserve">In this regard, OSHA assumes </w:t>
      </w:r>
      <w:r>
        <w:t xml:space="preserve">no burden for the 3,300 new tanks; however, the Agency estimates </w:t>
      </w:r>
      <w:r w:rsidRPr="0005323E">
        <w:t>that each year employers will replace or r</w:t>
      </w:r>
      <w:r>
        <w:t xml:space="preserve">evise 1 percent of the markings on the current 198,000 </w:t>
      </w:r>
      <w:r w:rsidRPr="0005323E">
        <w:t>anhydrous ammonia containers or systems</w:t>
      </w:r>
      <w:r>
        <w:t xml:space="preserve"> and </w:t>
      </w:r>
      <w:r w:rsidRPr="0005323E">
        <w:t xml:space="preserve">that </w:t>
      </w:r>
      <w:r>
        <w:t>it will take a</w:t>
      </w:r>
      <w:r w:rsidRPr="0005323E">
        <w:t xml:space="preserve"> manufacturing </w:t>
      </w:r>
      <w:r>
        <w:t>worker, at a wage rate of $2</w:t>
      </w:r>
      <w:r w:rsidR="003356DA">
        <w:t>6.18</w:t>
      </w:r>
      <w:r w:rsidRPr="000B2B9A">
        <w:rPr>
          <w:rStyle w:val="FootnoteReference"/>
          <w:vertAlign w:val="superscript"/>
        </w:rPr>
        <w:footnoteReference w:id="2"/>
      </w:r>
      <w:r>
        <w:t xml:space="preserve"> an hour, 10 minutes (</w:t>
      </w:r>
      <w:r w:rsidRPr="0005323E">
        <w:t xml:space="preserve">.17 hour) to perform this task on each container or system. </w:t>
      </w:r>
      <w:r>
        <w:t xml:space="preserve"> </w:t>
      </w:r>
    </w:p>
    <w:p w:rsidR="00AB03C6" w:rsidRDefault="00AB03C6" w:rsidP="00AB03C6">
      <w:pPr>
        <w:pStyle w:val="NormalWeb"/>
      </w:pPr>
    </w:p>
    <w:p w:rsidR="00AB03C6" w:rsidRPr="00365173" w:rsidRDefault="00AB03C6" w:rsidP="00AB03C6">
      <w:pPr>
        <w:pStyle w:val="NormalWeb"/>
      </w:pPr>
      <w:r w:rsidRPr="000F618B">
        <w:t xml:space="preserve">The estimated burden hours and cost associated with </w:t>
      </w:r>
      <w:r>
        <w:t>this provision are</w:t>
      </w:r>
      <w:r w:rsidRPr="000F618B">
        <w:t>:</w:t>
      </w:r>
    </w:p>
    <w:p w:rsidR="00AB03C6" w:rsidRDefault="00AB03C6" w:rsidP="00AB03C6">
      <w:pPr>
        <w:widowControl/>
      </w:pPr>
    </w:p>
    <w:p w:rsidR="00AB03C6" w:rsidRPr="0005323E" w:rsidRDefault="00AB03C6" w:rsidP="00AB03C6">
      <w:pPr>
        <w:widowControl/>
        <w:ind w:left="720" w:firstLine="720"/>
      </w:pPr>
      <w:r w:rsidRPr="0005323E">
        <w:rPr>
          <w:b/>
          <w:bCs/>
        </w:rPr>
        <w:t xml:space="preserve">Burden </w:t>
      </w:r>
      <w:r>
        <w:rPr>
          <w:b/>
          <w:bCs/>
        </w:rPr>
        <w:t>h</w:t>
      </w:r>
      <w:r w:rsidRPr="0005323E">
        <w:rPr>
          <w:b/>
          <w:bCs/>
        </w:rPr>
        <w:t>ours</w:t>
      </w:r>
      <w:r w:rsidRPr="0005323E">
        <w:t xml:space="preserve">:  </w:t>
      </w:r>
      <w:r>
        <w:t>198,000</w:t>
      </w:r>
      <w:r w:rsidRPr="0005323E">
        <w:t xml:space="preserve"> containers x</w:t>
      </w:r>
      <w:r>
        <w:t xml:space="preserve"> .01 x </w:t>
      </w:r>
      <w:r w:rsidRPr="0005323E">
        <w:t xml:space="preserve">.17 hours = </w:t>
      </w:r>
      <w:r>
        <w:t xml:space="preserve">337 </w:t>
      </w:r>
      <w:r w:rsidRPr="0005323E">
        <w:t>hours</w:t>
      </w:r>
    </w:p>
    <w:p w:rsidR="00AB03C6" w:rsidRDefault="00AB03C6" w:rsidP="00AB03C6">
      <w:pPr>
        <w:widowControl/>
        <w:ind w:left="1440" w:firstLine="720"/>
      </w:pPr>
      <w:r w:rsidRPr="0005323E">
        <w:rPr>
          <w:b/>
          <w:bCs/>
        </w:rPr>
        <w:t xml:space="preserve">    Cost</w:t>
      </w:r>
      <w:r w:rsidRPr="0005323E">
        <w:t xml:space="preserve">:  </w:t>
      </w:r>
      <w:r>
        <w:t>337 hours x $</w:t>
      </w:r>
      <w:r w:rsidR="003356DA">
        <w:t>26.18</w:t>
      </w:r>
      <w:r>
        <w:t>= $8,</w:t>
      </w:r>
      <w:r w:rsidR="003356DA">
        <w:t>823</w:t>
      </w:r>
    </w:p>
    <w:p w:rsidR="00AB03C6" w:rsidRDefault="00AB03C6" w:rsidP="00AB03C6">
      <w:pPr>
        <w:widowControl/>
        <w:ind w:left="1440" w:firstLine="720"/>
        <w:rPr>
          <w:b/>
          <w:bCs/>
          <w:sz w:val="20"/>
          <w:szCs w:val="20"/>
        </w:rPr>
      </w:pPr>
    </w:p>
    <w:p w:rsidR="00AB03C6" w:rsidRPr="0005323E" w:rsidRDefault="00AB03C6" w:rsidP="00AB03C6">
      <w:pPr>
        <w:widowControl/>
      </w:pPr>
      <w:r w:rsidRPr="0005323E">
        <w:rPr>
          <w:b/>
          <w:bCs/>
          <w:sz w:val="20"/>
          <w:szCs w:val="20"/>
        </w:rPr>
        <w:t xml:space="preserve">13.  Provide an estimate of the total annual cost burden to respondents or </w:t>
      </w:r>
      <w:proofErr w:type="spellStart"/>
      <w:r w:rsidRPr="0005323E">
        <w:rPr>
          <w:b/>
          <w:bCs/>
          <w:sz w:val="20"/>
          <w:szCs w:val="20"/>
        </w:rPr>
        <w:t>recordkeepers</w:t>
      </w:r>
      <w:proofErr w:type="spellEnd"/>
      <w:r w:rsidRPr="0005323E">
        <w:rPr>
          <w:b/>
          <w:bCs/>
          <w:sz w:val="20"/>
          <w:szCs w:val="20"/>
        </w:rPr>
        <w:t xml:space="preserve"> resulting from the collection of information.  (Do not include the cost of any hour burden shown in Items 12 and 14.)</w:t>
      </w:r>
    </w:p>
    <w:p w:rsidR="00AB03C6" w:rsidRPr="0005323E" w:rsidRDefault="00AB03C6" w:rsidP="00AB03C6">
      <w:pPr>
        <w:widowControl/>
      </w:pPr>
    </w:p>
    <w:p w:rsidR="00AB03C6" w:rsidRDefault="00AB03C6" w:rsidP="00AB03C6">
      <w:pPr>
        <w:widowControl/>
      </w:pPr>
      <w:r w:rsidRPr="00F926D6">
        <w:t>There are no additional costs to the respondents other than their time.</w:t>
      </w:r>
    </w:p>
    <w:p w:rsidR="006B7763" w:rsidRPr="0005323E" w:rsidRDefault="006B7763" w:rsidP="00AB03C6">
      <w:pPr>
        <w:widowControl/>
      </w:pPr>
    </w:p>
    <w:p w:rsidR="00AB03C6" w:rsidRPr="0005323E" w:rsidRDefault="00AB03C6" w:rsidP="00AB03C6">
      <w:pPr>
        <w:widowControl/>
      </w:pPr>
      <w:r w:rsidRPr="0005323E">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03C6" w:rsidRPr="0005323E" w:rsidRDefault="00AB03C6" w:rsidP="00AB03C6">
      <w:pPr>
        <w:widowControl/>
      </w:pPr>
    </w:p>
    <w:p w:rsidR="00AB03C6" w:rsidRPr="00224286" w:rsidRDefault="00AB03C6" w:rsidP="00AB03C6">
      <w:pPr>
        <w:tabs>
          <w:tab w:val="left" w:pos="0"/>
        </w:tabs>
        <w:jc w:val="both"/>
        <w:rPr>
          <w:bCs/>
        </w:rPr>
      </w:pPr>
      <w:r w:rsidRPr="00224286">
        <w:rPr>
          <w:bCs/>
        </w:rPr>
        <w:t>There is no cost to the Federal Government.</w:t>
      </w:r>
    </w:p>
    <w:p w:rsidR="00AB03C6" w:rsidRPr="00224286" w:rsidRDefault="00AB03C6" w:rsidP="00AB03C6">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p>
    <w:p w:rsidR="00AB03C6" w:rsidRPr="0005323E" w:rsidRDefault="00AB03C6" w:rsidP="00AB03C6">
      <w:pPr>
        <w:widowControl/>
      </w:pPr>
      <w:r w:rsidRPr="0005323E">
        <w:rPr>
          <w:b/>
          <w:bCs/>
          <w:sz w:val="20"/>
          <w:szCs w:val="20"/>
        </w:rPr>
        <w:t>15.  Explain the reasons for any program changes or adjustments.</w:t>
      </w:r>
    </w:p>
    <w:p w:rsidR="00AB03C6" w:rsidRPr="0005323E" w:rsidRDefault="00AB03C6" w:rsidP="00AB03C6">
      <w:pPr>
        <w:widowControl/>
      </w:pPr>
    </w:p>
    <w:p w:rsidR="00AB03C6" w:rsidRDefault="00AB03C6" w:rsidP="00AB03C6">
      <w:pPr>
        <w:widowControl/>
      </w:pPr>
      <w:r>
        <w:lastRenderedPageBreak/>
        <w:t>The Agency is requesting an adjustment decrease of eight burden hours (from 345 hours to 337 hours). This decrease is due to a drop in the number of containers.</w:t>
      </w:r>
    </w:p>
    <w:p w:rsidR="00AB03C6" w:rsidRDefault="00AB03C6" w:rsidP="00AB03C6">
      <w:pPr>
        <w:widowControl/>
      </w:pPr>
      <w:r>
        <w:t xml:space="preserve"> </w:t>
      </w:r>
    </w:p>
    <w:p w:rsidR="00AB03C6" w:rsidRPr="0005323E" w:rsidRDefault="00AB03C6" w:rsidP="00AB03C6">
      <w:pPr>
        <w:widowControl/>
      </w:pPr>
      <w:r w:rsidRPr="0005323E">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B03C6" w:rsidRPr="0005323E" w:rsidRDefault="00AB03C6" w:rsidP="00AB03C6">
      <w:pPr>
        <w:widowControl/>
      </w:pPr>
    </w:p>
    <w:p w:rsidR="00AB03C6" w:rsidRPr="0005323E" w:rsidRDefault="00AB03C6" w:rsidP="00AB03C6">
      <w:pPr>
        <w:widowControl/>
      </w:pPr>
      <w:r w:rsidRPr="0005323E">
        <w:t>OSHA will not publish the information collected under 29 CFR 1910.111.</w:t>
      </w:r>
    </w:p>
    <w:p w:rsidR="00AB03C6" w:rsidRPr="0005323E" w:rsidRDefault="00AB03C6" w:rsidP="00AB03C6">
      <w:pPr>
        <w:widowControl/>
      </w:pPr>
    </w:p>
    <w:p w:rsidR="00AB03C6" w:rsidRPr="0005323E" w:rsidRDefault="00AB03C6" w:rsidP="00AB03C6">
      <w:pPr>
        <w:widowControl/>
      </w:pPr>
      <w:r w:rsidRPr="0005323E">
        <w:rPr>
          <w:b/>
          <w:bCs/>
          <w:sz w:val="20"/>
          <w:szCs w:val="20"/>
        </w:rPr>
        <w:t>17.  If seeking approval to not display the expiration date for OMB approval of the information collection, explain the reasons that display would be appropriate.</w:t>
      </w:r>
    </w:p>
    <w:p w:rsidR="00AB03C6" w:rsidRDefault="00AB03C6" w:rsidP="00AB03C6">
      <w:pPr>
        <w:widowControl/>
        <w:autoSpaceDE/>
        <w:autoSpaceDN/>
        <w:adjustRightInd/>
        <w:rPr>
          <w:rFonts w:eastAsia="Calibri"/>
        </w:rPr>
      </w:pPr>
    </w:p>
    <w:p w:rsidR="00AB03C6" w:rsidRPr="005725E0" w:rsidRDefault="00AB03C6" w:rsidP="00AB03C6">
      <w:pPr>
        <w:widowControl/>
        <w:autoSpaceDE/>
        <w:autoSpaceDN/>
        <w:adjustRightInd/>
        <w:rPr>
          <w:rFonts w:eastAsia="Calibri"/>
        </w:rPr>
      </w:pPr>
      <w:r w:rsidRPr="005725E0">
        <w:rPr>
          <w:rFonts w:eastAsia="Calibri"/>
        </w:rPr>
        <w:t>OSHA lists current valid control numbers in §§1910.8, 1915.8, 1917.4, 1918.4, and 1926.5 and publishes the expiration date in the Federal Register notice announcing OMB approval of the information</w:t>
      </w:r>
      <w:r>
        <w:rPr>
          <w:rFonts w:eastAsia="Calibri"/>
        </w:rPr>
        <w:t xml:space="preserve"> </w:t>
      </w:r>
      <w:r w:rsidRPr="005725E0">
        <w:rPr>
          <w:rFonts w:eastAsia="Calibri"/>
        </w:rPr>
        <w:t>collection requirement</w:t>
      </w:r>
      <w:r>
        <w:rPr>
          <w:rFonts w:eastAsia="Calibri"/>
        </w:rPr>
        <w:t>s</w:t>
      </w:r>
      <w:r w:rsidRPr="005725E0">
        <w:rPr>
          <w:rFonts w:eastAsia="Calibri"/>
        </w:rPr>
        <w:t>. (See 5 CFR 1320.3(f</w:t>
      </w:r>
      <w:proofErr w:type="gramStart"/>
      <w:r w:rsidRPr="005725E0">
        <w:rPr>
          <w:rFonts w:eastAsia="Calibri"/>
        </w:rPr>
        <w:t>)(</w:t>
      </w:r>
      <w:proofErr w:type="gramEnd"/>
      <w:r w:rsidRPr="005725E0">
        <w:rPr>
          <w:rFonts w:eastAsia="Calibri"/>
        </w:rPr>
        <w:t>3).) OSHA believes that this is the most appropriate and accurate mechanism to inform interested parties of these expiration dates.</w:t>
      </w:r>
    </w:p>
    <w:p w:rsidR="00AB03C6" w:rsidRPr="0005323E" w:rsidRDefault="00AB03C6" w:rsidP="00AB03C6">
      <w:pPr>
        <w:widowControl/>
        <w:rPr>
          <w:sz w:val="20"/>
          <w:szCs w:val="20"/>
        </w:rPr>
      </w:pPr>
    </w:p>
    <w:p w:rsidR="00AB03C6" w:rsidRPr="0005323E" w:rsidRDefault="00AB03C6" w:rsidP="00AB03C6">
      <w:pPr>
        <w:widowControl/>
      </w:pPr>
      <w:r w:rsidRPr="0005323E">
        <w:rPr>
          <w:b/>
          <w:bCs/>
          <w:sz w:val="20"/>
          <w:szCs w:val="20"/>
        </w:rPr>
        <w:t>18.  Explain each exception to the certification statement.</w:t>
      </w:r>
    </w:p>
    <w:p w:rsidR="00AB03C6" w:rsidRPr="0005323E" w:rsidRDefault="00AB03C6" w:rsidP="00AB03C6">
      <w:pPr>
        <w:widowControl/>
      </w:pPr>
    </w:p>
    <w:p w:rsidR="00AB03C6" w:rsidRDefault="00AB03C6" w:rsidP="00AB03C6">
      <w:pPr>
        <w:widowControl/>
      </w:pPr>
      <w:r w:rsidRPr="0005323E">
        <w:t>OSHA is not requesting an exception to the certification statement.</w:t>
      </w:r>
    </w:p>
    <w:p w:rsidR="00AB03C6" w:rsidRDefault="00AB03C6" w:rsidP="00AB03C6">
      <w:pPr>
        <w:widowControl/>
      </w:pPr>
    </w:p>
    <w:p w:rsidR="00AB03C6" w:rsidRPr="0005324F" w:rsidRDefault="00AB03C6" w:rsidP="00AB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5324F">
        <w:rPr>
          <w:b/>
        </w:rPr>
        <w:t>B. COLLECTION OF INFORMATION EMPLOYING STATISTICAL METHODS</w:t>
      </w:r>
    </w:p>
    <w:p w:rsidR="00AB03C6" w:rsidRPr="0005324F" w:rsidRDefault="00AB03C6" w:rsidP="00AB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B03C6" w:rsidRPr="0005324F" w:rsidRDefault="00AB03C6" w:rsidP="00AB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r w:rsidRPr="0005324F">
        <w:t>This Supporting Statement does not contain any collection of information requirements that employ statistical methods.</w:t>
      </w:r>
    </w:p>
    <w:p w:rsidR="00597B35" w:rsidRDefault="00AB03C6" w:rsidP="00AB03C6">
      <w:r>
        <w:br w:type="page"/>
      </w:r>
    </w:p>
    <w:sectPr w:rsidR="00597B3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64" w:rsidRDefault="00D03764" w:rsidP="00AB03C6">
      <w:r>
        <w:separator/>
      </w:r>
    </w:p>
  </w:endnote>
  <w:endnote w:type="continuationSeparator" w:id="0">
    <w:p w:rsidR="00D03764" w:rsidRDefault="00D03764" w:rsidP="00A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90204"/>
    <w:charset w:val="00"/>
    <w:family w:val="swiss"/>
    <w:pitch w:val="variable"/>
    <w:sig w:usb0="E0002AFF" w:usb1="00007843"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64" w:rsidRDefault="00D03764" w:rsidP="00AB03C6">
      <w:r>
        <w:separator/>
      </w:r>
    </w:p>
  </w:footnote>
  <w:footnote w:type="continuationSeparator" w:id="0">
    <w:p w:rsidR="00D03764" w:rsidRDefault="00D03764" w:rsidP="00AB03C6">
      <w:r>
        <w:continuationSeparator/>
      </w:r>
    </w:p>
  </w:footnote>
  <w:footnote w:id="1">
    <w:p w:rsidR="00AB03C6" w:rsidRPr="00D43CD6" w:rsidRDefault="00AB03C6" w:rsidP="00AB03C6">
      <w:pPr>
        <w:tabs>
          <w:tab w:val="left" w:pos="0"/>
          <w:tab w:val="center" w:pos="4680"/>
          <w:tab w:val="left" w:pos="5040"/>
          <w:tab w:val="left" w:pos="5760"/>
          <w:tab w:val="left" w:pos="6480"/>
          <w:tab w:val="left" w:pos="7200"/>
          <w:tab w:val="left" w:pos="7920"/>
          <w:tab w:val="left" w:pos="8640"/>
          <w:tab w:val="left" w:pos="9360"/>
        </w:tabs>
        <w:spacing w:after="200"/>
        <w:ind w:firstLine="720"/>
        <w:rPr>
          <w:rFonts w:cs="Shruti"/>
          <w:sz w:val="20"/>
          <w:szCs w:val="20"/>
        </w:rPr>
      </w:pPr>
      <w:r w:rsidRPr="00EB40B2">
        <w:rPr>
          <w:rFonts w:cs="Shruti"/>
          <w:vertAlign w:val="superscript"/>
        </w:rPr>
        <w:t>1</w:t>
      </w:r>
      <w:r w:rsidRPr="00D43CD6">
        <w:rPr>
          <w:rFonts w:cs="Shruti"/>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footnote>
  <w:footnote w:id="2">
    <w:p w:rsidR="00AB03C6" w:rsidRPr="007F7C09" w:rsidRDefault="00AB03C6" w:rsidP="00AB03C6">
      <w:pPr>
        <w:pStyle w:val="NormalWeb"/>
        <w:ind w:firstLine="720"/>
      </w:pPr>
      <w:r w:rsidRPr="000B2B9A">
        <w:rPr>
          <w:rStyle w:val="FootnoteReference"/>
          <w:vertAlign w:val="superscript"/>
        </w:rPr>
        <w:footnoteRef/>
      </w:r>
    </w:p>
    <w:p w:rsidR="00AB03C6" w:rsidRPr="007F7C09" w:rsidRDefault="00AB03C6" w:rsidP="00AB03C6">
      <w:pPr>
        <w:keepLines/>
        <w:ind w:firstLine="90"/>
      </w:pPr>
    </w:p>
    <w:p w:rsidR="00AB03C6" w:rsidRPr="007F7C09" w:rsidRDefault="00AB03C6" w:rsidP="00AB03C6">
      <w:pPr>
        <w:pStyle w:val="FootnoteText"/>
        <w:ind w:firstLine="720"/>
      </w:pPr>
    </w:p>
    <w:p w:rsidR="00AB03C6" w:rsidRDefault="00AB03C6" w:rsidP="00AB03C6">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6C" w:rsidRDefault="000407F8">
    <w:pPr>
      <w:pStyle w:val="Header"/>
    </w:pPr>
    <w:r>
      <w:t>THE STORAGE AND HANDLING OF ANHYDROUS AMMONIA</w:t>
    </w:r>
    <w:r w:rsidR="00C2776C">
      <w:t xml:space="preserve"> </w:t>
    </w:r>
    <w:r>
      <w:t>(29 CFR 1910.111)</w:t>
    </w:r>
  </w:p>
  <w:p w:rsidR="00C2776C" w:rsidRDefault="00C2776C">
    <w:pPr>
      <w:pStyle w:val="Header"/>
    </w:pPr>
    <w:r>
      <w:t>1218-0208</w:t>
    </w:r>
  </w:p>
  <w:p w:rsidR="00C2776C" w:rsidRDefault="00C2776C">
    <w:pPr>
      <w:pStyle w:val="Header"/>
    </w:pPr>
    <w:r>
      <w:t>July 2017</w:t>
    </w:r>
  </w:p>
  <w:p w:rsidR="00C2776C" w:rsidRDefault="00C27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0"/>
        </w:tabs>
        <w:ind w:left="90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717014C7"/>
    <w:multiLevelType w:val="hybridMultilevel"/>
    <w:tmpl w:val="2252F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C6"/>
    <w:rsid w:val="00035921"/>
    <w:rsid w:val="000407F8"/>
    <w:rsid w:val="00206F9A"/>
    <w:rsid w:val="002157BB"/>
    <w:rsid w:val="003356DA"/>
    <w:rsid w:val="00353398"/>
    <w:rsid w:val="005022FD"/>
    <w:rsid w:val="005226A1"/>
    <w:rsid w:val="006B7763"/>
    <w:rsid w:val="006D720B"/>
    <w:rsid w:val="009D1A20"/>
    <w:rsid w:val="00A96991"/>
    <w:rsid w:val="00AB03C6"/>
    <w:rsid w:val="00C03006"/>
    <w:rsid w:val="00C2776C"/>
    <w:rsid w:val="00D03764"/>
    <w:rsid w:val="00EA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03C6"/>
  </w:style>
  <w:style w:type="paragraph" w:customStyle="1" w:styleId="Level1">
    <w:name w:val="Level 1"/>
    <w:basedOn w:val="Normal"/>
    <w:rsid w:val="00AB03C6"/>
    <w:pPr>
      <w:numPr>
        <w:numId w:val="1"/>
      </w:numPr>
      <w:ind w:left="990" w:hanging="270"/>
      <w:outlineLvl w:val="0"/>
    </w:pPr>
  </w:style>
  <w:style w:type="paragraph" w:styleId="FootnoteText">
    <w:name w:val="footnote text"/>
    <w:basedOn w:val="Normal"/>
    <w:link w:val="FootnoteTextChar"/>
    <w:uiPriority w:val="99"/>
    <w:semiHidden/>
    <w:rsid w:val="00AB03C6"/>
    <w:rPr>
      <w:sz w:val="20"/>
      <w:szCs w:val="20"/>
    </w:rPr>
  </w:style>
  <w:style w:type="character" w:customStyle="1" w:styleId="FootnoteTextChar">
    <w:name w:val="Footnote Text Char"/>
    <w:basedOn w:val="DefaultParagraphFont"/>
    <w:link w:val="FootnoteText"/>
    <w:uiPriority w:val="99"/>
    <w:semiHidden/>
    <w:rsid w:val="00AB03C6"/>
    <w:rPr>
      <w:rFonts w:ascii="Times New Roman" w:eastAsia="Times New Roman" w:hAnsi="Times New Roman" w:cs="Times New Roman"/>
      <w:sz w:val="20"/>
      <w:szCs w:val="20"/>
    </w:rPr>
  </w:style>
  <w:style w:type="paragraph" w:styleId="NormalWeb">
    <w:name w:val="Normal (Web)"/>
    <w:basedOn w:val="Normal"/>
    <w:uiPriority w:val="99"/>
    <w:unhideWhenUsed/>
    <w:rsid w:val="00AB03C6"/>
    <w:pPr>
      <w:widowControl/>
      <w:autoSpaceDE/>
      <w:autoSpaceDN/>
      <w:adjustRightInd/>
    </w:pPr>
    <w:rPr>
      <w:rFonts w:eastAsia="Calibri"/>
    </w:rPr>
  </w:style>
  <w:style w:type="character" w:styleId="Hyperlink">
    <w:name w:val="Hyperlink"/>
    <w:unhideWhenUsed/>
    <w:rsid w:val="00AB03C6"/>
    <w:rPr>
      <w:color w:val="003399"/>
      <w:u w:val="single"/>
    </w:rPr>
  </w:style>
  <w:style w:type="paragraph" w:styleId="Header">
    <w:name w:val="header"/>
    <w:basedOn w:val="Normal"/>
    <w:link w:val="HeaderChar"/>
    <w:uiPriority w:val="99"/>
    <w:unhideWhenUsed/>
    <w:rsid w:val="00C2776C"/>
    <w:pPr>
      <w:tabs>
        <w:tab w:val="center" w:pos="4680"/>
        <w:tab w:val="right" w:pos="9360"/>
      </w:tabs>
    </w:pPr>
  </w:style>
  <w:style w:type="character" w:customStyle="1" w:styleId="HeaderChar">
    <w:name w:val="Header Char"/>
    <w:basedOn w:val="DefaultParagraphFont"/>
    <w:link w:val="Header"/>
    <w:uiPriority w:val="99"/>
    <w:rsid w:val="00C27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76C"/>
    <w:pPr>
      <w:tabs>
        <w:tab w:val="center" w:pos="4680"/>
        <w:tab w:val="right" w:pos="9360"/>
      </w:tabs>
    </w:pPr>
  </w:style>
  <w:style w:type="character" w:customStyle="1" w:styleId="FooterChar">
    <w:name w:val="Footer Char"/>
    <w:basedOn w:val="DefaultParagraphFont"/>
    <w:link w:val="Footer"/>
    <w:uiPriority w:val="99"/>
    <w:rsid w:val="00C277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76C"/>
    <w:rPr>
      <w:rFonts w:ascii="Tahoma" w:hAnsi="Tahoma" w:cs="Tahoma"/>
      <w:sz w:val="16"/>
      <w:szCs w:val="16"/>
    </w:rPr>
  </w:style>
  <w:style w:type="character" w:customStyle="1" w:styleId="BalloonTextChar">
    <w:name w:val="Balloon Text Char"/>
    <w:basedOn w:val="DefaultParagraphFont"/>
    <w:link w:val="BalloonText"/>
    <w:uiPriority w:val="99"/>
    <w:semiHidden/>
    <w:rsid w:val="00C277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03C6"/>
  </w:style>
  <w:style w:type="paragraph" w:customStyle="1" w:styleId="Level1">
    <w:name w:val="Level 1"/>
    <w:basedOn w:val="Normal"/>
    <w:rsid w:val="00AB03C6"/>
    <w:pPr>
      <w:numPr>
        <w:numId w:val="1"/>
      </w:numPr>
      <w:ind w:left="990" w:hanging="270"/>
      <w:outlineLvl w:val="0"/>
    </w:pPr>
  </w:style>
  <w:style w:type="paragraph" w:styleId="FootnoteText">
    <w:name w:val="footnote text"/>
    <w:basedOn w:val="Normal"/>
    <w:link w:val="FootnoteTextChar"/>
    <w:uiPriority w:val="99"/>
    <w:semiHidden/>
    <w:rsid w:val="00AB03C6"/>
    <w:rPr>
      <w:sz w:val="20"/>
      <w:szCs w:val="20"/>
    </w:rPr>
  </w:style>
  <w:style w:type="character" w:customStyle="1" w:styleId="FootnoteTextChar">
    <w:name w:val="Footnote Text Char"/>
    <w:basedOn w:val="DefaultParagraphFont"/>
    <w:link w:val="FootnoteText"/>
    <w:uiPriority w:val="99"/>
    <w:semiHidden/>
    <w:rsid w:val="00AB03C6"/>
    <w:rPr>
      <w:rFonts w:ascii="Times New Roman" w:eastAsia="Times New Roman" w:hAnsi="Times New Roman" w:cs="Times New Roman"/>
      <w:sz w:val="20"/>
      <w:szCs w:val="20"/>
    </w:rPr>
  </w:style>
  <w:style w:type="paragraph" w:styleId="NormalWeb">
    <w:name w:val="Normal (Web)"/>
    <w:basedOn w:val="Normal"/>
    <w:uiPriority w:val="99"/>
    <w:unhideWhenUsed/>
    <w:rsid w:val="00AB03C6"/>
    <w:pPr>
      <w:widowControl/>
      <w:autoSpaceDE/>
      <w:autoSpaceDN/>
      <w:adjustRightInd/>
    </w:pPr>
    <w:rPr>
      <w:rFonts w:eastAsia="Calibri"/>
    </w:rPr>
  </w:style>
  <w:style w:type="character" w:styleId="Hyperlink">
    <w:name w:val="Hyperlink"/>
    <w:unhideWhenUsed/>
    <w:rsid w:val="00AB03C6"/>
    <w:rPr>
      <w:color w:val="003399"/>
      <w:u w:val="single"/>
    </w:rPr>
  </w:style>
  <w:style w:type="paragraph" w:styleId="Header">
    <w:name w:val="header"/>
    <w:basedOn w:val="Normal"/>
    <w:link w:val="HeaderChar"/>
    <w:uiPriority w:val="99"/>
    <w:unhideWhenUsed/>
    <w:rsid w:val="00C2776C"/>
    <w:pPr>
      <w:tabs>
        <w:tab w:val="center" w:pos="4680"/>
        <w:tab w:val="right" w:pos="9360"/>
      </w:tabs>
    </w:pPr>
  </w:style>
  <w:style w:type="character" w:customStyle="1" w:styleId="HeaderChar">
    <w:name w:val="Header Char"/>
    <w:basedOn w:val="DefaultParagraphFont"/>
    <w:link w:val="Header"/>
    <w:uiPriority w:val="99"/>
    <w:rsid w:val="00C27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76C"/>
    <w:pPr>
      <w:tabs>
        <w:tab w:val="center" w:pos="4680"/>
        <w:tab w:val="right" w:pos="9360"/>
      </w:tabs>
    </w:pPr>
  </w:style>
  <w:style w:type="character" w:customStyle="1" w:styleId="FooterChar">
    <w:name w:val="Footer Char"/>
    <w:basedOn w:val="DefaultParagraphFont"/>
    <w:link w:val="Footer"/>
    <w:uiPriority w:val="99"/>
    <w:rsid w:val="00C277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76C"/>
    <w:rPr>
      <w:rFonts w:ascii="Tahoma" w:hAnsi="Tahoma" w:cs="Tahoma"/>
      <w:sz w:val="16"/>
      <w:szCs w:val="16"/>
    </w:rPr>
  </w:style>
  <w:style w:type="character" w:customStyle="1" w:styleId="BalloonTextChar">
    <w:name w:val="Balloon Text Char"/>
    <w:basedOn w:val="DefaultParagraphFont"/>
    <w:link w:val="BalloonText"/>
    <w:uiPriority w:val="99"/>
    <w:semiHidden/>
    <w:rsid w:val="00C277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57446">
      <w:bodyDiv w:val="1"/>
      <w:marLeft w:val="0"/>
      <w:marRight w:val="0"/>
      <w:marTop w:val="0"/>
      <w:marBottom w:val="0"/>
      <w:divBdr>
        <w:top w:val="none" w:sz="0" w:space="0" w:color="auto"/>
        <w:left w:val="none" w:sz="0" w:space="0" w:color="auto"/>
        <w:bottom w:val="none" w:sz="0" w:space="0" w:color="auto"/>
        <w:right w:val="none" w:sz="0" w:space="0" w:color="auto"/>
      </w:divBdr>
    </w:div>
    <w:div w:id="12384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CFFB-8857-410A-A92E-EFAD7D0C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2017-07-11T18:27:00Z</dcterms:created>
  <dcterms:modified xsi:type="dcterms:W3CDTF">2017-07-11T18:27:00Z</dcterms:modified>
</cp:coreProperties>
</file>