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9B3" w:rsidRPr="0025604D" w:rsidRDefault="00B50861" w:rsidP="00BF6737">
      <w:pPr>
        <w:tabs>
          <w:tab w:val="left" w:pos="720"/>
        </w:tabs>
        <w:ind w:left="720" w:hanging="720"/>
        <w:jc w:val="center"/>
        <w:outlineLvl w:val="0"/>
      </w:pPr>
      <w:bookmarkStart w:id="0" w:name="_GoBack"/>
      <w:bookmarkEnd w:id="0"/>
      <w:r w:rsidRPr="0025604D">
        <w:t>Department of the Treasury, Departmental Offices</w:t>
      </w:r>
    </w:p>
    <w:p w:rsidR="00B50861" w:rsidRPr="0025604D" w:rsidRDefault="00B50861" w:rsidP="00BF6737">
      <w:pPr>
        <w:tabs>
          <w:tab w:val="left" w:pos="720"/>
        </w:tabs>
        <w:ind w:left="720" w:hanging="720"/>
        <w:jc w:val="center"/>
      </w:pPr>
      <w:r w:rsidRPr="0025604D">
        <w:t>Supporting Statement and Request for Clearance</w:t>
      </w:r>
    </w:p>
    <w:p w:rsidR="00B50861" w:rsidRDefault="003C068B" w:rsidP="00BF6737">
      <w:pPr>
        <w:tabs>
          <w:tab w:val="left" w:pos="720"/>
        </w:tabs>
        <w:ind w:left="720" w:hanging="720"/>
        <w:jc w:val="center"/>
      </w:pPr>
      <w:r>
        <w:t>Troubled Asset Relief Program</w:t>
      </w:r>
      <w:r w:rsidR="00990870">
        <w:t xml:space="preserve"> – </w:t>
      </w:r>
      <w:r w:rsidR="00795DDF">
        <w:t xml:space="preserve">Conflicts of Interest </w:t>
      </w:r>
      <w:r w:rsidR="000112E1">
        <w:t>Final</w:t>
      </w:r>
      <w:r w:rsidR="00795DDF">
        <w:t xml:space="preserve"> Rule</w:t>
      </w:r>
      <w:r w:rsidR="00990870">
        <w:t xml:space="preserve"> </w:t>
      </w:r>
    </w:p>
    <w:p w:rsidR="003C068B" w:rsidRDefault="003C068B" w:rsidP="00BF6737">
      <w:pPr>
        <w:tabs>
          <w:tab w:val="left" w:pos="720"/>
        </w:tabs>
        <w:ind w:left="720" w:hanging="720"/>
      </w:pPr>
    </w:p>
    <w:p w:rsidR="00B50861" w:rsidRDefault="00F41911" w:rsidP="00BF6737">
      <w:pPr>
        <w:numPr>
          <w:ilvl w:val="0"/>
          <w:numId w:val="12"/>
        </w:numPr>
        <w:tabs>
          <w:tab w:val="left" w:pos="720"/>
        </w:tabs>
        <w:ind w:hanging="720"/>
        <w:rPr>
          <w:u w:val="single"/>
        </w:rPr>
      </w:pPr>
      <w:r w:rsidRPr="0025604D">
        <w:t xml:space="preserve"> </w:t>
      </w:r>
      <w:r w:rsidR="00B50861" w:rsidRPr="0025604D">
        <w:rPr>
          <w:u w:val="single"/>
        </w:rPr>
        <w:t>Circumstances necessitating the collection of information</w:t>
      </w:r>
    </w:p>
    <w:p w:rsidR="00990870" w:rsidRPr="0025604D" w:rsidRDefault="00990870" w:rsidP="00BF6737">
      <w:pPr>
        <w:tabs>
          <w:tab w:val="left" w:pos="720"/>
        </w:tabs>
        <w:ind w:left="720" w:hanging="720"/>
        <w:rPr>
          <w:u w:val="single"/>
        </w:rPr>
      </w:pPr>
    </w:p>
    <w:p w:rsidR="00B716A8" w:rsidRDefault="00BF6737" w:rsidP="00BF6737">
      <w:pPr>
        <w:tabs>
          <w:tab w:val="left" w:pos="720"/>
        </w:tabs>
        <w:ind w:left="720" w:hanging="720"/>
      </w:pPr>
      <w:r>
        <w:tab/>
      </w:r>
      <w:r w:rsidR="00256911">
        <w:t xml:space="preserve">Authorized under the Emergency Economic Stabilization Act (EESA) of 2008 (Public Law 110-343), the Department of the Treasury </w:t>
      </w:r>
      <w:r w:rsidR="00F06A3C">
        <w:t xml:space="preserve">(Treasury) </w:t>
      </w:r>
      <w:r w:rsidR="00256911">
        <w:t>is implementing several aspects of the Troubled Asset Relief Program</w:t>
      </w:r>
      <w:r w:rsidR="00795DDF">
        <w:t xml:space="preserve"> (TARP)</w:t>
      </w:r>
      <w:r w:rsidR="00256911">
        <w:t xml:space="preserve">.  </w:t>
      </w:r>
      <w:r w:rsidR="00256911" w:rsidRPr="003265D6">
        <w:t xml:space="preserve">The </w:t>
      </w:r>
      <w:r w:rsidR="00534EA9">
        <w:t xml:space="preserve">statute provides </w:t>
      </w:r>
      <w:r w:rsidR="00256911" w:rsidRPr="003265D6">
        <w:t xml:space="preserve">the Secretary broad authority to purchase and insure mortgage assets, and to purchase any other financial instrument that the Secretary, in consultation with the Federal Reserve Chairman, </w:t>
      </w:r>
      <w:r w:rsidR="00EB5E62">
        <w:t>determines</w:t>
      </w:r>
      <w:r w:rsidR="00256911" w:rsidRPr="003265D6">
        <w:t xml:space="preserve"> necessary to stabilize our financial markets</w:t>
      </w:r>
      <w:r w:rsidR="00422F85">
        <w:t>.</w:t>
      </w:r>
    </w:p>
    <w:p w:rsidR="00C954EA" w:rsidRDefault="00C954EA" w:rsidP="00BF6737">
      <w:pPr>
        <w:tabs>
          <w:tab w:val="left" w:pos="720"/>
        </w:tabs>
        <w:ind w:left="720" w:hanging="720"/>
      </w:pPr>
    </w:p>
    <w:p w:rsidR="00795DDF" w:rsidRDefault="00BF6737" w:rsidP="00BF6737">
      <w:pPr>
        <w:tabs>
          <w:tab w:val="left" w:pos="720"/>
        </w:tabs>
        <w:ind w:left="720" w:hanging="720"/>
      </w:pPr>
      <w:r>
        <w:tab/>
      </w:r>
      <w:r w:rsidR="00382984" w:rsidRPr="00382984">
        <w:t xml:space="preserve">The </w:t>
      </w:r>
      <w:r w:rsidR="00715A5B">
        <w:t xml:space="preserve">final </w:t>
      </w:r>
      <w:r w:rsidR="00382984" w:rsidRPr="00382984">
        <w:t xml:space="preserve">rule </w:t>
      </w:r>
      <w:r w:rsidR="00382984">
        <w:t>sets forth</w:t>
      </w:r>
      <w:r w:rsidR="00382984" w:rsidRPr="00382984">
        <w:t xml:space="preserve"> the process for reviewing and addressing actual or p</w:t>
      </w:r>
      <w:r w:rsidR="00382984">
        <w:t xml:space="preserve">otential conflicts of interest </w:t>
      </w:r>
      <w:r w:rsidR="00382984" w:rsidRPr="00382984">
        <w:t xml:space="preserve">among any individuals or entities seeking </w:t>
      </w:r>
      <w:r w:rsidR="00382984">
        <w:t xml:space="preserve">or having </w:t>
      </w:r>
      <w:r w:rsidR="00382984" w:rsidRPr="00382984">
        <w:t xml:space="preserve">a contract or financial agency agreement with the Treasury </w:t>
      </w:r>
      <w:r w:rsidR="00F06A3C">
        <w:t xml:space="preserve">for </w:t>
      </w:r>
      <w:r w:rsidR="00382984" w:rsidRPr="00382984">
        <w:t xml:space="preserve">services </w:t>
      </w:r>
      <w:r w:rsidR="00F06A3C">
        <w:t>under</w:t>
      </w:r>
      <w:r w:rsidR="00382984" w:rsidRPr="00382984">
        <w:t xml:space="preserve"> EESA.  Section 108 of the EESA requires Treasury to develop guidelines for addressing </w:t>
      </w:r>
      <w:r w:rsidR="00382984">
        <w:t xml:space="preserve">conflicts of interest </w:t>
      </w:r>
      <w:r w:rsidR="00382984" w:rsidRPr="00382984">
        <w:t xml:space="preserve">as soon as practicable after enactment of the law.  The procedures set forth in this </w:t>
      </w:r>
      <w:r w:rsidR="00715A5B">
        <w:t xml:space="preserve">final </w:t>
      </w:r>
      <w:r w:rsidR="00382984" w:rsidRPr="00382984">
        <w:t xml:space="preserve">rule are effective immediately.  </w:t>
      </w:r>
    </w:p>
    <w:p w:rsidR="006C5EBB" w:rsidRDefault="006C5EBB" w:rsidP="00BF6737">
      <w:pPr>
        <w:tabs>
          <w:tab w:val="left" w:pos="720"/>
        </w:tabs>
        <w:ind w:left="720" w:hanging="720"/>
      </w:pPr>
    </w:p>
    <w:p w:rsidR="00003D4B" w:rsidRDefault="00EB38BE" w:rsidP="00BF6737">
      <w:pPr>
        <w:pStyle w:val="ListParagraph"/>
        <w:numPr>
          <w:ilvl w:val="0"/>
          <w:numId w:val="15"/>
        </w:numPr>
        <w:tabs>
          <w:tab w:val="left" w:pos="1080"/>
        </w:tabs>
        <w:ind w:left="1080"/>
      </w:pPr>
      <w:r>
        <w:t xml:space="preserve">For organizational conflicts of interest, a retained entity is required to certify and provide Treasury with sufficient information to evaluate any conflicts of interest.  The information includes:  </w:t>
      </w:r>
    </w:p>
    <w:p w:rsidR="00003D4B" w:rsidRDefault="00EB38BE" w:rsidP="00BF6737">
      <w:pPr>
        <w:pStyle w:val="ListParagraph"/>
        <w:numPr>
          <w:ilvl w:val="0"/>
          <w:numId w:val="16"/>
        </w:numPr>
        <w:tabs>
          <w:tab w:val="left" w:pos="720"/>
        </w:tabs>
      </w:pPr>
      <w:r>
        <w:t xml:space="preserve">the organization’s relationship to any related entities, </w:t>
      </w:r>
    </w:p>
    <w:p w:rsidR="00003D4B" w:rsidRDefault="00EB38BE" w:rsidP="00BF6737">
      <w:pPr>
        <w:pStyle w:val="ListParagraph"/>
        <w:numPr>
          <w:ilvl w:val="0"/>
          <w:numId w:val="16"/>
        </w:numPr>
        <w:tabs>
          <w:tab w:val="left" w:pos="720"/>
        </w:tabs>
      </w:pPr>
      <w:r>
        <w:t xml:space="preserve">the categories of troubled assets </w:t>
      </w:r>
      <w:r w:rsidR="009D5B6E">
        <w:t xml:space="preserve">it </w:t>
      </w:r>
      <w:r w:rsidR="00F06A3C">
        <w:t xml:space="preserve">and its related entities </w:t>
      </w:r>
      <w:r>
        <w:t xml:space="preserve">own or control, </w:t>
      </w:r>
    </w:p>
    <w:p w:rsidR="00003D4B" w:rsidRDefault="00EB38BE" w:rsidP="00BF6737">
      <w:pPr>
        <w:pStyle w:val="ListParagraph"/>
        <w:numPr>
          <w:ilvl w:val="0"/>
          <w:numId w:val="16"/>
        </w:numPr>
        <w:tabs>
          <w:tab w:val="left" w:pos="720"/>
        </w:tabs>
      </w:pPr>
      <w:r>
        <w:t xml:space="preserve">information concerning any other business or financial interest of the organization, its proposed subcontractors, or related entities, </w:t>
      </w:r>
    </w:p>
    <w:p w:rsidR="00003D4B" w:rsidRDefault="00EB38BE" w:rsidP="00BF6737">
      <w:pPr>
        <w:pStyle w:val="ListParagraph"/>
        <w:numPr>
          <w:ilvl w:val="0"/>
          <w:numId w:val="16"/>
        </w:numPr>
        <w:tabs>
          <w:tab w:val="left" w:pos="720"/>
        </w:tabs>
      </w:pPr>
      <w:r>
        <w:t>a description of any actual or potential organizati</w:t>
      </w:r>
      <w:r w:rsidR="00CB77E4">
        <w:t xml:space="preserve">onal conflicts of interest, </w:t>
      </w:r>
    </w:p>
    <w:p w:rsidR="00EB38BE" w:rsidRDefault="00EB38BE" w:rsidP="00BF6737">
      <w:pPr>
        <w:pStyle w:val="ListParagraph"/>
        <w:numPr>
          <w:ilvl w:val="0"/>
          <w:numId w:val="16"/>
        </w:numPr>
        <w:tabs>
          <w:tab w:val="left" w:pos="720"/>
        </w:tabs>
      </w:pPr>
      <w:r>
        <w:t xml:space="preserve">a detailed plan to mitigate </w:t>
      </w:r>
      <w:r w:rsidR="009D5B6E">
        <w:t>such</w:t>
      </w:r>
      <w:r>
        <w:t xml:space="preserve"> conflicts of interest, </w:t>
      </w:r>
      <w:r w:rsidR="00CB77E4">
        <w:t xml:space="preserve">and </w:t>
      </w:r>
      <w:r w:rsidR="00CB77E4" w:rsidRPr="00CB77E4">
        <w:t>other information that Treasury may request to evaluate the potential for conflicts</w:t>
      </w:r>
      <w:r w:rsidR="00CB77E4">
        <w:t>.</w:t>
      </w:r>
    </w:p>
    <w:p w:rsidR="006E57EF" w:rsidRDefault="006E57EF" w:rsidP="006E57EF">
      <w:pPr>
        <w:pStyle w:val="ListParagraph"/>
        <w:tabs>
          <w:tab w:val="left" w:pos="720"/>
        </w:tabs>
        <w:ind w:left="1440"/>
      </w:pPr>
    </w:p>
    <w:p w:rsidR="00EB38BE" w:rsidRDefault="009D5B6E" w:rsidP="00BF6737">
      <w:pPr>
        <w:numPr>
          <w:ilvl w:val="0"/>
          <w:numId w:val="13"/>
        </w:numPr>
        <w:tabs>
          <w:tab w:val="clear" w:pos="2880"/>
          <w:tab w:val="left" w:pos="1080"/>
        </w:tabs>
        <w:ind w:left="1080"/>
      </w:pPr>
      <w:r>
        <w:t>For p</w:t>
      </w:r>
      <w:r w:rsidR="00EB38BE">
        <w:t>ersonal conflicts of interest</w:t>
      </w:r>
      <w:r>
        <w:t>, a</w:t>
      </w:r>
      <w:r w:rsidR="00EB38BE" w:rsidRPr="00EB38BE">
        <w:t xml:space="preserve"> retained entity shall obtain in writing from each of its key individuals information about the personal, business, and financial relationships of an individual, his or her spouse, minor child, or other family member with whom the individual has a close personal relationship that would cause a reasonable person with knowledge of the relevant facts to question  the individual’s ability to perform, his or her objectivity or judgment in such performance, or his or her ability to represent the interest of the Treasury.  </w:t>
      </w:r>
      <w:r w:rsidR="00840E1B">
        <w:t xml:space="preserve">Further, the rule requires </w:t>
      </w:r>
      <w:r w:rsidR="00715A5B">
        <w:t xml:space="preserve">an </w:t>
      </w:r>
      <w:r w:rsidR="00840E1B">
        <w:t xml:space="preserve">annual certification that </w:t>
      </w:r>
      <w:r w:rsidR="00840E1B" w:rsidRPr="00840E1B">
        <w:t>all key individuals are in full compliance with confidentiality obligations</w:t>
      </w:r>
      <w:r w:rsidR="00003D4B">
        <w:t>.</w:t>
      </w:r>
    </w:p>
    <w:p w:rsidR="006E57EF" w:rsidRDefault="006E57EF" w:rsidP="006E57EF">
      <w:pPr>
        <w:tabs>
          <w:tab w:val="left" w:pos="1080"/>
        </w:tabs>
        <w:ind w:left="1080"/>
      </w:pPr>
    </w:p>
    <w:p w:rsidR="009D5B6E" w:rsidRPr="00EB38BE" w:rsidRDefault="009D5B6E" w:rsidP="00BF6737">
      <w:pPr>
        <w:numPr>
          <w:ilvl w:val="0"/>
          <w:numId w:val="13"/>
        </w:numPr>
        <w:tabs>
          <w:tab w:val="clear" w:pos="2880"/>
          <w:tab w:val="left" w:pos="1080"/>
        </w:tabs>
        <w:ind w:left="1080"/>
      </w:pPr>
      <w:r>
        <w:t xml:space="preserve">Other information.  The </w:t>
      </w:r>
      <w:r w:rsidR="00715A5B">
        <w:t xml:space="preserve">final </w:t>
      </w:r>
      <w:r>
        <w:t>rule also provides for waiver requests</w:t>
      </w:r>
      <w:r w:rsidR="00353C2F">
        <w:t>, compliance certification,</w:t>
      </w:r>
      <w:r>
        <w:t xml:space="preserve"> and modification reporting.  In addition, organizations </w:t>
      </w:r>
      <w:r w:rsidR="00441AB7">
        <w:t xml:space="preserve">must </w:t>
      </w:r>
      <w:r>
        <w:t xml:space="preserve">report fraud to a special inspector general.  </w:t>
      </w:r>
    </w:p>
    <w:p w:rsidR="00775C08" w:rsidRDefault="00775C08" w:rsidP="00BF6737">
      <w:pPr>
        <w:tabs>
          <w:tab w:val="left" w:pos="720"/>
        </w:tabs>
        <w:ind w:left="720" w:hanging="720"/>
      </w:pPr>
    </w:p>
    <w:p w:rsidR="002303FC" w:rsidRDefault="002303FC" w:rsidP="00BF6737">
      <w:pPr>
        <w:tabs>
          <w:tab w:val="left" w:pos="720"/>
        </w:tabs>
        <w:ind w:left="720" w:hanging="720"/>
        <w:rPr>
          <w:u w:val="single"/>
        </w:rPr>
      </w:pPr>
      <w:r>
        <w:rPr>
          <w:u w:val="single"/>
        </w:rPr>
        <w:br w:type="page"/>
      </w:r>
    </w:p>
    <w:p w:rsidR="003C1AB8" w:rsidRPr="0025604D" w:rsidRDefault="00F72D0B" w:rsidP="00BF6737">
      <w:pPr>
        <w:numPr>
          <w:ilvl w:val="0"/>
          <w:numId w:val="12"/>
        </w:numPr>
        <w:tabs>
          <w:tab w:val="left" w:pos="720"/>
        </w:tabs>
        <w:ind w:hanging="720"/>
      </w:pPr>
      <w:r w:rsidRPr="0025604D">
        <w:rPr>
          <w:u w:val="single"/>
        </w:rPr>
        <w:lastRenderedPageBreak/>
        <w:t>U</w:t>
      </w:r>
      <w:r w:rsidR="003C1AB8" w:rsidRPr="0025604D">
        <w:rPr>
          <w:u w:val="single"/>
        </w:rPr>
        <w:t>se of the data</w:t>
      </w:r>
    </w:p>
    <w:p w:rsidR="003C1AB8" w:rsidRPr="0025604D" w:rsidRDefault="003C1AB8" w:rsidP="00BF6737">
      <w:pPr>
        <w:tabs>
          <w:tab w:val="left" w:pos="720"/>
        </w:tabs>
        <w:ind w:left="720" w:hanging="720"/>
        <w:rPr>
          <w:u w:val="single"/>
        </w:rPr>
      </w:pPr>
    </w:p>
    <w:p w:rsidR="003C1AB8" w:rsidRDefault="00BF6737" w:rsidP="00BF6737">
      <w:pPr>
        <w:tabs>
          <w:tab w:val="left" w:pos="720"/>
        </w:tabs>
        <w:ind w:left="720" w:hanging="720"/>
      </w:pPr>
      <w:r>
        <w:tab/>
      </w:r>
      <w:r w:rsidR="006536E9">
        <w:t xml:space="preserve">The information will be used to </w:t>
      </w:r>
      <w:r w:rsidR="00382984">
        <w:t xml:space="preserve">evaluate and </w:t>
      </w:r>
      <w:r w:rsidR="00795DDF">
        <w:t xml:space="preserve">minimize real or apparent conflicts of interest </w:t>
      </w:r>
      <w:r w:rsidR="00FC4E29">
        <w:t>related to contractual or financial agen</w:t>
      </w:r>
      <w:r w:rsidR="00185555">
        <w:t>cy</w:t>
      </w:r>
      <w:r w:rsidR="00FC4E29">
        <w:t xml:space="preserve"> agreement services performed under the </w:t>
      </w:r>
      <w:r w:rsidR="00795DDF">
        <w:t xml:space="preserve">TARP.  </w:t>
      </w:r>
    </w:p>
    <w:p w:rsidR="00856DD0" w:rsidRPr="0025604D" w:rsidRDefault="00856DD0" w:rsidP="00BF6737">
      <w:pPr>
        <w:tabs>
          <w:tab w:val="left" w:pos="720"/>
        </w:tabs>
        <w:ind w:left="720" w:hanging="720"/>
      </w:pPr>
    </w:p>
    <w:p w:rsidR="003C1AB8" w:rsidRPr="0025604D" w:rsidRDefault="00F72D0B" w:rsidP="00BF6737">
      <w:pPr>
        <w:pStyle w:val="ListParagraph"/>
        <w:keepNext/>
        <w:numPr>
          <w:ilvl w:val="0"/>
          <w:numId w:val="12"/>
        </w:numPr>
        <w:tabs>
          <w:tab w:val="left" w:pos="720"/>
        </w:tabs>
        <w:ind w:hanging="720"/>
      </w:pPr>
      <w:r w:rsidRPr="00BF6737">
        <w:rPr>
          <w:u w:val="single"/>
        </w:rPr>
        <w:t>Use of information technology</w:t>
      </w:r>
      <w:r w:rsidR="003C1AB8" w:rsidRPr="0025604D">
        <w:t xml:space="preserve"> </w:t>
      </w:r>
    </w:p>
    <w:p w:rsidR="003C1AB8" w:rsidRPr="0025604D" w:rsidRDefault="003C1AB8" w:rsidP="00BF6737">
      <w:pPr>
        <w:keepNext/>
        <w:tabs>
          <w:tab w:val="left" w:pos="720"/>
        </w:tabs>
        <w:ind w:left="720" w:hanging="720"/>
      </w:pPr>
    </w:p>
    <w:p w:rsidR="00856DD0" w:rsidRDefault="00BF6737" w:rsidP="00BF6737">
      <w:pPr>
        <w:tabs>
          <w:tab w:val="left" w:pos="720"/>
        </w:tabs>
        <w:ind w:left="720" w:hanging="720"/>
      </w:pPr>
      <w:r>
        <w:tab/>
      </w:r>
      <w:r w:rsidR="00795DDF">
        <w:t xml:space="preserve">In most cases, conflicts related information collections will be transmitted electronically.  </w:t>
      </w:r>
    </w:p>
    <w:p w:rsidR="006C5EBB" w:rsidRPr="0025604D" w:rsidRDefault="006C5EBB" w:rsidP="00BF6737">
      <w:pPr>
        <w:tabs>
          <w:tab w:val="left" w:pos="720"/>
        </w:tabs>
        <w:ind w:left="720" w:hanging="720"/>
      </w:pPr>
    </w:p>
    <w:p w:rsidR="00F72D0B" w:rsidRPr="0025604D" w:rsidRDefault="00F72D0B" w:rsidP="00BF6737">
      <w:pPr>
        <w:pStyle w:val="ListParagraph"/>
        <w:numPr>
          <w:ilvl w:val="0"/>
          <w:numId w:val="12"/>
        </w:numPr>
        <w:tabs>
          <w:tab w:val="left" w:pos="720"/>
        </w:tabs>
        <w:ind w:hanging="720"/>
      </w:pPr>
      <w:r w:rsidRPr="00BF6737">
        <w:rPr>
          <w:u w:val="single"/>
        </w:rPr>
        <w:t>Efforts to identify duplication</w:t>
      </w:r>
      <w:r w:rsidRPr="0025604D">
        <w:t xml:space="preserve">   </w:t>
      </w:r>
    </w:p>
    <w:p w:rsidR="00406DAA" w:rsidRDefault="00406DAA" w:rsidP="00BF6737">
      <w:pPr>
        <w:tabs>
          <w:tab w:val="left" w:pos="720"/>
        </w:tabs>
        <w:ind w:left="720" w:hanging="720"/>
      </w:pPr>
    </w:p>
    <w:p w:rsidR="00F72D0B" w:rsidRPr="0025604D" w:rsidRDefault="00BF6737" w:rsidP="00BF6737">
      <w:pPr>
        <w:tabs>
          <w:tab w:val="left" w:pos="720"/>
        </w:tabs>
        <w:ind w:left="720" w:hanging="720"/>
      </w:pPr>
      <w:r>
        <w:tab/>
      </w:r>
      <w:r w:rsidR="00F72D0B" w:rsidRPr="0025604D">
        <w:t xml:space="preserve">The information </w:t>
      </w:r>
      <w:r w:rsidR="00FB7F1C">
        <w:t xml:space="preserve">will be collected </w:t>
      </w:r>
      <w:r w:rsidR="00422F85">
        <w:t xml:space="preserve">once and then on a periodic basis.  The information is not collected or reported in any other information collection.  </w:t>
      </w:r>
    </w:p>
    <w:p w:rsidR="006C5EBB" w:rsidRPr="0025604D" w:rsidRDefault="006C5EBB" w:rsidP="00BF6737">
      <w:pPr>
        <w:tabs>
          <w:tab w:val="left" w:pos="720"/>
        </w:tabs>
        <w:ind w:left="720" w:hanging="720"/>
      </w:pPr>
    </w:p>
    <w:p w:rsidR="00F72D0B" w:rsidRPr="00BF6737" w:rsidRDefault="00F72D0B" w:rsidP="00BF6737">
      <w:pPr>
        <w:pStyle w:val="ListParagraph"/>
        <w:numPr>
          <w:ilvl w:val="0"/>
          <w:numId w:val="12"/>
        </w:numPr>
        <w:tabs>
          <w:tab w:val="left" w:pos="720"/>
        </w:tabs>
        <w:ind w:hanging="720"/>
        <w:rPr>
          <w:u w:val="single"/>
        </w:rPr>
      </w:pPr>
      <w:r w:rsidRPr="00BF6737">
        <w:rPr>
          <w:u w:val="single"/>
        </w:rPr>
        <w:t>Impact on small entities</w:t>
      </w:r>
    </w:p>
    <w:p w:rsidR="00795DDF" w:rsidRDefault="00795DDF" w:rsidP="00BF6737">
      <w:pPr>
        <w:tabs>
          <w:tab w:val="left" w:pos="720"/>
        </w:tabs>
        <w:ind w:left="720" w:hanging="720"/>
      </w:pPr>
    </w:p>
    <w:p w:rsidR="00F72D0B" w:rsidRDefault="00BF6737" w:rsidP="00BF6737">
      <w:pPr>
        <w:tabs>
          <w:tab w:val="left" w:pos="720"/>
        </w:tabs>
        <w:ind w:left="720" w:hanging="720"/>
      </w:pPr>
      <w:r>
        <w:tab/>
      </w:r>
      <w:r w:rsidR="00795DDF">
        <w:t xml:space="preserve">Some small entities will </w:t>
      </w:r>
      <w:r w:rsidR="00FC4E29">
        <w:t xml:space="preserve">provide services under </w:t>
      </w:r>
      <w:r w:rsidR="00795DDF">
        <w:t xml:space="preserve">the TARP </w:t>
      </w:r>
      <w:r w:rsidR="00FC4E29">
        <w:t xml:space="preserve">pursuant to a contract or financial agency agreement </w:t>
      </w:r>
      <w:r w:rsidR="00795DDF">
        <w:t xml:space="preserve">and will be subject to the conflicts of interest regulations.  The </w:t>
      </w:r>
      <w:r w:rsidR="00E61F07">
        <w:t>burden on small and large entities is</w:t>
      </w:r>
      <w:r w:rsidR="00795DDF">
        <w:t xml:space="preserve"> minimal to meet the statutory requirements under EESA to </w:t>
      </w:r>
      <w:r w:rsidR="00422F85">
        <w:t>minimize</w:t>
      </w:r>
      <w:r w:rsidR="00795DDF">
        <w:t xml:space="preserve"> conflicts of interest.  </w:t>
      </w:r>
    </w:p>
    <w:p w:rsidR="00F72D0B" w:rsidRPr="0025604D" w:rsidRDefault="00F72D0B" w:rsidP="00BF6737">
      <w:pPr>
        <w:tabs>
          <w:tab w:val="left" w:pos="720"/>
        </w:tabs>
        <w:ind w:left="720" w:hanging="720"/>
      </w:pPr>
    </w:p>
    <w:p w:rsidR="00F72D0B" w:rsidRPr="00BF6737" w:rsidRDefault="00F72D0B" w:rsidP="00BF6737">
      <w:pPr>
        <w:pStyle w:val="ListParagraph"/>
        <w:numPr>
          <w:ilvl w:val="0"/>
          <w:numId w:val="12"/>
        </w:numPr>
        <w:tabs>
          <w:tab w:val="left" w:pos="720"/>
        </w:tabs>
        <w:ind w:hanging="720"/>
        <w:rPr>
          <w:u w:val="single"/>
        </w:rPr>
      </w:pPr>
      <w:r w:rsidRPr="00BF6737">
        <w:rPr>
          <w:u w:val="single"/>
        </w:rPr>
        <w:t>Consequences of less frequent collection and obstacles to burden reduction</w:t>
      </w:r>
    </w:p>
    <w:p w:rsidR="00F72D0B" w:rsidRPr="0025604D" w:rsidRDefault="00F72D0B" w:rsidP="00BF6737">
      <w:pPr>
        <w:tabs>
          <w:tab w:val="left" w:pos="720"/>
        </w:tabs>
        <w:ind w:left="720" w:hanging="720"/>
      </w:pPr>
    </w:p>
    <w:p w:rsidR="00FB7F1C" w:rsidRDefault="00BF6737" w:rsidP="00BF6737">
      <w:pPr>
        <w:tabs>
          <w:tab w:val="left" w:pos="720"/>
        </w:tabs>
        <w:ind w:left="720" w:hanging="720"/>
      </w:pPr>
      <w:r>
        <w:tab/>
      </w:r>
      <w:r w:rsidR="006B22D1" w:rsidRPr="006B22D1">
        <w:t xml:space="preserve">If the </w:t>
      </w:r>
      <w:r w:rsidR="008A5AEA">
        <w:t>information</w:t>
      </w:r>
      <w:r w:rsidR="006B22D1" w:rsidRPr="006B22D1">
        <w:t xml:space="preserve"> is not collected, Treasury will not be able to </w:t>
      </w:r>
      <w:r w:rsidR="00F31337">
        <w:t xml:space="preserve">determine </w:t>
      </w:r>
      <w:r w:rsidR="00795DDF">
        <w:t xml:space="preserve">whether conflicts </w:t>
      </w:r>
      <w:r w:rsidR="00FC4E29">
        <w:t xml:space="preserve">of interest </w:t>
      </w:r>
      <w:r w:rsidR="00795DDF">
        <w:t xml:space="preserve">exist.  </w:t>
      </w:r>
    </w:p>
    <w:p w:rsidR="006C5EBB" w:rsidRPr="006B22D1" w:rsidRDefault="006C5EBB" w:rsidP="00BF6737">
      <w:pPr>
        <w:tabs>
          <w:tab w:val="left" w:pos="720"/>
        </w:tabs>
        <w:ind w:left="720" w:hanging="720"/>
      </w:pPr>
    </w:p>
    <w:p w:rsidR="00F72D0B" w:rsidRPr="00BF6737" w:rsidRDefault="00CB003A" w:rsidP="00BF6737">
      <w:pPr>
        <w:pStyle w:val="ListParagraph"/>
        <w:numPr>
          <w:ilvl w:val="0"/>
          <w:numId w:val="12"/>
        </w:numPr>
        <w:tabs>
          <w:tab w:val="left" w:pos="720"/>
        </w:tabs>
        <w:ind w:hanging="720"/>
        <w:rPr>
          <w:u w:val="single"/>
        </w:rPr>
      </w:pPr>
      <w:r w:rsidRPr="00BF6737">
        <w:rPr>
          <w:u w:val="single"/>
        </w:rPr>
        <w:t>Circumstances requiring special information collection</w:t>
      </w:r>
    </w:p>
    <w:p w:rsidR="00FB7F1C" w:rsidRDefault="00FB7F1C" w:rsidP="00BF6737">
      <w:pPr>
        <w:tabs>
          <w:tab w:val="left" w:pos="720"/>
        </w:tabs>
        <w:ind w:left="720" w:hanging="720"/>
        <w:rPr>
          <w:u w:val="single"/>
        </w:rPr>
      </w:pPr>
    </w:p>
    <w:p w:rsidR="00F31337" w:rsidRDefault="00BF6737" w:rsidP="00BF6737">
      <w:pPr>
        <w:tabs>
          <w:tab w:val="left" w:pos="720"/>
        </w:tabs>
        <w:ind w:left="720" w:hanging="720"/>
        <w:outlineLvl w:val="0"/>
      </w:pPr>
      <w:r>
        <w:tab/>
      </w:r>
      <w:r w:rsidR="00795DDF">
        <w:t>Not applicable</w:t>
      </w:r>
      <w:r w:rsidR="00EB5E62">
        <w:t xml:space="preserve">.  </w:t>
      </w:r>
    </w:p>
    <w:p w:rsidR="00CB003A" w:rsidRPr="0025604D" w:rsidRDefault="00CB003A" w:rsidP="00BF6737">
      <w:pPr>
        <w:tabs>
          <w:tab w:val="left" w:pos="720"/>
        </w:tabs>
        <w:ind w:left="720" w:hanging="720"/>
      </w:pPr>
    </w:p>
    <w:p w:rsidR="00CB003A" w:rsidRPr="00BF6737" w:rsidRDefault="00CB003A" w:rsidP="00BF6737">
      <w:pPr>
        <w:pStyle w:val="ListParagraph"/>
        <w:numPr>
          <w:ilvl w:val="0"/>
          <w:numId w:val="12"/>
        </w:numPr>
        <w:tabs>
          <w:tab w:val="left" w:pos="720"/>
        </w:tabs>
        <w:ind w:hanging="720"/>
        <w:rPr>
          <w:u w:val="single"/>
        </w:rPr>
      </w:pPr>
      <w:r w:rsidRPr="00BF6737">
        <w:rPr>
          <w:u w:val="single"/>
        </w:rPr>
        <w:t>Solicitation of comments on information collection</w:t>
      </w:r>
    </w:p>
    <w:p w:rsidR="00CB003A" w:rsidRPr="0025604D" w:rsidRDefault="00CB003A" w:rsidP="00BF6737">
      <w:pPr>
        <w:tabs>
          <w:tab w:val="left" w:pos="720"/>
        </w:tabs>
        <w:ind w:left="720" w:hanging="720"/>
      </w:pPr>
    </w:p>
    <w:p w:rsidR="006C5EBB" w:rsidRDefault="00BF6737" w:rsidP="00BF6737">
      <w:pPr>
        <w:tabs>
          <w:tab w:val="left" w:pos="720"/>
        </w:tabs>
        <w:ind w:left="720" w:hanging="720"/>
      </w:pPr>
      <w:r>
        <w:tab/>
      </w:r>
      <w:r w:rsidR="006C5EBB" w:rsidRPr="00762A91">
        <w:t xml:space="preserve">A notice soliciting public comments was published in the </w:t>
      </w:r>
      <w:r w:rsidR="006C5EBB" w:rsidRPr="00F015F9">
        <w:rPr>
          <w:i/>
        </w:rPr>
        <w:t>Federal Register</w:t>
      </w:r>
      <w:r w:rsidR="006C5EBB" w:rsidRPr="00762A91">
        <w:t xml:space="preserve"> on </w:t>
      </w:r>
      <w:r w:rsidR="00F015F9">
        <w:t>May 16, 2017</w:t>
      </w:r>
      <w:r w:rsidR="002932A9">
        <w:t xml:space="preserve">, </w:t>
      </w:r>
      <w:r w:rsidR="006C5EBB" w:rsidRPr="00762A91">
        <w:t xml:space="preserve">at </w:t>
      </w:r>
      <w:r w:rsidR="00F015F9" w:rsidRPr="00F015F9">
        <w:t>82 FR 22607</w:t>
      </w:r>
      <w:r w:rsidR="006E57EF">
        <w:t>,</w:t>
      </w:r>
      <w:r w:rsidR="006C5EBB" w:rsidRPr="00762A91">
        <w:t xml:space="preserve"> and no comments were received</w:t>
      </w:r>
      <w:r w:rsidR="006C5EBB">
        <w:t>.</w:t>
      </w:r>
    </w:p>
    <w:p w:rsidR="006C5EBB" w:rsidRPr="0025604D" w:rsidRDefault="006C5EBB" w:rsidP="00BF6737">
      <w:pPr>
        <w:tabs>
          <w:tab w:val="left" w:pos="720"/>
        </w:tabs>
        <w:ind w:left="720" w:hanging="720"/>
      </w:pPr>
    </w:p>
    <w:p w:rsidR="00147A26" w:rsidRPr="0025604D" w:rsidRDefault="000112E1" w:rsidP="00BF6737">
      <w:pPr>
        <w:pStyle w:val="ListParagraph"/>
        <w:keepNext/>
        <w:numPr>
          <w:ilvl w:val="0"/>
          <w:numId w:val="12"/>
        </w:numPr>
        <w:tabs>
          <w:tab w:val="left" w:pos="720"/>
        </w:tabs>
        <w:ind w:hanging="720"/>
      </w:pPr>
      <w:r>
        <w:rPr>
          <w:u w:val="single"/>
        </w:rPr>
        <w:t>Provision of Payments to R</w:t>
      </w:r>
      <w:r w:rsidR="00147A26" w:rsidRPr="00BF6737">
        <w:rPr>
          <w:u w:val="single"/>
        </w:rPr>
        <w:t>ecordkeepers</w:t>
      </w:r>
    </w:p>
    <w:p w:rsidR="00147A26" w:rsidRPr="0025604D" w:rsidRDefault="00147A26" w:rsidP="00BF6737">
      <w:pPr>
        <w:keepNext/>
        <w:tabs>
          <w:tab w:val="left" w:pos="720"/>
        </w:tabs>
      </w:pPr>
    </w:p>
    <w:p w:rsidR="00147A26" w:rsidRDefault="00BF6737" w:rsidP="00BF6737">
      <w:pPr>
        <w:tabs>
          <w:tab w:val="left" w:pos="720"/>
        </w:tabs>
        <w:outlineLvl w:val="0"/>
      </w:pPr>
      <w:r>
        <w:tab/>
      </w:r>
      <w:r w:rsidR="00256911">
        <w:t>Not applicable.</w:t>
      </w:r>
    </w:p>
    <w:p w:rsidR="00256911" w:rsidRPr="0025604D" w:rsidRDefault="00256911" w:rsidP="00BF6737">
      <w:pPr>
        <w:tabs>
          <w:tab w:val="left" w:pos="720"/>
        </w:tabs>
      </w:pPr>
    </w:p>
    <w:p w:rsidR="00147A26" w:rsidRPr="0025604D" w:rsidRDefault="00147A26" w:rsidP="00BF6737">
      <w:pPr>
        <w:pStyle w:val="ListParagraph"/>
        <w:keepNext/>
        <w:numPr>
          <w:ilvl w:val="0"/>
          <w:numId w:val="12"/>
        </w:numPr>
        <w:tabs>
          <w:tab w:val="left" w:pos="720"/>
        </w:tabs>
        <w:ind w:hanging="720"/>
      </w:pPr>
      <w:r w:rsidRPr="00BF6737">
        <w:rPr>
          <w:u w:val="single"/>
        </w:rPr>
        <w:t>Assurance of confidentiality</w:t>
      </w:r>
    </w:p>
    <w:p w:rsidR="00147A26" w:rsidRPr="0025604D" w:rsidRDefault="00147A26" w:rsidP="00BF6737">
      <w:pPr>
        <w:keepNext/>
        <w:tabs>
          <w:tab w:val="left" w:pos="720"/>
        </w:tabs>
      </w:pPr>
    </w:p>
    <w:p w:rsidR="00147A26" w:rsidRDefault="00BF6737" w:rsidP="00BF6737">
      <w:pPr>
        <w:tabs>
          <w:tab w:val="left" w:pos="720"/>
        </w:tabs>
        <w:ind w:left="720" w:hanging="720"/>
      </w:pPr>
      <w:r>
        <w:tab/>
      </w:r>
      <w:r w:rsidR="00256911">
        <w:t>A</w:t>
      </w:r>
      <w:r w:rsidR="00147A26" w:rsidRPr="0025604D">
        <w:t xml:space="preserve">ny </w:t>
      </w:r>
      <w:r w:rsidR="00921EA8">
        <w:t xml:space="preserve">confidential </w:t>
      </w:r>
      <w:r w:rsidR="00147A26" w:rsidRPr="0025604D">
        <w:t xml:space="preserve">information </w:t>
      </w:r>
      <w:r w:rsidR="00460B20">
        <w:t xml:space="preserve">provided voluntarily by </w:t>
      </w:r>
      <w:r w:rsidR="00422F85">
        <w:t xml:space="preserve">TARP </w:t>
      </w:r>
      <w:r w:rsidR="00FC4E29">
        <w:t>retained entities</w:t>
      </w:r>
      <w:r w:rsidR="00460B20">
        <w:t xml:space="preserve"> </w:t>
      </w:r>
      <w:r w:rsidR="00147A26" w:rsidRPr="0025604D">
        <w:t>will be maintained as confidential consistent with applicable provisions of the Trade Secrets Act and Freedom of Information Act</w:t>
      </w:r>
      <w:r w:rsidR="008A5AEA">
        <w:t>.</w:t>
      </w:r>
      <w:r w:rsidR="00BA59A6">
        <w:t xml:space="preserve"> </w:t>
      </w:r>
      <w:r w:rsidR="00422F85">
        <w:t xml:space="preserve"> </w:t>
      </w:r>
    </w:p>
    <w:p w:rsidR="006C5EBB" w:rsidRPr="0025604D" w:rsidRDefault="006C5EBB" w:rsidP="00FC4E29"/>
    <w:p w:rsidR="00147A26" w:rsidRPr="0025604D" w:rsidRDefault="00147A26" w:rsidP="00BF6737">
      <w:pPr>
        <w:ind w:left="720" w:hanging="720"/>
      </w:pPr>
    </w:p>
    <w:p w:rsidR="00147A26" w:rsidRPr="00BF6737" w:rsidRDefault="00147A26" w:rsidP="00BF6737">
      <w:pPr>
        <w:pStyle w:val="ListParagraph"/>
        <w:numPr>
          <w:ilvl w:val="0"/>
          <w:numId w:val="12"/>
        </w:numPr>
        <w:ind w:hanging="720"/>
        <w:rPr>
          <w:u w:val="single"/>
        </w:rPr>
      </w:pPr>
      <w:r w:rsidRPr="00BF6737">
        <w:rPr>
          <w:u w:val="single"/>
        </w:rPr>
        <w:t>Justification of sensitive questions</w:t>
      </w:r>
    </w:p>
    <w:p w:rsidR="00147A26" w:rsidRPr="0025604D" w:rsidRDefault="00147A26" w:rsidP="00BF6737">
      <w:pPr>
        <w:ind w:left="720" w:hanging="720"/>
      </w:pPr>
    </w:p>
    <w:p w:rsidR="00147A26" w:rsidRDefault="00B60880" w:rsidP="00B60880">
      <w:pPr>
        <w:ind w:left="720"/>
        <w:outlineLvl w:val="0"/>
      </w:pPr>
      <w:r>
        <w:t>No PII is collection; not applicable.</w:t>
      </w:r>
    </w:p>
    <w:p w:rsidR="00147A26" w:rsidRPr="0025604D" w:rsidRDefault="00147A26" w:rsidP="00BF6737">
      <w:pPr>
        <w:ind w:left="720" w:hanging="720"/>
      </w:pPr>
    </w:p>
    <w:p w:rsidR="00147A26" w:rsidRPr="0025604D" w:rsidRDefault="00961823" w:rsidP="00BF6737">
      <w:pPr>
        <w:pStyle w:val="ListParagraph"/>
        <w:numPr>
          <w:ilvl w:val="0"/>
          <w:numId w:val="12"/>
        </w:numPr>
        <w:ind w:hanging="720"/>
      </w:pPr>
      <w:bookmarkStart w:id="1" w:name="OLE_LINK1"/>
      <w:r w:rsidRPr="00BF6737">
        <w:rPr>
          <w:u w:val="single"/>
        </w:rPr>
        <w:t>Estimated burden of information collection</w:t>
      </w:r>
    </w:p>
    <w:bookmarkEnd w:id="1"/>
    <w:p w:rsidR="0044510E" w:rsidRDefault="0044510E" w:rsidP="00CB003A"/>
    <w:tbl>
      <w:tblPr>
        <w:tblW w:w="9375" w:type="dxa"/>
        <w:tblInd w:w="558" w:type="dxa"/>
        <w:tblLook w:val="04A0" w:firstRow="1" w:lastRow="0" w:firstColumn="1" w:lastColumn="0" w:noHBand="0" w:noVBand="1"/>
      </w:tblPr>
      <w:tblGrid>
        <w:gridCol w:w="2980"/>
        <w:gridCol w:w="1220"/>
        <w:gridCol w:w="1200"/>
        <w:gridCol w:w="1300"/>
        <w:gridCol w:w="1240"/>
        <w:gridCol w:w="1435"/>
      </w:tblGrid>
      <w:tr w:rsidR="006E57EF" w:rsidTr="006E57EF">
        <w:trPr>
          <w:trHeight w:val="900"/>
        </w:trPr>
        <w:tc>
          <w:tcPr>
            <w:tcW w:w="2980" w:type="dxa"/>
            <w:tcBorders>
              <w:top w:val="nil"/>
              <w:left w:val="nil"/>
              <w:bottom w:val="single" w:sz="4" w:space="0" w:color="auto"/>
              <w:right w:val="nil"/>
            </w:tcBorders>
            <w:shd w:val="clear" w:color="auto" w:fill="auto"/>
            <w:noWrap/>
            <w:vAlign w:val="center"/>
            <w:hideMark/>
          </w:tcPr>
          <w:p w:rsidR="006E57EF" w:rsidRDefault="006E57EF">
            <w:pPr>
              <w:rPr>
                <w:rFonts w:ascii="Arial" w:hAnsi="Arial" w:cs="Arial"/>
                <w:color w:val="000000"/>
                <w:sz w:val="20"/>
                <w:szCs w:val="20"/>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7EF" w:rsidRDefault="006E57EF">
            <w:pPr>
              <w:jc w:val="center"/>
              <w:rPr>
                <w:rFonts w:ascii="Arial Narrow" w:hAnsi="Arial Narrow" w:cs="Calibri"/>
                <w:color w:val="000000"/>
                <w:sz w:val="20"/>
                <w:szCs w:val="20"/>
              </w:rPr>
            </w:pPr>
            <w:r>
              <w:rPr>
                <w:rFonts w:ascii="Arial Narrow" w:hAnsi="Arial Narrow" w:cs="Calibri"/>
                <w:color w:val="000000"/>
                <w:sz w:val="20"/>
                <w:szCs w:val="20"/>
              </w:rPr>
              <w:t>Estimated number of respondents</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E57EF" w:rsidRDefault="006E57EF">
            <w:pPr>
              <w:jc w:val="center"/>
              <w:rPr>
                <w:rFonts w:ascii="Arial Narrow" w:hAnsi="Arial Narrow" w:cs="Calibri"/>
                <w:color w:val="000000"/>
                <w:sz w:val="20"/>
                <w:szCs w:val="20"/>
              </w:rPr>
            </w:pPr>
            <w:r>
              <w:rPr>
                <w:rFonts w:ascii="Arial Narrow" w:hAnsi="Arial Narrow" w:cs="Calibri"/>
                <w:color w:val="000000"/>
                <w:sz w:val="20"/>
                <w:szCs w:val="20"/>
              </w:rPr>
              <w:t>No. of Responses Per Respondent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6E57EF" w:rsidRDefault="006E57EF">
            <w:pPr>
              <w:jc w:val="center"/>
              <w:rPr>
                <w:rFonts w:ascii="Arial Narrow" w:hAnsi="Arial Narrow" w:cs="Calibri"/>
                <w:color w:val="000000"/>
                <w:sz w:val="20"/>
                <w:szCs w:val="20"/>
              </w:rPr>
            </w:pPr>
            <w:r>
              <w:rPr>
                <w:rFonts w:ascii="Arial Narrow" w:hAnsi="Arial Narrow" w:cs="Calibri"/>
                <w:color w:val="000000"/>
                <w:sz w:val="20"/>
                <w:szCs w:val="20"/>
              </w:rPr>
              <w:t>Total estimated responses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6E57EF" w:rsidRDefault="006E57EF">
            <w:pPr>
              <w:jc w:val="center"/>
              <w:rPr>
                <w:rFonts w:ascii="Arial Narrow" w:hAnsi="Arial Narrow" w:cs="Calibri"/>
                <w:color w:val="000000"/>
                <w:sz w:val="20"/>
                <w:szCs w:val="20"/>
              </w:rPr>
            </w:pPr>
            <w:r>
              <w:rPr>
                <w:rFonts w:ascii="Arial Narrow" w:hAnsi="Arial Narrow" w:cs="Calibri"/>
                <w:color w:val="000000"/>
                <w:sz w:val="20"/>
                <w:szCs w:val="20"/>
              </w:rPr>
              <w:t>Estimated burden hours per respondent</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6E57EF" w:rsidRDefault="006E57EF">
            <w:pPr>
              <w:jc w:val="center"/>
              <w:rPr>
                <w:rFonts w:ascii="Arial Narrow" w:hAnsi="Arial Narrow" w:cs="Calibri"/>
                <w:color w:val="000000"/>
                <w:sz w:val="20"/>
                <w:szCs w:val="20"/>
              </w:rPr>
            </w:pPr>
            <w:r>
              <w:rPr>
                <w:rFonts w:ascii="Arial Narrow" w:hAnsi="Arial Narrow" w:cs="Calibri"/>
                <w:color w:val="000000"/>
                <w:sz w:val="20"/>
                <w:szCs w:val="20"/>
              </w:rPr>
              <w:t>Burden hours (annual)</w:t>
            </w:r>
          </w:p>
        </w:tc>
      </w:tr>
      <w:tr w:rsidR="006E57EF" w:rsidTr="006E57EF">
        <w:trPr>
          <w:trHeight w:val="51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227D" w:rsidRDefault="006E57EF">
            <w:pPr>
              <w:rPr>
                <w:rFonts w:ascii="Arial" w:hAnsi="Arial" w:cs="Arial"/>
                <w:color w:val="000000"/>
                <w:sz w:val="20"/>
                <w:szCs w:val="20"/>
              </w:rPr>
            </w:pPr>
            <w:r>
              <w:rPr>
                <w:rFonts w:ascii="Arial" w:hAnsi="Arial" w:cs="Arial"/>
                <w:color w:val="000000"/>
                <w:sz w:val="20"/>
                <w:szCs w:val="20"/>
              </w:rPr>
              <w:t>Personal conflicts of interest.</w:t>
            </w:r>
          </w:p>
          <w:p w:rsidR="006E57EF" w:rsidRDefault="006E57EF">
            <w:pPr>
              <w:rPr>
                <w:rFonts w:ascii="Arial" w:hAnsi="Arial" w:cs="Arial"/>
                <w:color w:val="000000"/>
                <w:sz w:val="20"/>
                <w:szCs w:val="20"/>
              </w:rPr>
            </w:pPr>
            <w:r>
              <w:rPr>
                <w:rFonts w:ascii="Arial" w:hAnsi="Arial" w:cs="Arial"/>
                <w:color w:val="000000"/>
                <w:sz w:val="20"/>
                <w:szCs w:val="20"/>
              </w:rPr>
              <w:t>(§ 31.212)</w:t>
            </w:r>
          </w:p>
        </w:tc>
        <w:tc>
          <w:tcPr>
            <w:tcW w:w="1220" w:type="dxa"/>
            <w:tcBorders>
              <w:top w:val="nil"/>
              <w:left w:val="nil"/>
              <w:bottom w:val="single" w:sz="4" w:space="0" w:color="auto"/>
              <w:right w:val="single" w:sz="4" w:space="0" w:color="auto"/>
            </w:tcBorders>
            <w:shd w:val="clear" w:color="auto" w:fill="auto"/>
            <w:vAlign w:val="center"/>
            <w:hideMark/>
          </w:tcPr>
          <w:p w:rsidR="006E57EF" w:rsidRDefault="006E57EF">
            <w:pPr>
              <w:jc w:val="right"/>
              <w:rPr>
                <w:rFonts w:ascii="Arial" w:hAnsi="Arial" w:cs="Arial"/>
                <w:color w:val="000000"/>
                <w:sz w:val="20"/>
                <w:szCs w:val="20"/>
              </w:rPr>
            </w:pPr>
            <w:r>
              <w:rPr>
                <w:rFonts w:ascii="Arial" w:hAnsi="Arial" w:cs="Arial"/>
                <w:color w:val="000000"/>
                <w:sz w:val="20"/>
                <w:szCs w:val="20"/>
              </w:rPr>
              <w:t>4</w:t>
            </w:r>
          </w:p>
        </w:tc>
        <w:tc>
          <w:tcPr>
            <w:tcW w:w="1200" w:type="dxa"/>
            <w:tcBorders>
              <w:top w:val="nil"/>
              <w:left w:val="nil"/>
              <w:bottom w:val="single" w:sz="4" w:space="0" w:color="auto"/>
              <w:right w:val="single" w:sz="4" w:space="0" w:color="auto"/>
            </w:tcBorders>
            <w:shd w:val="clear" w:color="auto" w:fill="auto"/>
            <w:vAlign w:val="center"/>
            <w:hideMark/>
          </w:tcPr>
          <w:p w:rsidR="006E57EF" w:rsidRDefault="006E57EF">
            <w:pPr>
              <w:jc w:val="right"/>
              <w:rPr>
                <w:rFonts w:ascii="Arial" w:hAnsi="Arial" w:cs="Arial"/>
                <w:color w:val="000000"/>
                <w:sz w:val="20"/>
                <w:szCs w:val="20"/>
              </w:rPr>
            </w:pPr>
            <w:r>
              <w:rPr>
                <w:rFonts w:ascii="Arial" w:hAnsi="Arial" w:cs="Arial"/>
                <w:color w:val="000000"/>
                <w:sz w:val="20"/>
                <w:szCs w:val="20"/>
              </w:rPr>
              <w:t>1</w:t>
            </w:r>
          </w:p>
        </w:tc>
        <w:tc>
          <w:tcPr>
            <w:tcW w:w="1300" w:type="dxa"/>
            <w:tcBorders>
              <w:top w:val="nil"/>
              <w:left w:val="nil"/>
              <w:bottom w:val="single" w:sz="4" w:space="0" w:color="auto"/>
              <w:right w:val="single" w:sz="4" w:space="0" w:color="auto"/>
            </w:tcBorders>
            <w:shd w:val="clear" w:color="auto" w:fill="auto"/>
            <w:vAlign w:val="center"/>
            <w:hideMark/>
          </w:tcPr>
          <w:p w:rsidR="006E57EF" w:rsidRDefault="006E57EF">
            <w:pPr>
              <w:jc w:val="right"/>
              <w:rPr>
                <w:rFonts w:ascii="Arial" w:hAnsi="Arial" w:cs="Arial"/>
                <w:color w:val="000000"/>
                <w:sz w:val="20"/>
                <w:szCs w:val="20"/>
              </w:rPr>
            </w:pPr>
            <w:r>
              <w:rPr>
                <w:rFonts w:ascii="Arial" w:hAnsi="Arial" w:cs="Arial"/>
                <w:color w:val="000000"/>
                <w:sz w:val="20"/>
                <w:szCs w:val="20"/>
              </w:rPr>
              <w:t>4</w:t>
            </w:r>
          </w:p>
        </w:tc>
        <w:tc>
          <w:tcPr>
            <w:tcW w:w="1240" w:type="dxa"/>
            <w:tcBorders>
              <w:top w:val="nil"/>
              <w:left w:val="nil"/>
              <w:bottom w:val="single" w:sz="4" w:space="0" w:color="auto"/>
              <w:right w:val="single" w:sz="4" w:space="0" w:color="auto"/>
            </w:tcBorders>
            <w:shd w:val="clear" w:color="auto" w:fill="auto"/>
            <w:vAlign w:val="center"/>
            <w:hideMark/>
          </w:tcPr>
          <w:p w:rsidR="006E57EF" w:rsidRDefault="00B7063D">
            <w:pPr>
              <w:jc w:val="right"/>
              <w:rPr>
                <w:rFonts w:ascii="Arial" w:hAnsi="Arial" w:cs="Arial"/>
                <w:color w:val="000000"/>
                <w:sz w:val="20"/>
                <w:szCs w:val="20"/>
              </w:rPr>
            </w:pPr>
            <w:r>
              <w:rPr>
                <w:rFonts w:ascii="Arial" w:hAnsi="Arial" w:cs="Arial"/>
                <w:color w:val="000000"/>
                <w:sz w:val="20"/>
                <w:szCs w:val="20"/>
              </w:rPr>
              <w:t>6</w:t>
            </w:r>
          </w:p>
        </w:tc>
        <w:tc>
          <w:tcPr>
            <w:tcW w:w="1435" w:type="dxa"/>
            <w:tcBorders>
              <w:top w:val="nil"/>
              <w:left w:val="nil"/>
              <w:bottom w:val="single" w:sz="4" w:space="0" w:color="auto"/>
              <w:right w:val="single" w:sz="4" w:space="0" w:color="auto"/>
            </w:tcBorders>
            <w:shd w:val="clear" w:color="auto" w:fill="auto"/>
            <w:vAlign w:val="center"/>
            <w:hideMark/>
          </w:tcPr>
          <w:p w:rsidR="006E57EF" w:rsidRDefault="00B7063D">
            <w:pPr>
              <w:jc w:val="right"/>
              <w:rPr>
                <w:rFonts w:ascii="Arial" w:hAnsi="Arial" w:cs="Arial"/>
                <w:color w:val="000000"/>
                <w:sz w:val="20"/>
                <w:szCs w:val="20"/>
              </w:rPr>
            </w:pPr>
            <w:r>
              <w:rPr>
                <w:rFonts w:ascii="Arial" w:hAnsi="Arial" w:cs="Arial"/>
                <w:color w:val="000000"/>
                <w:sz w:val="20"/>
                <w:szCs w:val="20"/>
              </w:rPr>
              <w:t>24</w:t>
            </w:r>
          </w:p>
        </w:tc>
      </w:tr>
      <w:tr w:rsidR="006E57EF" w:rsidTr="0002227D">
        <w:trPr>
          <w:trHeight w:val="656"/>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7EF" w:rsidRDefault="006E57EF">
            <w:pPr>
              <w:rPr>
                <w:rFonts w:ascii="Arial" w:hAnsi="Arial" w:cs="Arial"/>
                <w:color w:val="000000"/>
                <w:sz w:val="20"/>
                <w:szCs w:val="20"/>
              </w:rPr>
            </w:pPr>
            <w:r>
              <w:rPr>
                <w:rFonts w:ascii="Arial" w:hAnsi="Arial" w:cs="Arial"/>
                <w:color w:val="000000"/>
                <w:sz w:val="20"/>
                <w:szCs w:val="20"/>
              </w:rPr>
              <w:t>Organizational conflicts of interest (§ 31.211)</w:t>
            </w:r>
          </w:p>
        </w:tc>
        <w:tc>
          <w:tcPr>
            <w:tcW w:w="1220" w:type="dxa"/>
            <w:tcBorders>
              <w:top w:val="nil"/>
              <w:left w:val="nil"/>
              <w:bottom w:val="single" w:sz="4" w:space="0" w:color="auto"/>
              <w:right w:val="single" w:sz="4" w:space="0" w:color="auto"/>
            </w:tcBorders>
            <w:shd w:val="clear" w:color="auto" w:fill="auto"/>
            <w:vAlign w:val="center"/>
            <w:hideMark/>
          </w:tcPr>
          <w:p w:rsidR="006E57EF" w:rsidRDefault="006E57EF">
            <w:pPr>
              <w:jc w:val="right"/>
              <w:rPr>
                <w:rFonts w:ascii="Arial" w:hAnsi="Arial" w:cs="Arial"/>
                <w:color w:val="000000"/>
                <w:sz w:val="20"/>
                <w:szCs w:val="20"/>
              </w:rPr>
            </w:pPr>
            <w:r>
              <w:rPr>
                <w:rFonts w:ascii="Arial" w:hAnsi="Arial" w:cs="Arial"/>
                <w:color w:val="000000"/>
                <w:sz w:val="20"/>
                <w:szCs w:val="20"/>
              </w:rPr>
              <w:t>4</w:t>
            </w:r>
          </w:p>
        </w:tc>
        <w:tc>
          <w:tcPr>
            <w:tcW w:w="1200" w:type="dxa"/>
            <w:tcBorders>
              <w:top w:val="nil"/>
              <w:left w:val="nil"/>
              <w:bottom w:val="single" w:sz="4" w:space="0" w:color="auto"/>
              <w:right w:val="single" w:sz="4" w:space="0" w:color="auto"/>
            </w:tcBorders>
            <w:shd w:val="clear" w:color="auto" w:fill="auto"/>
            <w:vAlign w:val="center"/>
            <w:hideMark/>
          </w:tcPr>
          <w:p w:rsidR="006E57EF" w:rsidRDefault="006E57EF">
            <w:pPr>
              <w:jc w:val="right"/>
              <w:rPr>
                <w:rFonts w:ascii="Arial" w:hAnsi="Arial" w:cs="Arial"/>
                <w:color w:val="000000"/>
                <w:sz w:val="20"/>
                <w:szCs w:val="20"/>
              </w:rPr>
            </w:pPr>
            <w:r>
              <w:rPr>
                <w:rFonts w:ascii="Arial" w:hAnsi="Arial" w:cs="Arial"/>
                <w:color w:val="000000"/>
                <w:sz w:val="20"/>
                <w:szCs w:val="20"/>
              </w:rPr>
              <w:t>1</w:t>
            </w:r>
          </w:p>
        </w:tc>
        <w:tc>
          <w:tcPr>
            <w:tcW w:w="1300" w:type="dxa"/>
            <w:tcBorders>
              <w:top w:val="nil"/>
              <w:left w:val="nil"/>
              <w:bottom w:val="single" w:sz="4" w:space="0" w:color="auto"/>
              <w:right w:val="single" w:sz="4" w:space="0" w:color="auto"/>
            </w:tcBorders>
            <w:shd w:val="clear" w:color="auto" w:fill="auto"/>
            <w:vAlign w:val="center"/>
            <w:hideMark/>
          </w:tcPr>
          <w:p w:rsidR="006E57EF" w:rsidRDefault="006E57EF">
            <w:pPr>
              <w:jc w:val="right"/>
              <w:rPr>
                <w:rFonts w:ascii="Arial" w:hAnsi="Arial" w:cs="Arial"/>
                <w:color w:val="000000"/>
                <w:sz w:val="20"/>
                <w:szCs w:val="20"/>
              </w:rPr>
            </w:pPr>
            <w:r>
              <w:rPr>
                <w:rFonts w:ascii="Arial" w:hAnsi="Arial" w:cs="Arial"/>
                <w:color w:val="000000"/>
                <w:sz w:val="20"/>
                <w:szCs w:val="20"/>
              </w:rPr>
              <w:t>4</w:t>
            </w:r>
          </w:p>
        </w:tc>
        <w:tc>
          <w:tcPr>
            <w:tcW w:w="1240" w:type="dxa"/>
            <w:tcBorders>
              <w:top w:val="nil"/>
              <w:left w:val="nil"/>
              <w:bottom w:val="single" w:sz="4" w:space="0" w:color="auto"/>
              <w:right w:val="single" w:sz="4" w:space="0" w:color="auto"/>
            </w:tcBorders>
            <w:shd w:val="clear" w:color="auto" w:fill="auto"/>
            <w:vAlign w:val="center"/>
            <w:hideMark/>
          </w:tcPr>
          <w:p w:rsidR="006E57EF" w:rsidRDefault="006E57EF">
            <w:pPr>
              <w:jc w:val="right"/>
              <w:rPr>
                <w:rFonts w:ascii="Arial" w:hAnsi="Arial" w:cs="Arial"/>
                <w:color w:val="000000"/>
                <w:sz w:val="20"/>
                <w:szCs w:val="20"/>
              </w:rPr>
            </w:pPr>
            <w:r>
              <w:rPr>
                <w:rFonts w:ascii="Arial" w:hAnsi="Arial" w:cs="Arial"/>
                <w:color w:val="000000"/>
                <w:sz w:val="20"/>
                <w:szCs w:val="20"/>
              </w:rPr>
              <w:t>8</w:t>
            </w:r>
          </w:p>
        </w:tc>
        <w:tc>
          <w:tcPr>
            <w:tcW w:w="1435" w:type="dxa"/>
            <w:tcBorders>
              <w:top w:val="nil"/>
              <w:left w:val="nil"/>
              <w:bottom w:val="single" w:sz="4" w:space="0" w:color="auto"/>
              <w:right w:val="single" w:sz="4" w:space="0" w:color="auto"/>
            </w:tcBorders>
            <w:shd w:val="clear" w:color="auto" w:fill="auto"/>
            <w:vAlign w:val="center"/>
            <w:hideMark/>
          </w:tcPr>
          <w:p w:rsidR="006E57EF" w:rsidRDefault="006E57EF">
            <w:pPr>
              <w:jc w:val="right"/>
              <w:rPr>
                <w:rFonts w:ascii="Arial" w:hAnsi="Arial" w:cs="Arial"/>
                <w:color w:val="000000"/>
                <w:sz w:val="20"/>
                <w:szCs w:val="20"/>
              </w:rPr>
            </w:pPr>
            <w:r>
              <w:rPr>
                <w:rFonts w:ascii="Arial" w:hAnsi="Arial" w:cs="Arial"/>
                <w:color w:val="000000"/>
                <w:sz w:val="20"/>
                <w:szCs w:val="20"/>
              </w:rPr>
              <w:t>32</w:t>
            </w:r>
          </w:p>
        </w:tc>
      </w:tr>
      <w:tr w:rsidR="006E57EF" w:rsidTr="006E57EF">
        <w:trPr>
          <w:trHeight w:val="51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7EF" w:rsidRDefault="006E57EF" w:rsidP="0002227D">
            <w:pPr>
              <w:rPr>
                <w:rFonts w:ascii="Arial" w:hAnsi="Arial" w:cs="Arial"/>
                <w:color w:val="000000"/>
                <w:sz w:val="20"/>
                <w:szCs w:val="20"/>
              </w:rPr>
            </w:pPr>
            <w:r>
              <w:rPr>
                <w:rFonts w:ascii="Arial" w:hAnsi="Arial" w:cs="Arial"/>
                <w:color w:val="000000"/>
                <w:sz w:val="20"/>
                <w:szCs w:val="20"/>
              </w:rPr>
              <w:t xml:space="preserve">Quarterly conflict of interest certifications </w:t>
            </w:r>
          </w:p>
        </w:tc>
        <w:tc>
          <w:tcPr>
            <w:tcW w:w="1220" w:type="dxa"/>
            <w:tcBorders>
              <w:top w:val="nil"/>
              <w:left w:val="nil"/>
              <w:bottom w:val="single" w:sz="4" w:space="0" w:color="auto"/>
              <w:right w:val="single" w:sz="4" w:space="0" w:color="auto"/>
            </w:tcBorders>
            <w:shd w:val="clear" w:color="auto" w:fill="auto"/>
            <w:vAlign w:val="center"/>
            <w:hideMark/>
          </w:tcPr>
          <w:p w:rsidR="006E57EF" w:rsidRDefault="00B7063D">
            <w:pPr>
              <w:jc w:val="right"/>
              <w:rPr>
                <w:rFonts w:ascii="Arial" w:hAnsi="Arial" w:cs="Arial"/>
                <w:color w:val="000000"/>
                <w:sz w:val="20"/>
                <w:szCs w:val="20"/>
              </w:rPr>
            </w:pPr>
            <w:r>
              <w:rPr>
                <w:rFonts w:ascii="Arial" w:hAnsi="Arial" w:cs="Arial"/>
                <w:color w:val="000000"/>
                <w:sz w:val="20"/>
                <w:szCs w:val="20"/>
              </w:rPr>
              <w:t>4</w:t>
            </w:r>
          </w:p>
        </w:tc>
        <w:tc>
          <w:tcPr>
            <w:tcW w:w="1200" w:type="dxa"/>
            <w:tcBorders>
              <w:top w:val="nil"/>
              <w:left w:val="nil"/>
              <w:bottom w:val="single" w:sz="4" w:space="0" w:color="auto"/>
              <w:right w:val="single" w:sz="4" w:space="0" w:color="auto"/>
            </w:tcBorders>
            <w:shd w:val="clear" w:color="auto" w:fill="auto"/>
            <w:vAlign w:val="center"/>
            <w:hideMark/>
          </w:tcPr>
          <w:p w:rsidR="006E57EF" w:rsidRDefault="006E57EF">
            <w:pPr>
              <w:jc w:val="right"/>
              <w:rPr>
                <w:rFonts w:ascii="Arial" w:hAnsi="Arial" w:cs="Arial"/>
                <w:color w:val="000000"/>
                <w:sz w:val="20"/>
                <w:szCs w:val="20"/>
              </w:rPr>
            </w:pPr>
            <w:r>
              <w:rPr>
                <w:rFonts w:ascii="Arial" w:hAnsi="Arial" w:cs="Arial"/>
                <w:color w:val="000000"/>
                <w:sz w:val="20"/>
                <w:szCs w:val="20"/>
              </w:rPr>
              <w:t>4</w:t>
            </w:r>
          </w:p>
        </w:tc>
        <w:tc>
          <w:tcPr>
            <w:tcW w:w="1300" w:type="dxa"/>
            <w:tcBorders>
              <w:top w:val="nil"/>
              <w:left w:val="nil"/>
              <w:bottom w:val="single" w:sz="4" w:space="0" w:color="auto"/>
              <w:right w:val="single" w:sz="4" w:space="0" w:color="auto"/>
            </w:tcBorders>
            <w:shd w:val="clear" w:color="auto" w:fill="auto"/>
            <w:vAlign w:val="center"/>
            <w:hideMark/>
          </w:tcPr>
          <w:p w:rsidR="006E57EF" w:rsidRDefault="00B7063D">
            <w:pPr>
              <w:jc w:val="right"/>
              <w:rPr>
                <w:rFonts w:ascii="Arial" w:hAnsi="Arial" w:cs="Arial"/>
                <w:color w:val="000000"/>
                <w:sz w:val="20"/>
                <w:szCs w:val="20"/>
              </w:rPr>
            </w:pPr>
            <w:r>
              <w:rPr>
                <w:rFonts w:ascii="Arial" w:hAnsi="Arial" w:cs="Arial"/>
                <w:color w:val="000000"/>
                <w:sz w:val="20"/>
                <w:szCs w:val="20"/>
              </w:rPr>
              <w:t>16</w:t>
            </w:r>
          </w:p>
        </w:tc>
        <w:tc>
          <w:tcPr>
            <w:tcW w:w="1240" w:type="dxa"/>
            <w:tcBorders>
              <w:top w:val="nil"/>
              <w:left w:val="nil"/>
              <w:bottom w:val="single" w:sz="4" w:space="0" w:color="auto"/>
              <w:right w:val="single" w:sz="4" w:space="0" w:color="auto"/>
            </w:tcBorders>
            <w:shd w:val="clear" w:color="auto" w:fill="auto"/>
            <w:vAlign w:val="center"/>
            <w:hideMark/>
          </w:tcPr>
          <w:p w:rsidR="006E57EF" w:rsidRDefault="006E57EF">
            <w:pPr>
              <w:jc w:val="right"/>
              <w:rPr>
                <w:rFonts w:ascii="Arial" w:hAnsi="Arial" w:cs="Arial"/>
                <w:color w:val="000000"/>
                <w:sz w:val="20"/>
                <w:szCs w:val="20"/>
              </w:rPr>
            </w:pPr>
            <w:r>
              <w:rPr>
                <w:rFonts w:ascii="Arial" w:hAnsi="Arial" w:cs="Arial"/>
                <w:color w:val="000000"/>
                <w:sz w:val="20"/>
                <w:szCs w:val="20"/>
              </w:rPr>
              <w:t>20</w:t>
            </w:r>
          </w:p>
        </w:tc>
        <w:tc>
          <w:tcPr>
            <w:tcW w:w="1435" w:type="dxa"/>
            <w:tcBorders>
              <w:top w:val="nil"/>
              <w:left w:val="nil"/>
              <w:bottom w:val="single" w:sz="4" w:space="0" w:color="auto"/>
              <w:right w:val="single" w:sz="4" w:space="0" w:color="auto"/>
            </w:tcBorders>
            <w:shd w:val="clear" w:color="auto" w:fill="auto"/>
            <w:vAlign w:val="center"/>
            <w:hideMark/>
          </w:tcPr>
          <w:p w:rsidR="006E57EF" w:rsidRDefault="00B7063D">
            <w:pPr>
              <w:jc w:val="right"/>
              <w:rPr>
                <w:rFonts w:ascii="Arial" w:hAnsi="Arial" w:cs="Arial"/>
                <w:color w:val="000000"/>
                <w:sz w:val="20"/>
                <w:szCs w:val="20"/>
              </w:rPr>
            </w:pPr>
            <w:r>
              <w:rPr>
                <w:rFonts w:ascii="Arial" w:hAnsi="Arial" w:cs="Arial"/>
                <w:color w:val="000000"/>
                <w:sz w:val="20"/>
                <w:szCs w:val="20"/>
              </w:rPr>
              <w:t>32</w:t>
            </w:r>
            <w:r w:rsidR="006E57EF">
              <w:rPr>
                <w:rFonts w:ascii="Arial" w:hAnsi="Arial" w:cs="Arial"/>
                <w:color w:val="000000"/>
                <w:sz w:val="20"/>
                <w:szCs w:val="20"/>
              </w:rPr>
              <w:t>0</w:t>
            </w:r>
          </w:p>
        </w:tc>
      </w:tr>
      <w:tr w:rsidR="006E57EF" w:rsidTr="006E57EF">
        <w:trPr>
          <w:trHeight w:val="51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7EF" w:rsidRDefault="006E57EF" w:rsidP="0002227D">
            <w:pPr>
              <w:rPr>
                <w:rFonts w:ascii="Arial" w:hAnsi="Arial" w:cs="Arial"/>
                <w:color w:val="000000"/>
                <w:sz w:val="20"/>
                <w:szCs w:val="20"/>
              </w:rPr>
            </w:pPr>
            <w:r>
              <w:rPr>
                <w:rFonts w:ascii="Arial" w:hAnsi="Arial" w:cs="Arial"/>
                <w:color w:val="000000"/>
                <w:sz w:val="20"/>
                <w:szCs w:val="20"/>
              </w:rPr>
              <w:t xml:space="preserve">Annual conflict of interest certifications </w:t>
            </w:r>
          </w:p>
        </w:tc>
        <w:tc>
          <w:tcPr>
            <w:tcW w:w="1220" w:type="dxa"/>
            <w:tcBorders>
              <w:top w:val="nil"/>
              <w:left w:val="nil"/>
              <w:bottom w:val="single" w:sz="4" w:space="0" w:color="auto"/>
              <w:right w:val="single" w:sz="4" w:space="0" w:color="auto"/>
            </w:tcBorders>
            <w:shd w:val="clear" w:color="auto" w:fill="auto"/>
            <w:vAlign w:val="center"/>
            <w:hideMark/>
          </w:tcPr>
          <w:p w:rsidR="006E57EF" w:rsidRDefault="006E57EF">
            <w:pPr>
              <w:jc w:val="right"/>
              <w:rPr>
                <w:rFonts w:ascii="Arial" w:hAnsi="Arial" w:cs="Arial"/>
                <w:color w:val="000000"/>
                <w:sz w:val="20"/>
                <w:szCs w:val="20"/>
              </w:rPr>
            </w:pPr>
            <w:r>
              <w:rPr>
                <w:rFonts w:ascii="Arial" w:hAnsi="Arial" w:cs="Arial"/>
                <w:color w:val="000000"/>
                <w:sz w:val="20"/>
                <w:szCs w:val="20"/>
              </w:rPr>
              <w:t>20</w:t>
            </w:r>
          </w:p>
        </w:tc>
        <w:tc>
          <w:tcPr>
            <w:tcW w:w="1200" w:type="dxa"/>
            <w:tcBorders>
              <w:top w:val="nil"/>
              <w:left w:val="nil"/>
              <w:bottom w:val="single" w:sz="4" w:space="0" w:color="auto"/>
              <w:right w:val="single" w:sz="4" w:space="0" w:color="auto"/>
            </w:tcBorders>
            <w:shd w:val="clear" w:color="auto" w:fill="auto"/>
            <w:vAlign w:val="center"/>
            <w:hideMark/>
          </w:tcPr>
          <w:p w:rsidR="006E57EF" w:rsidRDefault="006E57EF">
            <w:pPr>
              <w:jc w:val="right"/>
              <w:rPr>
                <w:rFonts w:ascii="Arial" w:hAnsi="Arial" w:cs="Arial"/>
                <w:color w:val="000000"/>
                <w:sz w:val="20"/>
                <w:szCs w:val="20"/>
              </w:rPr>
            </w:pPr>
            <w:r>
              <w:rPr>
                <w:rFonts w:ascii="Arial" w:hAnsi="Arial" w:cs="Arial"/>
                <w:color w:val="000000"/>
                <w:sz w:val="20"/>
                <w:szCs w:val="20"/>
              </w:rPr>
              <w:t>1</w:t>
            </w:r>
          </w:p>
        </w:tc>
        <w:tc>
          <w:tcPr>
            <w:tcW w:w="1300" w:type="dxa"/>
            <w:tcBorders>
              <w:top w:val="nil"/>
              <w:left w:val="nil"/>
              <w:bottom w:val="single" w:sz="4" w:space="0" w:color="auto"/>
              <w:right w:val="single" w:sz="4" w:space="0" w:color="auto"/>
            </w:tcBorders>
            <w:shd w:val="clear" w:color="auto" w:fill="auto"/>
            <w:vAlign w:val="center"/>
            <w:hideMark/>
          </w:tcPr>
          <w:p w:rsidR="006E57EF" w:rsidRDefault="006E57EF">
            <w:pPr>
              <w:jc w:val="right"/>
              <w:rPr>
                <w:rFonts w:ascii="Arial" w:hAnsi="Arial" w:cs="Arial"/>
                <w:color w:val="000000"/>
                <w:sz w:val="20"/>
                <w:szCs w:val="20"/>
              </w:rPr>
            </w:pPr>
            <w:r>
              <w:rPr>
                <w:rFonts w:ascii="Arial" w:hAnsi="Arial" w:cs="Arial"/>
                <w:color w:val="000000"/>
                <w:sz w:val="20"/>
                <w:szCs w:val="20"/>
              </w:rPr>
              <w:t>20</w:t>
            </w:r>
          </w:p>
        </w:tc>
        <w:tc>
          <w:tcPr>
            <w:tcW w:w="1240" w:type="dxa"/>
            <w:tcBorders>
              <w:top w:val="nil"/>
              <w:left w:val="nil"/>
              <w:bottom w:val="single" w:sz="4" w:space="0" w:color="auto"/>
              <w:right w:val="single" w:sz="4" w:space="0" w:color="auto"/>
            </w:tcBorders>
            <w:shd w:val="clear" w:color="auto" w:fill="auto"/>
            <w:vAlign w:val="center"/>
            <w:hideMark/>
          </w:tcPr>
          <w:p w:rsidR="006E57EF" w:rsidRDefault="00B7063D">
            <w:pPr>
              <w:jc w:val="right"/>
              <w:rPr>
                <w:rFonts w:ascii="Arial" w:hAnsi="Arial" w:cs="Arial"/>
                <w:color w:val="000000"/>
                <w:sz w:val="20"/>
                <w:szCs w:val="20"/>
              </w:rPr>
            </w:pPr>
            <w:r>
              <w:rPr>
                <w:rFonts w:ascii="Arial" w:hAnsi="Arial" w:cs="Arial"/>
                <w:color w:val="000000"/>
                <w:sz w:val="20"/>
                <w:szCs w:val="20"/>
              </w:rPr>
              <w:t>8</w:t>
            </w:r>
          </w:p>
        </w:tc>
        <w:tc>
          <w:tcPr>
            <w:tcW w:w="1435" w:type="dxa"/>
            <w:tcBorders>
              <w:top w:val="nil"/>
              <w:left w:val="nil"/>
              <w:bottom w:val="single" w:sz="4" w:space="0" w:color="auto"/>
              <w:right w:val="single" w:sz="4" w:space="0" w:color="auto"/>
            </w:tcBorders>
            <w:shd w:val="clear" w:color="auto" w:fill="auto"/>
            <w:vAlign w:val="center"/>
            <w:hideMark/>
          </w:tcPr>
          <w:p w:rsidR="006E57EF" w:rsidRDefault="00B7063D">
            <w:pPr>
              <w:jc w:val="right"/>
              <w:rPr>
                <w:rFonts w:ascii="Arial" w:hAnsi="Arial" w:cs="Arial"/>
                <w:color w:val="000000"/>
                <w:sz w:val="20"/>
                <w:szCs w:val="20"/>
              </w:rPr>
            </w:pPr>
            <w:r>
              <w:rPr>
                <w:rFonts w:ascii="Arial" w:hAnsi="Arial" w:cs="Arial"/>
                <w:color w:val="000000"/>
                <w:sz w:val="20"/>
                <w:szCs w:val="20"/>
              </w:rPr>
              <w:t>16</w:t>
            </w:r>
            <w:r w:rsidR="006E57EF">
              <w:rPr>
                <w:rFonts w:ascii="Arial" w:hAnsi="Arial" w:cs="Arial"/>
                <w:color w:val="000000"/>
                <w:sz w:val="20"/>
                <w:szCs w:val="20"/>
              </w:rPr>
              <w:t>0</w:t>
            </w:r>
          </w:p>
        </w:tc>
      </w:tr>
      <w:tr w:rsidR="006E57EF" w:rsidTr="006E57EF">
        <w:trPr>
          <w:trHeight w:val="765"/>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7EF" w:rsidRDefault="006E57EF">
            <w:pPr>
              <w:rPr>
                <w:rFonts w:ascii="Arial" w:hAnsi="Arial" w:cs="Arial"/>
                <w:color w:val="000000"/>
                <w:sz w:val="20"/>
                <w:szCs w:val="20"/>
              </w:rPr>
            </w:pPr>
            <w:r>
              <w:rPr>
                <w:rFonts w:ascii="Arial" w:hAnsi="Arial" w:cs="Arial"/>
                <w:color w:val="000000"/>
                <w:sz w:val="20"/>
                <w:szCs w:val="20"/>
              </w:rPr>
              <w:t>Certification of communication</w:t>
            </w:r>
            <w:r w:rsidR="0002227D">
              <w:rPr>
                <w:rFonts w:ascii="Arial" w:hAnsi="Arial" w:cs="Arial"/>
                <w:color w:val="000000"/>
                <w:sz w:val="20"/>
                <w:szCs w:val="20"/>
              </w:rPr>
              <w:t>s with Treasury employees -  (§</w:t>
            </w:r>
            <w:r>
              <w:rPr>
                <w:rFonts w:ascii="Arial" w:hAnsi="Arial" w:cs="Arial"/>
                <w:color w:val="000000"/>
                <w:sz w:val="20"/>
                <w:szCs w:val="20"/>
              </w:rPr>
              <w:t>31.216)</w:t>
            </w:r>
          </w:p>
        </w:tc>
        <w:tc>
          <w:tcPr>
            <w:tcW w:w="1220" w:type="dxa"/>
            <w:tcBorders>
              <w:top w:val="nil"/>
              <w:left w:val="nil"/>
              <w:bottom w:val="single" w:sz="4" w:space="0" w:color="auto"/>
              <w:right w:val="single" w:sz="4" w:space="0" w:color="auto"/>
            </w:tcBorders>
            <w:shd w:val="clear" w:color="auto" w:fill="auto"/>
            <w:vAlign w:val="center"/>
            <w:hideMark/>
          </w:tcPr>
          <w:p w:rsidR="006E57EF" w:rsidRDefault="006E57EF">
            <w:pPr>
              <w:jc w:val="right"/>
              <w:rPr>
                <w:rFonts w:ascii="Arial" w:hAnsi="Arial" w:cs="Arial"/>
                <w:color w:val="000000"/>
                <w:sz w:val="20"/>
                <w:szCs w:val="20"/>
              </w:rPr>
            </w:pPr>
            <w:r>
              <w:rPr>
                <w:rFonts w:ascii="Arial" w:hAnsi="Arial" w:cs="Arial"/>
                <w:color w:val="000000"/>
                <w:sz w:val="20"/>
                <w:szCs w:val="20"/>
              </w:rPr>
              <w:t>4</w:t>
            </w:r>
          </w:p>
        </w:tc>
        <w:tc>
          <w:tcPr>
            <w:tcW w:w="1200" w:type="dxa"/>
            <w:tcBorders>
              <w:top w:val="nil"/>
              <w:left w:val="nil"/>
              <w:bottom w:val="single" w:sz="4" w:space="0" w:color="auto"/>
              <w:right w:val="single" w:sz="4" w:space="0" w:color="auto"/>
            </w:tcBorders>
            <w:shd w:val="clear" w:color="auto" w:fill="auto"/>
            <w:vAlign w:val="center"/>
            <w:hideMark/>
          </w:tcPr>
          <w:p w:rsidR="006E57EF" w:rsidRDefault="006E57EF">
            <w:pPr>
              <w:jc w:val="right"/>
              <w:rPr>
                <w:rFonts w:ascii="Arial" w:hAnsi="Arial" w:cs="Arial"/>
                <w:color w:val="000000"/>
                <w:sz w:val="20"/>
                <w:szCs w:val="20"/>
              </w:rPr>
            </w:pPr>
            <w:r>
              <w:rPr>
                <w:rFonts w:ascii="Arial" w:hAnsi="Arial" w:cs="Arial"/>
                <w:color w:val="000000"/>
                <w:sz w:val="20"/>
                <w:szCs w:val="20"/>
              </w:rPr>
              <w:t>1</w:t>
            </w:r>
          </w:p>
        </w:tc>
        <w:tc>
          <w:tcPr>
            <w:tcW w:w="1300" w:type="dxa"/>
            <w:tcBorders>
              <w:top w:val="nil"/>
              <w:left w:val="nil"/>
              <w:bottom w:val="single" w:sz="4" w:space="0" w:color="auto"/>
              <w:right w:val="single" w:sz="4" w:space="0" w:color="auto"/>
            </w:tcBorders>
            <w:shd w:val="clear" w:color="auto" w:fill="auto"/>
            <w:vAlign w:val="center"/>
            <w:hideMark/>
          </w:tcPr>
          <w:p w:rsidR="006E57EF" w:rsidRDefault="006E57EF">
            <w:pPr>
              <w:jc w:val="right"/>
              <w:rPr>
                <w:rFonts w:ascii="Arial" w:hAnsi="Arial" w:cs="Arial"/>
                <w:color w:val="000000"/>
                <w:sz w:val="20"/>
                <w:szCs w:val="20"/>
              </w:rPr>
            </w:pPr>
            <w:r>
              <w:rPr>
                <w:rFonts w:ascii="Arial" w:hAnsi="Arial" w:cs="Arial"/>
                <w:color w:val="000000"/>
                <w:sz w:val="20"/>
                <w:szCs w:val="20"/>
              </w:rPr>
              <w:t>4</w:t>
            </w:r>
          </w:p>
        </w:tc>
        <w:tc>
          <w:tcPr>
            <w:tcW w:w="1240" w:type="dxa"/>
            <w:tcBorders>
              <w:top w:val="nil"/>
              <w:left w:val="nil"/>
              <w:bottom w:val="single" w:sz="4" w:space="0" w:color="auto"/>
              <w:right w:val="single" w:sz="4" w:space="0" w:color="auto"/>
            </w:tcBorders>
            <w:shd w:val="clear" w:color="auto" w:fill="auto"/>
            <w:vAlign w:val="center"/>
            <w:hideMark/>
          </w:tcPr>
          <w:p w:rsidR="006E57EF" w:rsidRDefault="00B7063D">
            <w:pPr>
              <w:jc w:val="right"/>
              <w:rPr>
                <w:rFonts w:ascii="Arial" w:hAnsi="Arial" w:cs="Arial"/>
                <w:color w:val="000000"/>
                <w:sz w:val="20"/>
                <w:szCs w:val="20"/>
              </w:rPr>
            </w:pPr>
            <w:r>
              <w:rPr>
                <w:rFonts w:ascii="Arial" w:hAnsi="Arial" w:cs="Arial"/>
                <w:color w:val="000000"/>
                <w:sz w:val="20"/>
                <w:szCs w:val="20"/>
              </w:rPr>
              <w:t>5</w:t>
            </w:r>
          </w:p>
        </w:tc>
        <w:tc>
          <w:tcPr>
            <w:tcW w:w="1435" w:type="dxa"/>
            <w:tcBorders>
              <w:top w:val="nil"/>
              <w:left w:val="nil"/>
              <w:bottom w:val="single" w:sz="4" w:space="0" w:color="auto"/>
              <w:right w:val="single" w:sz="4" w:space="0" w:color="auto"/>
            </w:tcBorders>
            <w:shd w:val="clear" w:color="auto" w:fill="auto"/>
            <w:vAlign w:val="center"/>
            <w:hideMark/>
          </w:tcPr>
          <w:p w:rsidR="006E57EF" w:rsidRDefault="00B7063D">
            <w:pPr>
              <w:jc w:val="right"/>
              <w:rPr>
                <w:rFonts w:ascii="Arial" w:hAnsi="Arial" w:cs="Arial"/>
                <w:color w:val="000000"/>
                <w:sz w:val="20"/>
                <w:szCs w:val="20"/>
              </w:rPr>
            </w:pPr>
            <w:r>
              <w:rPr>
                <w:rFonts w:ascii="Arial" w:hAnsi="Arial" w:cs="Arial"/>
                <w:color w:val="000000"/>
                <w:sz w:val="20"/>
                <w:szCs w:val="20"/>
              </w:rPr>
              <w:t>2</w:t>
            </w:r>
            <w:r w:rsidR="006E57EF">
              <w:rPr>
                <w:rFonts w:ascii="Arial" w:hAnsi="Arial" w:cs="Arial"/>
                <w:color w:val="000000"/>
                <w:sz w:val="20"/>
                <w:szCs w:val="20"/>
              </w:rPr>
              <w:t>0</w:t>
            </w:r>
          </w:p>
        </w:tc>
      </w:tr>
      <w:tr w:rsidR="006E57EF" w:rsidTr="0002227D">
        <w:trPr>
          <w:trHeight w:val="701"/>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7EF" w:rsidRDefault="006E57EF">
            <w:pPr>
              <w:rPr>
                <w:rFonts w:ascii="Arial" w:hAnsi="Arial" w:cs="Arial"/>
                <w:color w:val="000000"/>
                <w:sz w:val="20"/>
                <w:szCs w:val="20"/>
              </w:rPr>
            </w:pPr>
            <w:r>
              <w:rPr>
                <w:rFonts w:ascii="Arial" w:hAnsi="Arial" w:cs="Arial"/>
                <w:color w:val="000000"/>
                <w:sz w:val="20"/>
                <w:szCs w:val="20"/>
              </w:rPr>
              <w:t>Limitations on con</w:t>
            </w:r>
            <w:r w:rsidR="0002227D">
              <w:rPr>
                <w:rFonts w:ascii="Arial" w:hAnsi="Arial" w:cs="Arial"/>
                <w:color w:val="000000"/>
                <w:sz w:val="20"/>
                <w:szCs w:val="20"/>
              </w:rPr>
              <w:t>current activities - Waivers (§</w:t>
            </w:r>
            <w:r>
              <w:rPr>
                <w:rFonts w:ascii="Arial" w:hAnsi="Arial" w:cs="Arial"/>
                <w:color w:val="000000"/>
                <w:sz w:val="20"/>
                <w:szCs w:val="20"/>
              </w:rPr>
              <w:t>31.215)</w:t>
            </w:r>
          </w:p>
        </w:tc>
        <w:tc>
          <w:tcPr>
            <w:tcW w:w="1220" w:type="dxa"/>
            <w:tcBorders>
              <w:top w:val="nil"/>
              <w:left w:val="nil"/>
              <w:bottom w:val="single" w:sz="4" w:space="0" w:color="auto"/>
              <w:right w:val="single" w:sz="4" w:space="0" w:color="auto"/>
            </w:tcBorders>
            <w:shd w:val="clear" w:color="auto" w:fill="auto"/>
            <w:vAlign w:val="center"/>
            <w:hideMark/>
          </w:tcPr>
          <w:p w:rsidR="006E57EF" w:rsidRDefault="006E57EF">
            <w:pPr>
              <w:jc w:val="right"/>
              <w:rPr>
                <w:rFonts w:ascii="Arial" w:hAnsi="Arial" w:cs="Arial"/>
                <w:color w:val="000000"/>
                <w:sz w:val="20"/>
                <w:szCs w:val="20"/>
              </w:rPr>
            </w:pPr>
            <w:r>
              <w:rPr>
                <w:rFonts w:ascii="Arial" w:hAnsi="Arial" w:cs="Arial"/>
                <w:color w:val="000000"/>
                <w:sz w:val="20"/>
                <w:szCs w:val="20"/>
              </w:rPr>
              <w:t>2</w:t>
            </w:r>
          </w:p>
        </w:tc>
        <w:tc>
          <w:tcPr>
            <w:tcW w:w="1200" w:type="dxa"/>
            <w:tcBorders>
              <w:top w:val="nil"/>
              <w:left w:val="nil"/>
              <w:bottom w:val="single" w:sz="4" w:space="0" w:color="auto"/>
              <w:right w:val="single" w:sz="4" w:space="0" w:color="auto"/>
            </w:tcBorders>
            <w:shd w:val="clear" w:color="auto" w:fill="auto"/>
            <w:vAlign w:val="center"/>
            <w:hideMark/>
          </w:tcPr>
          <w:p w:rsidR="006E57EF" w:rsidRDefault="006E57EF">
            <w:pPr>
              <w:jc w:val="right"/>
              <w:rPr>
                <w:rFonts w:ascii="Arial" w:hAnsi="Arial" w:cs="Arial"/>
                <w:color w:val="000000"/>
                <w:sz w:val="20"/>
                <w:szCs w:val="20"/>
              </w:rPr>
            </w:pPr>
            <w:r>
              <w:rPr>
                <w:rFonts w:ascii="Arial" w:hAnsi="Arial" w:cs="Arial"/>
                <w:color w:val="000000"/>
                <w:sz w:val="20"/>
                <w:szCs w:val="20"/>
              </w:rPr>
              <w:t>1</w:t>
            </w:r>
          </w:p>
        </w:tc>
        <w:tc>
          <w:tcPr>
            <w:tcW w:w="1300" w:type="dxa"/>
            <w:tcBorders>
              <w:top w:val="nil"/>
              <w:left w:val="nil"/>
              <w:bottom w:val="single" w:sz="4" w:space="0" w:color="auto"/>
              <w:right w:val="single" w:sz="4" w:space="0" w:color="auto"/>
            </w:tcBorders>
            <w:shd w:val="clear" w:color="auto" w:fill="auto"/>
            <w:vAlign w:val="center"/>
            <w:hideMark/>
          </w:tcPr>
          <w:p w:rsidR="006E57EF" w:rsidRDefault="006E57EF">
            <w:pPr>
              <w:jc w:val="right"/>
              <w:rPr>
                <w:rFonts w:ascii="Arial" w:hAnsi="Arial" w:cs="Arial"/>
                <w:color w:val="000000"/>
                <w:sz w:val="20"/>
                <w:szCs w:val="20"/>
              </w:rPr>
            </w:pPr>
            <w:r>
              <w:rPr>
                <w:rFonts w:ascii="Arial" w:hAnsi="Arial" w:cs="Arial"/>
                <w:color w:val="000000"/>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rsidR="006E57EF" w:rsidRDefault="006E57EF">
            <w:pPr>
              <w:jc w:val="right"/>
              <w:rPr>
                <w:rFonts w:ascii="Arial" w:hAnsi="Arial" w:cs="Arial"/>
                <w:color w:val="000000"/>
                <w:sz w:val="20"/>
                <w:szCs w:val="20"/>
              </w:rPr>
            </w:pPr>
            <w:r>
              <w:rPr>
                <w:rFonts w:ascii="Arial" w:hAnsi="Arial" w:cs="Arial"/>
                <w:color w:val="000000"/>
                <w:sz w:val="20"/>
                <w:szCs w:val="20"/>
              </w:rPr>
              <w:t>10</w:t>
            </w:r>
          </w:p>
        </w:tc>
        <w:tc>
          <w:tcPr>
            <w:tcW w:w="1435" w:type="dxa"/>
            <w:tcBorders>
              <w:top w:val="nil"/>
              <w:left w:val="nil"/>
              <w:bottom w:val="single" w:sz="4" w:space="0" w:color="auto"/>
              <w:right w:val="single" w:sz="4" w:space="0" w:color="auto"/>
            </w:tcBorders>
            <w:shd w:val="clear" w:color="auto" w:fill="auto"/>
            <w:vAlign w:val="center"/>
            <w:hideMark/>
          </w:tcPr>
          <w:p w:rsidR="006E57EF" w:rsidRDefault="00B7063D">
            <w:pPr>
              <w:jc w:val="right"/>
              <w:rPr>
                <w:rFonts w:ascii="Arial" w:hAnsi="Arial" w:cs="Arial"/>
                <w:color w:val="000000"/>
                <w:sz w:val="20"/>
                <w:szCs w:val="20"/>
              </w:rPr>
            </w:pPr>
            <w:r>
              <w:rPr>
                <w:rFonts w:ascii="Arial" w:hAnsi="Arial" w:cs="Arial"/>
                <w:color w:val="000000"/>
                <w:sz w:val="20"/>
                <w:szCs w:val="20"/>
              </w:rPr>
              <w:t>16</w:t>
            </w:r>
          </w:p>
        </w:tc>
      </w:tr>
      <w:tr w:rsidR="006E57EF" w:rsidTr="006E57EF">
        <w:trPr>
          <w:trHeight w:val="467"/>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6E57EF" w:rsidRDefault="006E57EF">
            <w:pPr>
              <w:rPr>
                <w:rFonts w:ascii="Arial" w:hAnsi="Arial" w:cs="Arial"/>
                <w:color w:val="000000"/>
                <w:sz w:val="20"/>
                <w:szCs w:val="20"/>
              </w:rPr>
            </w:pPr>
            <w:r>
              <w:rPr>
                <w:rFonts w:ascii="Arial" w:hAnsi="Arial" w:cs="Arial"/>
                <w:color w:val="000000"/>
                <w:sz w:val="20"/>
                <w:szCs w:val="20"/>
              </w:rPr>
              <w:t> Totals</w:t>
            </w:r>
          </w:p>
        </w:tc>
        <w:tc>
          <w:tcPr>
            <w:tcW w:w="1220" w:type="dxa"/>
            <w:tcBorders>
              <w:top w:val="nil"/>
              <w:left w:val="nil"/>
              <w:bottom w:val="single" w:sz="4" w:space="0" w:color="auto"/>
              <w:right w:val="single" w:sz="4" w:space="0" w:color="auto"/>
            </w:tcBorders>
            <w:shd w:val="clear" w:color="auto" w:fill="auto"/>
            <w:vAlign w:val="center"/>
            <w:hideMark/>
          </w:tcPr>
          <w:p w:rsidR="006E57EF" w:rsidRPr="00B7063D" w:rsidRDefault="00B7063D">
            <w:pPr>
              <w:jc w:val="right"/>
              <w:rPr>
                <w:rFonts w:ascii="Arial" w:hAnsi="Arial" w:cs="Arial"/>
                <w:b/>
                <w:color w:val="000000"/>
                <w:sz w:val="20"/>
                <w:szCs w:val="20"/>
              </w:rPr>
            </w:pPr>
            <w:r w:rsidRPr="00B7063D">
              <w:rPr>
                <w:rFonts w:ascii="Arial" w:hAnsi="Arial" w:cs="Arial"/>
                <w:b/>
                <w:color w:val="000000"/>
                <w:sz w:val="20"/>
                <w:szCs w:val="20"/>
              </w:rPr>
              <w:t>20</w:t>
            </w:r>
          </w:p>
        </w:tc>
        <w:tc>
          <w:tcPr>
            <w:tcW w:w="1200" w:type="dxa"/>
            <w:tcBorders>
              <w:top w:val="nil"/>
              <w:left w:val="nil"/>
              <w:bottom w:val="single" w:sz="4" w:space="0" w:color="auto"/>
              <w:right w:val="single" w:sz="4" w:space="0" w:color="auto"/>
            </w:tcBorders>
            <w:shd w:val="clear" w:color="auto" w:fill="auto"/>
            <w:vAlign w:val="center"/>
            <w:hideMark/>
          </w:tcPr>
          <w:p w:rsidR="006E57EF" w:rsidRPr="00B7063D" w:rsidRDefault="006E57EF" w:rsidP="00B7063D">
            <w:pPr>
              <w:jc w:val="right"/>
              <w:rPr>
                <w:rFonts w:ascii="Arial" w:hAnsi="Arial" w:cs="Arial"/>
                <w:b/>
                <w:color w:val="000000"/>
                <w:sz w:val="20"/>
                <w:szCs w:val="20"/>
              </w:rPr>
            </w:pPr>
            <w:r w:rsidRPr="00B7063D">
              <w:rPr>
                <w:rFonts w:ascii="Arial" w:hAnsi="Arial" w:cs="Arial"/>
                <w:b/>
                <w:color w:val="000000"/>
                <w:sz w:val="20"/>
                <w:szCs w:val="20"/>
              </w:rPr>
              <w:t>2.5</w:t>
            </w:r>
            <w:r w:rsidR="00B7063D" w:rsidRPr="00B7063D">
              <w:rPr>
                <w:rFonts w:ascii="Arial" w:hAnsi="Arial" w:cs="Arial"/>
                <w:b/>
                <w:color w:val="000000"/>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6E57EF" w:rsidRPr="00B7063D" w:rsidRDefault="00B7063D">
            <w:pPr>
              <w:jc w:val="right"/>
              <w:rPr>
                <w:rFonts w:ascii="Arial" w:hAnsi="Arial" w:cs="Arial"/>
                <w:b/>
                <w:color w:val="000000"/>
                <w:sz w:val="20"/>
                <w:szCs w:val="20"/>
              </w:rPr>
            </w:pPr>
            <w:r w:rsidRPr="00B7063D">
              <w:rPr>
                <w:rFonts w:ascii="Arial" w:hAnsi="Arial" w:cs="Arial"/>
                <w:b/>
                <w:color w:val="000000"/>
                <w:sz w:val="20"/>
                <w:szCs w:val="20"/>
              </w:rPr>
              <w:t>50</w:t>
            </w:r>
          </w:p>
        </w:tc>
        <w:tc>
          <w:tcPr>
            <w:tcW w:w="1240" w:type="dxa"/>
            <w:tcBorders>
              <w:top w:val="nil"/>
              <w:left w:val="nil"/>
              <w:bottom w:val="single" w:sz="4" w:space="0" w:color="auto"/>
              <w:right w:val="single" w:sz="4" w:space="0" w:color="auto"/>
            </w:tcBorders>
            <w:shd w:val="clear" w:color="auto" w:fill="auto"/>
            <w:vAlign w:val="center"/>
            <w:hideMark/>
          </w:tcPr>
          <w:p w:rsidR="006E57EF" w:rsidRPr="00B7063D" w:rsidRDefault="00B7063D" w:rsidP="00B7063D">
            <w:pPr>
              <w:jc w:val="right"/>
              <w:rPr>
                <w:rFonts w:ascii="Arial" w:hAnsi="Arial" w:cs="Arial"/>
                <w:b/>
                <w:color w:val="000000"/>
                <w:sz w:val="20"/>
                <w:szCs w:val="20"/>
              </w:rPr>
            </w:pPr>
            <w:r>
              <w:rPr>
                <w:rFonts w:ascii="Arial" w:hAnsi="Arial" w:cs="Arial"/>
                <w:b/>
                <w:color w:val="000000"/>
                <w:sz w:val="20"/>
                <w:szCs w:val="20"/>
              </w:rPr>
              <w:t>11</w:t>
            </w:r>
            <w:r w:rsidR="006E57EF" w:rsidRPr="00B7063D">
              <w:rPr>
                <w:rFonts w:ascii="Arial" w:hAnsi="Arial" w:cs="Arial"/>
                <w:b/>
                <w:color w:val="000000"/>
                <w:sz w:val="20"/>
                <w:szCs w:val="20"/>
              </w:rPr>
              <w:t>.</w:t>
            </w:r>
            <w:r>
              <w:rPr>
                <w:rFonts w:ascii="Arial" w:hAnsi="Arial" w:cs="Arial"/>
                <w:b/>
                <w:color w:val="000000"/>
                <w:sz w:val="20"/>
                <w:szCs w:val="20"/>
              </w:rPr>
              <w:t>44</w:t>
            </w:r>
          </w:p>
        </w:tc>
        <w:tc>
          <w:tcPr>
            <w:tcW w:w="1435" w:type="dxa"/>
            <w:tcBorders>
              <w:top w:val="nil"/>
              <w:left w:val="nil"/>
              <w:bottom w:val="single" w:sz="4" w:space="0" w:color="auto"/>
              <w:right w:val="single" w:sz="4" w:space="0" w:color="auto"/>
            </w:tcBorders>
            <w:shd w:val="clear" w:color="auto" w:fill="auto"/>
            <w:vAlign w:val="center"/>
            <w:hideMark/>
          </w:tcPr>
          <w:p w:rsidR="006E57EF" w:rsidRPr="00B7063D" w:rsidRDefault="00B7063D">
            <w:pPr>
              <w:jc w:val="right"/>
              <w:rPr>
                <w:rFonts w:ascii="Arial" w:hAnsi="Arial" w:cs="Arial"/>
                <w:b/>
                <w:color w:val="000000"/>
                <w:sz w:val="20"/>
                <w:szCs w:val="20"/>
              </w:rPr>
            </w:pPr>
            <w:r w:rsidRPr="00B7063D">
              <w:rPr>
                <w:rFonts w:ascii="Arial" w:hAnsi="Arial" w:cs="Arial"/>
                <w:b/>
                <w:color w:val="000000"/>
                <w:sz w:val="20"/>
                <w:szCs w:val="20"/>
              </w:rPr>
              <w:t>572</w:t>
            </w:r>
          </w:p>
        </w:tc>
      </w:tr>
    </w:tbl>
    <w:p w:rsidR="000B55E8" w:rsidRDefault="000B55E8" w:rsidP="00CB003A"/>
    <w:p w:rsidR="00F7599C" w:rsidRDefault="00F7599C" w:rsidP="00CB003A">
      <w:pPr>
        <w:rPr>
          <w:rFonts w:ascii="Arial" w:hAnsi="Arial" w:cs="Arial"/>
          <w:i/>
          <w:iCs/>
          <w:sz w:val="20"/>
          <w:szCs w:val="20"/>
        </w:rPr>
      </w:pPr>
      <w:r>
        <w:rPr>
          <w:rFonts w:ascii="Arial" w:hAnsi="Arial" w:cs="Arial"/>
          <w:i/>
          <w:iCs/>
          <w:sz w:val="20"/>
          <w:szCs w:val="20"/>
        </w:rPr>
        <w:t xml:space="preserve">* Estimated total number of entities subject to the information collections contained in 31 CFR </w:t>
      </w:r>
      <w:r w:rsidR="00822F56">
        <w:rPr>
          <w:rFonts w:ascii="Arial" w:hAnsi="Arial" w:cs="Arial"/>
          <w:i/>
          <w:iCs/>
          <w:sz w:val="20"/>
          <w:szCs w:val="20"/>
        </w:rPr>
        <w:t>P</w:t>
      </w:r>
      <w:r>
        <w:rPr>
          <w:rFonts w:ascii="Arial" w:hAnsi="Arial" w:cs="Arial"/>
          <w:i/>
          <w:iCs/>
          <w:sz w:val="20"/>
          <w:szCs w:val="20"/>
        </w:rPr>
        <w:t xml:space="preserve">art 31.  </w:t>
      </w:r>
      <w:r w:rsidR="00971A8E">
        <w:rPr>
          <w:rFonts w:ascii="Arial" w:hAnsi="Arial" w:cs="Arial"/>
          <w:i/>
          <w:iCs/>
          <w:sz w:val="20"/>
          <w:szCs w:val="20"/>
        </w:rPr>
        <w:t>All respondent totals in this chart reflect either t</w:t>
      </w:r>
      <w:r w:rsidR="000112E1">
        <w:rPr>
          <w:rFonts w:ascii="Arial" w:hAnsi="Arial" w:cs="Arial"/>
          <w:i/>
          <w:iCs/>
          <w:sz w:val="20"/>
          <w:szCs w:val="20"/>
        </w:rPr>
        <w:t xml:space="preserve">hat total number, or a subgroup </w:t>
      </w:r>
      <w:r w:rsidR="00971A8E">
        <w:rPr>
          <w:rFonts w:ascii="Arial" w:hAnsi="Arial" w:cs="Arial"/>
          <w:i/>
          <w:iCs/>
          <w:sz w:val="20"/>
          <w:szCs w:val="20"/>
        </w:rPr>
        <w:t>of the total.</w:t>
      </w:r>
    </w:p>
    <w:p w:rsidR="000B55E8" w:rsidRPr="0025604D" w:rsidRDefault="000B55E8" w:rsidP="002932A9">
      <w:pPr>
        <w:tabs>
          <w:tab w:val="left" w:pos="720"/>
        </w:tabs>
        <w:ind w:left="720" w:hanging="720"/>
      </w:pPr>
    </w:p>
    <w:p w:rsidR="00FB7F1C" w:rsidRDefault="00961823" w:rsidP="002932A9">
      <w:pPr>
        <w:pStyle w:val="ListParagraph"/>
        <w:keepNext/>
        <w:numPr>
          <w:ilvl w:val="0"/>
          <w:numId w:val="12"/>
        </w:numPr>
        <w:tabs>
          <w:tab w:val="left" w:pos="720"/>
        </w:tabs>
        <w:ind w:hanging="720"/>
      </w:pPr>
      <w:r w:rsidRPr="002932A9">
        <w:rPr>
          <w:u w:val="single"/>
        </w:rPr>
        <w:t>Estimated total annual cost burden to respondents</w:t>
      </w:r>
      <w:r w:rsidR="00FB7F1C" w:rsidRPr="002932A9">
        <w:rPr>
          <w:u w:val="single"/>
        </w:rPr>
        <w:t> </w:t>
      </w:r>
      <w:r w:rsidR="00FB7F1C">
        <w:t> </w:t>
      </w:r>
    </w:p>
    <w:p w:rsidR="00961823" w:rsidRPr="0025604D" w:rsidRDefault="00961823" w:rsidP="002932A9">
      <w:pPr>
        <w:keepNext/>
        <w:tabs>
          <w:tab w:val="left" w:pos="720"/>
        </w:tabs>
        <w:ind w:left="720" w:hanging="720"/>
      </w:pPr>
    </w:p>
    <w:p w:rsidR="00961823" w:rsidRDefault="002932A9" w:rsidP="002932A9">
      <w:pPr>
        <w:tabs>
          <w:tab w:val="left" w:pos="720"/>
        </w:tabs>
        <w:ind w:left="720" w:hanging="720"/>
      </w:pPr>
      <w:r>
        <w:tab/>
      </w:r>
      <w:r w:rsidR="00A10A09" w:rsidRPr="0025604D">
        <w:t>The</w:t>
      </w:r>
      <w:r w:rsidR="0044510E">
        <w:t xml:space="preserve"> Department estimates that there</w:t>
      </w:r>
      <w:r w:rsidR="00A10A09" w:rsidRPr="0025604D">
        <w:t xml:space="preserve"> will be no annualized</w:t>
      </w:r>
      <w:r w:rsidR="000F53C2" w:rsidRPr="0025604D">
        <w:t xml:space="preserve"> </w:t>
      </w:r>
      <w:r w:rsidR="00A10A09" w:rsidRPr="0025604D">
        <w:t>capital</w:t>
      </w:r>
      <w:r w:rsidR="000F53C2" w:rsidRPr="0025604D">
        <w:t>/</w:t>
      </w:r>
      <w:r w:rsidR="00A10A09" w:rsidRPr="0025604D">
        <w:t>start-up costs</w:t>
      </w:r>
      <w:r w:rsidR="000F53C2" w:rsidRPr="0025604D">
        <w:t xml:space="preserve"> for the respondents to collect and submit this information</w:t>
      </w:r>
      <w:r w:rsidR="00A10A09" w:rsidRPr="0025604D">
        <w:t>.</w:t>
      </w:r>
    </w:p>
    <w:p w:rsidR="006C5EBB" w:rsidRPr="0025604D" w:rsidRDefault="006C5EBB" w:rsidP="002932A9">
      <w:pPr>
        <w:tabs>
          <w:tab w:val="left" w:pos="720"/>
        </w:tabs>
        <w:ind w:left="720" w:hanging="720"/>
      </w:pPr>
    </w:p>
    <w:p w:rsidR="00961823" w:rsidRPr="0025604D" w:rsidRDefault="00961823" w:rsidP="002932A9">
      <w:pPr>
        <w:pStyle w:val="ListParagraph"/>
        <w:numPr>
          <w:ilvl w:val="0"/>
          <w:numId w:val="12"/>
        </w:numPr>
        <w:tabs>
          <w:tab w:val="left" w:pos="720"/>
        </w:tabs>
        <w:ind w:hanging="720"/>
      </w:pPr>
      <w:r w:rsidRPr="002932A9">
        <w:rPr>
          <w:u w:val="single"/>
        </w:rPr>
        <w:t>Estimated cost to the federal government</w:t>
      </w:r>
      <w:r w:rsidRPr="0025604D">
        <w:t>.</w:t>
      </w:r>
    </w:p>
    <w:p w:rsidR="00961823" w:rsidRPr="0025604D" w:rsidRDefault="00961823" w:rsidP="002932A9">
      <w:pPr>
        <w:tabs>
          <w:tab w:val="left" w:pos="720"/>
        </w:tabs>
        <w:ind w:left="720" w:hanging="720"/>
      </w:pPr>
    </w:p>
    <w:p w:rsidR="000F53C2" w:rsidRDefault="002932A9" w:rsidP="002932A9">
      <w:pPr>
        <w:tabs>
          <w:tab w:val="left" w:pos="720"/>
        </w:tabs>
        <w:ind w:left="720" w:hanging="720"/>
      </w:pPr>
      <w:r>
        <w:tab/>
      </w:r>
      <w:r w:rsidR="000F53C2" w:rsidRPr="0025604D">
        <w:t>There will be no annualized capital/start-up costs for the government to receive this information.</w:t>
      </w:r>
    </w:p>
    <w:p w:rsidR="00961823" w:rsidRPr="0025604D" w:rsidRDefault="00961823" w:rsidP="002932A9">
      <w:pPr>
        <w:tabs>
          <w:tab w:val="left" w:pos="720"/>
        </w:tabs>
        <w:ind w:left="720" w:hanging="720"/>
      </w:pPr>
    </w:p>
    <w:p w:rsidR="00961823" w:rsidRPr="0025604D" w:rsidRDefault="00961823" w:rsidP="002932A9">
      <w:pPr>
        <w:pStyle w:val="ListParagraph"/>
        <w:keepNext/>
        <w:numPr>
          <w:ilvl w:val="0"/>
          <w:numId w:val="12"/>
        </w:numPr>
        <w:tabs>
          <w:tab w:val="left" w:pos="720"/>
        </w:tabs>
        <w:ind w:hanging="720"/>
      </w:pPr>
      <w:r w:rsidRPr="002932A9">
        <w:rPr>
          <w:u w:val="single"/>
        </w:rPr>
        <w:t>Reasons for change in burden</w:t>
      </w:r>
    </w:p>
    <w:p w:rsidR="00961823" w:rsidRPr="0025604D" w:rsidRDefault="00961823" w:rsidP="002932A9">
      <w:pPr>
        <w:keepNext/>
        <w:tabs>
          <w:tab w:val="left" w:pos="720"/>
        </w:tabs>
        <w:ind w:left="720" w:hanging="720"/>
      </w:pPr>
    </w:p>
    <w:p w:rsidR="006C5EBB" w:rsidRPr="00436E5C" w:rsidRDefault="002932A9" w:rsidP="002932A9">
      <w:pPr>
        <w:tabs>
          <w:tab w:val="left" w:pos="720"/>
        </w:tabs>
        <w:ind w:left="720" w:hanging="720"/>
        <w:outlineLvl w:val="0"/>
      </w:pPr>
      <w:r>
        <w:tab/>
      </w:r>
      <w:r w:rsidR="00AB6FD2" w:rsidRPr="00AB6FD2">
        <w:t xml:space="preserve">The number of conflicts of interest inquiries and issues has </w:t>
      </w:r>
      <w:r w:rsidR="0021184E">
        <w:t xml:space="preserve">decreased due to the reduction in the number </w:t>
      </w:r>
      <w:r w:rsidR="0021184E" w:rsidRPr="00436E5C">
        <w:t xml:space="preserve">of new and existing financial agents and contractors providing assistance under EESA as the EESA program winds down.  </w:t>
      </w:r>
      <w:r w:rsidR="00CE6A01">
        <w:t xml:space="preserve">Based on </w:t>
      </w:r>
      <w:r w:rsidR="00B7063D">
        <w:t xml:space="preserve">the most recent estimates and experience with the program mandates, </w:t>
      </w:r>
      <w:r w:rsidR="00CE6A01">
        <w:t xml:space="preserve">we expect there to be 18 fewer respondents, resulting in </w:t>
      </w:r>
      <w:r w:rsidR="0000395C">
        <w:t xml:space="preserve">a </w:t>
      </w:r>
      <w:r w:rsidR="0002227D" w:rsidRPr="00436E5C">
        <w:t xml:space="preserve">reduction of </w:t>
      </w:r>
      <w:r w:rsidR="0000395C">
        <w:t>approximately 720 burden hours</w:t>
      </w:r>
      <w:r w:rsidR="0002227D" w:rsidRPr="00436E5C">
        <w:t>.</w:t>
      </w:r>
    </w:p>
    <w:p w:rsidR="006E57EF" w:rsidRPr="00436E5C" w:rsidRDefault="006E57EF" w:rsidP="002932A9">
      <w:pPr>
        <w:tabs>
          <w:tab w:val="left" w:pos="720"/>
        </w:tabs>
        <w:ind w:left="720" w:hanging="720"/>
        <w:outlineLvl w:val="0"/>
      </w:pPr>
    </w:p>
    <w:p w:rsidR="006E57EF" w:rsidRPr="00436E5C" w:rsidRDefault="006E57EF" w:rsidP="002932A9">
      <w:pPr>
        <w:tabs>
          <w:tab w:val="left" w:pos="720"/>
        </w:tabs>
        <w:ind w:left="720" w:hanging="720"/>
        <w:outlineLvl w:val="0"/>
      </w:pPr>
      <w:r w:rsidRPr="00436E5C">
        <w:tab/>
        <w:t>Note:  The individual information collections (IC) have been aggregated into a single IC and the break-out of th</w:t>
      </w:r>
      <w:r w:rsidR="0002227D" w:rsidRPr="00436E5C">
        <w:t>is element</w:t>
      </w:r>
      <w:r w:rsidRPr="00436E5C">
        <w:t xml:space="preserve"> </w:t>
      </w:r>
      <w:r w:rsidR="0002227D" w:rsidRPr="00436E5C">
        <w:t>is</w:t>
      </w:r>
      <w:r w:rsidRPr="00436E5C">
        <w:t xml:space="preserve"> shown in a table under Question 12.</w:t>
      </w:r>
    </w:p>
    <w:p w:rsidR="00961823" w:rsidRPr="0025604D" w:rsidRDefault="00961823" w:rsidP="002932A9">
      <w:pPr>
        <w:tabs>
          <w:tab w:val="left" w:pos="720"/>
        </w:tabs>
        <w:ind w:left="720" w:hanging="720"/>
      </w:pPr>
    </w:p>
    <w:p w:rsidR="00961823" w:rsidRPr="0025604D" w:rsidRDefault="00961823" w:rsidP="002932A9">
      <w:pPr>
        <w:pStyle w:val="ListParagraph"/>
        <w:keepNext/>
        <w:numPr>
          <w:ilvl w:val="0"/>
          <w:numId w:val="12"/>
        </w:numPr>
        <w:tabs>
          <w:tab w:val="left" w:pos="720"/>
        </w:tabs>
        <w:ind w:hanging="720"/>
      </w:pPr>
      <w:r w:rsidRPr="002932A9">
        <w:rPr>
          <w:u w:val="single"/>
        </w:rPr>
        <w:t>Plans for tabulation, statistical analysis</w:t>
      </w:r>
      <w:r w:rsidR="00A2596F" w:rsidRPr="002932A9">
        <w:rPr>
          <w:u w:val="single"/>
        </w:rPr>
        <w:t xml:space="preserve"> and publication</w:t>
      </w:r>
    </w:p>
    <w:p w:rsidR="00A2596F" w:rsidRPr="0025604D" w:rsidRDefault="00A2596F" w:rsidP="002932A9">
      <w:pPr>
        <w:tabs>
          <w:tab w:val="left" w:pos="720"/>
        </w:tabs>
        <w:ind w:left="720" w:hanging="720"/>
      </w:pPr>
    </w:p>
    <w:p w:rsidR="00A2596F" w:rsidRDefault="002932A9" w:rsidP="002932A9">
      <w:pPr>
        <w:tabs>
          <w:tab w:val="left" w:pos="720"/>
        </w:tabs>
        <w:ind w:left="720" w:hanging="720"/>
        <w:outlineLvl w:val="0"/>
      </w:pPr>
      <w:r>
        <w:tab/>
      </w:r>
      <w:r w:rsidR="00B01346">
        <w:t>There is a</w:t>
      </w:r>
      <w:r w:rsidR="003D036E">
        <w:t xml:space="preserve"> database </w:t>
      </w:r>
      <w:r w:rsidR="00E7751F">
        <w:t xml:space="preserve">that </w:t>
      </w:r>
      <w:r w:rsidR="003D036E">
        <w:t>is used internally to report and collect data.  The data collected is not disseminated externally or outside the</w:t>
      </w:r>
      <w:r w:rsidR="0000395C">
        <w:t xml:space="preserve"> Office of the</w:t>
      </w:r>
      <w:r w:rsidR="003D036E">
        <w:t xml:space="preserve"> </w:t>
      </w:r>
      <w:r w:rsidR="0000395C">
        <w:t>Chief Compliance</w:t>
      </w:r>
      <w:r w:rsidR="003D036E">
        <w:t>.</w:t>
      </w:r>
    </w:p>
    <w:p w:rsidR="00A2596F" w:rsidRPr="0025604D" w:rsidRDefault="00A2596F" w:rsidP="002932A9">
      <w:pPr>
        <w:tabs>
          <w:tab w:val="left" w:pos="720"/>
        </w:tabs>
        <w:ind w:left="720" w:hanging="720"/>
      </w:pPr>
    </w:p>
    <w:p w:rsidR="00A2596F" w:rsidRPr="0025604D" w:rsidRDefault="00A2596F" w:rsidP="0002227D">
      <w:pPr>
        <w:pStyle w:val="ListParagraph"/>
        <w:numPr>
          <w:ilvl w:val="0"/>
          <w:numId w:val="12"/>
        </w:numPr>
        <w:tabs>
          <w:tab w:val="left" w:pos="720"/>
        </w:tabs>
        <w:ind w:hanging="720"/>
      </w:pPr>
      <w:r w:rsidRPr="002932A9">
        <w:rPr>
          <w:u w:val="single"/>
        </w:rPr>
        <w:t>Reasons why displaying the OMB expiration date is inappropriate</w:t>
      </w:r>
    </w:p>
    <w:p w:rsidR="00A2596F" w:rsidRPr="0025604D" w:rsidRDefault="00A2596F" w:rsidP="002932A9">
      <w:pPr>
        <w:tabs>
          <w:tab w:val="left" w:pos="720"/>
        </w:tabs>
        <w:ind w:left="720" w:hanging="720"/>
      </w:pPr>
    </w:p>
    <w:p w:rsidR="00A2596F" w:rsidRDefault="002932A9" w:rsidP="002932A9">
      <w:pPr>
        <w:tabs>
          <w:tab w:val="left" w:pos="720"/>
        </w:tabs>
        <w:ind w:left="720" w:hanging="720"/>
      </w:pPr>
      <w:r>
        <w:tab/>
      </w:r>
      <w:r w:rsidR="008027C9">
        <w:t>We believe that display of the OMB expiration date is inappropriate because it could cause confusion by leading the respondent to believe that the</w:t>
      </w:r>
      <w:r w:rsidR="00E7751F">
        <w:t>ir COI</w:t>
      </w:r>
      <w:r w:rsidR="008027C9">
        <w:t xml:space="preserve"> requirements conclude as of the expiration date.</w:t>
      </w:r>
    </w:p>
    <w:p w:rsidR="00A2596F" w:rsidRPr="0025604D" w:rsidRDefault="00A2596F" w:rsidP="002932A9">
      <w:pPr>
        <w:tabs>
          <w:tab w:val="left" w:pos="720"/>
        </w:tabs>
        <w:ind w:left="720" w:hanging="720"/>
      </w:pPr>
    </w:p>
    <w:p w:rsidR="00A2596F" w:rsidRPr="0025604D" w:rsidRDefault="00A2596F" w:rsidP="00B60880">
      <w:pPr>
        <w:pStyle w:val="ListParagraph"/>
        <w:numPr>
          <w:ilvl w:val="0"/>
          <w:numId w:val="12"/>
        </w:numPr>
        <w:tabs>
          <w:tab w:val="left" w:pos="720"/>
        </w:tabs>
        <w:ind w:hanging="720"/>
      </w:pPr>
      <w:r w:rsidRPr="002932A9">
        <w:rPr>
          <w:u w:val="single"/>
        </w:rPr>
        <w:t>Exceptions to certification requirement of OMB Form 83-I</w:t>
      </w:r>
    </w:p>
    <w:p w:rsidR="00A2596F" w:rsidRPr="0025604D" w:rsidRDefault="00A2596F" w:rsidP="002932A9">
      <w:pPr>
        <w:tabs>
          <w:tab w:val="left" w:pos="720"/>
        </w:tabs>
        <w:ind w:left="720" w:hanging="720"/>
      </w:pPr>
    </w:p>
    <w:p w:rsidR="00156E23" w:rsidRPr="0025604D" w:rsidRDefault="002932A9" w:rsidP="002932A9">
      <w:pPr>
        <w:tabs>
          <w:tab w:val="left" w:pos="720"/>
        </w:tabs>
        <w:ind w:left="720" w:hanging="720"/>
      </w:pPr>
      <w:r>
        <w:tab/>
      </w:r>
      <w:r w:rsidR="000E1F44" w:rsidRPr="0025604D">
        <w:t>Regarding this request for OMB approval, there are no exceptions to the certification statement.</w:t>
      </w:r>
    </w:p>
    <w:p w:rsidR="00271992" w:rsidRPr="0025604D" w:rsidRDefault="00271992" w:rsidP="00CB003A"/>
    <w:p w:rsidR="00A2596F" w:rsidRPr="0025604D" w:rsidRDefault="00A2596F" w:rsidP="00CB003A"/>
    <w:sectPr w:rsidR="00A2596F" w:rsidRPr="0025604D" w:rsidSect="00BF6737">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27D" w:rsidRDefault="0002227D">
      <w:r>
        <w:separator/>
      </w:r>
    </w:p>
  </w:endnote>
  <w:endnote w:type="continuationSeparator" w:id="0">
    <w:p w:rsidR="0002227D" w:rsidRDefault="0002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27D" w:rsidRDefault="0002227D" w:rsidP="001055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227D" w:rsidRDefault="000222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27D" w:rsidRDefault="0002227D" w:rsidP="001055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49BD">
      <w:rPr>
        <w:rStyle w:val="PageNumber"/>
        <w:noProof/>
      </w:rPr>
      <w:t>2</w:t>
    </w:r>
    <w:r>
      <w:rPr>
        <w:rStyle w:val="PageNumber"/>
      </w:rPr>
      <w:fldChar w:fldCharType="end"/>
    </w:r>
  </w:p>
  <w:p w:rsidR="0002227D" w:rsidRDefault="000222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180594"/>
      <w:docPartObj>
        <w:docPartGallery w:val="Page Numbers (Bottom of Page)"/>
        <w:docPartUnique/>
      </w:docPartObj>
    </w:sdtPr>
    <w:sdtEndPr>
      <w:rPr>
        <w:noProof/>
      </w:rPr>
    </w:sdtEndPr>
    <w:sdtContent>
      <w:p w:rsidR="0002227D" w:rsidRDefault="0002227D">
        <w:pPr>
          <w:pStyle w:val="Footer"/>
          <w:jc w:val="right"/>
        </w:pPr>
        <w:r>
          <w:fldChar w:fldCharType="begin"/>
        </w:r>
        <w:r>
          <w:instrText xml:space="preserve"> PAGE   \* MERGEFORMAT </w:instrText>
        </w:r>
        <w:r>
          <w:fldChar w:fldCharType="separate"/>
        </w:r>
        <w:r w:rsidR="000849BD">
          <w:rPr>
            <w:noProof/>
          </w:rPr>
          <w:t>1</w:t>
        </w:r>
        <w:r>
          <w:rPr>
            <w:noProof/>
          </w:rPr>
          <w:fldChar w:fldCharType="end"/>
        </w:r>
      </w:p>
    </w:sdtContent>
  </w:sdt>
  <w:p w:rsidR="0002227D" w:rsidRDefault="000222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27D" w:rsidRDefault="0002227D">
      <w:r>
        <w:separator/>
      </w:r>
    </w:p>
  </w:footnote>
  <w:footnote w:type="continuationSeparator" w:id="0">
    <w:p w:rsidR="0002227D" w:rsidRDefault="00022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27D" w:rsidRDefault="0002227D">
    <w:pPr>
      <w:pStyle w:val="Header"/>
      <w:jc w:val="right"/>
    </w:pPr>
    <w:r>
      <w:t>OMB Control Number 1505-0209</w:t>
    </w:r>
  </w:p>
  <w:p w:rsidR="0002227D" w:rsidRDefault="000222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700B3"/>
    <w:multiLevelType w:val="hybridMultilevel"/>
    <w:tmpl w:val="F58A3928"/>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nsid w:val="14397529"/>
    <w:multiLevelType w:val="hybridMultilevel"/>
    <w:tmpl w:val="1EB8F01E"/>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7E2EA3"/>
    <w:multiLevelType w:val="hybridMultilevel"/>
    <w:tmpl w:val="D018CB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4325482"/>
    <w:multiLevelType w:val="hybridMultilevel"/>
    <w:tmpl w:val="2DC4065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740C24"/>
    <w:multiLevelType w:val="hybridMultilevel"/>
    <w:tmpl w:val="6CC663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7F6BF8"/>
    <w:multiLevelType w:val="hybridMultilevel"/>
    <w:tmpl w:val="A4E68A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7CF341C"/>
    <w:multiLevelType w:val="hybridMultilevel"/>
    <w:tmpl w:val="5DDACAAE"/>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E40D9F"/>
    <w:multiLevelType w:val="hybridMultilevel"/>
    <w:tmpl w:val="A346368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D273B6D"/>
    <w:multiLevelType w:val="hybridMultilevel"/>
    <w:tmpl w:val="4FE4371E"/>
    <w:lvl w:ilvl="0" w:tplc="0409000F">
      <w:start w:val="1"/>
      <w:numFmt w:val="decimal"/>
      <w:lvlText w:val="%1."/>
      <w:lvlJc w:val="left"/>
      <w:pPr>
        <w:tabs>
          <w:tab w:val="num" w:pos="720"/>
        </w:tabs>
        <w:ind w:left="720" w:hanging="360"/>
      </w:pPr>
      <w:rPr>
        <w:rFonts w:hint="default"/>
        <w:u w:val="none"/>
      </w:rPr>
    </w:lvl>
    <w:lvl w:ilvl="1" w:tplc="0CCE8F06">
      <w:start w:val="2"/>
      <w:numFmt w:val="decimal"/>
      <w:lvlText w:val="%2"/>
      <w:lvlJc w:val="left"/>
      <w:pPr>
        <w:tabs>
          <w:tab w:val="num" w:pos="1440"/>
        </w:tabs>
        <w:ind w:left="1440" w:hanging="360"/>
      </w:pPr>
      <w:rPr>
        <w:rFonts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B524FFC"/>
    <w:multiLevelType w:val="hybridMultilevel"/>
    <w:tmpl w:val="E0F2369E"/>
    <w:lvl w:ilvl="0" w:tplc="0409000F">
      <w:start w:val="8"/>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C80018C"/>
    <w:multiLevelType w:val="hybridMultilevel"/>
    <w:tmpl w:val="76E2302C"/>
    <w:lvl w:ilvl="0" w:tplc="0409000F">
      <w:start w:val="7"/>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9316C5"/>
    <w:multiLevelType w:val="hybridMultilevel"/>
    <w:tmpl w:val="A814A2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48A58CB"/>
    <w:multiLevelType w:val="hybridMultilevel"/>
    <w:tmpl w:val="CB2E28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2B01C4F"/>
    <w:multiLevelType w:val="hybridMultilevel"/>
    <w:tmpl w:val="622809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223731"/>
    <w:multiLevelType w:val="hybridMultilevel"/>
    <w:tmpl w:val="6F48BAA8"/>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C5466C4"/>
    <w:multiLevelType w:val="hybridMultilevel"/>
    <w:tmpl w:val="D6DEBB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2"/>
  </w:num>
  <w:num w:numId="3">
    <w:abstractNumId w:val="15"/>
  </w:num>
  <w:num w:numId="4">
    <w:abstractNumId w:val="7"/>
  </w:num>
  <w:num w:numId="5">
    <w:abstractNumId w:val="14"/>
  </w:num>
  <w:num w:numId="6">
    <w:abstractNumId w:val="6"/>
  </w:num>
  <w:num w:numId="7">
    <w:abstractNumId w:val="1"/>
  </w:num>
  <w:num w:numId="8">
    <w:abstractNumId w:val="10"/>
  </w:num>
  <w:num w:numId="9">
    <w:abstractNumId w:val="9"/>
  </w:num>
  <w:num w:numId="10">
    <w:abstractNumId w:val="11"/>
  </w:num>
  <w:num w:numId="11">
    <w:abstractNumId w:val="3"/>
  </w:num>
  <w:num w:numId="12">
    <w:abstractNumId w:val="8"/>
  </w:num>
  <w:num w:numId="13">
    <w:abstractNumId w:val="0"/>
  </w:num>
  <w:num w:numId="14">
    <w:abstractNumId w:val="13"/>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861"/>
    <w:rsid w:val="0000395C"/>
    <w:rsid w:val="00003D4B"/>
    <w:rsid w:val="000112E1"/>
    <w:rsid w:val="0001560A"/>
    <w:rsid w:val="000171D8"/>
    <w:rsid w:val="0002227D"/>
    <w:rsid w:val="00022F56"/>
    <w:rsid w:val="00030A71"/>
    <w:rsid w:val="000373DC"/>
    <w:rsid w:val="00045A29"/>
    <w:rsid w:val="00073704"/>
    <w:rsid w:val="0008237C"/>
    <w:rsid w:val="000849BD"/>
    <w:rsid w:val="00097AA5"/>
    <w:rsid w:val="000B0264"/>
    <w:rsid w:val="000B55E8"/>
    <w:rsid w:val="000C6BBB"/>
    <w:rsid w:val="000D7FB0"/>
    <w:rsid w:val="000E1F44"/>
    <w:rsid w:val="000F2AE6"/>
    <w:rsid w:val="000F53C2"/>
    <w:rsid w:val="00105553"/>
    <w:rsid w:val="00117C93"/>
    <w:rsid w:val="00124752"/>
    <w:rsid w:val="00147A26"/>
    <w:rsid w:val="00156E23"/>
    <w:rsid w:val="00161711"/>
    <w:rsid w:val="00165298"/>
    <w:rsid w:val="001819F2"/>
    <w:rsid w:val="00181F21"/>
    <w:rsid w:val="0018375D"/>
    <w:rsid w:val="00185555"/>
    <w:rsid w:val="001C786D"/>
    <w:rsid w:val="001D50F5"/>
    <w:rsid w:val="001D7648"/>
    <w:rsid w:val="001E4BCF"/>
    <w:rsid w:val="002072B8"/>
    <w:rsid w:val="0021184E"/>
    <w:rsid w:val="002242DE"/>
    <w:rsid w:val="002303FC"/>
    <w:rsid w:val="0024000F"/>
    <w:rsid w:val="00244343"/>
    <w:rsid w:val="00255A24"/>
    <w:rsid w:val="0025604D"/>
    <w:rsid w:val="00256911"/>
    <w:rsid w:val="0026631A"/>
    <w:rsid w:val="00271992"/>
    <w:rsid w:val="0028633F"/>
    <w:rsid w:val="002932A9"/>
    <w:rsid w:val="002B2B99"/>
    <w:rsid w:val="002C2A5D"/>
    <w:rsid w:val="002F4C96"/>
    <w:rsid w:val="00320009"/>
    <w:rsid w:val="003262CB"/>
    <w:rsid w:val="003265D6"/>
    <w:rsid w:val="00353C2F"/>
    <w:rsid w:val="00365005"/>
    <w:rsid w:val="00380639"/>
    <w:rsid w:val="00382984"/>
    <w:rsid w:val="00394A61"/>
    <w:rsid w:val="003C068B"/>
    <w:rsid w:val="003C1AB8"/>
    <w:rsid w:val="003D036E"/>
    <w:rsid w:val="003D616E"/>
    <w:rsid w:val="003F3118"/>
    <w:rsid w:val="00406DAA"/>
    <w:rsid w:val="00421C84"/>
    <w:rsid w:val="00422F85"/>
    <w:rsid w:val="00436E5C"/>
    <w:rsid w:val="00441AB7"/>
    <w:rsid w:val="0044510E"/>
    <w:rsid w:val="00460B20"/>
    <w:rsid w:val="00475731"/>
    <w:rsid w:val="004B06B5"/>
    <w:rsid w:val="004C17D2"/>
    <w:rsid w:val="004E6996"/>
    <w:rsid w:val="004F5145"/>
    <w:rsid w:val="004F5306"/>
    <w:rsid w:val="005113DB"/>
    <w:rsid w:val="00517C25"/>
    <w:rsid w:val="00534EA9"/>
    <w:rsid w:val="00535AD0"/>
    <w:rsid w:val="005366FC"/>
    <w:rsid w:val="00570B67"/>
    <w:rsid w:val="00572D2C"/>
    <w:rsid w:val="0057431D"/>
    <w:rsid w:val="005877D5"/>
    <w:rsid w:val="00590FC4"/>
    <w:rsid w:val="005C281C"/>
    <w:rsid w:val="005C49C9"/>
    <w:rsid w:val="005C7DCD"/>
    <w:rsid w:val="005E4EB5"/>
    <w:rsid w:val="0060168D"/>
    <w:rsid w:val="006049CB"/>
    <w:rsid w:val="00610580"/>
    <w:rsid w:val="00612025"/>
    <w:rsid w:val="006137E1"/>
    <w:rsid w:val="00633442"/>
    <w:rsid w:val="0064051D"/>
    <w:rsid w:val="006536E9"/>
    <w:rsid w:val="00654D61"/>
    <w:rsid w:val="00666B6D"/>
    <w:rsid w:val="00687E18"/>
    <w:rsid w:val="006B22D1"/>
    <w:rsid w:val="006B3E5B"/>
    <w:rsid w:val="006C5EBB"/>
    <w:rsid w:val="006E4DAA"/>
    <w:rsid w:val="006E57EF"/>
    <w:rsid w:val="006F02DD"/>
    <w:rsid w:val="006F5284"/>
    <w:rsid w:val="0070689D"/>
    <w:rsid w:val="00707BDE"/>
    <w:rsid w:val="007154FF"/>
    <w:rsid w:val="00715A5B"/>
    <w:rsid w:val="00730C17"/>
    <w:rsid w:val="00761519"/>
    <w:rsid w:val="00775C08"/>
    <w:rsid w:val="007773B0"/>
    <w:rsid w:val="00790578"/>
    <w:rsid w:val="00795CCA"/>
    <w:rsid w:val="00795DDF"/>
    <w:rsid w:val="007B6FAA"/>
    <w:rsid w:val="007E69B3"/>
    <w:rsid w:val="007F0335"/>
    <w:rsid w:val="008027C9"/>
    <w:rsid w:val="00822F56"/>
    <w:rsid w:val="00840E1B"/>
    <w:rsid w:val="00852637"/>
    <w:rsid w:val="00856DD0"/>
    <w:rsid w:val="008700DF"/>
    <w:rsid w:val="008961E6"/>
    <w:rsid w:val="008A0138"/>
    <w:rsid w:val="008A5AEA"/>
    <w:rsid w:val="008B7CB1"/>
    <w:rsid w:val="008F13C3"/>
    <w:rsid w:val="009054CD"/>
    <w:rsid w:val="009061A4"/>
    <w:rsid w:val="00921EA8"/>
    <w:rsid w:val="009265C5"/>
    <w:rsid w:val="00933DAF"/>
    <w:rsid w:val="00950357"/>
    <w:rsid w:val="00950A9E"/>
    <w:rsid w:val="00961823"/>
    <w:rsid w:val="00971A8E"/>
    <w:rsid w:val="00982B78"/>
    <w:rsid w:val="00983B56"/>
    <w:rsid w:val="00986077"/>
    <w:rsid w:val="00990870"/>
    <w:rsid w:val="009D5B6E"/>
    <w:rsid w:val="009F45CC"/>
    <w:rsid w:val="009F4D1C"/>
    <w:rsid w:val="00A10A09"/>
    <w:rsid w:val="00A2596F"/>
    <w:rsid w:val="00A42ECD"/>
    <w:rsid w:val="00A47792"/>
    <w:rsid w:val="00A55F97"/>
    <w:rsid w:val="00A6418B"/>
    <w:rsid w:val="00A67505"/>
    <w:rsid w:val="00A90BAB"/>
    <w:rsid w:val="00AA3C13"/>
    <w:rsid w:val="00AB6FD2"/>
    <w:rsid w:val="00AE7B3E"/>
    <w:rsid w:val="00AF437A"/>
    <w:rsid w:val="00B002FE"/>
    <w:rsid w:val="00B01346"/>
    <w:rsid w:val="00B50861"/>
    <w:rsid w:val="00B54683"/>
    <w:rsid w:val="00B60880"/>
    <w:rsid w:val="00B61494"/>
    <w:rsid w:val="00B7063D"/>
    <w:rsid w:val="00B716A8"/>
    <w:rsid w:val="00BA03A3"/>
    <w:rsid w:val="00BA59A6"/>
    <w:rsid w:val="00BC3F3B"/>
    <w:rsid w:val="00BF6737"/>
    <w:rsid w:val="00C0391A"/>
    <w:rsid w:val="00C322A1"/>
    <w:rsid w:val="00C36F16"/>
    <w:rsid w:val="00C41771"/>
    <w:rsid w:val="00C4644C"/>
    <w:rsid w:val="00C46592"/>
    <w:rsid w:val="00C60DF5"/>
    <w:rsid w:val="00C75252"/>
    <w:rsid w:val="00C954EA"/>
    <w:rsid w:val="00CB003A"/>
    <w:rsid w:val="00CB77E4"/>
    <w:rsid w:val="00CC0B33"/>
    <w:rsid w:val="00CC4534"/>
    <w:rsid w:val="00CE2D06"/>
    <w:rsid w:val="00CE6A01"/>
    <w:rsid w:val="00CF665C"/>
    <w:rsid w:val="00D1560A"/>
    <w:rsid w:val="00D16952"/>
    <w:rsid w:val="00D54F51"/>
    <w:rsid w:val="00D901C6"/>
    <w:rsid w:val="00DA5F5B"/>
    <w:rsid w:val="00DB5080"/>
    <w:rsid w:val="00E20513"/>
    <w:rsid w:val="00E61F07"/>
    <w:rsid w:val="00E65525"/>
    <w:rsid w:val="00E71397"/>
    <w:rsid w:val="00E7751F"/>
    <w:rsid w:val="00E8070F"/>
    <w:rsid w:val="00EB38BE"/>
    <w:rsid w:val="00EB5E62"/>
    <w:rsid w:val="00EE0B0E"/>
    <w:rsid w:val="00F015F9"/>
    <w:rsid w:val="00F06A3C"/>
    <w:rsid w:val="00F24F5A"/>
    <w:rsid w:val="00F27C5F"/>
    <w:rsid w:val="00F31337"/>
    <w:rsid w:val="00F41911"/>
    <w:rsid w:val="00F51DC7"/>
    <w:rsid w:val="00F72D0B"/>
    <w:rsid w:val="00F7599C"/>
    <w:rsid w:val="00F874A6"/>
    <w:rsid w:val="00FB7F1C"/>
    <w:rsid w:val="00FC174E"/>
    <w:rsid w:val="00FC2B60"/>
    <w:rsid w:val="00FC4E29"/>
    <w:rsid w:val="00FD0BF8"/>
    <w:rsid w:val="00FD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00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5CCA"/>
    <w:rPr>
      <w:rFonts w:ascii="Tahoma" w:hAnsi="Tahoma" w:cs="Tahoma"/>
      <w:sz w:val="16"/>
      <w:szCs w:val="16"/>
    </w:rPr>
  </w:style>
  <w:style w:type="paragraph" w:styleId="Footer">
    <w:name w:val="footer"/>
    <w:basedOn w:val="Normal"/>
    <w:link w:val="FooterChar"/>
    <w:uiPriority w:val="99"/>
    <w:rsid w:val="00EB5E62"/>
    <w:pPr>
      <w:tabs>
        <w:tab w:val="center" w:pos="4320"/>
        <w:tab w:val="right" w:pos="8640"/>
      </w:tabs>
    </w:pPr>
  </w:style>
  <w:style w:type="character" w:styleId="PageNumber">
    <w:name w:val="page number"/>
    <w:basedOn w:val="DefaultParagraphFont"/>
    <w:rsid w:val="00EB5E62"/>
  </w:style>
  <w:style w:type="paragraph" w:styleId="Header">
    <w:name w:val="header"/>
    <w:basedOn w:val="Normal"/>
    <w:link w:val="HeaderChar"/>
    <w:uiPriority w:val="99"/>
    <w:rsid w:val="00EB5E62"/>
    <w:pPr>
      <w:tabs>
        <w:tab w:val="center" w:pos="4320"/>
        <w:tab w:val="right" w:pos="8640"/>
      </w:tabs>
    </w:pPr>
  </w:style>
  <w:style w:type="table" w:styleId="TableGrid">
    <w:name w:val="Table Grid"/>
    <w:basedOn w:val="TableNormal"/>
    <w:rsid w:val="000B5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F06A3C"/>
    <w:pPr>
      <w:shd w:val="clear" w:color="auto" w:fill="000080"/>
    </w:pPr>
    <w:rPr>
      <w:rFonts w:ascii="Tahoma" w:hAnsi="Tahoma" w:cs="Tahoma"/>
      <w:sz w:val="20"/>
      <w:szCs w:val="20"/>
    </w:rPr>
  </w:style>
  <w:style w:type="character" w:styleId="CommentReference">
    <w:name w:val="annotation reference"/>
    <w:basedOn w:val="DefaultParagraphFont"/>
    <w:semiHidden/>
    <w:rsid w:val="00F06A3C"/>
    <w:rPr>
      <w:sz w:val="16"/>
      <w:szCs w:val="16"/>
    </w:rPr>
  </w:style>
  <w:style w:type="paragraph" w:styleId="CommentText">
    <w:name w:val="annotation text"/>
    <w:basedOn w:val="Normal"/>
    <w:semiHidden/>
    <w:rsid w:val="00F06A3C"/>
    <w:rPr>
      <w:sz w:val="20"/>
      <w:szCs w:val="20"/>
    </w:rPr>
  </w:style>
  <w:style w:type="paragraph" w:styleId="CommentSubject">
    <w:name w:val="annotation subject"/>
    <w:basedOn w:val="CommentText"/>
    <w:next w:val="CommentText"/>
    <w:semiHidden/>
    <w:rsid w:val="00F06A3C"/>
    <w:rPr>
      <w:b/>
      <w:bCs/>
    </w:rPr>
  </w:style>
  <w:style w:type="character" w:styleId="Hyperlink">
    <w:name w:val="Hyperlink"/>
    <w:basedOn w:val="DefaultParagraphFont"/>
    <w:rsid w:val="00003D4B"/>
    <w:rPr>
      <w:color w:val="0000FF"/>
      <w:u w:val="single"/>
    </w:rPr>
  </w:style>
  <w:style w:type="character" w:customStyle="1" w:styleId="HeaderChar">
    <w:name w:val="Header Char"/>
    <w:basedOn w:val="DefaultParagraphFont"/>
    <w:link w:val="Header"/>
    <w:uiPriority w:val="99"/>
    <w:rsid w:val="00CF665C"/>
    <w:rPr>
      <w:sz w:val="24"/>
      <w:szCs w:val="24"/>
    </w:rPr>
  </w:style>
  <w:style w:type="paragraph" w:styleId="ListParagraph">
    <w:name w:val="List Paragraph"/>
    <w:basedOn w:val="Normal"/>
    <w:uiPriority w:val="34"/>
    <w:qFormat/>
    <w:rsid w:val="00BF6737"/>
    <w:pPr>
      <w:ind w:left="720"/>
      <w:contextualSpacing/>
    </w:pPr>
  </w:style>
  <w:style w:type="character" w:customStyle="1" w:styleId="FooterChar">
    <w:name w:val="Footer Char"/>
    <w:basedOn w:val="DefaultParagraphFont"/>
    <w:link w:val="Footer"/>
    <w:uiPriority w:val="99"/>
    <w:rsid w:val="006E57E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00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5CCA"/>
    <w:rPr>
      <w:rFonts w:ascii="Tahoma" w:hAnsi="Tahoma" w:cs="Tahoma"/>
      <w:sz w:val="16"/>
      <w:szCs w:val="16"/>
    </w:rPr>
  </w:style>
  <w:style w:type="paragraph" w:styleId="Footer">
    <w:name w:val="footer"/>
    <w:basedOn w:val="Normal"/>
    <w:link w:val="FooterChar"/>
    <w:uiPriority w:val="99"/>
    <w:rsid w:val="00EB5E62"/>
    <w:pPr>
      <w:tabs>
        <w:tab w:val="center" w:pos="4320"/>
        <w:tab w:val="right" w:pos="8640"/>
      </w:tabs>
    </w:pPr>
  </w:style>
  <w:style w:type="character" w:styleId="PageNumber">
    <w:name w:val="page number"/>
    <w:basedOn w:val="DefaultParagraphFont"/>
    <w:rsid w:val="00EB5E62"/>
  </w:style>
  <w:style w:type="paragraph" w:styleId="Header">
    <w:name w:val="header"/>
    <w:basedOn w:val="Normal"/>
    <w:link w:val="HeaderChar"/>
    <w:uiPriority w:val="99"/>
    <w:rsid w:val="00EB5E62"/>
    <w:pPr>
      <w:tabs>
        <w:tab w:val="center" w:pos="4320"/>
        <w:tab w:val="right" w:pos="8640"/>
      </w:tabs>
    </w:pPr>
  </w:style>
  <w:style w:type="table" w:styleId="TableGrid">
    <w:name w:val="Table Grid"/>
    <w:basedOn w:val="TableNormal"/>
    <w:rsid w:val="000B5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F06A3C"/>
    <w:pPr>
      <w:shd w:val="clear" w:color="auto" w:fill="000080"/>
    </w:pPr>
    <w:rPr>
      <w:rFonts w:ascii="Tahoma" w:hAnsi="Tahoma" w:cs="Tahoma"/>
      <w:sz w:val="20"/>
      <w:szCs w:val="20"/>
    </w:rPr>
  </w:style>
  <w:style w:type="character" w:styleId="CommentReference">
    <w:name w:val="annotation reference"/>
    <w:basedOn w:val="DefaultParagraphFont"/>
    <w:semiHidden/>
    <w:rsid w:val="00F06A3C"/>
    <w:rPr>
      <w:sz w:val="16"/>
      <w:szCs w:val="16"/>
    </w:rPr>
  </w:style>
  <w:style w:type="paragraph" w:styleId="CommentText">
    <w:name w:val="annotation text"/>
    <w:basedOn w:val="Normal"/>
    <w:semiHidden/>
    <w:rsid w:val="00F06A3C"/>
    <w:rPr>
      <w:sz w:val="20"/>
      <w:szCs w:val="20"/>
    </w:rPr>
  </w:style>
  <w:style w:type="paragraph" w:styleId="CommentSubject">
    <w:name w:val="annotation subject"/>
    <w:basedOn w:val="CommentText"/>
    <w:next w:val="CommentText"/>
    <w:semiHidden/>
    <w:rsid w:val="00F06A3C"/>
    <w:rPr>
      <w:b/>
      <w:bCs/>
    </w:rPr>
  </w:style>
  <w:style w:type="character" w:styleId="Hyperlink">
    <w:name w:val="Hyperlink"/>
    <w:basedOn w:val="DefaultParagraphFont"/>
    <w:rsid w:val="00003D4B"/>
    <w:rPr>
      <w:color w:val="0000FF"/>
      <w:u w:val="single"/>
    </w:rPr>
  </w:style>
  <w:style w:type="character" w:customStyle="1" w:styleId="HeaderChar">
    <w:name w:val="Header Char"/>
    <w:basedOn w:val="DefaultParagraphFont"/>
    <w:link w:val="Header"/>
    <w:uiPriority w:val="99"/>
    <w:rsid w:val="00CF665C"/>
    <w:rPr>
      <w:sz w:val="24"/>
      <w:szCs w:val="24"/>
    </w:rPr>
  </w:style>
  <w:style w:type="paragraph" w:styleId="ListParagraph">
    <w:name w:val="List Paragraph"/>
    <w:basedOn w:val="Normal"/>
    <w:uiPriority w:val="34"/>
    <w:qFormat/>
    <w:rsid w:val="00BF6737"/>
    <w:pPr>
      <w:ind w:left="720"/>
      <w:contextualSpacing/>
    </w:pPr>
  </w:style>
  <w:style w:type="character" w:customStyle="1" w:styleId="FooterChar">
    <w:name w:val="Footer Char"/>
    <w:basedOn w:val="DefaultParagraphFont"/>
    <w:link w:val="Footer"/>
    <w:uiPriority w:val="99"/>
    <w:rsid w:val="006E57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2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6813B-5E5D-4C1A-A3E6-67BBEB6C9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Department of the Treasury, Departmental Offices</vt:lpstr>
    </vt:vector>
  </TitlesOfParts>
  <Company>U.S. Department of the Treasury</Company>
  <LinksUpToDate>false</LinksUpToDate>
  <CharactersWithSpaces>6879</CharactersWithSpaces>
  <SharedDoc>false</SharedDoc>
  <HLinks>
    <vt:vector size="6" baseType="variant">
      <vt:variant>
        <vt:i4>5767170</vt:i4>
      </vt:variant>
      <vt:variant>
        <vt:i4>0</vt:i4>
      </vt:variant>
      <vt:variant>
        <vt:i4>0</vt:i4>
      </vt:variant>
      <vt:variant>
        <vt:i4>5</vt:i4>
      </vt:variant>
      <vt:variant>
        <vt:lpwstr>http://www.treas.gov/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Treasury, Departmental Offices</dc:title>
  <dc:creator>reeseci</dc:creator>
  <cp:lastModifiedBy>SYSTEM</cp:lastModifiedBy>
  <cp:revision>2</cp:revision>
  <cp:lastPrinted>2017-07-19T20:15:00Z</cp:lastPrinted>
  <dcterms:created xsi:type="dcterms:W3CDTF">2017-07-24T20:52:00Z</dcterms:created>
  <dcterms:modified xsi:type="dcterms:W3CDTF">2017-07-24T20:52:00Z</dcterms:modified>
</cp:coreProperties>
</file>