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70461" w14:textId="77777777" w:rsidR="00B80835" w:rsidRPr="00B80835" w:rsidRDefault="00B80835" w:rsidP="00B80835">
      <w:pPr>
        <w:spacing w:after="0" w:line="240" w:lineRule="auto"/>
        <w:jc w:val="center"/>
        <w:rPr>
          <w:rFonts w:ascii="Times New Roman" w:hAnsi="Times New Roman" w:cs="Times New Roman"/>
          <w:sz w:val="26"/>
          <w:szCs w:val="26"/>
        </w:rPr>
      </w:pPr>
      <w:bookmarkStart w:id="0" w:name="_GoBack"/>
      <w:bookmarkEnd w:id="0"/>
      <w:r w:rsidRPr="00B80835">
        <w:rPr>
          <w:rFonts w:ascii="Times New Roman" w:hAnsi="Times New Roman" w:cs="Times New Roman"/>
          <w:sz w:val="26"/>
          <w:szCs w:val="26"/>
        </w:rPr>
        <w:t>FEDERAL ENERGY REGULATORY COMMISSION</w:t>
      </w:r>
    </w:p>
    <w:p w14:paraId="1D8FE923" w14:textId="77777777" w:rsidR="00B80835" w:rsidRPr="00B80835" w:rsidRDefault="00B80835" w:rsidP="00B80835">
      <w:pPr>
        <w:spacing w:after="0" w:line="240" w:lineRule="auto"/>
        <w:jc w:val="center"/>
        <w:rPr>
          <w:rFonts w:ascii="Times New Roman" w:hAnsi="Times New Roman" w:cs="Times New Roman"/>
          <w:sz w:val="26"/>
          <w:szCs w:val="26"/>
        </w:rPr>
      </w:pPr>
      <w:r w:rsidRPr="00B80835">
        <w:rPr>
          <w:rFonts w:ascii="Times New Roman" w:hAnsi="Times New Roman" w:cs="Times New Roman"/>
          <w:sz w:val="26"/>
          <w:szCs w:val="26"/>
        </w:rPr>
        <w:t>WASHINGTON, D.C. 20426</w:t>
      </w:r>
    </w:p>
    <w:p w14:paraId="34EFB83C" w14:textId="77777777" w:rsidR="00B80835" w:rsidRPr="00B80835" w:rsidRDefault="00B80835" w:rsidP="00B80835">
      <w:pPr>
        <w:spacing w:after="0" w:line="240" w:lineRule="auto"/>
        <w:outlineLvl w:val="0"/>
        <w:rPr>
          <w:rFonts w:ascii="Times New Roman" w:hAnsi="Times New Roman" w:cs="Times New Roman"/>
          <w:sz w:val="26"/>
          <w:szCs w:val="26"/>
        </w:rPr>
      </w:pPr>
    </w:p>
    <w:p w14:paraId="6B7BAB70" w14:textId="77777777" w:rsidR="00B80835" w:rsidRPr="00B80835" w:rsidRDefault="00B80835" w:rsidP="00BD53E7">
      <w:pPr>
        <w:spacing w:after="0" w:line="240" w:lineRule="auto"/>
        <w:outlineLvl w:val="0"/>
        <w:rPr>
          <w:rFonts w:ascii="Times New Roman" w:hAnsi="Times New Roman" w:cs="Times New Roman"/>
          <w:sz w:val="26"/>
          <w:szCs w:val="26"/>
        </w:rPr>
      </w:pPr>
      <w:r w:rsidRPr="00B80835">
        <w:rPr>
          <w:rFonts w:ascii="Times New Roman" w:hAnsi="Times New Roman" w:cs="Times New Roman"/>
          <w:sz w:val="26"/>
          <w:szCs w:val="26"/>
        </w:rPr>
        <w:t>OFFICE OF ELECTRIC RELIABILITY</w:t>
      </w:r>
    </w:p>
    <w:p w14:paraId="026CD922" w14:textId="77777777" w:rsidR="00B80835" w:rsidRPr="00B80835" w:rsidRDefault="00B80835" w:rsidP="00B80835">
      <w:pPr>
        <w:spacing w:after="0" w:line="240" w:lineRule="auto"/>
        <w:ind w:firstLine="2880"/>
        <w:rPr>
          <w:rFonts w:ascii="Times New Roman" w:hAnsi="Times New Roman" w:cs="Times New Roman"/>
          <w:sz w:val="26"/>
          <w:szCs w:val="26"/>
        </w:rPr>
      </w:pPr>
    </w:p>
    <w:p w14:paraId="24D2A121" w14:textId="77777777" w:rsidR="00B80835" w:rsidRPr="00B80835" w:rsidRDefault="00B80835" w:rsidP="00BD53E7">
      <w:pPr>
        <w:spacing w:after="0" w:line="240" w:lineRule="auto"/>
        <w:jc w:val="right"/>
        <w:rPr>
          <w:rFonts w:ascii="Times New Roman" w:hAnsi="Times New Roman" w:cs="Times New Roman"/>
          <w:sz w:val="26"/>
          <w:szCs w:val="26"/>
        </w:rPr>
      </w:pPr>
      <w:r w:rsidRPr="00B80835">
        <w:rPr>
          <w:rFonts w:ascii="Times New Roman" w:hAnsi="Times New Roman" w:cs="Times New Roman"/>
          <w:sz w:val="26"/>
          <w:szCs w:val="26"/>
        </w:rPr>
        <w:t>North American Electric Reliability Corporation</w:t>
      </w:r>
    </w:p>
    <w:p w14:paraId="3F7C362C" w14:textId="40AC851E" w:rsidR="00B80835" w:rsidRPr="00B80835" w:rsidRDefault="00BD53E7" w:rsidP="00BD53E7">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80835" w:rsidRPr="00B80835">
        <w:rPr>
          <w:rFonts w:ascii="Times New Roman" w:hAnsi="Times New Roman" w:cs="Times New Roman"/>
          <w:sz w:val="26"/>
          <w:szCs w:val="26"/>
          <w:lang w:val="de-DE"/>
        </w:rPr>
        <w:t xml:space="preserve">Docket No. </w:t>
      </w:r>
      <w:r w:rsidR="00B80835" w:rsidRPr="00B80835">
        <w:rPr>
          <w:rFonts w:ascii="Times New Roman" w:hAnsi="Times New Roman" w:cs="Times New Roman"/>
          <w:caps/>
          <w:sz w:val="26"/>
          <w:szCs w:val="26"/>
        </w:rPr>
        <w:t>RD17-</w:t>
      </w:r>
      <w:r w:rsidR="00BD3F04">
        <w:rPr>
          <w:rFonts w:ascii="Times New Roman" w:hAnsi="Times New Roman" w:cs="Times New Roman"/>
          <w:caps/>
          <w:sz w:val="26"/>
          <w:szCs w:val="26"/>
        </w:rPr>
        <w:t>5</w:t>
      </w:r>
      <w:r w:rsidR="00B80835" w:rsidRPr="00B80835">
        <w:rPr>
          <w:rFonts w:ascii="Times New Roman" w:hAnsi="Times New Roman" w:cs="Times New Roman"/>
          <w:caps/>
          <w:sz w:val="26"/>
          <w:szCs w:val="26"/>
        </w:rPr>
        <w:t>-000</w:t>
      </w:r>
      <w:r>
        <w:rPr>
          <w:rFonts w:ascii="Times New Roman" w:hAnsi="Times New Roman" w:cs="Times New Roman"/>
          <w:caps/>
          <w:sz w:val="26"/>
          <w:szCs w:val="26"/>
        </w:rPr>
        <w:t xml:space="preserve">          </w:t>
      </w:r>
    </w:p>
    <w:p w14:paraId="1FEDBAF0" w14:textId="77777777" w:rsidR="00BD53E7" w:rsidRDefault="00BD53E7" w:rsidP="00BD53E7">
      <w:pPr>
        <w:spacing w:after="0" w:line="240" w:lineRule="auto"/>
        <w:jc w:val="center"/>
        <w:rPr>
          <w:rFonts w:ascii="Times New Roman" w:hAnsi="Times New Roman" w:cs="Times New Roman"/>
          <w:sz w:val="26"/>
          <w:szCs w:val="26"/>
        </w:rPr>
      </w:pPr>
    </w:p>
    <w:p w14:paraId="0ED86FFC" w14:textId="77777777" w:rsidR="00BD53E7" w:rsidRDefault="00BD53E7" w:rsidP="00BD53E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14:paraId="2C7341B0" w14:textId="14291392" w:rsidR="00B80835" w:rsidRPr="00B80835" w:rsidRDefault="00BD53E7" w:rsidP="00BD53E7">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rPr>
        <w:t xml:space="preserve">            </w:t>
      </w:r>
      <w:r w:rsidR="00BD3F04">
        <w:rPr>
          <w:rFonts w:ascii="Times New Roman" w:hAnsi="Times New Roman" w:cs="Times New Roman"/>
          <w:sz w:val="26"/>
          <w:szCs w:val="26"/>
        </w:rPr>
        <w:t>April</w:t>
      </w:r>
      <w:r w:rsidR="007A1AF6">
        <w:rPr>
          <w:rFonts w:ascii="Times New Roman" w:hAnsi="Times New Roman" w:cs="Times New Roman"/>
          <w:sz w:val="26"/>
          <w:szCs w:val="26"/>
        </w:rPr>
        <w:t xml:space="preserve"> 28</w:t>
      </w:r>
      <w:r w:rsidR="00B80835" w:rsidRPr="002A4C35">
        <w:rPr>
          <w:rFonts w:ascii="Times New Roman" w:hAnsi="Times New Roman" w:cs="Times New Roman"/>
          <w:sz w:val="26"/>
          <w:szCs w:val="26"/>
        </w:rPr>
        <w:t>, 2017</w:t>
      </w:r>
    </w:p>
    <w:p w14:paraId="5CABC325" w14:textId="52FC8542" w:rsidR="00B80835" w:rsidRPr="00B80835" w:rsidRDefault="00B80835" w:rsidP="00B80835">
      <w:pPr>
        <w:spacing w:after="0" w:line="240" w:lineRule="auto"/>
        <w:ind w:left="4320" w:firstLine="720"/>
        <w:outlineLvl w:val="0"/>
        <w:rPr>
          <w:rFonts w:ascii="Times New Roman" w:hAnsi="Times New Roman" w:cs="Times New Roman"/>
          <w:sz w:val="26"/>
          <w:szCs w:val="26"/>
          <w:lang w:val="de-DE"/>
        </w:rPr>
      </w:pPr>
      <w:r w:rsidRPr="00B80835">
        <w:rPr>
          <w:rFonts w:ascii="Times New Roman" w:hAnsi="Times New Roman" w:cs="Times New Roman"/>
          <w:sz w:val="26"/>
          <w:szCs w:val="26"/>
          <w:lang w:val="de-DE"/>
        </w:rPr>
        <w:t xml:space="preserve">                    </w:t>
      </w:r>
    </w:p>
    <w:p w14:paraId="446A43D9" w14:textId="77777777" w:rsidR="00B80835" w:rsidRPr="00B80835" w:rsidRDefault="00B80835" w:rsidP="00B80835">
      <w:pPr>
        <w:spacing w:after="0" w:line="240" w:lineRule="auto"/>
        <w:rPr>
          <w:rFonts w:ascii="Times New Roman" w:hAnsi="Times New Roman" w:cs="Times New Roman"/>
          <w:sz w:val="26"/>
          <w:szCs w:val="26"/>
        </w:rPr>
      </w:pPr>
    </w:p>
    <w:p w14:paraId="3BB9BAC4" w14:textId="77777777" w:rsidR="00B80835" w:rsidRPr="00B80835" w:rsidRDefault="00B80835" w:rsidP="00B80835">
      <w:pPr>
        <w:spacing w:after="0" w:line="240" w:lineRule="auto"/>
        <w:ind w:left="720" w:hanging="720"/>
        <w:rPr>
          <w:rFonts w:ascii="Times New Roman" w:hAnsi="Times New Roman" w:cs="Times New Roman"/>
          <w:sz w:val="26"/>
          <w:szCs w:val="26"/>
        </w:rPr>
      </w:pPr>
      <w:r w:rsidRPr="00B80835">
        <w:rPr>
          <w:rFonts w:ascii="Times New Roman" w:hAnsi="Times New Roman" w:cs="Times New Roman"/>
          <w:sz w:val="26"/>
          <w:szCs w:val="26"/>
        </w:rPr>
        <w:t>North American Electric Reliability Corporation</w:t>
      </w:r>
    </w:p>
    <w:p w14:paraId="5F3ED05C" w14:textId="77777777" w:rsidR="00B80835" w:rsidRPr="00B80835" w:rsidRDefault="00B80835" w:rsidP="00B80835">
      <w:pPr>
        <w:spacing w:after="0" w:line="240" w:lineRule="auto"/>
        <w:ind w:left="720" w:hanging="720"/>
        <w:rPr>
          <w:rFonts w:ascii="Times New Roman" w:hAnsi="Times New Roman" w:cs="Times New Roman"/>
          <w:sz w:val="26"/>
          <w:szCs w:val="26"/>
        </w:rPr>
      </w:pPr>
      <w:r w:rsidRPr="00B80835">
        <w:rPr>
          <w:rFonts w:ascii="Times New Roman" w:hAnsi="Times New Roman" w:cs="Times New Roman"/>
          <w:sz w:val="26"/>
          <w:szCs w:val="26"/>
        </w:rPr>
        <w:t>1325 G Street N.W., Suite 600</w:t>
      </w:r>
    </w:p>
    <w:p w14:paraId="07CC4D7D" w14:textId="77777777" w:rsidR="00B80835" w:rsidRPr="00B80835" w:rsidRDefault="00B80835" w:rsidP="00B80835">
      <w:pPr>
        <w:spacing w:after="0" w:line="240" w:lineRule="auto"/>
        <w:rPr>
          <w:rFonts w:ascii="Times New Roman" w:hAnsi="Times New Roman" w:cs="Times New Roman"/>
          <w:sz w:val="26"/>
          <w:szCs w:val="26"/>
        </w:rPr>
      </w:pPr>
      <w:r w:rsidRPr="00B80835">
        <w:rPr>
          <w:rFonts w:ascii="Times New Roman" w:hAnsi="Times New Roman" w:cs="Times New Roman"/>
          <w:sz w:val="26"/>
          <w:szCs w:val="26"/>
        </w:rPr>
        <w:t>Washington, D.C. 20005</w:t>
      </w:r>
    </w:p>
    <w:p w14:paraId="43C575BF" w14:textId="77777777" w:rsidR="00B80835" w:rsidRPr="00B80835" w:rsidRDefault="00B80835" w:rsidP="00B80835">
      <w:pPr>
        <w:spacing w:after="0" w:line="240" w:lineRule="auto"/>
        <w:rPr>
          <w:rFonts w:ascii="Times New Roman" w:hAnsi="Times New Roman" w:cs="Times New Roman"/>
          <w:sz w:val="26"/>
          <w:szCs w:val="26"/>
        </w:rPr>
      </w:pPr>
    </w:p>
    <w:p w14:paraId="09430937" w14:textId="77777777" w:rsidR="00B80835" w:rsidRPr="00B80835" w:rsidRDefault="00B80835" w:rsidP="00B80835">
      <w:pPr>
        <w:pStyle w:val="Default"/>
        <w:rPr>
          <w:sz w:val="26"/>
          <w:szCs w:val="26"/>
        </w:rPr>
      </w:pPr>
      <w:r w:rsidRPr="00B80835">
        <w:rPr>
          <w:sz w:val="26"/>
          <w:szCs w:val="26"/>
        </w:rPr>
        <w:t>Attention:</w:t>
      </w:r>
      <w:r w:rsidRPr="00B80835">
        <w:rPr>
          <w:sz w:val="26"/>
          <w:szCs w:val="26"/>
        </w:rPr>
        <w:tab/>
        <w:t>Shamai Elstein</w:t>
      </w:r>
    </w:p>
    <w:p w14:paraId="6BC53AE0" w14:textId="3C9114CF" w:rsidR="00B80835" w:rsidRPr="00B80835" w:rsidRDefault="00B80835" w:rsidP="00B80835">
      <w:pPr>
        <w:tabs>
          <w:tab w:val="left" w:pos="1440"/>
        </w:tabs>
        <w:spacing w:after="0" w:line="240" w:lineRule="auto"/>
        <w:ind w:left="1440"/>
        <w:rPr>
          <w:rFonts w:ascii="Times New Roman" w:hAnsi="Times New Roman" w:cs="Times New Roman"/>
          <w:sz w:val="26"/>
          <w:szCs w:val="26"/>
        </w:rPr>
      </w:pPr>
      <w:r w:rsidRPr="00B80835">
        <w:rPr>
          <w:rFonts w:ascii="Times New Roman" w:hAnsi="Times New Roman" w:cs="Times New Roman"/>
          <w:sz w:val="26"/>
          <w:szCs w:val="26"/>
        </w:rPr>
        <w:t>Senior Counsel for North American Electric Reliability Corporation</w:t>
      </w:r>
    </w:p>
    <w:p w14:paraId="6BB6E3E0" w14:textId="62B1DDE7" w:rsidR="00B80835" w:rsidRPr="005C7472" w:rsidRDefault="00B80835" w:rsidP="002A4C35">
      <w:pPr>
        <w:tabs>
          <w:tab w:val="left" w:pos="1440"/>
        </w:tabs>
        <w:spacing w:after="0" w:line="240" w:lineRule="auto"/>
        <w:ind w:left="1440"/>
        <w:rPr>
          <w:rFonts w:ascii="Times New Roman" w:hAnsi="Times New Roman" w:cs="Times New Roman"/>
          <w:sz w:val="26"/>
          <w:szCs w:val="26"/>
        </w:rPr>
      </w:pPr>
      <w:r w:rsidRPr="005C7472">
        <w:rPr>
          <w:rFonts w:ascii="Times New Roman" w:hAnsi="Times New Roman" w:cs="Times New Roman"/>
          <w:sz w:val="26"/>
          <w:szCs w:val="26"/>
        </w:rPr>
        <w:t xml:space="preserve"> </w:t>
      </w:r>
      <w:r w:rsidRPr="005C7472">
        <w:rPr>
          <w:rFonts w:ascii="Times New Roman" w:hAnsi="Times New Roman" w:cs="Times New Roman"/>
          <w:sz w:val="26"/>
          <w:szCs w:val="26"/>
        </w:rPr>
        <w:tab/>
      </w:r>
    </w:p>
    <w:p w14:paraId="62510701" w14:textId="22D1C5D2" w:rsidR="00B80835" w:rsidRPr="005C7472" w:rsidRDefault="00B80835" w:rsidP="00B80835">
      <w:pPr>
        <w:spacing w:after="0" w:line="240" w:lineRule="auto"/>
        <w:ind w:left="1440" w:hanging="1440"/>
        <w:rPr>
          <w:rFonts w:ascii="Times New Roman" w:hAnsi="Times New Roman" w:cs="Times New Roman"/>
          <w:sz w:val="26"/>
          <w:szCs w:val="26"/>
        </w:rPr>
      </w:pPr>
      <w:r w:rsidRPr="005C7472">
        <w:rPr>
          <w:rFonts w:ascii="Times New Roman" w:hAnsi="Times New Roman" w:cs="Times New Roman"/>
          <w:sz w:val="26"/>
          <w:szCs w:val="26"/>
        </w:rPr>
        <w:t>Reference:</w:t>
      </w:r>
      <w:r w:rsidRPr="005C7472">
        <w:rPr>
          <w:rFonts w:ascii="Times New Roman" w:hAnsi="Times New Roman" w:cs="Times New Roman"/>
          <w:sz w:val="26"/>
          <w:szCs w:val="26"/>
        </w:rPr>
        <w:tab/>
      </w:r>
      <w:r w:rsidR="009A1972" w:rsidRPr="009A1972">
        <w:rPr>
          <w:rFonts w:ascii="Times New Roman" w:hAnsi="Times New Roman" w:cs="Times New Roman"/>
          <w:sz w:val="26"/>
          <w:szCs w:val="26"/>
        </w:rPr>
        <w:t xml:space="preserve">Petition of the North American Electric Reliability Corporation </w:t>
      </w:r>
      <w:r w:rsidR="009A1972">
        <w:rPr>
          <w:rFonts w:ascii="Times New Roman" w:hAnsi="Times New Roman" w:cs="Times New Roman"/>
          <w:sz w:val="26"/>
          <w:szCs w:val="26"/>
        </w:rPr>
        <w:t xml:space="preserve">and Western Electricity Coordinating Council for </w:t>
      </w:r>
      <w:r w:rsidR="005C7472" w:rsidRPr="00CB3DB1">
        <w:rPr>
          <w:rFonts w:ascii="Times New Roman" w:hAnsi="Times New Roman" w:cs="Times New Roman"/>
          <w:sz w:val="26"/>
          <w:szCs w:val="26"/>
        </w:rPr>
        <w:t>A</w:t>
      </w:r>
      <w:r w:rsidR="005C7472">
        <w:rPr>
          <w:rFonts w:ascii="Times New Roman" w:hAnsi="Times New Roman" w:cs="Times New Roman"/>
          <w:sz w:val="26"/>
          <w:szCs w:val="26"/>
        </w:rPr>
        <w:t>pproval of Proposed Regional Reliability Standard VAR-501-WECC-3</w:t>
      </w:r>
    </w:p>
    <w:p w14:paraId="59868A4D" w14:textId="77777777" w:rsidR="00B80835" w:rsidRPr="00CB3DB1" w:rsidRDefault="00B80835" w:rsidP="00B80835">
      <w:pPr>
        <w:spacing w:after="0" w:line="240" w:lineRule="auto"/>
        <w:rPr>
          <w:rFonts w:ascii="Times New Roman" w:hAnsi="Times New Roman" w:cs="Times New Roman"/>
          <w:sz w:val="26"/>
          <w:szCs w:val="26"/>
        </w:rPr>
      </w:pPr>
    </w:p>
    <w:p w14:paraId="19749D1E" w14:textId="27185704" w:rsidR="00B80835" w:rsidRPr="00CB3DB1" w:rsidRDefault="00B80835" w:rsidP="00B80835">
      <w:pPr>
        <w:spacing w:after="0" w:line="240" w:lineRule="auto"/>
        <w:rPr>
          <w:rFonts w:ascii="Times New Roman" w:hAnsi="Times New Roman" w:cs="Times New Roman"/>
          <w:sz w:val="26"/>
          <w:szCs w:val="26"/>
        </w:rPr>
      </w:pPr>
      <w:r w:rsidRPr="00CB3DB1">
        <w:rPr>
          <w:rFonts w:ascii="Times New Roman" w:hAnsi="Times New Roman" w:cs="Times New Roman"/>
          <w:sz w:val="26"/>
          <w:szCs w:val="26"/>
        </w:rPr>
        <w:t>Dear Mr. Elstein:</w:t>
      </w:r>
    </w:p>
    <w:p w14:paraId="29BC4604" w14:textId="77777777" w:rsidR="00B80835" w:rsidRPr="00B80835" w:rsidRDefault="00B80835" w:rsidP="00B80835">
      <w:pPr>
        <w:spacing w:after="0" w:line="240" w:lineRule="auto"/>
        <w:rPr>
          <w:rFonts w:ascii="Times New Roman" w:hAnsi="Times New Roman" w:cs="Times New Roman"/>
          <w:sz w:val="26"/>
          <w:szCs w:val="26"/>
        </w:rPr>
      </w:pPr>
    </w:p>
    <w:p w14:paraId="36D6D12F" w14:textId="16FED698" w:rsidR="00B80835" w:rsidRPr="005C7472" w:rsidRDefault="00B80835" w:rsidP="00B80835">
      <w:pPr>
        <w:spacing w:after="0" w:line="240" w:lineRule="auto"/>
        <w:rPr>
          <w:rFonts w:ascii="Times New Roman" w:hAnsi="Times New Roman" w:cs="Times New Roman"/>
          <w:sz w:val="26"/>
          <w:szCs w:val="26"/>
        </w:rPr>
      </w:pPr>
      <w:r w:rsidRPr="005C7472">
        <w:rPr>
          <w:rFonts w:ascii="Times New Roman" w:hAnsi="Times New Roman" w:cs="Times New Roman"/>
          <w:sz w:val="26"/>
          <w:szCs w:val="26"/>
        </w:rPr>
        <w:tab/>
        <w:t xml:space="preserve">On </w:t>
      </w:r>
      <w:r w:rsidR="005C7472" w:rsidRPr="005C7472">
        <w:rPr>
          <w:rFonts w:ascii="Times New Roman" w:hAnsi="Times New Roman" w:cs="Times New Roman"/>
          <w:sz w:val="26"/>
          <w:szCs w:val="26"/>
        </w:rPr>
        <w:t>March 10</w:t>
      </w:r>
      <w:r w:rsidRPr="005C7472">
        <w:rPr>
          <w:rFonts w:ascii="Times New Roman" w:hAnsi="Times New Roman" w:cs="Times New Roman"/>
          <w:sz w:val="26"/>
          <w:szCs w:val="26"/>
        </w:rPr>
        <w:t>, 201</w:t>
      </w:r>
      <w:r w:rsidR="005C7472" w:rsidRPr="005C7472">
        <w:rPr>
          <w:rFonts w:ascii="Times New Roman" w:hAnsi="Times New Roman" w:cs="Times New Roman"/>
          <w:sz w:val="26"/>
          <w:szCs w:val="26"/>
        </w:rPr>
        <w:t>7</w:t>
      </w:r>
      <w:r w:rsidRPr="005C7472">
        <w:rPr>
          <w:rFonts w:ascii="Times New Roman" w:hAnsi="Times New Roman" w:cs="Times New Roman"/>
          <w:sz w:val="26"/>
          <w:szCs w:val="26"/>
        </w:rPr>
        <w:t xml:space="preserve">, the North American Electric Reliability Corporation (NERC) and Western Electricity Coordinating Council </w:t>
      </w:r>
      <w:r w:rsidR="001B7EB1" w:rsidRPr="00CB3DB1">
        <w:rPr>
          <w:rFonts w:ascii="Times New Roman" w:hAnsi="Times New Roman" w:cs="Times New Roman"/>
          <w:sz w:val="26"/>
          <w:szCs w:val="26"/>
        </w:rPr>
        <w:t xml:space="preserve">(WECC) </w:t>
      </w:r>
      <w:r w:rsidRPr="00CB3DB1">
        <w:rPr>
          <w:rFonts w:ascii="Times New Roman" w:hAnsi="Times New Roman" w:cs="Times New Roman"/>
          <w:sz w:val="26"/>
          <w:szCs w:val="26"/>
        </w:rPr>
        <w:t>filed a joint petition seeking approval</w:t>
      </w:r>
      <w:r w:rsidR="002F1E95">
        <w:rPr>
          <w:rFonts w:ascii="Times New Roman" w:hAnsi="Times New Roman" w:cs="Times New Roman"/>
          <w:sz w:val="26"/>
          <w:szCs w:val="26"/>
        </w:rPr>
        <w:t xml:space="preserve"> of proposed</w:t>
      </w:r>
      <w:r w:rsidRPr="00CB3DB1">
        <w:rPr>
          <w:rFonts w:ascii="Times New Roman" w:hAnsi="Times New Roman" w:cs="Times New Roman"/>
          <w:sz w:val="26"/>
          <w:szCs w:val="26"/>
        </w:rPr>
        <w:t xml:space="preserve"> </w:t>
      </w:r>
      <w:r w:rsidR="00091023">
        <w:rPr>
          <w:rFonts w:ascii="Times New Roman" w:hAnsi="Times New Roman" w:cs="Times New Roman"/>
          <w:sz w:val="26"/>
          <w:szCs w:val="26"/>
        </w:rPr>
        <w:t>r</w:t>
      </w:r>
      <w:r w:rsidRPr="00CB3DB1">
        <w:rPr>
          <w:rFonts w:ascii="Times New Roman" w:hAnsi="Times New Roman" w:cs="Times New Roman"/>
          <w:sz w:val="26"/>
          <w:szCs w:val="26"/>
        </w:rPr>
        <w:t xml:space="preserve">egional Reliability Standard </w:t>
      </w:r>
      <w:r w:rsidR="005C7472" w:rsidRPr="00CB3DB1">
        <w:rPr>
          <w:rFonts w:ascii="Times New Roman" w:hAnsi="Times New Roman" w:cs="Times New Roman"/>
          <w:sz w:val="26"/>
          <w:szCs w:val="26"/>
        </w:rPr>
        <w:t>VAR-501-WECC-3</w:t>
      </w:r>
      <w:r w:rsidRPr="005C7472">
        <w:rPr>
          <w:rFonts w:ascii="Times New Roman" w:hAnsi="Times New Roman" w:cs="Times New Roman"/>
          <w:sz w:val="26"/>
          <w:szCs w:val="26"/>
        </w:rPr>
        <w:t xml:space="preserve">.  </w:t>
      </w:r>
      <w:r w:rsidR="005C7472" w:rsidRPr="00CB3DB1">
        <w:rPr>
          <w:rFonts w:ascii="Times New Roman" w:hAnsi="Times New Roman" w:cs="Times New Roman"/>
          <w:sz w:val="26"/>
          <w:szCs w:val="26"/>
        </w:rPr>
        <w:t xml:space="preserve">NERC and WECC also requested approval of the associated </w:t>
      </w:r>
      <w:r w:rsidR="00091023">
        <w:rPr>
          <w:rFonts w:ascii="Times New Roman" w:hAnsi="Times New Roman" w:cs="Times New Roman"/>
          <w:sz w:val="26"/>
          <w:szCs w:val="26"/>
        </w:rPr>
        <w:t>i</w:t>
      </w:r>
      <w:r w:rsidR="005C7472" w:rsidRPr="00CB3DB1">
        <w:rPr>
          <w:rFonts w:ascii="Times New Roman" w:hAnsi="Times New Roman" w:cs="Times New Roman"/>
          <w:sz w:val="26"/>
          <w:szCs w:val="26"/>
        </w:rPr>
        <w:t xml:space="preserve">mplementation </w:t>
      </w:r>
      <w:r w:rsidR="00091023">
        <w:rPr>
          <w:rFonts w:ascii="Times New Roman" w:hAnsi="Times New Roman" w:cs="Times New Roman"/>
          <w:sz w:val="26"/>
          <w:szCs w:val="26"/>
        </w:rPr>
        <w:t>p</w:t>
      </w:r>
      <w:r w:rsidR="005C7472" w:rsidRPr="00CB3DB1">
        <w:rPr>
          <w:rFonts w:ascii="Times New Roman" w:hAnsi="Times New Roman" w:cs="Times New Roman"/>
          <w:sz w:val="26"/>
          <w:szCs w:val="26"/>
        </w:rPr>
        <w:t xml:space="preserve">lan for the proposed </w:t>
      </w:r>
      <w:r w:rsidR="00091023">
        <w:rPr>
          <w:rFonts w:ascii="Times New Roman" w:hAnsi="Times New Roman" w:cs="Times New Roman"/>
          <w:sz w:val="26"/>
          <w:szCs w:val="26"/>
        </w:rPr>
        <w:t>r</w:t>
      </w:r>
      <w:r w:rsidR="005C7472" w:rsidRPr="00CB3DB1">
        <w:rPr>
          <w:rFonts w:ascii="Times New Roman" w:hAnsi="Times New Roman" w:cs="Times New Roman"/>
          <w:sz w:val="26"/>
          <w:szCs w:val="26"/>
        </w:rPr>
        <w:t xml:space="preserve">egional Reliability Standard, the associated </w:t>
      </w:r>
      <w:r w:rsidR="00091023">
        <w:rPr>
          <w:rFonts w:ascii="Times New Roman" w:hAnsi="Times New Roman" w:cs="Times New Roman"/>
          <w:sz w:val="26"/>
          <w:szCs w:val="26"/>
        </w:rPr>
        <w:t>v</w:t>
      </w:r>
      <w:r w:rsidR="005C7472" w:rsidRPr="00CB3DB1">
        <w:rPr>
          <w:rFonts w:ascii="Times New Roman" w:hAnsi="Times New Roman" w:cs="Times New Roman"/>
          <w:sz w:val="26"/>
          <w:szCs w:val="26"/>
        </w:rPr>
        <w:t xml:space="preserve">iolation </w:t>
      </w:r>
      <w:r w:rsidR="00091023">
        <w:rPr>
          <w:rFonts w:ascii="Times New Roman" w:hAnsi="Times New Roman" w:cs="Times New Roman"/>
          <w:sz w:val="26"/>
          <w:szCs w:val="26"/>
        </w:rPr>
        <w:t>r</w:t>
      </w:r>
      <w:r w:rsidR="005C7472" w:rsidRPr="00CB3DB1">
        <w:rPr>
          <w:rFonts w:ascii="Times New Roman" w:hAnsi="Times New Roman" w:cs="Times New Roman"/>
          <w:sz w:val="26"/>
          <w:szCs w:val="26"/>
        </w:rPr>
        <w:t xml:space="preserve">isk </w:t>
      </w:r>
      <w:r w:rsidR="00091023">
        <w:rPr>
          <w:rFonts w:ascii="Times New Roman" w:hAnsi="Times New Roman" w:cs="Times New Roman"/>
          <w:sz w:val="26"/>
          <w:szCs w:val="26"/>
        </w:rPr>
        <w:t>f</w:t>
      </w:r>
      <w:r w:rsidR="005C7472" w:rsidRPr="00CB3DB1">
        <w:rPr>
          <w:rFonts w:ascii="Times New Roman" w:hAnsi="Times New Roman" w:cs="Times New Roman"/>
          <w:sz w:val="26"/>
          <w:szCs w:val="26"/>
        </w:rPr>
        <w:t xml:space="preserve">actors and </w:t>
      </w:r>
      <w:r w:rsidR="00091023">
        <w:rPr>
          <w:rFonts w:ascii="Times New Roman" w:hAnsi="Times New Roman" w:cs="Times New Roman"/>
          <w:sz w:val="26"/>
          <w:szCs w:val="26"/>
        </w:rPr>
        <w:t>v</w:t>
      </w:r>
      <w:r w:rsidR="005C7472" w:rsidRPr="00CB3DB1">
        <w:rPr>
          <w:rFonts w:ascii="Times New Roman" w:hAnsi="Times New Roman" w:cs="Times New Roman"/>
          <w:sz w:val="26"/>
          <w:szCs w:val="26"/>
        </w:rPr>
        <w:t xml:space="preserve">iolation </w:t>
      </w:r>
      <w:r w:rsidR="00091023">
        <w:rPr>
          <w:rFonts w:ascii="Times New Roman" w:hAnsi="Times New Roman" w:cs="Times New Roman"/>
          <w:sz w:val="26"/>
          <w:szCs w:val="26"/>
        </w:rPr>
        <w:t>s</w:t>
      </w:r>
      <w:r w:rsidR="005C7472" w:rsidRPr="00CB3DB1">
        <w:rPr>
          <w:rFonts w:ascii="Times New Roman" w:hAnsi="Times New Roman" w:cs="Times New Roman"/>
          <w:sz w:val="26"/>
          <w:szCs w:val="26"/>
        </w:rPr>
        <w:t xml:space="preserve">everity </w:t>
      </w:r>
      <w:r w:rsidR="00091023">
        <w:rPr>
          <w:rFonts w:ascii="Times New Roman" w:hAnsi="Times New Roman" w:cs="Times New Roman"/>
          <w:sz w:val="26"/>
          <w:szCs w:val="26"/>
        </w:rPr>
        <w:t>l</w:t>
      </w:r>
      <w:r w:rsidR="005C7472" w:rsidRPr="00CB3DB1">
        <w:rPr>
          <w:rFonts w:ascii="Times New Roman" w:hAnsi="Times New Roman" w:cs="Times New Roman"/>
          <w:sz w:val="26"/>
          <w:szCs w:val="26"/>
        </w:rPr>
        <w:t xml:space="preserve">evels, and the retirement of </w:t>
      </w:r>
      <w:r w:rsidR="00091023">
        <w:rPr>
          <w:rFonts w:ascii="Times New Roman" w:hAnsi="Times New Roman" w:cs="Times New Roman"/>
          <w:sz w:val="26"/>
          <w:szCs w:val="26"/>
        </w:rPr>
        <w:t>r</w:t>
      </w:r>
      <w:r w:rsidR="005C7472" w:rsidRPr="00CB3DB1">
        <w:rPr>
          <w:rFonts w:ascii="Times New Roman" w:hAnsi="Times New Roman" w:cs="Times New Roman"/>
          <w:sz w:val="26"/>
          <w:szCs w:val="26"/>
        </w:rPr>
        <w:t xml:space="preserve">egional Reliability Standard VAR-501-WECC-2.  </w:t>
      </w:r>
      <w:r w:rsidR="00D36DD9" w:rsidRPr="005C7472">
        <w:rPr>
          <w:rFonts w:ascii="Times New Roman" w:hAnsi="Times New Roman" w:cs="Times New Roman"/>
          <w:sz w:val="26"/>
          <w:szCs w:val="26"/>
        </w:rPr>
        <w:t>The proposed</w:t>
      </w:r>
      <w:r w:rsidR="00B7022F" w:rsidRPr="005C7472">
        <w:rPr>
          <w:rFonts w:ascii="Times New Roman" w:hAnsi="Times New Roman" w:cs="Times New Roman"/>
          <w:sz w:val="26"/>
          <w:szCs w:val="26"/>
        </w:rPr>
        <w:t xml:space="preserve"> </w:t>
      </w:r>
      <w:r w:rsidR="00091023">
        <w:rPr>
          <w:rFonts w:ascii="Times New Roman" w:hAnsi="Times New Roman" w:cs="Times New Roman"/>
          <w:sz w:val="26"/>
          <w:szCs w:val="26"/>
        </w:rPr>
        <w:t>r</w:t>
      </w:r>
      <w:r w:rsidR="005C7472" w:rsidRPr="005C7472">
        <w:rPr>
          <w:rFonts w:ascii="Times New Roman" w:hAnsi="Times New Roman" w:cs="Times New Roman"/>
          <w:sz w:val="26"/>
          <w:szCs w:val="26"/>
        </w:rPr>
        <w:t xml:space="preserve">egional Reliability Standard </w:t>
      </w:r>
      <w:r w:rsidR="005C7472" w:rsidRPr="00CB3DB1">
        <w:rPr>
          <w:rFonts w:ascii="Times New Roman" w:hAnsi="Times New Roman" w:cs="Times New Roman"/>
          <w:sz w:val="26"/>
          <w:szCs w:val="26"/>
        </w:rPr>
        <w:t>establishes the performance criteria for power system stabilizers to help ensure the Western Interconnection is operated in a coordinated manner under normal and abnormal conditions</w:t>
      </w:r>
      <w:r w:rsidR="00D36DD9" w:rsidRPr="005C7472">
        <w:rPr>
          <w:rFonts w:ascii="Times New Roman" w:hAnsi="Times New Roman" w:cs="Times New Roman"/>
          <w:sz w:val="26"/>
          <w:szCs w:val="26"/>
        </w:rPr>
        <w:t>.</w:t>
      </w:r>
      <w:r w:rsidR="00D36DD9" w:rsidRPr="005C7472">
        <w:rPr>
          <w:rStyle w:val="FootnoteReference"/>
          <w:rFonts w:cs="Times New Roman"/>
        </w:rPr>
        <w:footnoteReference w:id="1"/>
      </w:r>
      <w:r w:rsidR="00D36DD9" w:rsidRPr="005C7472">
        <w:rPr>
          <w:rFonts w:ascii="Times New Roman" w:hAnsi="Times New Roman" w:cs="Times New Roman"/>
          <w:sz w:val="26"/>
          <w:szCs w:val="26"/>
        </w:rPr>
        <w:t xml:space="preserve"> </w:t>
      </w:r>
    </w:p>
    <w:p w14:paraId="6A23C7B9" w14:textId="77777777" w:rsidR="00E50C01" w:rsidRDefault="00E50C01" w:rsidP="00B80835">
      <w:pPr>
        <w:spacing w:after="0" w:line="240" w:lineRule="auto"/>
        <w:rPr>
          <w:rFonts w:ascii="Times New Roman" w:hAnsi="Times New Roman" w:cs="Times New Roman"/>
          <w:sz w:val="26"/>
          <w:szCs w:val="26"/>
        </w:rPr>
      </w:pPr>
    </w:p>
    <w:p w14:paraId="79B1E144" w14:textId="57234929" w:rsidR="00E50C01" w:rsidRPr="005C7472" w:rsidRDefault="00B13EC2" w:rsidP="000C541C">
      <w:pPr>
        <w:autoSpaceDE w:val="0"/>
        <w:autoSpaceDN w:val="0"/>
        <w:adjustRightInd w:val="0"/>
        <w:spacing w:after="0" w:line="240" w:lineRule="auto"/>
        <w:rPr>
          <w:rFonts w:ascii="Times New Roman" w:hAnsi="Times New Roman" w:cs="Times New Roman"/>
          <w:sz w:val="26"/>
          <w:szCs w:val="26"/>
        </w:rPr>
      </w:pPr>
      <w:r w:rsidRPr="005C7472">
        <w:rPr>
          <w:rFonts w:ascii="Times New Roman" w:hAnsi="Times New Roman" w:cs="Times New Roman"/>
          <w:sz w:val="26"/>
          <w:szCs w:val="26"/>
        </w:rPr>
        <w:tab/>
      </w:r>
      <w:r w:rsidR="00091023">
        <w:rPr>
          <w:rFonts w:ascii="Times New Roman" w:hAnsi="Times New Roman" w:cs="Times New Roman"/>
          <w:sz w:val="26"/>
          <w:szCs w:val="26"/>
        </w:rPr>
        <w:t xml:space="preserve">Proposed regional Reliability Standard </w:t>
      </w:r>
      <w:r w:rsidR="005C7472" w:rsidRPr="00CB3DB1">
        <w:rPr>
          <w:rFonts w:ascii="Times New Roman" w:hAnsi="Times New Roman" w:cs="Times New Roman"/>
          <w:sz w:val="26"/>
          <w:szCs w:val="26"/>
        </w:rPr>
        <w:t>VAR-501-W</w:t>
      </w:r>
      <w:r w:rsidR="005C7472" w:rsidRPr="005C7472">
        <w:rPr>
          <w:rFonts w:ascii="Times New Roman" w:hAnsi="Times New Roman" w:cs="Times New Roman"/>
          <w:sz w:val="26"/>
          <w:szCs w:val="26"/>
        </w:rPr>
        <w:t xml:space="preserve">ECC-3 includes requirements </w:t>
      </w:r>
      <w:r w:rsidR="005C7472" w:rsidRPr="00CB3DB1">
        <w:rPr>
          <w:rFonts w:ascii="Times New Roman" w:hAnsi="Times New Roman" w:cs="Times New Roman"/>
          <w:sz w:val="26"/>
          <w:szCs w:val="26"/>
        </w:rPr>
        <w:t xml:space="preserve">providing </w:t>
      </w:r>
      <w:r w:rsidR="00091023">
        <w:rPr>
          <w:rFonts w:ascii="Times New Roman" w:hAnsi="Times New Roman" w:cs="Times New Roman"/>
          <w:sz w:val="26"/>
          <w:szCs w:val="26"/>
        </w:rPr>
        <w:t>t</w:t>
      </w:r>
      <w:r w:rsidR="005C7472" w:rsidRPr="00CB3DB1">
        <w:rPr>
          <w:rFonts w:ascii="Times New Roman" w:hAnsi="Times New Roman" w:cs="Times New Roman"/>
          <w:sz w:val="26"/>
          <w:szCs w:val="26"/>
        </w:rPr>
        <w:t xml:space="preserve">ransmission </w:t>
      </w:r>
      <w:r w:rsidR="00091023">
        <w:rPr>
          <w:rFonts w:ascii="Times New Roman" w:hAnsi="Times New Roman" w:cs="Times New Roman"/>
          <w:sz w:val="26"/>
          <w:szCs w:val="26"/>
        </w:rPr>
        <w:t>o</w:t>
      </w:r>
      <w:r w:rsidR="005C7472" w:rsidRPr="00CB3DB1">
        <w:rPr>
          <w:rFonts w:ascii="Times New Roman" w:hAnsi="Times New Roman" w:cs="Times New Roman"/>
          <w:sz w:val="26"/>
          <w:szCs w:val="26"/>
        </w:rPr>
        <w:t xml:space="preserve">perators with procedures or other documents that inform the </w:t>
      </w:r>
      <w:r w:rsidR="00091023">
        <w:rPr>
          <w:rFonts w:ascii="Times New Roman" w:hAnsi="Times New Roman" w:cs="Times New Roman"/>
          <w:sz w:val="26"/>
          <w:szCs w:val="26"/>
        </w:rPr>
        <w:t>transmission operator</w:t>
      </w:r>
      <w:r w:rsidR="00091023" w:rsidRPr="00CB3DB1">
        <w:rPr>
          <w:rFonts w:ascii="Times New Roman" w:hAnsi="Times New Roman" w:cs="Times New Roman"/>
          <w:sz w:val="26"/>
          <w:szCs w:val="26"/>
        </w:rPr>
        <w:t xml:space="preserve"> </w:t>
      </w:r>
      <w:r w:rsidR="005C7472" w:rsidRPr="00CB3DB1">
        <w:rPr>
          <w:rFonts w:ascii="Times New Roman" w:hAnsi="Times New Roman" w:cs="Times New Roman"/>
          <w:sz w:val="26"/>
          <w:szCs w:val="26"/>
        </w:rPr>
        <w:t>of when a power system stabilizer will be out of service</w:t>
      </w:r>
      <w:r w:rsidR="00091023">
        <w:rPr>
          <w:rFonts w:ascii="Times New Roman" w:hAnsi="Times New Roman" w:cs="Times New Roman"/>
          <w:sz w:val="26"/>
          <w:szCs w:val="26"/>
        </w:rPr>
        <w:t>;</w:t>
      </w:r>
      <w:r w:rsidR="005C7472" w:rsidRPr="00CB3DB1">
        <w:rPr>
          <w:rFonts w:ascii="Times New Roman" w:hAnsi="Times New Roman" w:cs="Times New Roman"/>
          <w:sz w:val="26"/>
          <w:szCs w:val="26"/>
        </w:rPr>
        <w:t xml:space="preserve"> having the power system stabilizer in service at all times excep</w:t>
      </w:r>
      <w:r w:rsidR="00CB3DB1" w:rsidRPr="00CB3DB1">
        <w:rPr>
          <w:rFonts w:ascii="Times New Roman" w:hAnsi="Times New Roman" w:cs="Times New Roman"/>
          <w:sz w:val="26"/>
          <w:szCs w:val="26"/>
        </w:rPr>
        <w:t>t during specific circumstances</w:t>
      </w:r>
      <w:r w:rsidR="00091023">
        <w:rPr>
          <w:rFonts w:ascii="Times New Roman" w:hAnsi="Times New Roman" w:cs="Times New Roman"/>
          <w:sz w:val="26"/>
          <w:szCs w:val="26"/>
        </w:rPr>
        <w:t>;</w:t>
      </w:r>
      <w:r w:rsidR="005C7472" w:rsidRPr="00CB3DB1">
        <w:rPr>
          <w:rFonts w:ascii="Times New Roman" w:hAnsi="Times New Roman" w:cs="Times New Roman"/>
          <w:sz w:val="26"/>
          <w:szCs w:val="26"/>
        </w:rPr>
        <w:t xml:space="preserve"> tuning power system stabilizers to stated criteria</w:t>
      </w:r>
      <w:r w:rsidR="00091023">
        <w:rPr>
          <w:rFonts w:ascii="Times New Roman" w:hAnsi="Times New Roman" w:cs="Times New Roman"/>
          <w:sz w:val="26"/>
          <w:szCs w:val="26"/>
        </w:rPr>
        <w:t>;</w:t>
      </w:r>
      <w:r w:rsidR="005C7472" w:rsidRPr="00CB3DB1">
        <w:rPr>
          <w:rFonts w:ascii="Times New Roman" w:hAnsi="Times New Roman" w:cs="Times New Roman"/>
          <w:sz w:val="26"/>
          <w:szCs w:val="26"/>
        </w:rPr>
        <w:t xml:space="preserve"> installing and completing start-up testing of a power system stabilizer</w:t>
      </w:r>
      <w:r w:rsidR="00091023">
        <w:rPr>
          <w:rFonts w:ascii="Times New Roman" w:hAnsi="Times New Roman" w:cs="Times New Roman"/>
          <w:sz w:val="26"/>
          <w:szCs w:val="26"/>
        </w:rPr>
        <w:t>;</w:t>
      </w:r>
      <w:r w:rsidR="005C7472" w:rsidRPr="00CB3DB1">
        <w:rPr>
          <w:rFonts w:ascii="Times New Roman" w:hAnsi="Times New Roman" w:cs="Times New Roman"/>
          <w:sz w:val="26"/>
          <w:szCs w:val="26"/>
        </w:rPr>
        <w:t xml:space="preserve"> and repairing or replacing a power system stabilizer within a specified time period. </w:t>
      </w:r>
      <w:r w:rsidR="000C541C">
        <w:rPr>
          <w:rFonts w:ascii="Times New Roman" w:hAnsi="Times New Roman" w:cs="Times New Roman"/>
          <w:sz w:val="26"/>
          <w:szCs w:val="26"/>
        </w:rPr>
        <w:t xml:space="preserve"> </w:t>
      </w:r>
      <w:r w:rsidR="00CB3DB1">
        <w:rPr>
          <w:rFonts w:ascii="Times New Roman" w:hAnsi="Times New Roman" w:cs="Times New Roman"/>
          <w:sz w:val="26"/>
          <w:szCs w:val="26"/>
        </w:rPr>
        <w:t>NERC and WECC state</w:t>
      </w:r>
      <w:r w:rsidR="00091023">
        <w:rPr>
          <w:rFonts w:ascii="Times New Roman" w:hAnsi="Times New Roman" w:cs="Times New Roman"/>
          <w:sz w:val="26"/>
          <w:szCs w:val="26"/>
        </w:rPr>
        <w:t xml:space="preserve"> that proposed regional Reliability </w:t>
      </w:r>
      <w:r w:rsidR="00091023">
        <w:rPr>
          <w:rFonts w:ascii="Times New Roman" w:hAnsi="Times New Roman" w:cs="Times New Roman"/>
          <w:sz w:val="26"/>
          <w:szCs w:val="26"/>
        </w:rPr>
        <w:lastRenderedPageBreak/>
        <w:t>Standard</w:t>
      </w:r>
      <w:r w:rsidR="00CB3DB1">
        <w:rPr>
          <w:rFonts w:ascii="Times New Roman" w:hAnsi="Times New Roman" w:cs="Times New Roman"/>
          <w:sz w:val="26"/>
          <w:szCs w:val="26"/>
        </w:rPr>
        <w:t xml:space="preserve"> </w:t>
      </w:r>
      <w:r w:rsidR="005C7472" w:rsidRPr="00CB3DB1">
        <w:rPr>
          <w:rFonts w:ascii="Times New Roman" w:hAnsi="Times New Roman" w:cs="Times New Roman"/>
          <w:sz w:val="26"/>
          <w:szCs w:val="26"/>
        </w:rPr>
        <w:t>VAR-501-WECC-3 improve</w:t>
      </w:r>
      <w:r w:rsidR="00CB3DB1" w:rsidRPr="00CB3DB1">
        <w:rPr>
          <w:rFonts w:ascii="Times New Roman" w:hAnsi="Times New Roman" w:cs="Times New Roman"/>
          <w:sz w:val="26"/>
          <w:szCs w:val="26"/>
        </w:rPr>
        <w:t xml:space="preserve">s upon the existing </w:t>
      </w:r>
      <w:r w:rsidR="00091023">
        <w:rPr>
          <w:rFonts w:ascii="Times New Roman" w:hAnsi="Times New Roman" w:cs="Times New Roman"/>
          <w:sz w:val="26"/>
          <w:szCs w:val="26"/>
        </w:rPr>
        <w:t xml:space="preserve">regional Reliability Standard </w:t>
      </w:r>
      <w:r w:rsidR="00CB3DB1" w:rsidRPr="00CB3DB1">
        <w:rPr>
          <w:rFonts w:ascii="Times New Roman" w:hAnsi="Times New Roman" w:cs="Times New Roman"/>
          <w:sz w:val="26"/>
          <w:szCs w:val="26"/>
        </w:rPr>
        <w:t xml:space="preserve">by </w:t>
      </w:r>
      <w:r w:rsidR="005C7472" w:rsidRPr="00CB3DB1">
        <w:rPr>
          <w:rFonts w:ascii="Times New Roman" w:hAnsi="Times New Roman" w:cs="Times New Roman"/>
          <w:sz w:val="26"/>
          <w:szCs w:val="26"/>
        </w:rPr>
        <w:t>focusing the in-service requirement on performance of the power system stabilizers rather than count</w:t>
      </w:r>
      <w:r w:rsidR="00CB3DB1" w:rsidRPr="00CB3DB1">
        <w:rPr>
          <w:rFonts w:ascii="Times New Roman" w:hAnsi="Times New Roman" w:cs="Times New Roman"/>
          <w:sz w:val="26"/>
          <w:szCs w:val="26"/>
        </w:rPr>
        <w:t>ing the hours they are online</w:t>
      </w:r>
      <w:r w:rsidR="00091023">
        <w:rPr>
          <w:rFonts w:ascii="Times New Roman" w:hAnsi="Times New Roman" w:cs="Times New Roman"/>
          <w:sz w:val="26"/>
          <w:szCs w:val="26"/>
        </w:rPr>
        <w:t>;</w:t>
      </w:r>
      <w:r w:rsidR="005C7472" w:rsidRPr="00CB3DB1">
        <w:rPr>
          <w:rFonts w:ascii="Times New Roman" w:hAnsi="Times New Roman" w:cs="Times New Roman"/>
          <w:sz w:val="26"/>
          <w:szCs w:val="26"/>
        </w:rPr>
        <w:t xml:space="preserve"> incorporating the power system stabilizer policies and guidelines int</w:t>
      </w:r>
      <w:r w:rsidR="00CB3DB1" w:rsidRPr="00CB3DB1">
        <w:rPr>
          <w:rFonts w:ascii="Times New Roman" w:hAnsi="Times New Roman" w:cs="Times New Roman"/>
          <w:sz w:val="26"/>
          <w:szCs w:val="26"/>
        </w:rPr>
        <w:t>o a mandatory standard</w:t>
      </w:r>
      <w:r w:rsidR="00091023">
        <w:rPr>
          <w:rFonts w:ascii="Times New Roman" w:hAnsi="Times New Roman" w:cs="Times New Roman"/>
          <w:sz w:val="26"/>
          <w:szCs w:val="26"/>
        </w:rPr>
        <w:t>;</w:t>
      </w:r>
      <w:r w:rsidR="00CB3DB1" w:rsidRPr="00CB3DB1">
        <w:rPr>
          <w:rFonts w:ascii="Times New Roman" w:hAnsi="Times New Roman" w:cs="Times New Roman"/>
          <w:sz w:val="26"/>
          <w:szCs w:val="26"/>
        </w:rPr>
        <w:t xml:space="preserve"> and</w:t>
      </w:r>
      <w:r w:rsidR="005C7472" w:rsidRPr="00CB3DB1">
        <w:rPr>
          <w:rFonts w:ascii="Times New Roman" w:hAnsi="Times New Roman" w:cs="Times New Roman"/>
          <w:sz w:val="26"/>
          <w:szCs w:val="26"/>
        </w:rPr>
        <w:t xml:space="preserve"> reducing administrative requirements with little benefit to reliability.</w:t>
      </w:r>
      <w:r w:rsidR="000C541C">
        <w:rPr>
          <w:rStyle w:val="FootnoteReference"/>
          <w:rFonts w:cs="Times New Roman"/>
        </w:rPr>
        <w:footnoteReference w:id="2"/>
      </w:r>
    </w:p>
    <w:p w14:paraId="381BDE79" w14:textId="77777777" w:rsidR="00B80835" w:rsidRDefault="00B80835" w:rsidP="00B80835">
      <w:pPr>
        <w:spacing w:after="0" w:line="240" w:lineRule="auto"/>
        <w:rPr>
          <w:rFonts w:ascii="Times New Roman" w:hAnsi="Times New Roman" w:cs="Times New Roman"/>
          <w:sz w:val="26"/>
          <w:szCs w:val="26"/>
        </w:rPr>
      </w:pPr>
    </w:p>
    <w:p w14:paraId="203289AC" w14:textId="5F0403EB" w:rsidR="00B80835" w:rsidRDefault="00D36DD9" w:rsidP="00B80835">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1B7EB1" w:rsidRPr="001B7EB1">
        <w:rPr>
          <w:rFonts w:ascii="Times New Roman" w:eastAsia="Calibri" w:hAnsi="Times New Roman" w:cs="Times New Roman"/>
          <w:sz w:val="26"/>
          <w:szCs w:val="26"/>
        </w:rPr>
        <w:t xml:space="preserve">NERC’s and WECC’s joint filing was noticed on </w:t>
      </w:r>
      <w:r w:rsidR="005C7472">
        <w:rPr>
          <w:rFonts w:ascii="Times New Roman" w:eastAsia="Calibri" w:hAnsi="Times New Roman" w:cs="Times New Roman"/>
          <w:sz w:val="26"/>
          <w:szCs w:val="26"/>
        </w:rPr>
        <w:t>March</w:t>
      </w:r>
      <w:r w:rsidR="005C7472" w:rsidRPr="001B7EB1">
        <w:rPr>
          <w:rFonts w:ascii="Times New Roman" w:eastAsia="Calibri" w:hAnsi="Times New Roman" w:cs="Times New Roman"/>
          <w:sz w:val="26"/>
          <w:szCs w:val="26"/>
        </w:rPr>
        <w:t xml:space="preserve"> </w:t>
      </w:r>
      <w:r w:rsidR="005C7472">
        <w:rPr>
          <w:rFonts w:ascii="Times New Roman" w:eastAsia="Calibri" w:hAnsi="Times New Roman" w:cs="Times New Roman"/>
          <w:sz w:val="26"/>
          <w:szCs w:val="26"/>
        </w:rPr>
        <w:t>20</w:t>
      </w:r>
      <w:r w:rsidR="001B7EB1" w:rsidRPr="001B7EB1">
        <w:rPr>
          <w:rFonts w:ascii="Times New Roman" w:eastAsia="Calibri" w:hAnsi="Times New Roman" w:cs="Times New Roman"/>
          <w:sz w:val="26"/>
          <w:szCs w:val="26"/>
        </w:rPr>
        <w:t>, 201</w:t>
      </w:r>
      <w:r w:rsidR="005C7472">
        <w:rPr>
          <w:rFonts w:ascii="Times New Roman" w:eastAsia="Calibri" w:hAnsi="Times New Roman" w:cs="Times New Roman"/>
          <w:sz w:val="26"/>
          <w:szCs w:val="26"/>
        </w:rPr>
        <w:t>7</w:t>
      </w:r>
      <w:r w:rsidR="001B7EB1" w:rsidRPr="001B7EB1">
        <w:rPr>
          <w:rFonts w:ascii="Times New Roman" w:eastAsia="Calibri" w:hAnsi="Times New Roman" w:cs="Times New Roman"/>
          <w:sz w:val="26"/>
          <w:szCs w:val="26"/>
        </w:rPr>
        <w:t xml:space="preserve">, with interventions, comments and protests due on or before </w:t>
      </w:r>
      <w:r w:rsidR="005C7472">
        <w:rPr>
          <w:rFonts w:ascii="Times New Roman" w:eastAsia="Calibri" w:hAnsi="Times New Roman" w:cs="Times New Roman"/>
          <w:sz w:val="26"/>
          <w:szCs w:val="26"/>
        </w:rPr>
        <w:t>April</w:t>
      </w:r>
      <w:r w:rsidR="005C7472" w:rsidRPr="001B7EB1">
        <w:rPr>
          <w:rFonts w:ascii="Times New Roman" w:eastAsia="Calibri" w:hAnsi="Times New Roman" w:cs="Times New Roman"/>
          <w:sz w:val="26"/>
          <w:szCs w:val="26"/>
        </w:rPr>
        <w:t xml:space="preserve"> </w:t>
      </w:r>
      <w:r w:rsidR="005C7472">
        <w:rPr>
          <w:rFonts w:ascii="Times New Roman" w:eastAsia="Calibri" w:hAnsi="Times New Roman" w:cs="Times New Roman"/>
          <w:sz w:val="26"/>
          <w:szCs w:val="26"/>
        </w:rPr>
        <w:t>19</w:t>
      </w:r>
      <w:r w:rsidR="001B7EB1" w:rsidRPr="001B7EB1">
        <w:rPr>
          <w:rFonts w:ascii="Times New Roman" w:eastAsia="Calibri" w:hAnsi="Times New Roman" w:cs="Times New Roman"/>
          <w:sz w:val="26"/>
          <w:szCs w:val="26"/>
        </w:rPr>
        <w:t>, 201</w:t>
      </w:r>
      <w:r w:rsidR="005C7472">
        <w:rPr>
          <w:rFonts w:ascii="Times New Roman" w:eastAsia="Calibri" w:hAnsi="Times New Roman" w:cs="Times New Roman"/>
          <w:sz w:val="26"/>
          <w:szCs w:val="26"/>
        </w:rPr>
        <w:t>7</w:t>
      </w:r>
      <w:r w:rsidR="001B7EB1" w:rsidRPr="001B7EB1">
        <w:rPr>
          <w:rFonts w:ascii="Times New Roman" w:eastAsia="Calibri" w:hAnsi="Times New Roman" w:cs="Times New Roman"/>
          <w:sz w:val="26"/>
          <w:szCs w:val="26"/>
        </w:rPr>
        <w:t xml:space="preserve">.  No </w:t>
      </w:r>
      <w:r w:rsidR="000C541C">
        <w:rPr>
          <w:rFonts w:ascii="Times New Roman" w:eastAsia="Calibri" w:hAnsi="Times New Roman" w:cs="Times New Roman"/>
          <w:sz w:val="26"/>
          <w:szCs w:val="26"/>
        </w:rPr>
        <w:t xml:space="preserve">interventions, </w:t>
      </w:r>
      <w:r w:rsidR="001B7EB1" w:rsidRPr="001B7EB1">
        <w:rPr>
          <w:rFonts w:ascii="Times New Roman" w:eastAsia="Calibri" w:hAnsi="Times New Roman" w:cs="Times New Roman"/>
          <w:sz w:val="26"/>
          <w:szCs w:val="26"/>
        </w:rPr>
        <w:t>comments or protests were received</w:t>
      </w:r>
      <w:r w:rsidR="000C541C">
        <w:rPr>
          <w:rFonts w:ascii="Times New Roman" w:hAnsi="Times New Roman" w:cs="Times New Roman"/>
          <w:sz w:val="26"/>
          <w:szCs w:val="26"/>
        </w:rPr>
        <w:t>.</w:t>
      </w:r>
      <w:r>
        <w:rPr>
          <w:rFonts w:ascii="Times New Roman" w:hAnsi="Times New Roman" w:cs="Times New Roman"/>
          <w:sz w:val="26"/>
          <w:szCs w:val="26"/>
        </w:rPr>
        <w:t xml:space="preserve">   </w:t>
      </w:r>
    </w:p>
    <w:p w14:paraId="4DD84A6C" w14:textId="77777777" w:rsidR="00E50C01" w:rsidRDefault="00E50C01" w:rsidP="00B13EC2">
      <w:pPr>
        <w:spacing w:after="0" w:line="240" w:lineRule="auto"/>
        <w:rPr>
          <w:rFonts w:ascii="Times New Roman" w:hAnsi="Times New Roman" w:cs="Times New Roman"/>
          <w:sz w:val="26"/>
          <w:szCs w:val="26"/>
        </w:rPr>
      </w:pPr>
    </w:p>
    <w:p w14:paraId="7DAC0140" w14:textId="77777777" w:rsidR="00F269FA" w:rsidRDefault="00F269FA" w:rsidP="00F269FA">
      <w:pPr>
        <w:spacing w:after="0" w:line="240" w:lineRule="auto"/>
        <w:ind w:firstLine="720"/>
        <w:rPr>
          <w:rFonts w:ascii="Times New Roman" w:hAnsi="Times New Roman" w:cs="Times New Roman"/>
          <w:sz w:val="26"/>
          <w:szCs w:val="26"/>
        </w:rPr>
      </w:pPr>
      <w:r w:rsidRPr="00F269FA">
        <w:rPr>
          <w:rFonts w:ascii="Times New Roman" w:hAnsi="Times New Roman" w:cs="Times New Roman"/>
          <w:sz w:val="26"/>
          <w:szCs w:val="26"/>
        </w:rPr>
        <w:t xml:space="preserve">NERC’s uncontested petition is hereby approved pursuant to the relevant authority delegated to the Director, Office of Electric Reliability under 18 C.F.R. § 375.303 (2016), effective as of the date of this order. </w:t>
      </w:r>
    </w:p>
    <w:p w14:paraId="4AB8E34B" w14:textId="77777777" w:rsidR="00F269FA" w:rsidRPr="00F269FA" w:rsidRDefault="00F269FA" w:rsidP="00F269FA">
      <w:pPr>
        <w:spacing w:after="0" w:line="240" w:lineRule="auto"/>
        <w:ind w:firstLine="720"/>
        <w:rPr>
          <w:rFonts w:ascii="Times New Roman" w:hAnsi="Times New Roman" w:cs="Times New Roman"/>
          <w:sz w:val="26"/>
          <w:szCs w:val="26"/>
        </w:rPr>
      </w:pPr>
    </w:p>
    <w:p w14:paraId="31F49594" w14:textId="77777777" w:rsidR="00F269FA" w:rsidRDefault="00F269FA" w:rsidP="00F269FA">
      <w:pPr>
        <w:spacing w:after="0" w:line="240" w:lineRule="auto"/>
        <w:ind w:firstLine="720"/>
        <w:rPr>
          <w:rFonts w:ascii="Times New Roman" w:hAnsi="Times New Roman" w:cs="Times New Roman"/>
          <w:sz w:val="26"/>
          <w:szCs w:val="26"/>
        </w:rPr>
      </w:pPr>
      <w:r w:rsidRPr="00F269FA">
        <w:rPr>
          <w:rFonts w:ascii="Times New Roman" w:hAnsi="Times New Roman" w:cs="Times New Roman"/>
          <w:sz w:val="26"/>
          <w:szCs w:val="26"/>
        </w:rPr>
        <w:t>This action shall not be construed as approving any other application, including proposed revisions of Electric Reliability Organization or Regional Entity rules or 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14:paraId="0F1B26BC" w14:textId="77777777" w:rsidR="00F269FA" w:rsidRPr="00F269FA" w:rsidRDefault="00F269FA" w:rsidP="00F269FA">
      <w:pPr>
        <w:spacing w:after="0" w:line="240" w:lineRule="auto"/>
        <w:ind w:firstLine="720"/>
        <w:rPr>
          <w:rFonts w:ascii="Times New Roman" w:hAnsi="Times New Roman" w:cs="Times New Roman"/>
          <w:sz w:val="26"/>
          <w:szCs w:val="26"/>
        </w:rPr>
      </w:pPr>
    </w:p>
    <w:p w14:paraId="4DF82B85" w14:textId="6231A845" w:rsidR="00B80835" w:rsidRDefault="00F269FA" w:rsidP="00B80835">
      <w:pPr>
        <w:spacing w:after="0" w:line="240" w:lineRule="auto"/>
        <w:rPr>
          <w:rFonts w:ascii="Times New Roman" w:hAnsi="Times New Roman" w:cs="Times New Roman"/>
          <w:sz w:val="26"/>
          <w:szCs w:val="26"/>
        </w:rPr>
      </w:pPr>
      <w:r w:rsidRPr="00F269FA">
        <w:rPr>
          <w:rFonts w:ascii="Times New Roman" w:hAnsi="Times New Roman" w:cs="Times New Roman"/>
          <w:sz w:val="26"/>
          <w:szCs w:val="26"/>
        </w:rPr>
        <w:tab/>
        <w:t xml:space="preserve">This order constitutes final agency action.  Requests for rehearing by the Commission may be filed within 30 days of the date of issuance of this order, pursuant to 18 C.F.R. § 385.713 (2016). </w:t>
      </w:r>
    </w:p>
    <w:p w14:paraId="44AA740B" w14:textId="77777777" w:rsidR="00B13EC2" w:rsidRDefault="00B13EC2" w:rsidP="00B80835">
      <w:pPr>
        <w:spacing w:after="0" w:line="240" w:lineRule="auto"/>
        <w:rPr>
          <w:rFonts w:ascii="Times New Roman" w:hAnsi="Times New Roman" w:cs="Times New Roman"/>
          <w:sz w:val="26"/>
          <w:szCs w:val="26"/>
        </w:rPr>
      </w:pPr>
    </w:p>
    <w:p w14:paraId="047D7923" w14:textId="77777777" w:rsidR="00091023" w:rsidRPr="00B80835" w:rsidRDefault="00091023" w:rsidP="00B80835">
      <w:pPr>
        <w:spacing w:after="0" w:line="240" w:lineRule="auto"/>
        <w:rPr>
          <w:rFonts w:ascii="Times New Roman" w:hAnsi="Times New Roman" w:cs="Times New Roman"/>
          <w:sz w:val="26"/>
          <w:szCs w:val="26"/>
        </w:rPr>
      </w:pPr>
    </w:p>
    <w:p w14:paraId="5A32A4F5" w14:textId="77777777" w:rsidR="00B80835" w:rsidRPr="00B80835" w:rsidRDefault="00B80835" w:rsidP="00B80835">
      <w:pPr>
        <w:spacing w:after="0" w:line="240" w:lineRule="auto"/>
        <w:rPr>
          <w:rFonts w:ascii="Times New Roman" w:hAnsi="Times New Roman" w:cs="Times New Roman"/>
          <w:sz w:val="26"/>
          <w:szCs w:val="26"/>
        </w:rPr>
      </w:pP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t>Sincerely,</w:t>
      </w:r>
    </w:p>
    <w:p w14:paraId="63EF3879" w14:textId="77777777" w:rsidR="00B80835" w:rsidRPr="00B80835" w:rsidRDefault="00B80835" w:rsidP="00B80835">
      <w:pPr>
        <w:spacing w:after="0" w:line="240" w:lineRule="auto"/>
        <w:rPr>
          <w:rFonts w:ascii="Times New Roman" w:hAnsi="Times New Roman" w:cs="Times New Roman"/>
          <w:sz w:val="26"/>
          <w:szCs w:val="26"/>
        </w:rPr>
      </w:pPr>
    </w:p>
    <w:p w14:paraId="6B566241" w14:textId="77777777" w:rsidR="00B80835" w:rsidRPr="00B80835" w:rsidRDefault="00B80835" w:rsidP="00B80835">
      <w:pPr>
        <w:spacing w:after="0" w:line="240" w:lineRule="auto"/>
        <w:rPr>
          <w:rFonts w:ascii="Times New Roman" w:hAnsi="Times New Roman" w:cs="Times New Roman"/>
          <w:sz w:val="26"/>
          <w:szCs w:val="26"/>
        </w:rPr>
      </w:pPr>
    </w:p>
    <w:p w14:paraId="6C0451D2" w14:textId="77777777" w:rsidR="00B80835" w:rsidRPr="00B80835" w:rsidRDefault="00B80835" w:rsidP="00B80835">
      <w:pPr>
        <w:spacing w:after="0" w:line="240" w:lineRule="auto"/>
        <w:outlineLvl w:val="0"/>
        <w:rPr>
          <w:rFonts w:ascii="Times New Roman" w:hAnsi="Times New Roman" w:cs="Times New Roman"/>
          <w:sz w:val="26"/>
          <w:szCs w:val="26"/>
        </w:rPr>
      </w:pP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00B13EC2">
        <w:rPr>
          <w:rFonts w:ascii="Times New Roman" w:hAnsi="Times New Roman" w:cs="Times New Roman"/>
          <w:sz w:val="26"/>
          <w:szCs w:val="26"/>
        </w:rPr>
        <w:t>Michael Bardee</w:t>
      </w:r>
      <w:r w:rsidRPr="00B80835">
        <w:rPr>
          <w:rFonts w:ascii="Times New Roman" w:hAnsi="Times New Roman" w:cs="Times New Roman"/>
          <w:sz w:val="26"/>
          <w:szCs w:val="26"/>
        </w:rPr>
        <w:t>, Director</w:t>
      </w:r>
    </w:p>
    <w:p w14:paraId="7CC3C904" w14:textId="77777777" w:rsidR="00B80835" w:rsidRPr="00B80835" w:rsidRDefault="00B80835" w:rsidP="00B80835">
      <w:pPr>
        <w:spacing w:after="0" w:line="240" w:lineRule="auto"/>
        <w:rPr>
          <w:rFonts w:ascii="Times New Roman" w:hAnsi="Times New Roman" w:cs="Times New Roman"/>
          <w:sz w:val="26"/>
          <w:szCs w:val="26"/>
        </w:rPr>
      </w:pP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t>Office of Electric Reliability</w:t>
      </w:r>
    </w:p>
    <w:p w14:paraId="7E0395A9" w14:textId="77777777" w:rsidR="00B80835" w:rsidRPr="00B80835" w:rsidRDefault="00B80835" w:rsidP="00B80835">
      <w:pPr>
        <w:spacing w:after="0" w:line="240" w:lineRule="auto"/>
        <w:rPr>
          <w:rFonts w:ascii="Times New Roman" w:hAnsi="Times New Roman" w:cs="Times New Roman"/>
          <w:sz w:val="26"/>
          <w:szCs w:val="26"/>
        </w:rPr>
      </w:pPr>
    </w:p>
    <w:sectPr w:rsidR="00B80835" w:rsidRPr="00B80835" w:rsidSect="0030709C">
      <w:headerReference w:type="default" r:id="rId11"/>
      <w:footnotePr>
        <w:numRestart w:val="eachSect"/>
      </w:footnotePr>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54492" w14:textId="77777777" w:rsidR="005242B9" w:rsidRDefault="005242B9" w:rsidP="00B80835">
      <w:pPr>
        <w:spacing w:after="0" w:line="240" w:lineRule="auto"/>
      </w:pPr>
      <w:r>
        <w:separator/>
      </w:r>
    </w:p>
  </w:endnote>
  <w:endnote w:type="continuationSeparator" w:id="0">
    <w:p w14:paraId="15F7A5CE" w14:textId="77777777" w:rsidR="005242B9" w:rsidRDefault="005242B9" w:rsidP="00B8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999EC" w14:textId="77777777" w:rsidR="005242B9" w:rsidRDefault="005242B9" w:rsidP="00B80835">
      <w:pPr>
        <w:spacing w:after="0" w:line="240" w:lineRule="auto"/>
      </w:pPr>
      <w:r>
        <w:separator/>
      </w:r>
    </w:p>
  </w:footnote>
  <w:footnote w:type="continuationSeparator" w:id="0">
    <w:p w14:paraId="33B8FB2B" w14:textId="77777777" w:rsidR="005242B9" w:rsidRDefault="005242B9" w:rsidP="00B80835">
      <w:pPr>
        <w:spacing w:after="0" w:line="240" w:lineRule="auto"/>
      </w:pPr>
      <w:r>
        <w:continuationSeparator/>
      </w:r>
    </w:p>
  </w:footnote>
  <w:footnote w:id="1">
    <w:p w14:paraId="38F62D71" w14:textId="0CB1A978" w:rsidR="00D36DD9" w:rsidRPr="002A4C35" w:rsidRDefault="00D36DD9" w:rsidP="000C541C">
      <w:pPr>
        <w:pStyle w:val="FootnoteText"/>
        <w:ind w:firstLine="720"/>
        <w:rPr>
          <w:sz w:val="26"/>
          <w:szCs w:val="26"/>
        </w:rPr>
      </w:pPr>
      <w:r w:rsidRPr="00B7022F">
        <w:rPr>
          <w:rStyle w:val="FootnoteReference"/>
        </w:rPr>
        <w:footnoteRef/>
      </w:r>
      <w:r w:rsidRPr="002A4C35">
        <w:rPr>
          <w:sz w:val="26"/>
          <w:szCs w:val="26"/>
        </w:rPr>
        <w:t xml:space="preserve"> </w:t>
      </w:r>
      <w:r w:rsidR="000C541C">
        <w:rPr>
          <w:sz w:val="26"/>
          <w:szCs w:val="26"/>
        </w:rPr>
        <w:t>Petition at</w:t>
      </w:r>
      <w:r w:rsidRPr="002A4C35">
        <w:rPr>
          <w:sz w:val="26"/>
          <w:szCs w:val="26"/>
        </w:rPr>
        <w:t xml:space="preserve"> </w:t>
      </w:r>
      <w:r w:rsidR="005C7472">
        <w:rPr>
          <w:sz w:val="26"/>
          <w:szCs w:val="26"/>
        </w:rPr>
        <w:t>1</w:t>
      </w:r>
      <w:r w:rsidRPr="002A4C35">
        <w:rPr>
          <w:sz w:val="26"/>
          <w:szCs w:val="26"/>
        </w:rPr>
        <w:t xml:space="preserve">. </w:t>
      </w:r>
    </w:p>
  </w:footnote>
  <w:footnote w:id="2">
    <w:p w14:paraId="4B6B6A54" w14:textId="3A079882" w:rsidR="000C541C" w:rsidRDefault="000C541C" w:rsidP="000C541C">
      <w:pPr>
        <w:pStyle w:val="FootnoteText"/>
        <w:ind w:firstLine="720"/>
      </w:pPr>
      <w:r>
        <w:rPr>
          <w:rStyle w:val="FootnoteReference"/>
        </w:rPr>
        <w:footnoteRef/>
      </w:r>
      <w:r>
        <w:t xml:space="preserve"> </w:t>
      </w:r>
      <w:r w:rsidRPr="00562B5E">
        <w:rPr>
          <w:i/>
          <w:sz w:val="26"/>
          <w:szCs w:val="26"/>
        </w:rPr>
        <w:t>Id.</w:t>
      </w:r>
      <w:r w:rsidRPr="00562B5E">
        <w:rPr>
          <w:sz w:val="26"/>
          <w:szCs w:val="26"/>
        </w:rPr>
        <w:t xml:space="preserve">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F09A2" w14:textId="28AD5184" w:rsidR="004D138A" w:rsidRPr="003D34AC" w:rsidRDefault="0000784A" w:rsidP="00290663">
    <w:pPr>
      <w:pStyle w:val="Header"/>
      <w:tabs>
        <w:tab w:val="clear" w:pos="8640"/>
        <w:tab w:val="right" w:pos="9360"/>
      </w:tabs>
      <w:rPr>
        <w:sz w:val="26"/>
        <w:szCs w:val="26"/>
        <w:lang w:val="de-DE"/>
      </w:rPr>
    </w:pPr>
    <w:r w:rsidRPr="003D34AC">
      <w:rPr>
        <w:sz w:val="26"/>
        <w:szCs w:val="26"/>
        <w:lang w:val="de-DE"/>
      </w:rPr>
      <w:t xml:space="preserve">Docket No. </w:t>
    </w:r>
    <w:r w:rsidR="00E50C01">
      <w:rPr>
        <w:sz w:val="26"/>
        <w:szCs w:val="26"/>
        <w:lang w:val="de-DE"/>
      </w:rPr>
      <w:t>RD17</w:t>
    </w:r>
    <w:r>
      <w:rPr>
        <w:sz w:val="26"/>
        <w:szCs w:val="26"/>
        <w:lang w:val="de-DE"/>
      </w:rPr>
      <w:t>-</w:t>
    </w:r>
    <w:r w:rsidR="000C541C">
      <w:rPr>
        <w:sz w:val="26"/>
        <w:szCs w:val="26"/>
        <w:lang w:val="de-DE"/>
      </w:rPr>
      <w:t>5</w:t>
    </w:r>
    <w:r>
      <w:rPr>
        <w:sz w:val="26"/>
        <w:szCs w:val="26"/>
        <w:lang w:val="de-DE"/>
      </w:rPr>
      <w:t>-000</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0C31E0">
      <w:rPr>
        <w:noProof/>
        <w:sz w:val="26"/>
        <w:szCs w:val="26"/>
        <w:lang w:val="de-DE"/>
      </w:rPr>
      <w:t>2</w:t>
    </w:r>
    <w:r>
      <w:rPr>
        <w:sz w:val="26"/>
        <w:szCs w:val="26"/>
      </w:rPr>
      <w:fldChar w:fldCharType="end"/>
    </w:r>
  </w:p>
  <w:p w14:paraId="5DC16AA2" w14:textId="77777777" w:rsidR="004D138A" w:rsidRPr="0071572B" w:rsidRDefault="000C31E0" w:rsidP="00290663">
    <w:pPr>
      <w:pStyle w:val="Header"/>
      <w:tabs>
        <w:tab w:val="clear" w:pos="8640"/>
        <w:tab w:val="right" w:pos="9360"/>
      </w:tabs>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35"/>
    <w:rsid w:val="0000784A"/>
    <w:rsid w:val="00091023"/>
    <w:rsid w:val="000C31E0"/>
    <w:rsid w:val="000C541C"/>
    <w:rsid w:val="00135415"/>
    <w:rsid w:val="0013596F"/>
    <w:rsid w:val="00142BF7"/>
    <w:rsid w:val="00174CE4"/>
    <w:rsid w:val="001A675F"/>
    <w:rsid w:val="001B6475"/>
    <w:rsid w:val="001B7EB1"/>
    <w:rsid w:val="002A4C35"/>
    <w:rsid w:val="002F1E95"/>
    <w:rsid w:val="00350CD2"/>
    <w:rsid w:val="00360562"/>
    <w:rsid w:val="00431D2F"/>
    <w:rsid w:val="004408E5"/>
    <w:rsid w:val="00470B90"/>
    <w:rsid w:val="004B2C8F"/>
    <w:rsid w:val="005242B9"/>
    <w:rsid w:val="00562B5E"/>
    <w:rsid w:val="005C7472"/>
    <w:rsid w:val="0069116F"/>
    <w:rsid w:val="006A4F84"/>
    <w:rsid w:val="006E68B3"/>
    <w:rsid w:val="00700AC7"/>
    <w:rsid w:val="007A1AF6"/>
    <w:rsid w:val="00812309"/>
    <w:rsid w:val="008631C8"/>
    <w:rsid w:val="009A1972"/>
    <w:rsid w:val="00A5583D"/>
    <w:rsid w:val="00B0651B"/>
    <w:rsid w:val="00B13EC2"/>
    <w:rsid w:val="00B7022F"/>
    <w:rsid w:val="00B80835"/>
    <w:rsid w:val="00BA39AC"/>
    <w:rsid w:val="00BD3F04"/>
    <w:rsid w:val="00BD53E7"/>
    <w:rsid w:val="00CB3DB1"/>
    <w:rsid w:val="00D36DD9"/>
    <w:rsid w:val="00DD3A32"/>
    <w:rsid w:val="00E50C01"/>
    <w:rsid w:val="00E5703E"/>
    <w:rsid w:val="00E666CC"/>
    <w:rsid w:val="00F04264"/>
    <w:rsid w:val="00F2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808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80835"/>
    <w:rPr>
      <w:rFonts w:ascii="Times New Roman" w:eastAsia="Times New Roman" w:hAnsi="Times New Roman" w:cs="Times New Roman"/>
      <w:sz w:val="20"/>
      <w:szCs w:val="20"/>
    </w:rPr>
  </w:style>
  <w:style w:type="character" w:styleId="FootnoteReference">
    <w:name w:val="footnote reference"/>
    <w:rsid w:val="00B80835"/>
    <w:rPr>
      <w:rFonts w:ascii="Times New Roman" w:hAnsi="Times New Roman"/>
      <w:b/>
      <w:sz w:val="26"/>
      <w:szCs w:val="26"/>
      <w:vertAlign w:val="superscript"/>
    </w:rPr>
  </w:style>
  <w:style w:type="paragraph" w:styleId="Header">
    <w:name w:val="header"/>
    <w:basedOn w:val="Normal"/>
    <w:link w:val="HeaderChar"/>
    <w:rsid w:val="00B8083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80835"/>
    <w:rPr>
      <w:rFonts w:ascii="Times New Roman" w:eastAsia="Times New Roman" w:hAnsi="Times New Roman" w:cs="Times New Roman"/>
      <w:sz w:val="24"/>
      <w:szCs w:val="24"/>
    </w:rPr>
  </w:style>
  <w:style w:type="paragraph" w:customStyle="1" w:styleId="Default">
    <w:name w:val="Default"/>
    <w:rsid w:val="00B808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36DD9"/>
    <w:rPr>
      <w:sz w:val="16"/>
      <w:szCs w:val="16"/>
    </w:rPr>
  </w:style>
  <w:style w:type="paragraph" w:styleId="CommentText">
    <w:name w:val="annotation text"/>
    <w:basedOn w:val="Normal"/>
    <w:link w:val="CommentTextChar"/>
    <w:uiPriority w:val="99"/>
    <w:semiHidden/>
    <w:unhideWhenUsed/>
    <w:rsid w:val="00D36DD9"/>
    <w:pPr>
      <w:spacing w:line="240" w:lineRule="auto"/>
    </w:pPr>
    <w:rPr>
      <w:sz w:val="20"/>
      <w:szCs w:val="20"/>
    </w:rPr>
  </w:style>
  <w:style w:type="character" w:customStyle="1" w:styleId="CommentTextChar">
    <w:name w:val="Comment Text Char"/>
    <w:basedOn w:val="DefaultParagraphFont"/>
    <w:link w:val="CommentText"/>
    <w:uiPriority w:val="99"/>
    <w:semiHidden/>
    <w:rsid w:val="00D36DD9"/>
    <w:rPr>
      <w:sz w:val="20"/>
      <w:szCs w:val="20"/>
    </w:rPr>
  </w:style>
  <w:style w:type="paragraph" w:styleId="CommentSubject">
    <w:name w:val="annotation subject"/>
    <w:basedOn w:val="CommentText"/>
    <w:next w:val="CommentText"/>
    <w:link w:val="CommentSubjectChar"/>
    <w:uiPriority w:val="99"/>
    <w:semiHidden/>
    <w:unhideWhenUsed/>
    <w:rsid w:val="00D36DD9"/>
    <w:rPr>
      <w:b/>
      <w:bCs/>
    </w:rPr>
  </w:style>
  <w:style w:type="character" w:customStyle="1" w:styleId="CommentSubjectChar">
    <w:name w:val="Comment Subject Char"/>
    <w:basedOn w:val="CommentTextChar"/>
    <w:link w:val="CommentSubject"/>
    <w:uiPriority w:val="99"/>
    <w:semiHidden/>
    <w:rsid w:val="00D36DD9"/>
    <w:rPr>
      <w:b/>
      <w:bCs/>
      <w:sz w:val="20"/>
      <w:szCs w:val="20"/>
    </w:rPr>
  </w:style>
  <w:style w:type="paragraph" w:styleId="BalloonText">
    <w:name w:val="Balloon Text"/>
    <w:basedOn w:val="Normal"/>
    <w:link w:val="BalloonTextChar"/>
    <w:uiPriority w:val="99"/>
    <w:semiHidden/>
    <w:unhideWhenUsed/>
    <w:rsid w:val="00D3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D9"/>
    <w:rPr>
      <w:rFonts w:ascii="Segoe UI" w:hAnsi="Segoe UI" w:cs="Segoe UI"/>
      <w:sz w:val="18"/>
      <w:szCs w:val="18"/>
    </w:rPr>
  </w:style>
  <w:style w:type="paragraph" w:styleId="Footer">
    <w:name w:val="footer"/>
    <w:basedOn w:val="Normal"/>
    <w:link w:val="FooterChar"/>
    <w:uiPriority w:val="99"/>
    <w:unhideWhenUsed/>
    <w:rsid w:val="00E5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808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80835"/>
    <w:rPr>
      <w:rFonts w:ascii="Times New Roman" w:eastAsia="Times New Roman" w:hAnsi="Times New Roman" w:cs="Times New Roman"/>
      <w:sz w:val="20"/>
      <w:szCs w:val="20"/>
    </w:rPr>
  </w:style>
  <w:style w:type="character" w:styleId="FootnoteReference">
    <w:name w:val="footnote reference"/>
    <w:rsid w:val="00B80835"/>
    <w:rPr>
      <w:rFonts w:ascii="Times New Roman" w:hAnsi="Times New Roman"/>
      <w:b/>
      <w:sz w:val="26"/>
      <w:szCs w:val="26"/>
      <w:vertAlign w:val="superscript"/>
    </w:rPr>
  </w:style>
  <w:style w:type="paragraph" w:styleId="Header">
    <w:name w:val="header"/>
    <w:basedOn w:val="Normal"/>
    <w:link w:val="HeaderChar"/>
    <w:rsid w:val="00B8083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80835"/>
    <w:rPr>
      <w:rFonts w:ascii="Times New Roman" w:eastAsia="Times New Roman" w:hAnsi="Times New Roman" w:cs="Times New Roman"/>
      <w:sz w:val="24"/>
      <w:szCs w:val="24"/>
    </w:rPr>
  </w:style>
  <w:style w:type="paragraph" w:customStyle="1" w:styleId="Default">
    <w:name w:val="Default"/>
    <w:rsid w:val="00B808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36DD9"/>
    <w:rPr>
      <w:sz w:val="16"/>
      <w:szCs w:val="16"/>
    </w:rPr>
  </w:style>
  <w:style w:type="paragraph" w:styleId="CommentText">
    <w:name w:val="annotation text"/>
    <w:basedOn w:val="Normal"/>
    <w:link w:val="CommentTextChar"/>
    <w:uiPriority w:val="99"/>
    <w:semiHidden/>
    <w:unhideWhenUsed/>
    <w:rsid w:val="00D36DD9"/>
    <w:pPr>
      <w:spacing w:line="240" w:lineRule="auto"/>
    </w:pPr>
    <w:rPr>
      <w:sz w:val="20"/>
      <w:szCs w:val="20"/>
    </w:rPr>
  </w:style>
  <w:style w:type="character" w:customStyle="1" w:styleId="CommentTextChar">
    <w:name w:val="Comment Text Char"/>
    <w:basedOn w:val="DefaultParagraphFont"/>
    <w:link w:val="CommentText"/>
    <w:uiPriority w:val="99"/>
    <w:semiHidden/>
    <w:rsid w:val="00D36DD9"/>
    <w:rPr>
      <w:sz w:val="20"/>
      <w:szCs w:val="20"/>
    </w:rPr>
  </w:style>
  <w:style w:type="paragraph" w:styleId="CommentSubject">
    <w:name w:val="annotation subject"/>
    <w:basedOn w:val="CommentText"/>
    <w:next w:val="CommentText"/>
    <w:link w:val="CommentSubjectChar"/>
    <w:uiPriority w:val="99"/>
    <w:semiHidden/>
    <w:unhideWhenUsed/>
    <w:rsid w:val="00D36DD9"/>
    <w:rPr>
      <w:b/>
      <w:bCs/>
    </w:rPr>
  </w:style>
  <w:style w:type="character" w:customStyle="1" w:styleId="CommentSubjectChar">
    <w:name w:val="Comment Subject Char"/>
    <w:basedOn w:val="CommentTextChar"/>
    <w:link w:val="CommentSubject"/>
    <w:uiPriority w:val="99"/>
    <w:semiHidden/>
    <w:rsid w:val="00D36DD9"/>
    <w:rPr>
      <w:b/>
      <w:bCs/>
      <w:sz w:val="20"/>
      <w:szCs w:val="20"/>
    </w:rPr>
  </w:style>
  <w:style w:type="paragraph" w:styleId="BalloonText">
    <w:name w:val="Balloon Text"/>
    <w:basedOn w:val="Normal"/>
    <w:link w:val="BalloonTextChar"/>
    <w:uiPriority w:val="99"/>
    <w:semiHidden/>
    <w:unhideWhenUsed/>
    <w:rsid w:val="00D3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D9"/>
    <w:rPr>
      <w:rFonts w:ascii="Segoe UI" w:hAnsi="Segoe UI" w:cs="Segoe UI"/>
      <w:sz w:val="18"/>
      <w:szCs w:val="18"/>
    </w:rPr>
  </w:style>
  <w:style w:type="paragraph" w:styleId="Footer">
    <w:name w:val="footer"/>
    <w:basedOn w:val="Normal"/>
    <w:link w:val="FooterChar"/>
    <w:uiPriority w:val="99"/>
    <w:unhideWhenUsed/>
    <w:rsid w:val="00E5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E6-B9F6-490E-9BF0-62245532BEAD}">
  <ds:schemaRefs>
    <ds:schemaRef ds:uri="http://schemas.microsoft.com/office/2006/metadata/properties"/>
  </ds:schemaRefs>
</ds:datastoreItem>
</file>

<file path=customXml/itemProps2.xml><?xml version="1.0" encoding="utf-8"?>
<ds:datastoreItem xmlns:ds="http://schemas.openxmlformats.org/officeDocument/2006/customXml" ds:itemID="{E448C5C1-309F-4965-A9DD-F156857B7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404849-C892-4DAC-B727-68177053DF61}">
  <ds:schemaRefs>
    <ds:schemaRef ds:uri="http://schemas.microsoft.com/sharepoint/v3/contenttype/forms"/>
  </ds:schemaRefs>
</ds:datastoreItem>
</file>

<file path=customXml/itemProps4.xml><?xml version="1.0" encoding="utf-8"?>
<ds:datastoreItem xmlns:ds="http://schemas.openxmlformats.org/officeDocument/2006/customXml" ds:itemID="{F00D7396-D6DD-4226-ABC2-4ECA458D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2017-08-30T16:01:00Z</dcterms:created>
  <dcterms:modified xsi:type="dcterms:W3CDTF">2017-08-30T16:01:00Z</dcterms:modified>
  <cp:category/>
  <dc:identifier/>
  <cp:contentStatus/>
  <cp:version/>
</cp:coreProperties>
</file>