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C4FAF" w14:textId="77777777" w:rsidR="001C75B2" w:rsidRPr="00EC4BC4" w:rsidRDefault="001C75B2" w:rsidP="008647BA">
      <w:pPr>
        <w:jc w:val="center"/>
      </w:pPr>
      <w:bookmarkStart w:id="0" w:name="_GoBack"/>
      <w:bookmarkEnd w:id="0"/>
      <w:smartTag w:uri="urn:schemas-microsoft-com:office:smarttags" w:element="country-region">
        <w:smartTag w:uri="urn:schemas-microsoft-com:office:smarttags" w:element="place">
          <w:r w:rsidRPr="00EC4BC4">
            <w:t>UNITED STATES OF AMERICA</w:t>
          </w:r>
        </w:smartTag>
      </w:smartTag>
    </w:p>
    <w:p w14:paraId="57E992A3" w14:textId="77777777" w:rsidR="001C75B2" w:rsidRPr="00EC4BC4" w:rsidRDefault="001C75B2" w:rsidP="008647BA">
      <w:pPr>
        <w:jc w:val="center"/>
      </w:pPr>
      <w:r w:rsidRPr="00EC4BC4">
        <w:t>FEDERAL ENERGY REGULATORY COMMISSION</w:t>
      </w:r>
    </w:p>
    <w:p w14:paraId="36AB5B8B" w14:textId="77777777" w:rsidR="001C75B2" w:rsidRPr="00EC4BC4" w:rsidRDefault="001C75B2" w:rsidP="001C75B2"/>
    <w:p w14:paraId="66E3C5A6" w14:textId="77777777" w:rsidR="001C75B2" w:rsidRPr="00EC4BC4" w:rsidRDefault="001C75B2" w:rsidP="008647BA">
      <w:pPr>
        <w:jc w:val="center"/>
      </w:pPr>
      <w:r w:rsidRPr="00EC4BC4">
        <w:t>[Docket No. IC</w:t>
      </w:r>
      <w:r w:rsidR="00EC4BC4" w:rsidRPr="00EC4BC4">
        <w:t>17</w:t>
      </w:r>
      <w:r w:rsidRPr="00EC4BC4">
        <w:t>-</w:t>
      </w:r>
      <w:r w:rsidR="00EC4BC4" w:rsidRPr="00EC4BC4">
        <w:t>11</w:t>
      </w:r>
      <w:r w:rsidRPr="00EC4BC4">
        <w:t>-00</w:t>
      </w:r>
      <w:r w:rsidR="00172C34" w:rsidRPr="00EC4BC4">
        <w:t>0</w:t>
      </w:r>
      <w:r w:rsidRPr="00EC4BC4">
        <w:t>]</w:t>
      </w:r>
    </w:p>
    <w:p w14:paraId="4B226F8F" w14:textId="77777777" w:rsidR="001C75B2" w:rsidRPr="00EC4BC4" w:rsidRDefault="001C75B2" w:rsidP="001C75B2"/>
    <w:p w14:paraId="031E9D44" w14:textId="77777777" w:rsidR="001C75B2" w:rsidRPr="00EC4BC4" w:rsidRDefault="001C75B2" w:rsidP="008024B2">
      <w:pPr>
        <w:jc w:val="center"/>
      </w:pPr>
      <w:r w:rsidRPr="00EC4BC4">
        <w:t>COMMISSION INFORMATION COLLECTION ACTIVITIES (FERC</w:t>
      </w:r>
      <w:r w:rsidR="00EC4BC4" w:rsidRPr="00EC4BC4">
        <w:t>-549B</w:t>
      </w:r>
      <w:r w:rsidR="008024B2" w:rsidRPr="00EC4BC4">
        <w:t>);</w:t>
      </w:r>
      <w:r w:rsidRPr="00EC4BC4">
        <w:t xml:space="preserve"> COMMENT REQUEST</w:t>
      </w:r>
      <w:r w:rsidR="00B2244D" w:rsidRPr="00EC4BC4">
        <w:t xml:space="preserve">  </w:t>
      </w:r>
    </w:p>
    <w:p w14:paraId="4883E4C9" w14:textId="77777777" w:rsidR="001C75B2" w:rsidRPr="00EC4BC4" w:rsidRDefault="001C75B2" w:rsidP="001C75B2"/>
    <w:p w14:paraId="48087F3D" w14:textId="559D2D38" w:rsidR="001C75B2" w:rsidRDefault="00AE6102" w:rsidP="00AE6102">
      <w:pPr>
        <w:jc w:val="center"/>
      </w:pPr>
      <w:r w:rsidRPr="00AE6102">
        <w:t>(July 25, 2017)</w:t>
      </w:r>
    </w:p>
    <w:p w14:paraId="09DC9696" w14:textId="77777777" w:rsidR="00AE6102" w:rsidRPr="00AE6102" w:rsidRDefault="00AE6102" w:rsidP="00AE6102"/>
    <w:p w14:paraId="09062F17" w14:textId="77777777" w:rsidR="001C75B2" w:rsidRDefault="008024B2" w:rsidP="00C0217E">
      <w:pPr>
        <w:spacing w:line="480" w:lineRule="auto"/>
      </w:pPr>
      <w:r w:rsidRPr="00C0217E">
        <w:rPr>
          <w:b/>
        </w:rPr>
        <w:t>AGENCY:</w:t>
      </w:r>
      <w:r>
        <w:t xml:space="preserve">  </w:t>
      </w:r>
      <w:r w:rsidR="001C75B2">
        <w:t>Federal Energy Regulatory Commission.</w:t>
      </w:r>
    </w:p>
    <w:p w14:paraId="4D49365C" w14:textId="77777777" w:rsidR="001C75B2" w:rsidRDefault="008024B2" w:rsidP="00C0217E">
      <w:pPr>
        <w:spacing w:line="480" w:lineRule="auto"/>
      </w:pPr>
      <w:r w:rsidRPr="00C0217E">
        <w:rPr>
          <w:b/>
        </w:rPr>
        <w:t>ACTION:</w:t>
      </w:r>
      <w:r>
        <w:t xml:space="preserve">  </w:t>
      </w:r>
      <w:r w:rsidR="00B87F46">
        <w:t>C</w:t>
      </w:r>
      <w:r w:rsidR="00E94542">
        <w:t>omment request.</w:t>
      </w:r>
    </w:p>
    <w:p w14:paraId="0CB73952" w14:textId="77777777" w:rsidR="001C75B2"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253DB">
        <w:t>,</w:t>
      </w:r>
      <w:r w:rsidR="000253DB" w:rsidRPr="000253DB">
        <w:rPr>
          <w:szCs w:val="26"/>
        </w:rPr>
        <w:t xml:space="preserve"> </w:t>
      </w:r>
      <w:r w:rsidR="001F0E50">
        <w:t>44 U</w:t>
      </w:r>
      <w:r w:rsidR="000253DB" w:rsidRPr="000253DB">
        <w:t>SC 3507</w:t>
      </w:r>
      <w:r w:rsidR="006F53CD">
        <w:t>(a)(1)(D)</w:t>
      </w:r>
      <w:r w:rsidR="00172C34">
        <w:t>,</w:t>
      </w:r>
      <w:r>
        <w:t xml:space="preserve"> 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EC4BC4">
        <w:t>FERC-549B (</w:t>
      </w:r>
      <w:r w:rsidR="00EC4BC4">
        <w:rPr>
          <w:szCs w:val="26"/>
        </w:rPr>
        <w:t>Gas Pipeline Rates: Capacity Reports and Index of Customers)</w:t>
      </w:r>
      <w:r w:rsidR="00CC2DF1">
        <w:t>]</w:t>
      </w:r>
      <w:r>
        <w:t xml:space="preserve"> to the Office of Management and Budget (OMB) for review of the information collection requirements.  Any interested person may file comments directly with OMB </w:t>
      </w:r>
      <w:r w:rsidRPr="00EC4BC4">
        <w:t xml:space="preserve">and should address a copy of those comments to the Commission as explained below.  The Commission </w:t>
      </w:r>
      <w:r w:rsidR="001F0E50" w:rsidRPr="00EC4BC4">
        <w:t xml:space="preserve">previously </w:t>
      </w:r>
      <w:r w:rsidRPr="00EC4BC4">
        <w:t>issued a Notice in the Federal Register (</w:t>
      </w:r>
      <w:r w:rsidR="00EC4BC4" w:rsidRPr="00EC4BC4">
        <w:t>82</w:t>
      </w:r>
      <w:r w:rsidR="00CC2DF1" w:rsidRPr="00EC4BC4">
        <w:t xml:space="preserve"> </w:t>
      </w:r>
      <w:r w:rsidRPr="00EC4BC4">
        <w:t xml:space="preserve">FR </w:t>
      </w:r>
      <w:r w:rsidR="00EC4BC4" w:rsidRPr="00EC4BC4">
        <w:t>18635</w:t>
      </w:r>
      <w:r w:rsidRPr="00EC4BC4">
        <w:t xml:space="preserve">, </w:t>
      </w:r>
      <w:r w:rsidR="00EC4BC4" w:rsidRPr="00EC4BC4">
        <w:t>4/20/2017</w:t>
      </w:r>
      <w:r w:rsidRPr="00EC4BC4">
        <w:t xml:space="preserve">) requesting public comments.  </w:t>
      </w:r>
      <w:r w:rsidR="001F0E50" w:rsidRPr="00EC4BC4">
        <w:t>The Commission</w:t>
      </w:r>
      <w:r w:rsidR="00EC4BC4" w:rsidRPr="00EC4BC4">
        <w:t xml:space="preserve"> received one comment</w:t>
      </w:r>
      <w:r w:rsidRPr="00EC4BC4">
        <w:t xml:space="preserve"> on the FERC</w:t>
      </w:r>
      <w:r w:rsidR="00EC4BC4" w:rsidRPr="00EC4BC4">
        <w:t>-549B</w:t>
      </w:r>
      <w:r w:rsidRPr="00EC4BC4">
        <w:t xml:space="preserve"> and </w:t>
      </w:r>
      <w:r w:rsidR="00172C34" w:rsidRPr="00EC4BC4">
        <w:t>is making</w:t>
      </w:r>
      <w:r w:rsidR="00B2244D" w:rsidRPr="00EC4BC4">
        <w:t xml:space="preserve"> this notation in its submittal</w:t>
      </w:r>
      <w:r w:rsidRPr="00EC4BC4">
        <w:t xml:space="preserve"> to OMB</w:t>
      </w:r>
      <w:r w:rsidR="00EC4BC4" w:rsidRPr="00EC4BC4">
        <w:t>.  The sole comment, however, does not pertain to this information collection and is immaterial to the renewal effort for the FERC-549B</w:t>
      </w:r>
      <w:r w:rsidR="00EC4BC4" w:rsidRPr="00EC4BC4">
        <w:rPr>
          <w:rStyle w:val="FootnoteReference"/>
        </w:rPr>
        <w:footnoteReference w:id="1"/>
      </w:r>
      <w:r w:rsidR="00EC4BC4" w:rsidRPr="00EC4BC4">
        <w:t>.</w:t>
      </w:r>
    </w:p>
    <w:p w14:paraId="6C1EC6B8" w14:textId="24B073ED" w:rsidR="001C75B2" w:rsidRDefault="001C75B2" w:rsidP="00C0217E">
      <w:pPr>
        <w:spacing w:line="480" w:lineRule="auto"/>
      </w:pPr>
      <w:r w:rsidRPr="00F04F4C">
        <w:rPr>
          <w:b/>
        </w:rPr>
        <w:t>DATES:</w:t>
      </w:r>
      <w:r w:rsidR="00EA3F0A">
        <w:rPr>
          <w:b/>
        </w:rPr>
        <w:t xml:space="preserve"> </w:t>
      </w:r>
      <w:r>
        <w:t xml:space="preserve"> Comments on the collection of information are due by [</w:t>
      </w:r>
      <w:r w:rsidR="00AE6102" w:rsidRPr="00AE6102">
        <w:rPr>
          <w:b/>
        </w:rPr>
        <w:t>Insert date that is</w:t>
      </w:r>
      <w:r w:rsidR="00AE6102">
        <w:t xml:space="preserve"> </w:t>
      </w:r>
      <w:r w:rsidRPr="009A4F6E">
        <w:rPr>
          <w:b/>
        </w:rPr>
        <w:t>30 days after publication of this Notice in the Federal Register</w:t>
      </w:r>
      <w:r>
        <w:t xml:space="preserve">].   </w:t>
      </w:r>
    </w:p>
    <w:p w14:paraId="73BA6911" w14:textId="77777777" w:rsidR="00121C3B" w:rsidRPr="00EC4BC4" w:rsidRDefault="001C75B2" w:rsidP="00B2244D">
      <w:pPr>
        <w:spacing w:line="480" w:lineRule="auto"/>
      </w:pPr>
      <w:r w:rsidRPr="00EC4BC4">
        <w:rPr>
          <w:b/>
        </w:rPr>
        <w:lastRenderedPageBreak/>
        <w:t>ADDRESSES:</w:t>
      </w:r>
      <w:r w:rsidRPr="00EC4BC4">
        <w:t xml:space="preserve"> </w:t>
      </w:r>
      <w:r w:rsidR="00EA3F0A" w:rsidRPr="00EC4BC4">
        <w:t xml:space="preserve"> </w:t>
      </w:r>
      <w:r w:rsidR="00EA4BD0" w:rsidRPr="00EC4BC4">
        <w:t xml:space="preserve">Comments </w:t>
      </w:r>
      <w:r w:rsidR="00121C3B" w:rsidRPr="00EC4BC4">
        <w:t>filed with OMB</w:t>
      </w:r>
      <w:r w:rsidR="00EA4BD0" w:rsidRPr="00EC4BC4">
        <w:t xml:space="preserve">, </w:t>
      </w:r>
      <w:r w:rsidR="00121C3B" w:rsidRPr="00EC4BC4">
        <w:t xml:space="preserve">identified by the OMB Control No. </w:t>
      </w:r>
      <w:r w:rsidR="00EC4BC4" w:rsidRPr="00EC4BC4">
        <w:t>1902-0169</w:t>
      </w:r>
      <w:r w:rsidR="00EA4BD0" w:rsidRPr="00EC4BC4">
        <w:t>,</w:t>
      </w:r>
      <w:r w:rsidR="00121C3B" w:rsidRPr="00EC4BC4">
        <w:t xml:space="preserve"> </w:t>
      </w:r>
      <w:r w:rsidR="00157960" w:rsidRPr="00EC4BC4">
        <w:t>should</w:t>
      </w:r>
      <w:r w:rsidR="00EA4BD0" w:rsidRPr="00EC4BC4">
        <w:t xml:space="preserve"> be sent via email</w:t>
      </w:r>
      <w:r w:rsidR="00644093" w:rsidRPr="00EC4BC4">
        <w:t xml:space="preserve"> to the Office of Information and Regulatory Affairs</w:t>
      </w:r>
      <w:r w:rsidR="006615E1" w:rsidRPr="00EC4BC4">
        <w:t xml:space="preserve">: </w:t>
      </w:r>
      <w:hyperlink r:id="rId14" w:history="1">
        <w:r w:rsidR="006615E1" w:rsidRPr="00EC4BC4">
          <w:rPr>
            <w:rStyle w:val="Hyperlink"/>
          </w:rPr>
          <w:t>oira_submission@omb.gov</w:t>
        </w:r>
      </w:hyperlink>
      <w:r w:rsidR="006615E1" w:rsidRPr="00EC4BC4">
        <w:t>.  Attention: Federal Energy Regulatory Commission Desk Officer.</w:t>
      </w:r>
      <w:r w:rsidR="00775D65" w:rsidRPr="00EC4BC4">
        <w:t xml:space="preserve">  The Desk Officer may also be reach</w:t>
      </w:r>
      <w:r w:rsidR="00A5656C">
        <w:t>ed via telephone at 202-395-0710</w:t>
      </w:r>
      <w:r w:rsidR="00B2244D" w:rsidRPr="00EC4BC4">
        <w:t>.</w:t>
      </w:r>
    </w:p>
    <w:p w14:paraId="515DA47D" w14:textId="77777777" w:rsidR="00775D65" w:rsidRDefault="00095258" w:rsidP="00775D65">
      <w:pPr>
        <w:spacing w:line="480" w:lineRule="auto"/>
        <w:ind w:firstLine="720"/>
      </w:pPr>
      <w:r w:rsidRPr="00EC4BC4">
        <w:t>A copy of the comments should also be sent to the Commission</w:t>
      </w:r>
      <w:r w:rsidR="003178F3" w:rsidRPr="00EC4BC4">
        <w:t xml:space="preserve">, </w:t>
      </w:r>
      <w:r w:rsidR="001F0E50" w:rsidRPr="00EC4BC4">
        <w:t>in</w:t>
      </w:r>
      <w:r w:rsidR="003178F3" w:rsidRPr="00EC4BC4">
        <w:t xml:space="preserve"> </w:t>
      </w:r>
      <w:r w:rsidR="00172C34" w:rsidRPr="00EC4BC4">
        <w:t>D</w:t>
      </w:r>
      <w:r w:rsidR="003178F3" w:rsidRPr="00EC4BC4">
        <w:t xml:space="preserve">ocket </w:t>
      </w:r>
      <w:r w:rsidR="00172C34" w:rsidRPr="00EC4BC4">
        <w:t>N</w:t>
      </w:r>
      <w:r w:rsidR="003178F3" w:rsidRPr="00EC4BC4">
        <w:t xml:space="preserve">o. </w:t>
      </w:r>
      <w:r w:rsidR="00EC4BC4" w:rsidRPr="00EC4BC4">
        <w:t>IC17-11</w:t>
      </w:r>
      <w:r w:rsidR="003178F3" w:rsidRPr="00EC4BC4">
        <w:t>-00</w:t>
      </w:r>
      <w:r w:rsidR="00172C34" w:rsidRPr="00EC4BC4">
        <w:t>0</w:t>
      </w:r>
      <w:r w:rsidR="003178F3" w:rsidRPr="00EC4BC4">
        <w:t>,</w:t>
      </w:r>
      <w:r w:rsidRPr="00EC4BC4">
        <w:t xml:space="preserve"> </w:t>
      </w:r>
      <w:r w:rsidR="00775D65" w:rsidRPr="00EC4BC4">
        <w:t>by either of the following methods:</w:t>
      </w:r>
    </w:p>
    <w:p w14:paraId="107C3E3B"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5" w:history="1">
        <w:r w:rsidRPr="0057675D">
          <w:rPr>
            <w:rStyle w:val="Hyperlink"/>
          </w:rPr>
          <w:t>http://www.ferc.gov/docs-filing/efiling.asp</w:t>
        </w:r>
      </w:hyperlink>
      <w:r>
        <w:t xml:space="preserve">.  </w:t>
      </w:r>
    </w:p>
    <w:p w14:paraId="096C29B7"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15890183"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440BC2A0"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r w:rsidR="00095258">
        <w:t xml:space="preserve"> </w:t>
      </w:r>
    </w:p>
    <w:p w14:paraId="12364B45" w14:textId="77777777" w:rsidR="001C75B2" w:rsidRDefault="001C75B2" w:rsidP="00C0217E">
      <w:pPr>
        <w:spacing w:line="480" w:lineRule="auto"/>
      </w:pPr>
      <w:r w:rsidRPr="00F04F4C">
        <w:rPr>
          <w:b/>
        </w:rPr>
        <w:t xml:space="preserve">FOR FURTHER </w:t>
      </w:r>
      <w:r w:rsidRPr="00EC4BC4">
        <w:rPr>
          <w:b/>
        </w:rPr>
        <w:t>INFORMATION:</w:t>
      </w:r>
      <w:r w:rsidRPr="00EC4BC4">
        <w:t xml:space="preserve">   </w:t>
      </w:r>
      <w:smartTag w:uri="urn:schemas-microsoft-com:office:smarttags" w:element="PersonName">
        <w:r w:rsidRPr="00EC4BC4">
          <w:t>Ellen Brown</w:t>
        </w:r>
      </w:smartTag>
      <w:r w:rsidRPr="00EC4BC4">
        <w:t xml:space="preserve"> may</w:t>
      </w:r>
      <w:r>
        <w:t xml:space="preserve"> be reached by e-mail at </w:t>
      </w:r>
      <w:hyperlink r:id="rId18" w:history="1">
        <w:r w:rsidR="00822C8E" w:rsidRPr="00006D4B">
          <w:rPr>
            <w:rStyle w:val="Hyperlink"/>
          </w:rPr>
          <w:t>DataClearance@FERC.gov</w:t>
        </w:r>
      </w:hyperlink>
      <w:r>
        <w:t xml:space="preserve">, by telephone at (202) 502-8663, and by fax at (202) 273-0873. </w:t>
      </w:r>
    </w:p>
    <w:p w14:paraId="47F2530F" w14:textId="77777777" w:rsidR="003820D6" w:rsidRDefault="003820D6" w:rsidP="003820D6">
      <w:pPr>
        <w:spacing w:line="480" w:lineRule="auto"/>
      </w:pPr>
      <w:r w:rsidRPr="001C3703">
        <w:rPr>
          <w:b/>
        </w:rPr>
        <w:t>SUPPLEMENTARY INFORMATION:</w:t>
      </w:r>
      <w:r>
        <w:t xml:space="preserve">  </w:t>
      </w:r>
    </w:p>
    <w:p w14:paraId="36693ABF" w14:textId="77777777" w:rsidR="00EC4BC4" w:rsidRDefault="00EC4BC4" w:rsidP="00EC4BC4">
      <w:pPr>
        <w:spacing w:line="480" w:lineRule="auto"/>
        <w:rPr>
          <w:i/>
        </w:rPr>
      </w:pPr>
      <w:r>
        <w:rPr>
          <w:i/>
        </w:rPr>
        <w:t xml:space="preserve">Title: </w:t>
      </w:r>
      <w:r>
        <w:rPr>
          <w:szCs w:val="26"/>
        </w:rPr>
        <w:t>FERC-549B (Gas Pipeline Rates: Capacity Reports and Index of Customers)</w:t>
      </w:r>
      <w:r>
        <w:t>.</w:t>
      </w:r>
    </w:p>
    <w:p w14:paraId="7DFF721F" w14:textId="77777777" w:rsidR="00EC4BC4" w:rsidRDefault="00EC4BC4" w:rsidP="00EC4BC4">
      <w:pPr>
        <w:spacing w:line="480" w:lineRule="auto"/>
      </w:pPr>
      <w:r>
        <w:rPr>
          <w:i/>
        </w:rPr>
        <w:t>OMB Control No.:</w:t>
      </w:r>
      <w:r w:rsidRPr="00F50EDA">
        <w:t xml:space="preserve"> </w:t>
      </w:r>
      <w:r>
        <w:t>1902-0169</w:t>
      </w:r>
    </w:p>
    <w:p w14:paraId="4BCA0D11" w14:textId="77777777" w:rsidR="00EC4BC4" w:rsidRDefault="00EC4BC4" w:rsidP="00EC4BC4">
      <w:pPr>
        <w:spacing w:line="480" w:lineRule="auto"/>
      </w:pPr>
      <w:r>
        <w:rPr>
          <w:i/>
        </w:rPr>
        <w:lastRenderedPageBreak/>
        <w:t>Type of Request:</w:t>
      </w:r>
      <w:r>
        <w:t xml:space="preserve"> Three-year extension of the </w:t>
      </w:r>
      <w:r w:rsidRPr="00E5116F">
        <w:t>FERC-</w:t>
      </w:r>
      <w:r>
        <w:t>549B</w:t>
      </w:r>
      <w:r w:rsidRPr="00E5116F">
        <w:t xml:space="preserve"> information</w:t>
      </w:r>
      <w:r>
        <w:t xml:space="preserve"> collection requirements with no changes to the current reporting requirements. </w:t>
      </w:r>
    </w:p>
    <w:p w14:paraId="21641E1E" w14:textId="77777777" w:rsidR="00EC4BC4" w:rsidRDefault="00EC4BC4" w:rsidP="00EC4BC4">
      <w:pPr>
        <w:spacing w:line="480" w:lineRule="auto"/>
      </w:pPr>
      <w:r>
        <w:rPr>
          <w:i/>
        </w:rPr>
        <w:t xml:space="preserve">Abstract: </w:t>
      </w:r>
      <w:r>
        <w:t xml:space="preserve"> The information collected under the requirements of FERC-549B includes both the Index of Customers (IOC) report under Commission regulations at 18 Code of Federal Regulations (CFR) 284.13(c) and three capacity reporting requirements.  One of these is in Commission regulations at 18 CFR 284.13(b) and requires reports on firm and interruptible services.  The second is at 18 CFR 284.13(d)(1) and requires pipelines make information on capacity and flow information available on their Internet web sites.  The third is at 18 CFR 284.13(d)(2) and requires an annual filing of peak day capacity.  </w:t>
      </w:r>
    </w:p>
    <w:p w14:paraId="18E42FAE" w14:textId="77777777" w:rsidR="00EC4BC4" w:rsidRPr="005055C7" w:rsidRDefault="00EC4BC4" w:rsidP="00EC4BC4">
      <w:pPr>
        <w:spacing w:line="480" w:lineRule="auto"/>
        <w:rPr>
          <w:u w:val="single"/>
        </w:rPr>
      </w:pPr>
      <w:r>
        <w:rPr>
          <w:u w:val="single"/>
        </w:rPr>
        <w:t>Capacity Reports Under</w:t>
      </w:r>
      <w:r w:rsidRPr="005055C7">
        <w:rPr>
          <w:u w:val="single"/>
        </w:rPr>
        <w:t xml:space="preserve"> 284.13(b) AND 284.13(d)(1)</w:t>
      </w:r>
    </w:p>
    <w:p w14:paraId="0505E455" w14:textId="77777777" w:rsidR="00EC4BC4" w:rsidRDefault="00EC4BC4" w:rsidP="00EC4BC4">
      <w:pPr>
        <w:spacing w:line="480" w:lineRule="auto"/>
      </w:pPr>
      <w:r>
        <w:tab/>
        <w:t xml:space="preserve">On April 4, 1992, in Order No. 636 (RM91-11-000), the Commission established a capacity release mechanism under which shippers could release firm transportation and storage capacity on either a short- or long-term basis to other shippers wanting to obtain capacity.  Pipelines posted available firm and interruptible capacity information on their electronic bulletin boards (EBBs) to inform potential shippers.  </w:t>
      </w:r>
    </w:p>
    <w:p w14:paraId="4E15343F" w14:textId="77777777" w:rsidR="00EC4BC4" w:rsidRDefault="00EC4BC4" w:rsidP="00EC4BC4">
      <w:pPr>
        <w:spacing w:line="480" w:lineRule="auto"/>
      </w:pPr>
      <w:r>
        <w:tab/>
        <w:t>On August 3, 1992, in Order No. 636-A (RM91-11-002), the Commission determined through staff audits, that the efficiency of the capacity release mechanism could be enhanced by standardizing the content and format of capacity release information and the methods by which shippers accessed this information, which pipelines posted to their EBBs.</w:t>
      </w:r>
    </w:p>
    <w:p w14:paraId="1E82248A" w14:textId="77777777" w:rsidR="00EC4BC4" w:rsidRDefault="00EC4BC4" w:rsidP="00EC4BC4">
      <w:pPr>
        <w:spacing w:line="480" w:lineRule="auto"/>
        <w:ind w:firstLine="720"/>
      </w:pPr>
      <w:r>
        <w:t xml:space="preserve">On March 29, 1995, through Order 577 (RM95-5-000), the Commission amended §284.243(h) of its regulations to allow shippers the ability to release capacity without having to comply with the Commission’s advance posting and bidding requirements. </w:t>
      </w:r>
    </w:p>
    <w:p w14:paraId="01C078D6" w14:textId="77777777" w:rsidR="00EC4BC4" w:rsidRDefault="00EC4BC4" w:rsidP="00EC4BC4">
      <w:pPr>
        <w:spacing w:line="480" w:lineRule="auto"/>
      </w:pPr>
      <w:r>
        <w:t>On February 9, 2000, in Order No. 637 (RM98-10-000), to create greater substitution between different forms of capacity and to enhance competition across the pipeline grid, the Commission revised its capacity release regulations regarding scheduling, segmentation and flexible point rights, penalties, and reporting requirements.  This resulted in more reliable capacity information availability and price data that shippers needed to make informed decisions in a competitive market as well as to improve shipper’s and the Commission’s ability to monitor the market for potential abuses.</w:t>
      </w:r>
    </w:p>
    <w:p w14:paraId="4FE84DC8" w14:textId="77777777" w:rsidR="00EC4BC4" w:rsidRPr="005055C7" w:rsidRDefault="00EC4BC4" w:rsidP="00EC4BC4">
      <w:pPr>
        <w:spacing w:line="480" w:lineRule="auto"/>
        <w:rPr>
          <w:u w:val="single"/>
        </w:rPr>
      </w:pPr>
      <w:r w:rsidRPr="005055C7">
        <w:rPr>
          <w:u w:val="single"/>
        </w:rPr>
        <w:t>P</w:t>
      </w:r>
      <w:r>
        <w:rPr>
          <w:u w:val="single"/>
        </w:rPr>
        <w:t xml:space="preserve">eak Day Annual Capacity Report Under </w:t>
      </w:r>
      <w:r w:rsidRPr="005055C7">
        <w:rPr>
          <w:u w:val="single"/>
        </w:rPr>
        <w:t>284.13(d)(2)</w:t>
      </w:r>
    </w:p>
    <w:p w14:paraId="1DFCD9A9" w14:textId="77777777" w:rsidR="00EC4BC4" w:rsidRDefault="00EC4BC4" w:rsidP="00EC4BC4">
      <w:pPr>
        <w:spacing w:line="480" w:lineRule="auto"/>
        <w:ind w:firstLine="720"/>
      </w:pPr>
      <w:r>
        <w:t xml:space="preserve">18 CFR 284.13(d)(2) requires an annual peak day capacity report of all interstate pipelines, including natural gas storage only companies.  This report is generally a short report showing the peak day design capacity or the actual peak day capacity achieved, with a short explanation, if needed.  The regulation states: </w:t>
      </w:r>
    </w:p>
    <w:p w14:paraId="0836F75F" w14:textId="77777777" w:rsidR="00EC4BC4" w:rsidRDefault="00EC4BC4" w:rsidP="00EC4BC4">
      <w:pPr>
        <w:spacing w:line="480" w:lineRule="auto"/>
      </w:pPr>
      <w:r>
        <w:t>An interstate pipeline must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w:t>
      </w:r>
    </w:p>
    <w:p w14:paraId="3FBCBC39" w14:textId="77777777" w:rsidR="00EC4BC4" w:rsidRDefault="00EC4BC4" w:rsidP="00EC4BC4">
      <w:pPr>
        <w:spacing w:line="480" w:lineRule="auto"/>
        <w:ind w:firstLine="720"/>
      </w:pPr>
      <w:r>
        <w:t>This annual report/filing is publicly available, while other more specific interstate pipeline and storage capacity details are filed as CEII, such as the Annual System Flow Diagram (FERC-567) which are not publicly available.</w:t>
      </w:r>
    </w:p>
    <w:p w14:paraId="468D9FD6" w14:textId="77777777" w:rsidR="00EC4BC4" w:rsidRPr="005055C7" w:rsidRDefault="00EC4BC4" w:rsidP="00EC4BC4">
      <w:pPr>
        <w:spacing w:line="480" w:lineRule="auto"/>
        <w:rPr>
          <w:u w:val="single"/>
        </w:rPr>
      </w:pPr>
      <w:r w:rsidRPr="005055C7">
        <w:rPr>
          <w:u w:val="single"/>
        </w:rPr>
        <w:t>I</w:t>
      </w:r>
      <w:r>
        <w:rPr>
          <w:u w:val="single"/>
        </w:rPr>
        <w:t>ndex of Customers Under</w:t>
      </w:r>
      <w:r w:rsidRPr="005055C7">
        <w:rPr>
          <w:u w:val="single"/>
        </w:rPr>
        <w:t xml:space="preserve"> 284.13(c)</w:t>
      </w:r>
    </w:p>
    <w:p w14:paraId="4239B95F" w14:textId="77777777" w:rsidR="00EC4BC4" w:rsidRDefault="00EC4BC4" w:rsidP="00EC4BC4">
      <w:pPr>
        <w:spacing w:line="480" w:lineRule="auto"/>
        <w:ind w:firstLine="720"/>
      </w:pPr>
      <w:r>
        <w:t xml:space="preserve">In Order 581, issued September 28, 1995 (Docket No. RM95-4-000), the Commission established the IOC quarterly information requirement.  This Order required the reporting of five data elements in the IOC filing:  the customer name, the rate schedule under which service is rendered, the contract effective date, the contract termination date, and the maximum daily contract quantity, for either transportation or storage service, as appropriate. </w:t>
      </w:r>
    </w:p>
    <w:p w14:paraId="3B89492E" w14:textId="77777777" w:rsidR="00EC4BC4" w:rsidRDefault="00EC4BC4" w:rsidP="00EC4BC4">
      <w:pPr>
        <w:spacing w:line="480" w:lineRule="auto"/>
      </w:pPr>
      <w:r>
        <w:tab/>
        <w:t xml:space="preserve">In a notice issued separate from Order 581 in Docket No. RM95-4-000, issued February 29, 1996, the Commission, through technical conferences with industry, determined that the IOC data reported should be in tab delimited format on diskette and in a form as proscribed in Appendix A of the rulemaking.  In a departure from past practice, a three-digit code, instead of a six-digit code, was established to identify the respondent.  </w:t>
      </w:r>
    </w:p>
    <w:p w14:paraId="1CC9311F" w14:textId="77777777" w:rsidR="00EC4BC4" w:rsidRDefault="00EC4BC4" w:rsidP="00EC4B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t xml:space="preserve"> In Order 637, issued February 9, 2000 (Docket Nos. RM98-10-000 and RM98-12-000), the Commission required the filing of:  the receipt and delivery points held under contract and the zones or segments in which the capacity is held, the common transaction point codes, the contract number, the shipper identification number,  an indication whether the contract includes negotiated rates, the names of any agents or asset managers that control capacity in a pipeline rate zone, and any affiliate relationship between the pipeline and the holder of capacity.  It was stated in the Order that the changes to the Commission’s reporting requirements would enhance the reliability of information about capacity availability and price that shippers need to make informed decisions in a competitive market as well as improve shippers’ and the Commission’s ability to monitor marketplace behavior to detect, and remedy anti-competitive behavior.  Order 637 required a pipeline post the information quarterly on its Internet websites instead of on the outdated EBBs</w:t>
      </w:r>
      <w:r>
        <w:rPr>
          <w:color w:val="000000"/>
          <w:szCs w:val="26"/>
        </w:rPr>
        <w:t>.</w:t>
      </w:r>
    </w:p>
    <w:p w14:paraId="6D6E29B5" w14:textId="77777777" w:rsidR="00EC4BC4" w:rsidRPr="009679E3" w:rsidRDefault="00EC4BC4" w:rsidP="00EC4BC4">
      <w:pPr>
        <w:spacing w:line="480" w:lineRule="auto"/>
      </w:pPr>
      <w:r>
        <w:rPr>
          <w:i/>
        </w:rPr>
        <w:t xml:space="preserve">Type of Respondents: </w:t>
      </w:r>
      <w:r>
        <w:t xml:space="preserve">Respondents for this data collection are interstate pipelines subject to FERC regulation under the Natural Gas Act and those entities defined as Hinshaw Pipelines under the Natural Gas Policy Act. </w:t>
      </w:r>
    </w:p>
    <w:p w14:paraId="3642EE7B" w14:textId="77777777" w:rsidR="005535D4" w:rsidRDefault="00EC4BC4" w:rsidP="00EC4BC4">
      <w:pPr>
        <w:spacing w:line="480" w:lineRule="auto"/>
      </w:pPr>
      <w:r>
        <w:rPr>
          <w:i/>
        </w:rPr>
        <w:t>Estimate of Annual Burden</w:t>
      </w:r>
      <w:r>
        <w:rPr>
          <w:rStyle w:val="FootnoteReference"/>
          <w:i/>
        </w:rPr>
        <w:footnoteReference w:id="2"/>
      </w:r>
      <w:r>
        <w:rPr>
          <w:i/>
        </w:rPr>
        <w:t xml:space="preserve">: </w:t>
      </w:r>
      <w:r>
        <w:t>The Commission estimates the annual public reporting burden for the information collection as</w:t>
      </w:r>
      <w:r w:rsidR="005535D4">
        <w:t>:</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EC4BC4" w:rsidRPr="00D77538" w14:paraId="2C661AE9" w14:textId="77777777" w:rsidTr="004571E6">
        <w:trPr>
          <w:cantSplit/>
        </w:trPr>
        <w:tc>
          <w:tcPr>
            <w:tcW w:w="5000" w:type="pct"/>
            <w:gridSpan w:val="7"/>
            <w:tcBorders>
              <w:bottom w:val="single" w:sz="4" w:space="0" w:color="auto"/>
            </w:tcBorders>
            <w:shd w:val="clear" w:color="auto" w:fill="D9D9D9"/>
          </w:tcPr>
          <w:p w14:paraId="40C3A38C" w14:textId="77777777" w:rsidR="00EC4BC4" w:rsidRPr="006A60CF" w:rsidRDefault="00EC4BC4" w:rsidP="004571E6">
            <w:pPr>
              <w:jc w:val="center"/>
              <w:rPr>
                <w:rFonts w:eastAsia="Calibri"/>
                <w:b/>
                <w:sz w:val="20"/>
                <w:szCs w:val="20"/>
              </w:rPr>
            </w:pPr>
            <w:r w:rsidRPr="00FA501F">
              <w:rPr>
                <w:rFonts w:eastAsia="Calibri"/>
                <w:b/>
                <w:sz w:val="20"/>
                <w:szCs w:val="20"/>
              </w:rPr>
              <w:t>FERC-549B (Gas Pipeline Rates: Capacity Reports and Index of Customers</w:t>
            </w:r>
            <w:r>
              <w:rPr>
                <w:rFonts w:eastAsia="Calibri"/>
                <w:b/>
                <w:sz w:val="20"/>
                <w:szCs w:val="20"/>
              </w:rPr>
              <w:t>)</w:t>
            </w:r>
          </w:p>
        </w:tc>
      </w:tr>
      <w:tr w:rsidR="00EC4BC4" w:rsidRPr="00D77538" w14:paraId="27C5EE20" w14:textId="77777777" w:rsidTr="004571E6">
        <w:trPr>
          <w:cantSplit/>
        </w:trPr>
        <w:tc>
          <w:tcPr>
            <w:tcW w:w="878" w:type="pct"/>
            <w:shd w:val="clear" w:color="auto" w:fill="D9D9D9"/>
          </w:tcPr>
          <w:p w14:paraId="64232972" w14:textId="77777777" w:rsidR="00EC4BC4" w:rsidRPr="006A60CF" w:rsidRDefault="00EC4BC4" w:rsidP="004571E6">
            <w:pPr>
              <w:jc w:val="center"/>
              <w:rPr>
                <w:rFonts w:eastAsia="Calibri"/>
                <w:b/>
                <w:sz w:val="20"/>
                <w:szCs w:val="20"/>
              </w:rPr>
            </w:pPr>
          </w:p>
        </w:tc>
        <w:tc>
          <w:tcPr>
            <w:tcW w:w="746" w:type="pct"/>
            <w:shd w:val="clear" w:color="auto" w:fill="D9D9D9"/>
            <w:vAlign w:val="bottom"/>
          </w:tcPr>
          <w:p w14:paraId="33F9DB39" w14:textId="77777777" w:rsidR="00EC4BC4" w:rsidRPr="006A60CF" w:rsidRDefault="00EC4BC4" w:rsidP="004571E6">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135BE743" w14:textId="77777777" w:rsidR="00EC4BC4" w:rsidRPr="006A60CF" w:rsidRDefault="00EC4BC4" w:rsidP="004571E6">
            <w:pPr>
              <w:jc w:val="center"/>
              <w:rPr>
                <w:rFonts w:eastAsia="Calibri"/>
                <w:b/>
                <w:sz w:val="20"/>
                <w:szCs w:val="20"/>
              </w:rPr>
            </w:pPr>
            <w:r w:rsidRPr="006A60CF">
              <w:rPr>
                <w:rFonts w:eastAsia="Calibri"/>
                <w:b/>
                <w:sz w:val="20"/>
                <w:szCs w:val="20"/>
              </w:rPr>
              <w:t>Annual Number of Responses per Respondent</w:t>
            </w:r>
          </w:p>
          <w:p w14:paraId="47C3A8BE" w14:textId="77777777" w:rsidR="00EC4BC4" w:rsidRPr="006A60CF" w:rsidRDefault="00EC4BC4" w:rsidP="004571E6">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82D4BBA" w14:textId="77777777" w:rsidR="00EC4BC4" w:rsidRPr="006A60CF" w:rsidRDefault="00EC4BC4" w:rsidP="004571E6">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CBEFC15" w14:textId="77777777" w:rsidR="00EC4BC4" w:rsidRPr="006A60CF" w:rsidRDefault="00EC4BC4" w:rsidP="004571E6">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bookmarkStart w:id="1" w:name="_Ref366073887"/>
            <w:r w:rsidRPr="00973CDB">
              <w:rPr>
                <w:rFonts w:eastAsia="Calibri"/>
                <w:b/>
                <w:sz w:val="20"/>
                <w:szCs w:val="20"/>
                <w:vertAlign w:val="superscript"/>
              </w:rPr>
              <w:footnoteReference w:id="3"/>
            </w:r>
            <w:bookmarkEnd w:id="1"/>
          </w:p>
          <w:p w14:paraId="05D97F7C" w14:textId="77777777" w:rsidR="00EC4BC4" w:rsidRPr="006A60CF" w:rsidRDefault="00EC4BC4" w:rsidP="004571E6">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03FC60F6" w14:textId="77777777" w:rsidR="00EC4BC4" w:rsidRPr="006A60CF" w:rsidRDefault="00EC4BC4" w:rsidP="004571E6">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04207797" w14:textId="77777777" w:rsidR="00EC4BC4" w:rsidRPr="006A60CF" w:rsidRDefault="00EC4BC4" w:rsidP="004571E6">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6C989480" w14:textId="77777777" w:rsidR="00EC4BC4" w:rsidRPr="006A60CF" w:rsidRDefault="00EC4BC4" w:rsidP="004571E6">
            <w:pPr>
              <w:jc w:val="center"/>
              <w:rPr>
                <w:rFonts w:eastAsia="Calibri"/>
                <w:b/>
                <w:sz w:val="20"/>
                <w:szCs w:val="20"/>
              </w:rPr>
            </w:pPr>
            <w:r w:rsidRPr="006A60CF">
              <w:rPr>
                <w:rFonts w:eastAsia="Calibri"/>
                <w:b/>
                <w:sz w:val="20"/>
                <w:szCs w:val="20"/>
              </w:rPr>
              <w:t>Cost per Respondent</w:t>
            </w:r>
          </w:p>
          <w:p w14:paraId="3485D8A1" w14:textId="77777777" w:rsidR="00EC4BC4" w:rsidRPr="006A60CF" w:rsidRDefault="00EC4BC4" w:rsidP="004571E6">
            <w:pPr>
              <w:jc w:val="center"/>
              <w:rPr>
                <w:rFonts w:eastAsia="Calibri"/>
                <w:b/>
                <w:sz w:val="20"/>
                <w:szCs w:val="20"/>
              </w:rPr>
            </w:pPr>
            <w:r w:rsidRPr="006A60CF">
              <w:rPr>
                <w:rFonts w:eastAsia="Calibri"/>
                <w:b/>
                <w:sz w:val="20"/>
                <w:szCs w:val="20"/>
              </w:rPr>
              <w:t xml:space="preserve"> ($)</w:t>
            </w:r>
          </w:p>
          <w:p w14:paraId="0DD46225" w14:textId="77777777" w:rsidR="00EC4BC4" w:rsidRPr="006A60CF" w:rsidRDefault="00EC4BC4" w:rsidP="004571E6">
            <w:pPr>
              <w:jc w:val="center"/>
              <w:rPr>
                <w:rFonts w:eastAsia="Calibri"/>
                <w:b/>
                <w:sz w:val="20"/>
                <w:szCs w:val="20"/>
              </w:rPr>
            </w:pPr>
            <w:r w:rsidRPr="006A60CF">
              <w:rPr>
                <w:rFonts w:eastAsia="Calibri"/>
                <w:b/>
                <w:sz w:val="20"/>
                <w:szCs w:val="20"/>
              </w:rPr>
              <w:t>(5)÷(1)</w:t>
            </w:r>
          </w:p>
        </w:tc>
      </w:tr>
      <w:tr w:rsidR="00EC4BC4" w:rsidRPr="00D77538" w14:paraId="6F7E6D59" w14:textId="77777777" w:rsidTr="004571E6">
        <w:trPr>
          <w:cantSplit/>
        </w:trPr>
        <w:tc>
          <w:tcPr>
            <w:tcW w:w="878" w:type="pct"/>
          </w:tcPr>
          <w:p w14:paraId="6F4CFC71" w14:textId="77777777" w:rsidR="00EC4BC4" w:rsidRPr="006A60CF" w:rsidRDefault="00EC4BC4" w:rsidP="004571E6">
            <w:pPr>
              <w:rPr>
                <w:rFonts w:eastAsia="Calibri"/>
                <w:sz w:val="20"/>
                <w:szCs w:val="20"/>
              </w:rPr>
            </w:pPr>
            <w:r>
              <w:rPr>
                <w:rFonts w:eastAsia="Calibri"/>
                <w:sz w:val="20"/>
                <w:szCs w:val="20"/>
              </w:rPr>
              <w:t>Capacity Reports under 284.13(b) &amp; 284.13(d)(1)</w:t>
            </w:r>
          </w:p>
        </w:tc>
        <w:tc>
          <w:tcPr>
            <w:tcW w:w="746" w:type="pct"/>
            <w:vAlign w:val="bottom"/>
          </w:tcPr>
          <w:p w14:paraId="777D6B71" w14:textId="77777777" w:rsidR="00EC4BC4" w:rsidRDefault="00EC4BC4" w:rsidP="004571E6">
            <w:pPr>
              <w:jc w:val="right"/>
              <w:rPr>
                <w:rFonts w:eastAsia="Calibri"/>
                <w:sz w:val="20"/>
                <w:szCs w:val="20"/>
              </w:rPr>
            </w:pPr>
          </w:p>
          <w:p w14:paraId="218FB993" w14:textId="77777777" w:rsidR="00EC4BC4" w:rsidRPr="006A60CF" w:rsidRDefault="00EC4BC4" w:rsidP="004571E6">
            <w:pPr>
              <w:jc w:val="right"/>
              <w:rPr>
                <w:rFonts w:eastAsia="Calibri"/>
                <w:sz w:val="20"/>
                <w:szCs w:val="20"/>
              </w:rPr>
            </w:pPr>
            <w:r>
              <w:rPr>
                <w:rFonts w:eastAsia="Calibri"/>
                <w:sz w:val="20"/>
                <w:szCs w:val="20"/>
              </w:rPr>
              <w:t>185</w:t>
            </w:r>
          </w:p>
        </w:tc>
        <w:tc>
          <w:tcPr>
            <w:tcW w:w="746" w:type="pct"/>
            <w:vAlign w:val="bottom"/>
          </w:tcPr>
          <w:p w14:paraId="21CF090E" w14:textId="77777777" w:rsidR="00EC4BC4" w:rsidRPr="00840601" w:rsidRDefault="00EC4BC4" w:rsidP="004571E6">
            <w:pPr>
              <w:jc w:val="right"/>
              <w:rPr>
                <w:sz w:val="20"/>
                <w:szCs w:val="20"/>
              </w:rPr>
            </w:pPr>
            <w:r w:rsidRPr="00840601">
              <w:rPr>
                <w:sz w:val="20"/>
                <w:szCs w:val="20"/>
              </w:rPr>
              <w:t>6</w:t>
            </w:r>
          </w:p>
        </w:tc>
        <w:tc>
          <w:tcPr>
            <w:tcW w:w="703" w:type="pct"/>
            <w:vAlign w:val="bottom"/>
          </w:tcPr>
          <w:p w14:paraId="1E9B30F6" w14:textId="77777777" w:rsidR="00EC4BC4" w:rsidRPr="00840601" w:rsidRDefault="00EC4BC4" w:rsidP="004571E6">
            <w:pPr>
              <w:jc w:val="right"/>
              <w:rPr>
                <w:sz w:val="20"/>
                <w:szCs w:val="20"/>
              </w:rPr>
            </w:pPr>
            <w:r>
              <w:rPr>
                <w:sz w:val="20"/>
                <w:szCs w:val="20"/>
              </w:rPr>
              <w:t>1,110</w:t>
            </w:r>
          </w:p>
        </w:tc>
        <w:tc>
          <w:tcPr>
            <w:tcW w:w="654" w:type="pct"/>
            <w:vAlign w:val="bottom"/>
          </w:tcPr>
          <w:p w14:paraId="42B1FCCC" w14:textId="77777777" w:rsidR="00EC4BC4" w:rsidRDefault="00EC4BC4" w:rsidP="004571E6">
            <w:pPr>
              <w:jc w:val="right"/>
              <w:rPr>
                <w:rFonts w:eastAsia="Calibri"/>
                <w:sz w:val="20"/>
                <w:szCs w:val="20"/>
              </w:rPr>
            </w:pPr>
          </w:p>
          <w:p w14:paraId="413BF720" w14:textId="77777777" w:rsidR="00EC4BC4" w:rsidRDefault="00EC4BC4" w:rsidP="004571E6">
            <w:pPr>
              <w:jc w:val="right"/>
              <w:rPr>
                <w:rFonts w:eastAsia="Calibri"/>
                <w:sz w:val="20"/>
                <w:szCs w:val="20"/>
              </w:rPr>
            </w:pPr>
            <w:r>
              <w:rPr>
                <w:rFonts w:eastAsia="Calibri"/>
                <w:sz w:val="20"/>
                <w:szCs w:val="20"/>
              </w:rPr>
              <w:t>145</w:t>
            </w:r>
          </w:p>
          <w:p w14:paraId="3484585F" w14:textId="77777777" w:rsidR="00EC4BC4" w:rsidRPr="006A60CF" w:rsidRDefault="00EC4BC4" w:rsidP="004571E6">
            <w:pPr>
              <w:jc w:val="right"/>
              <w:rPr>
                <w:rFonts w:eastAsia="Calibri"/>
                <w:sz w:val="20"/>
                <w:szCs w:val="20"/>
              </w:rPr>
            </w:pPr>
            <w:r>
              <w:rPr>
                <w:rFonts w:eastAsia="Calibri"/>
                <w:sz w:val="20"/>
                <w:szCs w:val="20"/>
              </w:rPr>
              <w:t>$11,093</w:t>
            </w:r>
          </w:p>
        </w:tc>
        <w:tc>
          <w:tcPr>
            <w:tcW w:w="657" w:type="pct"/>
            <w:vAlign w:val="bottom"/>
          </w:tcPr>
          <w:p w14:paraId="543F14DE" w14:textId="77777777" w:rsidR="00EC4BC4" w:rsidRDefault="00EC4BC4" w:rsidP="004571E6">
            <w:pPr>
              <w:jc w:val="right"/>
              <w:rPr>
                <w:rFonts w:eastAsia="Calibri"/>
                <w:sz w:val="20"/>
                <w:szCs w:val="20"/>
              </w:rPr>
            </w:pPr>
          </w:p>
          <w:p w14:paraId="1310791E" w14:textId="77777777" w:rsidR="00EC4BC4" w:rsidRDefault="00EC4BC4" w:rsidP="004571E6">
            <w:pPr>
              <w:jc w:val="right"/>
              <w:rPr>
                <w:rFonts w:eastAsia="Calibri"/>
                <w:sz w:val="20"/>
                <w:szCs w:val="20"/>
              </w:rPr>
            </w:pPr>
            <w:r>
              <w:rPr>
                <w:rFonts w:eastAsia="Calibri"/>
                <w:sz w:val="20"/>
                <w:szCs w:val="20"/>
              </w:rPr>
              <w:t>160,950</w:t>
            </w:r>
          </w:p>
          <w:p w14:paraId="7A034006" w14:textId="77777777" w:rsidR="00EC4BC4" w:rsidRPr="006A60CF" w:rsidRDefault="00EC4BC4" w:rsidP="004571E6">
            <w:pPr>
              <w:jc w:val="right"/>
              <w:rPr>
                <w:rFonts w:eastAsia="Calibri"/>
                <w:sz w:val="20"/>
                <w:szCs w:val="20"/>
              </w:rPr>
            </w:pPr>
            <w:r>
              <w:rPr>
                <w:rFonts w:eastAsia="Calibri"/>
                <w:sz w:val="20"/>
                <w:szCs w:val="20"/>
              </w:rPr>
              <w:t>$12,313,230</w:t>
            </w:r>
          </w:p>
        </w:tc>
        <w:tc>
          <w:tcPr>
            <w:tcW w:w="616" w:type="pct"/>
            <w:vAlign w:val="bottom"/>
          </w:tcPr>
          <w:p w14:paraId="69BC14FF" w14:textId="77777777" w:rsidR="00EC4BC4" w:rsidRPr="006A60CF" w:rsidRDefault="00EC4BC4" w:rsidP="004571E6">
            <w:pPr>
              <w:jc w:val="right"/>
              <w:rPr>
                <w:rFonts w:eastAsia="Calibri"/>
                <w:sz w:val="20"/>
                <w:szCs w:val="20"/>
              </w:rPr>
            </w:pPr>
            <w:r w:rsidRPr="006A60CF">
              <w:rPr>
                <w:rFonts w:eastAsia="Calibri"/>
                <w:sz w:val="20"/>
                <w:szCs w:val="20"/>
              </w:rPr>
              <w:t>$</w:t>
            </w:r>
            <w:r>
              <w:rPr>
                <w:rFonts w:eastAsia="Calibri"/>
                <w:sz w:val="20"/>
                <w:szCs w:val="20"/>
              </w:rPr>
              <w:t>66,558</w:t>
            </w:r>
            <w:r w:rsidRPr="006A60CF">
              <w:rPr>
                <w:rFonts w:eastAsia="Calibri"/>
                <w:sz w:val="20"/>
                <w:szCs w:val="20"/>
              </w:rPr>
              <w:t xml:space="preserve"> </w:t>
            </w:r>
          </w:p>
        </w:tc>
      </w:tr>
      <w:tr w:rsidR="00EC4BC4" w:rsidRPr="00D77538" w14:paraId="14AD1BD1" w14:textId="77777777" w:rsidTr="004571E6">
        <w:trPr>
          <w:cantSplit/>
        </w:trPr>
        <w:tc>
          <w:tcPr>
            <w:tcW w:w="878" w:type="pct"/>
          </w:tcPr>
          <w:p w14:paraId="6035F30E" w14:textId="77777777" w:rsidR="00EC4BC4" w:rsidRPr="006A60CF" w:rsidRDefault="00EC4BC4" w:rsidP="004571E6">
            <w:pPr>
              <w:rPr>
                <w:rFonts w:eastAsia="Calibri"/>
                <w:sz w:val="20"/>
                <w:szCs w:val="20"/>
              </w:rPr>
            </w:pPr>
            <w:r>
              <w:rPr>
                <w:rFonts w:eastAsia="Calibri"/>
                <w:sz w:val="20"/>
                <w:szCs w:val="20"/>
              </w:rPr>
              <w:t>93049344Peak Day Annual Capacity Report under 284.13(d)(2)</w:t>
            </w:r>
          </w:p>
        </w:tc>
        <w:tc>
          <w:tcPr>
            <w:tcW w:w="746" w:type="pct"/>
            <w:vAlign w:val="bottom"/>
          </w:tcPr>
          <w:p w14:paraId="10BA4684" w14:textId="77777777" w:rsidR="00EC4BC4" w:rsidRPr="006A60CF" w:rsidRDefault="00EC4BC4" w:rsidP="004571E6">
            <w:pPr>
              <w:jc w:val="right"/>
              <w:rPr>
                <w:rFonts w:eastAsia="Calibri"/>
                <w:sz w:val="20"/>
                <w:szCs w:val="20"/>
              </w:rPr>
            </w:pPr>
            <w:r>
              <w:rPr>
                <w:rFonts w:eastAsia="Calibri"/>
                <w:sz w:val="20"/>
                <w:szCs w:val="20"/>
              </w:rPr>
              <w:t>185</w:t>
            </w:r>
          </w:p>
        </w:tc>
        <w:tc>
          <w:tcPr>
            <w:tcW w:w="746" w:type="pct"/>
            <w:vAlign w:val="bottom"/>
          </w:tcPr>
          <w:p w14:paraId="552FF50B" w14:textId="77777777" w:rsidR="00EC4BC4" w:rsidRPr="00840601" w:rsidRDefault="00EC4BC4" w:rsidP="004571E6">
            <w:pPr>
              <w:jc w:val="right"/>
              <w:rPr>
                <w:sz w:val="20"/>
                <w:szCs w:val="20"/>
              </w:rPr>
            </w:pPr>
            <w:r w:rsidRPr="00840601">
              <w:rPr>
                <w:sz w:val="20"/>
                <w:szCs w:val="20"/>
              </w:rPr>
              <w:t>1</w:t>
            </w:r>
          </w:p>
        </w:tc>
        <w:tc>
          <w:tcPr>
            <w:tcW w:w="703" w:type="pct"/>
            <w:vAlign w:val="bottom"/>
          </w:tcPr>
          <w:p w14:paraId="2BD87E97" w14:textId="77777777" w:rsidR="00EC4BC4" w:rsidRPr="00840601" w:rsidRDefault="00EC4BC4" w:rsidP="004571E6">
            <w:pPr>
              <w:jc w:val="right"/>
              <w:rPr>
                <w:sz w:val="20"/>
                <w:szCs w:val="20"/>
              </w:rPr>
            </w:pPr>
            <w:r>
              <w:rPr>
                <w:sz w:val="20"/>
                <w:szCs w:val="20"/>
              </w:rPr>
              <w:t>185</w:t>
            </w:r>
          </w:p>
        </w:tc>
        <w:tc>
          <w:tcPr>
            <w:tcW w:w="654" w:type="pct"/>
            <w:vAlign w:val="bottom"/>
          </w:tcPr>
          <w:p w14:paraId="2B7D274C" w14:textId="77777777" w:rsidR="00EC4BC4" w:rsidRDefault="00EC4BC4" w:rsidP="004571E6">
            <w:pPr>
              <w:jc w:val="right"/>
              <w:rPr>
                <w:rFonts w:eastAsia="Calibri"/>
                <w:sz w:val="20"/>
                <w:szCs w:val="20"/>
              </w:rPr>
            </w:pPr>
          </w:p>
          <w:p w14:paraId="7B594A2D" w14:textId="77777777" w:rsidR="00EC4BC4" w:rsidRDefault="00EC4BC4" w:rsidP="004571E6">
            <w:pPr>
              <w:jc w:val="right"/>
              <w:rPr>
                <w:rFonts w:eastAsia="Calibri"/>
                <w:sz w:val="20"/>
                <w:szCs w:val="20"/>
              </w:rPr>
            </w:pPr>
            <w:r>
              <w:rPr>
                <w:rFonts w:eastAsia="Calibri"/>
                <w:sz w:val="20"/>
                <w:szCs w:val="20"/>
              </w:rPr>
              <w:t>10</w:t>
            </w:r>
          </w:p>
          <w:p w14:paraId="2B7F89B3" w14:textId="77777777" w:rsidR="00EC4BC4" w:rsidRPr="006A60CF" w:rsidRDefault="00EC4BC4" w:rsidP="004571E6">
            <w:pPr>
              <w:jc w:val="right"/>
              <w:rPr>
                <w:rFonts w:eastAsia="Calibri"/>
                <w:sz w:val="20"/>
                <w:szCs w:val="20"/>
              </w:rPr>
            </w:pPr>
            <w:r>
              <w:rPr>
                <w:rFonts w:eastAsia="Calibri"/>
                <w:sz w:val="20"/>
                <w:szCs w:val="20"/>
              </w:rPr>
              <w:t>$765</w:t>
            </w:r>
          </w:p>
        </w:tc>
        <w:tc>
          <w:tcPr>
            <w:tcW w:w="657" w:type="pct"/>
            <w:vAlign w:val="bottom"/>
          </w:tcPr>
          <w:p w14:paraId="56D25A7D" w14:textId="77777777" w:rsidR="00EC4BC4" w:rsidRDefault="00EC4BC4" w:rsidP="004571E6">
            <w:pPr>
              <w:jc w:val="right"/>
              <w:rPr>
                <w:rFonts w:eastAsia="Calibri"/>
                <w:sz w:val="20"/>
                <w:szCs w:val="20"/>
              </w:rPr>
            </w:pPr>
          </w:p>
          <w:p w14:paraId="5EE64BAB" w14:textId="77777777" w:rsidR="00EC4BC4" w:rsidRDefault="00EC4BC4" w:rsidP="004571E6">
            <w:pPr>
              <w:jc w:val="right"/>
              <w:rPr>
                <w:rFonts w:eastAsia="Calibri"/>
                <w:sz w:val="20"/>
                <w:szCs w:val="20"/>
              </w:rPr>
            </w:pPr>
            <w:r>
              <w:rPr>
                <w:rFonts w:eastAsia="Calibri"/>
                <w:sz w:val="20"/>
                <w:szCs w:val="20"/>
              </w:rPr>
              <w:t>1,850</w:t>
            </w:r>
          </w:p>
          <w:p w14:paraId="43F1CC4B" w14:textId="77777777" w:rsidR="00EC4BC4" w:rsidRPr="006A60CF" w:rsidRDefault="00EC4BC4" w:rsidP="004571E6">
            <w:pPr>
              <w:jc w:val="right"/>
              <w:rPr>
                <w:rFonts w:eastAsia="Calibri"/>
                <w:sz w:val="20"/>
                <w:szCs w:val="20"/>
              </w:rPr>
            </w:pPr>
            <w:r>
              <w:rPr>
                <w:rFonts w:eastAsia="Calibri"/>
                <w:sz w:val="20"/>
                <w:szCs w:val="20"/>
              </w:rPr>
              <w:t>$141,525</w:t>
            </w:r>
          </w:p>
        </w:tc>
        <w:tc>
          <w:tcPr>
            <w:tcW w:w="616" w:type="pct"/>
            <w:vAlign w:val="bottom"/>
          </w:tcPr>
          <w:p w14:paraId="2E3725AD" w14:textId="77777777" w:rsidR="00EC4BC4" w:rsidRPr="006A60CF" w:rsidRDefault="00EC4BC4" w:rsidP="004571E6">
            <w:pPr>
              <w:jc w:val="right"/>
              <w:rPr>
                <w:rFonts w:eastAsia="Calibri"/>
                <w:sz w:val="20"/>
                <w:szCs w:val="20"/>
              </w:rPr>
            </w:pPr>
            <w:r w:rsidRPr="006A60CF">
              <w:rPr>
                <w:rFonts w:eastAsia="Calibri"/>
                <w:sz w:val="20"/>
                <w:szCs w:val="20"/>
              </w:rPr>
              <w:t>$</w:t>
            </w:r>
            <w:r>
              <w:rPr>
                <w:rFonts w:eastAsia="Calibri"/>
                <w:sz w:val="20"/>
                <w:szCs w:val="20"/>
              </w:rPr>
              <w:t>765</w:t>
            </w:r>
            <w:r w:rsidRPr="006A60CF">
              <w:rPr>
                <w:rFonts w:eastAsia="Calibri"/>
                <w:sz w:val="20"/>
                <w:szCs w:val="20"/>
              </w:rPr>
              <w:t xml:space="preserve"> </w:t>
            </w:r>
          </w:p>
        </w:tc>
      </w:tr>
      <w:tr w:rsidR="00EC4BC4" w:rsidRPr="00D77538" w14:paraId="15CEB511" w14:textId="77777777" w:rsidTr="004571E6">
        <w:trPr>
          <w:cantSplit/>
        </w:trPr>
        <w:tc>
          <w:tcPr>
            <w:tcW w:w="878" w:type="pct"/>
          </w:tcPr>
          <w:p w14:paraId="5010DCB8" w14:textId="77777777" w:rsidR="00EC4BC4" w:rsidRPr="006A60CF" w:rsidRDefault="00EC4BC4" w:rsidP="004571E6">
            <w:pPr>
              <w:rPr>
                <w:rFonts w:eastAsia="Calibri"/>
                <w:sz w:val="20"/>
                <w:szCs w:val="20"/>
              </w:rPr>
            </w:pPr>
            <w:r>
              <w:rPr>
                <w:rFonts w:eastAsia="Calibri"/>
                <w:sz w:val="20"/>
                <w:szCs w:val="20"/>
              </w:rPr>
              <w:t>Index of Customers under 284.13(c)</w:t>
            </w:r>
          </w:p>
        </w:tc>
        <w:tc>
          <w:tcPr>
            <w:tcW w:w="746" w:type="pct"/>
            <w:vAlign w:val="bottom"/>
          </w:tcPr>
          <w:p w14:paraId="31F056BC" w14:textId="77777777" w:rsidR="00EC4BC4" w:rsidRDefault="00EC4BC4" w:rsidP="004571E6">
            <w:pPr>
              <w:jc w:val="right"/>
              <w:rPr>
                <w:rFonts w:eastAsia="Calibri"/>
                <w:sz w:val="20"/>
                <w:szCs w:val="20"/>
              </w:rPr>
            </w:pPr>
          </w:p>
          <w:p w14:paraId="6C3C469B" w14:textId="77777777" w:rsidR="00EC4BC4" w:rsidRPr="006A60CF" w:rsidRDefault="00EC4BC4" w:rsidP="004571E6">
            <w:pPr>
              <w:jc w:val="right"/>
              <w:rPr>
                <w:rFonts w:eastAsia="Calibri"/>
                <w:sz w:val="20"/>
                <w:szCs w:val="20"/>
              </w:rPr>
            </w:pPr>
            <w:r>
              <w:rPr>
                <w:rFonts w:eastAsia="Calibri"/>
                <w:sz w:val="20"/>
                <w:szCs w:val="20"/>
              </w:rPr>
              <w:t>185</w:t>
            </w:r>
          </w:p>
        </w:tc>
        <w:tc>
          <w:tcPr>
            <w:tcW w:w="746" w:type="pct"/>
            <w:vAlign w:val="bottom"/>
          </w:tcPr>
          <w:p w14:paraId="5F6DA01E" w14:textId="77777777" w:rsidR="00EC4BC4" w:rsidRPr="00840601" w:rsidRDefault="00EC4BC4" w:rsidP="004571E6">
            <w:pPr>
              <w:jc w:val="right"/>
              <w:rPr>
                <w:sz w:val="20"/>
                <w:szCs w:val="20"/>
              </w:rPr>
            </w:pPr>
            <w:r w:rsidRPr="00840601">
              <w:rPr>
                <w:sz w:val="20"/>
                <w:szCs w:val="20"/>
              </w:rPr>
              <w:t>4</w:t>
            </w:r>
          </w:p>
        </w:tc>
        <w:tc>
          <w:tcPr>
            <w:tcW w:w="703" w:type="pct"/>
            <w:vAlign w:val="bottom"/>
          </w:tcPr>
          <w:p w14:paraId="0BA489D3" w14:textId="77777777" w:rsidR="00EC4BC4" w:rsidRPr="00840601" w:rsidRDefault="00EC4BC4" w:rsidP="004571E6">
            <w:pPr>
              <w:jc w:val="right"/>
              <w:rPr>
                <w:sz w:val="20"/>
                <w:szCs w:val="20"/>
              </w:rPr>
            </w:pPr>
            <w:r>
              <w:rPr>
                <w:sz w:val="20"/>
                <w:szCs w:val="20"/>
              </w:rPr>
              <w:t>740</w:t>
            </w:r>
          </w:p>
        </w:tc>
        <w:tc>
          <w:tcPr>
            <w:tcW w:w="654" w:type="pct"/>
            <w:vAlign w:val="bottom"/>
          </w:tcPr>
          <w:p w14:paraId="42481ED9" w14:textId="77777777" w:rsidR="00EC4BC4" w:rsidRDefault="00EC4BC4" w:rsidP="004571E6">
            <w:pPr>
              <w:jc w:val="right"/>
              <w:rPr>
                <w:rFonts w:eastAsia="Calibri"/>
                <w:sz w:val="20"/>
                <w:szCs w:val="20"/>
              </w:rPr>
            </w:pPr>
          </w:p>
          <w:p w14:paraId="63D43156" w14:textId="77777777" w:rsidR="00EC4BC4" w:rsidRDefault="00EC4BC4" w:rsidP="004571E6">
            <w:pPr>
              <w:jc w:val="right"/>
              <w:rPr>
                <w:rFonts w:eastAsia="Calibri"/>
                <w:sz w:val="20"/>
                <w:szCs w:val="20"/>
              </w:rPr>
            </w:pPr>
            <w:r>
              <w:rPr>
                <w:rFonts w:eastAsia="Calibri"/>
                <w:sz w:val="20"/>
                <w:szCs w:val="20"/>
              </w:rPr>
              <w:t>3</w:t>
            </w:r>
          </w:p>
          <w:p w14:paraId="5E75AD85" w14:textId="77777777" w:rsidR="00EC4BC4" w:rsidRPr="006A60CF" w:rsidRDefault="00EC4BC4" w:rsidP="004571E6">
            <w:pPr>
              <w:jc w:val="right"/>
              <w:rPr>
                <w:rFonts w:eastAsia="Calibri"/>
                <w:sz w:val="20"/>
                <w:szCs w:val="20"/>
              </w:rPr>
            </w:pPr>
            <w:r>
              <w:rPr>
                <w:rFonts w:eastAsia="Calibri"/>
                <w:sz w:val="20"/>
                <w:szCs w:val="20"/>
              </w:rPr>
              <w:t>$230</w:t>
            </w:r>
          </w:p>
        </w:tc>
        <w:tc>
          <w:tcPr>
            <w:tcW w:w="657" w:type="pct"/>
            <w:vAlign w:val="bottom"/>
          </w:tcPr>
          <w:p w14:paraId="638EBC21" w14:textId="77777777" w:rsidR="00EC4BC4" w:rsidRDefault="00EC4BC4" w:rsidP="004571E6">
            <w:pPr>
              <w:jc w:val="right"/>
              <w:rPr>
                <w:rFonts w:eastAsia="Calibri"/>
                <w:sz w:val="20"/>
                <w:szCs w:val="20"/>
              </w:rPr>
            </w:pPr>
          </w:p>
          <w:p w14:paraId="75D41EA5" w14:textId="77777777" w:rsidR="00EC4BC4" w:rsidRDefault="00EC4BC4" w:rsidP="004571E6">
            <w:pPr>
              <w:jc w:val="right"/>
              <w:rPr>
                <w:rFonts w:eastAsia="Calibri"/>
                <w:sz w:val="20"/>
                <w:szCs w:val="20"/>
              </w:rPr>
            </w:pPr>
            <w:r>
              <w:rPr>
                <w:rFonts w:eastAsia="Calibri"/>
                <w:sz w:val="20"/>
                <w:szCs w:val="20"/>
              </w:rPr>
              <w:t>2,220</w:t>
            </w:r>
          </w:p>
          <w:p w14:paraId="65A885EB" w14:textId="77777777" w:rsidR="00EC4BC4" w:rsidRPr="006A60CF" w:rsidRDefault="00EC4BC4" w:rsidP="004571E6">
            <w:pPr>
              <w:jc w:val="right"/>
              <w:rPr>
                <w:rFonts w:eastAsia="Calibri"/>
                <w:sz w:val="20"/>
                <w:szCs w:val="20"/>
              </w:rPr>
            </w:pPr>
            <w:r>
              <w:rPr>
                <w:rFonts w:eastAsia="Calibri"/>
                <w:sz w:val="20"/>
                <w:szCs w:val="20"/>
              </w:rPr>
              <w:t>$170,200</w:t>
            </w:r>
          </w:p>
        </w:tc>
        <w:tc>
          <w:tcPr>
            <w:tcW w:w="616" w:type="pct"/>
            <w:vAlign w:val="bottom"/>
          </w:tcPr>
          <w:p w14:paraId="0D266A75" w14:textId="77777777" w:rsidR="00EC4BC4" w:rsidRPr="006A60CF" w:rsidRDefault="00EC4BC4" w:rsidP="004571E6">
            <w:pPr>
              <w:jc w:val="right"/>
              <w:rPr>
                <w:rFonts w:eastAsia="Calibri"/>
                <w:sz w:val="20"/>
                <w:szCs w:val="20"/>
              </w:rPr>
            </w:pPr>
            <w:r>
              <w:rPr>
                <w:rFonts w:eastAsia="Calibri"/>
                <w:sz w:val="20"/>
                <w:szCs w:val="20"/>
              </w:rPr>
              <w:t>$920</w:t>
            </w:r>
            <w:r w:rsidRPr="006A60CF">
              <w:rPr>
                <w:rFonts w:eastAsia="Calibri"/>
                <w:sz w:val="20"/>
                <w:szCs w:val="20"/>
              </w:rPr>
              <w:t xml:space="preserve"> </w:t>
            </w:r>
          </w:p>
        </w:tc>
      </w:tr>
      <w:tr w:rsidR="00EC4BC4" w:rsidRPr="00D77538" w14:paraId="3A110CB5" w14:textId="77777777" w:rsidTr="004571E6">
        <w:trPr>
          <w:cantSplit/>
          <w:trHeight w:val="485"/>
        </w:trPr>
        <w:tc>
          <w:tcPr>
            <w:tcW w:w="878" w:type="pct"/>
            <w:tcBorders>
              <w:bottom w:val="single" w:sz="4" w:space="0" w:color="auto"/>
            </w:tcBorders>
          </w:tcPr>
          <w:p w14:paraId="3605073F" w14:textId="77777777" w:rsidR="00EC4BC4" w:rsidRPr="006A60CF" w:rsidRDefault="00EC4BC4" w:rsidP="004571E6">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vAlign w:val="bottom"/>
          </w:tcPr>
          <w:p w14:paraId="79F3CCF5" w14:textId="77777777" w:rsidR="00EC4BC4" w:rsidRPr="006A60CF" w:rsidRDefault="00EC4BC4" w:rsidP="004571E6">
            <w:pPr>
              <w:jc w:val="right"/>
              <w:rPr>
                <w:rFonts w:eastAsia="Calibri"/>
                <w:sz w:val="20"/>
                <w:szCs w:val="20"/>
              </w:rPr>
            </w:pPr>
          </w:p>
        </w:tc>
        <w:tc>
          <w:tcPr>
            <w:tcW w:w="703" w:type="pct"/>
            <w:tcBorders>
              <w:bottom w:val="single" w:sz="4" w:space="0" w:color="auto"/>
            </w:tcBorders>
            <w:shd w:val="clear" w:color="auto" w:fill="auto"/>
            <w:vAlign w:val="bottom"/>
          </w:tcPr>
          <w:p w14:paraId="190AC160" w14:textId="77777777" w:rsidR="00EC4BC4" w:rsidRPr="006A60CF" w:rsidRDefault="00EC4BC4" w:rsidP="004571E6">
            <w:pPr>
              <w:tabs>
                <w:tab w:val="center" w:pos="613"/>
                <w:tab w:val="right" w:pos="1227"/>
              </w:tabs>
              <w:jc w:val="right"/>
              <w:rPr>
                <w:rFonts w:eastAsia="Calibri"/>
                <w:b/>
                <w:sz w:val="20"/>
                <w:szCs w:val="20"/>
              </w:rPr>
            </w:pPr>
            <w:r>
              <w:rPr>
                <w:rFonts w:eastAsia="Calibri"/>
                <w:b/>
                <w:sz w:val="20"/>
                <w:szCs w:val="20"/>
              </w:rPr>
              <w:tab/>
            </w:r>
            <w:r>
              <w:rPr>
                <w:rFonts w:eastAsia="Calibri"/>
                <w:b/>
                <w:sz w:val="20"/>
                <w:szCs w:val="20"/>
              </w:rPr>
              <w:tab/>
              <w:t>2,035</w:t>
            </w:r>
          </w:p>
        </w:tc>
        <w:tc>
          <w:tcPr>
            <w:tcW w:w="654" w:type="pct"/>
            <w:tcBorders>
              <w:bottom w:val="single" w:sz="4" w:space="0" w:color="auto"/>
            </w:tcBorders>
            <w:shd w:val="clear" w:color="auto" w:fill="D9D9D9"/>
            <w:vAlign w:val="bottom"/>
          </w:tcPr>
          <w:p w14:paraId="4CA948C8" w14:textId="77777777" w:rsidR="00EC4BC4" w:rsidRPr="006A60CF" w:rsidRDefault="00EC4BC4" w:rsidP="004571E6">
            <w:pPr>
              <w:jc w:val="right"/>
              <w:rPr>
                <w:rFonts w:eastAsia="Calibri"/>
                <w:sz w:val="20"/>
                <w:szCs w:val="20"/>
              </w:rPr>
            </w:pPr>
          </w:p>
        </w:tc>
        <w:tc>
          <w:tcPr>
            <w:tcW w:w="657" w:type="pct"/>
            <w:tcBorders>
              <w:bottom w:val="single" w:sz="4" w:space="0" w:color="auto"/>
            </w:tcBorders>
            <w:vAlign w:val="bottom"/>
          </w:tcPr>
          <w:p w14:paraId="1559F062" w14:textId="77777777" w:rsidR="00EC4BC4" w:rsidRDefault="00EC4BC4" w:rsidP="004571E6">
            <w:pPr>
              <w:jc w:val="right"/>
              <w:rPr>
                <w:rFonts w:eastAsia="Calibri"/>
                <w:b/>
                <w:sz w:val="20"/>
                <w:szCs w:val="20"/>
              </w:rPr>
            </w:pPr>
            <w:r>
              <w:rPr>
                <w:rFonts w:eastAsia="Calibri"/>
                <w:b/>
                <w:sz w:val="20"/>
                <w:szCs w:val="20"/>
              </w:rPr>
              <w:t>165,020</w:t>
            </w:r>
          </w:p>
          <w:p w14:paraId="36679D45" w14:textId="77777777" w:rsidR="00EC4BC4" w:rsidRPr="006A60CF" w:rsidRDefault="00EC4BC4" w:rsidP="004571E6">
            <w:pPr>
              <w:jc w:val="right"/>
              <w:rPr>
                <w:rFonts w:eastAsia="Calibri"/>
                <w:b/>
                <w:sz w:val="20"/>
                <w:szCs w:val="20"/>
              </w:rPr>
            </w:pPr>
            <w:r>
              <w:rPr>
                <w:rFonts w:eastAsia="Calibri"/>
                <w:b/>
                <w:sz w:val="20"/>
                <w:szCs w:val="20"/>
              </w:rPr>
              <w:t>$12,624,955</w:t>
            </w:r>
          </w:p>
        </w:tc>
        <w:tc>
          <w:tcPr>
            <w:tcW w:w="616" w:type="pct"/>
            <w:tcBorders>
              <w:bottom w:val="single" w:sz="4" w:space="0" w:color="auto"/>
            </w:tcBorders>
            <w:vAlign w:val="bottom"/>
          </w:tcPr>
          <w:p w14:paraId="40092659" w14:textId="77777777" w:rsidR="00EC4BC4" w:rsidRPr="006A60CF" w:rsidRDefault="00EC4BC4" w:rsidP="004571E6">
            <w:pPr>
              <w:jc w:val="right"/>
              <w:rPr>
                <w:rFonts w:eastAsia="Calibri"/>
                <w:b/>
                <w:sz w:val="20"/>
                <w:szCs w:val="20"/>
              </w:rPr>
            </w:pPr>
            <w:r w:rsidRPr="006A60CF">
              <w:rPr>
                <w:rFonts w:eastAsia="Calibri"/>
                <w:b/>
                <w:sz w:val="20"/>
                <w:szCs w:val="20"/>
              </w:rPr>
              <w:t>$</w:t>
            </w:r>
            <w:r>
              <w:rPr>
                <w:rFonts w:eastAsia="Calibri"/>
                <w:b/>
                <w:sz w:val="20"/>
                <w:szCs w:val="20"/>
              </w:rPr>
              <w:t>68,243</w:t>
            </w:r>
          </w:p>
        </w:tc>
      </w:tr>
    </w:tbl>
    <w:p w14:paraId="3B215691" w14:textId="77777777" w:rsidR="005535D4" w:rsidRDefault="005535D4" w:rsidP="002E3314">
      <w:pPr>
        <w:spacing w:line="480" w:lineRule="auto"/>
        <w:ind w:firstLine="720"/>
      </w:pPr>
    </w:p>
    <w:p w14:paraId="0902D837"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60BDC06E" w14:textId="228C21C1" w:rsidR="00AE6102" w:rsidRDefault="00AE6102" w:rsidP="00AE6102"/>
    <w:p w14:paraId="2843EAA2" w14:textId="4AED0096" w:rsidR="00AE6102" w:rsidRDefault="00AE6102" w:rsidP="00AE6102"/>
    <w:p w14:paraId="013C54DC" w14:textId="79AD3670" w:rsidR="00AE6102" w:rsidRPr="00AE6102" w:rsidRDefault="00AE6102" w:rsidP="00AE6102">
      <w:pPr>
        <w:ind w:firstLine="2174"/>
        <w:jc w:val="center"/>
      </w:pPr>
      <w:r w:rsidRPr="00AE6102">
        <w:t>Kimberly D. Bose,</w:t>
      </w:r>
    </w:p>
    <w:p w14:paraId="6BEAE543" w14:textId="050E5463" w:rsidR="00AE6102" w:rsidRPr="00AE6102" w:rsidRDefault="00AE6102" w:rsidP="00AE6102">
      <w:pPr>
        <w:ind w:firstLine="2174"/>
        <w:jc w:val="center"/>
      </w:pPr>
      <w:r w:rsidRPr="00AE6102">
        <w:t>Secretary.</w:t>
      </w:r>
    </w:p>
    <w:p w14:paraId="1ED4EC18" w14:textId="77777777" w:rsidR="00AE6102" w:rsidRDefault="00AE6102" w:rsidP="00AE6102"/>
    <w:sectPr w:rsidR="00AE6102" w:rsidSect="00190EB5">
      <w:headerReference w:type="even" r:id="rId19"/>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3022F" w14:textId="77777777" w:rsidR="00AD10F6" w:rsidRDefault="00AD10F6">
      <w:r>
        <w:separator/>
      </w:r>
    </w:p>
  </w:endnote>
  <w:endnote w:type="continuationSeparator" w:id="0">
    <w:p w14:paraId="05139CA8" w14:textId="77777777" w:rsidR="00AD10F6" w:rsidRDefault="00AD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172E2" w14:textId="77777777" w:rsidR="00AD10F6" w:rsidRDefault="00AD10F6">
      <w:r>
        <w:separator/>
      </w:r>
    </w:p>
  </w:footnote>
  <w:footnote w:type="continuationSeparator" w:id="0">
    <w:p w14:paraId="2A8150E2" w14:textId="77777777" w:rsidR="00AD10F6" w:rsidRDefault="00AD10F6">
      <w:r>
        <w:continuationSeparator/>
      </w:r>
    </w:p>
  </w:footnote>
  <w:footnote w:id="1">
    <w:p w14:paraId="4562C4E3" w14:textId="77777777" w:rsidR="00EC4BC4" w:rsidRDefault="00EC4BC4">
      <w:pPr>
        <w:pStyle w:val="FootnoteText"/>
      </w:pPr>
      <w:r>
        <w:rPr>
          <w:rStyle w:val="FootnoteReference"/>
        </w:rPr>
        <w:footnoteRef/>
      </w:r>
      <w:r>
        <w:t xml:space="preserve"> The comment can be found here: </w:t>
      </w:r>
      <w:hyperlink r:id="rId1" w:history="1">
        <w:r w:rsidRPr="007D32FF">
          <w:rPr>
            <w:rStyle w:val="Hyperlink"/>
          </w:rPr>
          <w:t>https://elibrary.ferc.gov/idmws/common/OpenNat.asp?fileID=14615693</w:t>
        </w:r>
      </w:hyperlink>
    </w:p>
  </w:footnote>
  <w:footnote w:id="2">
    <w:p w14:paraId="79281D8A" w14:textId="77777777" w:rsidR="00EC4BC4" w:rsidRPr="007B2F79" w:rsidRDefault="00EC4BC4" w:rsidP="00EC4BC4">
      <w:pPr>
        <w:pStyle w:val="FootnoteText"/>
        <w:rPr>
          <w:sz w:val="26"/>
          <w:szCs w:val="26"/>
        </w:rPr>
      </w:pPr>
      <w:r w:rsidRPr="007B2F79">
        <w:rPr>
          <w:rStyle w:val="FootnoteReference"/>
        </w:rPr>
        <w:footnoteRef/>
      </w:r>
      <w:r w:rsidRPr="007B2F79">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1302389D" w14:textId="77777777" w:rsidR="00EC4BC4" w:rsidRPr="007B2F79" w:rsidRDefault="00EC4BC4" w:rsidP="00EC4BC4">
      <w:pPr>
        <w:pStyle w:val="FootnoteText"/>
        <w:rPr>
          <w:sz w:val="26"/>
          <w:szCs w:val="26"/>
        </w:rPr>
      </w:pPr>
      <w:r w:rsidRPr="007B2F79">
        <w:rPr>
          <w:rStyle w:val="FootnoteReference"/>
        </w:rPr>
        <w:footnoteRef/>
      </w:r>
      <w:r w:rsidRPr="007B2F79">
        <w:rPr>
          <w:sz w:val="26"/>
          <w:szCs w:val="26"/>
        </w:rPr>
        <w:t xml:space="preserve"> The estimates for cost per response are derived using the following formula: 2017 Average Burden Hours per Response * $76.50 per Hour = Average Cost per Response.  The hourly cost figure of $76.50 is the average FERC employee wage plus benefits.  We assume that respondents earn at a similar rate.  </w:t>
      </w:r>
    </w:p>
    <w:p w14:paraId="57428DB7" w14:textId="77777777" w:rsidR="00EC4BC4" w:rsidRPr="007B2F79" w:rsidRDefault="00EC4BC4" w:rsidP="00EC4BC4">
      <w:pPr>
        <w:pStyle w:val="FootnoteText"/>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F143E"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83F4E"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37AD0"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1EAE">
      <w:rPr>
        <w:rStyle w:val="PageNumber"/>
        <w:noProof/>
      </w:rPr>
      <w:t>2</w:t>
    </w:r>
    <w:r>
      <w:rPr>
        <w:rStyle w:val="PageNumber"/>
      </w:rPr>
      <w:fldChar w:fldCharType="end"/>
    </w:r>
  </w:p>
  <w:p w14:paraId="66EB3E60" w14:textId="77777777" w:rsidR="009A6D11" w:rsidRDefault="009A6D11" w:rsidP="0096632C">
    <w:pPr>
      <w:pStyle w:val="Header"/>
      <w:ind w:right="360"/>
    </w:pPr>
    <w:r>
      <w:t>Docket No</w:t>
    </w:r>
    <w:r w:rsidRPr="00EC4BC4">
      <w:t xml:space="preserve">. </w:t>
    </w:r>
    <w:r w:rsidR="00EC4BC4" w:rsidRPr="00EC4BC4">
      <w:t>IC17-11</w:t>
    </w:r>
    <w:r w:rsidRPr="00EC4BC4">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444D7"/>
    <w:rsid w:val="0006335A"/>
    <w:rsid w:val="00072256"/>
    <w:rsid w:val="00072448"/>
    <w:rsid w:val="00080D5F"/>
    <w:rsid w:val="000838BE"/>
    <w:rsid w:val="000854B7"/>
    <w:rsid w:val="00093E92"/>
    <w:rsid w:val="00095258"/>
    <w:rsid w:val="000A27CA"/>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30C5"/>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265E9"/>
    <w:rsid w:val="00252CD0"/>
    <w:rsid w:val="002677D6"/>
    <w:rsid w:val="00285E62"/>
    <w:rsid w:val="0028677A"/>
    <w:rsid w:val="0029476E"/>
    <w:rsid w:val="00296592"/>
    <w:rsid w:val="002A6174"/>
    <w:rsid w:val="002B62A0"/>
    <w:rsid w:val="002C0ECB"/>
    <w:rsid w:val="002C23E9"/>
    <w:rsid w:val="002E2667"/>
    <w:rsid w:val="002E3314"/>
    <w:rsid w:val="002F1283"/>
    <w:rsid w:val="002F5FB8"/>
    <w:rsid w:val="003178F3"/>
    <w:rsid w:val="00317A96"/>
    <w:rsid w:val="00321EB8"/>
    <w:rsid w:val="00323139"/>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571E6"/>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768D"/>
    <w:rsid w:val="006615E1"/>
    <w:rsid w:val="0068483B"/>
    <w:rsid w:val="0069142C"/>
    <w:rsid w:val="00695504"/>
    <w:rsid w:val="006A2074"/>
    <w:rsid w:val="006A4D89"/>
    <w:rsid w:val="006B4821"/>
    <w:rsid w:val="006C57B1"/>
    <w:rsid w:val="006D1EAE"/>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A4A"/>
    <w:rsid w:val="007E52AC"/>
    <w:rsid w:val="007E6973"/>
    <w:rsid w:val="007E699A"/>
    <w:rsid w:val="007E7573"/>
    <w:rsid w:val="007F4F94"/>
    <w:rsid w:val="007F7E3C"/>
    <w:rsid w:val="008024B2"/>
    <w:rsid w:val="00804E53"/>
    <w:rsid w:val="00822C8E"/>
    <w:rsid w:val="00827DA2"/>
    <w:rsid w:val="00827DD8"/>
    <w:rsid w:val="0083270A"/>
    <w:rsid w:val="00834B9E"/>
    <w:rsid w:val="00841CCE"/>
    <w:rsid w:val="00852671"/>
    <w:rsid w:val="00855434"/>
    <w:rsid w:val="0085560E"/>
    <w:rsid w:val="008647BA"/>
    <w:rsid w:val="00865E72"/>
    <w:rsid w:val="0087254C"/>
    <w:rsid w:val="008814F7"/>
    <w:rsid w:val="00887721"/>
    <w:rsid w:val="00891E91"/>
    <w:rsid w:val="00893FB3"/>
    <w:rsid w:val="008956A4"/>
    <w:rsid w:val="008B5814"/>
    <w:rsid w:val="008D7DF2"/>
    <w:rsid w:val="008E4CB7"/>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4F6E"/>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56C"/>
    <w:rsid w:val="00A56980"/>
    <w:rsid w:val="00A60681"/>
    <w:rsid w:val="00A72F11"/>
    <w:rsid w:val="00A96311"/>
    <w:rsid w:val="00A9631E"/>
    <w:rsid w:val="00AA7819"/>
    <w:rsid w:val="00AB0A99"/>
    <w:rsid w:val="00AB20D8"/>
    <w:rsid w:val="00AB58C3"/>
    <w:rsid w:val="00AC4CC5"/>
    <w:rsid w:val="00AC7480"/>
    <w:rsid w:val="00AD10F6"/>
    <w:rsid w:val="00AE0995"/>
    <w:rsid w:val="00AE6102"/>
    <w:rsid w:val="00AF06CA"/>
    <w:rsid w:val="00AF1892"/>
    <w:rsid w:val="00AF4F93"/>
    <w:rsid w:val="00B018B9"/>
    <w:rsid w:val="00B2244D"/>
    <w:rsid w:val="00B3254F"/>
    <w:rsid w:val="00B33628"/>
    <w:rsid w:val="00B337D1"/>
    <w:rsid w:val="00B4431A"/>
    <w:rsid w:val="00B460AF"/>
    <w:rsid w:val="00B62B35"/>
    <w:rsid w:val="00B710EA"/>
    <w:rsid w:val="00B74D03"/>
    <w:rsid w:val="00B75595"/>
    <w:rsid w:val="00B806DB"/>
    <w:rsid w:val="00B81BC5"/>
    <w:rsid w:val="00B835C5"/>
    <w:rsid w:val="00B87F46"/>
    <w:rsid w:val="00B97BC8"/>
    <w:rsid w:val="00BB1C54"/>
    <w:rsid w:val="00BC1B93"/>
    <w:rsid w:val="00BD0A6B"/>
    <w:rsid w:val="00BD15D4"/>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E63AE"/>
    <w:rsid w:val="00CF0A7E"/>
    <w:rsid w:val="00CF5B9A"/>
    <w:rsid w:val="00D02D61"/>
    <w:rsid w:val="00D225FB"/>
    <w:rsid w:val="00D2359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310B1"/>
    <w:rsid w:val="00E35ECB"/>
    <w:rsid w:val="00E4230F"/>
    <w:rsid w:val="00E436DC"/>
    <w:rsid w:val="00E43FF3"/>
    <w:rsid w:val="00E52021"/>
    <w:rsid w:val="00E521EB"/>
    <w:rsid w:val="00E57F5B"/>
    <w:rsid w:val="00E57FC8"/>
    <w:rsid w:val="00E60318"/>
    <w:rsid w:val="00E6445A"/>
    <w:rsid w:val="00E6573E"/>
    <w:rsid w:val="00E92ACF"/>
    <w:rsid w:val="00E94542"/>
    <w:rsid w:val="00E9701C"/>
    <w:rsid w:val="00EA07A3"/>
    <w:rsid w:val="00EA26F9"/>
    <w:rsid w:val="00EA3F0A"/>
    <w:rsid w:val="00EA4BD0"/>
    <w:rsid w:val="00EA5739"/>
    <w:rsid w:val="00EB6628"/>
    <w:rsid w:val="00EB6EE6"/>
    <w:rsid w:val="00EC4610"/>
    <w:rsid w:val="00EC4BC4"/>
    <w:rsid w:val="00EC7372"/>
    <w:rsid w:val="00EE4F64"/>
    <w:rsid w:val="00EE5F32"/>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212C"/>
    <w:rsid w:val="00F500B7"/>
    <w:rsid w:val="00F567F0"/>
    <w:rsid w:val="00F619B0"/>
    <w:rsid w:val="00F62C6E"/>
    <w:rsid w:val="00F63C6E"/>
    <w:rsid w:val="00F72A15"/>
    <w:rsid w:val="00F730F8"/>
    <w:rsid w:val="00F75289"/>
    <w:rsid w:val="00F80272"/>
    <w:rsid w:val="00FA1560"/>
    <w:rsid w:val="00FA2A52"/>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FD5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link w:val="FootnoteText"/>
    <w:rsid w:val="009A6D11"/>
    <w:rPr>
      <w:sz w:val="22"/>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EC4BC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link w:val="FootnoteText"/>
    <w:rsid w:val="009A6D11"/>
    <w:rPr>
      <w:sz w:val="22"/>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EC4B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4615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7BB93-E975-4E15-A525-5226BDDBAC63}">
  <ds:schemaRefs>
    <ds:schemaRef ds:uri="http://schemas.microsoft.com/sharepoint/v3/contenttype/forms"/>
  </ds:schemaRefs>
</ds:datastoreItem>
</file>

<file path=customXml/itemProps2.xml><?xml version="1.0" encoding="utf-8"?>
<ds:datastoreItem xmlns:ds="http://schemas.openxmlformats.org/officeDocument/2006/customXml" ds:itemID="{9CF4E53F-D0DE-442F-82EE-013685C4E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E4360-79D2-4ABC-9DC6-3C6017C6544C}">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F14E2CAC-86C9-450C-9C1A-12D2061303A8}">
  <ds:schemaRefs>
    <ds:schemaRef ds:uri="http://schemas.microsoft.com/office/2006/metadata/longProperties"/>
  </ds:schemaRefs>
</ds:datastoreItem>
</file>

<file path=customXml/itemProps5.xml><?xml version="1.0" encoding="utf-8"?>
<ds:datastoreItem xmlns:ds="http://schemas.openxmlformats.org/officeDocument/2006/customXml" ds:itemID="{8ED524E4-3932-4106-8519-E538DA674773}">
  <ds:schemaRefs>
    <ds:schemaRef ds:uri="Microsoft.SharePoint.Taxonomy.ContentTypeSync"/>
  </ds:schemaRefs>
</ds:datastoreItem>
</file>

<file path=customXml/itemProps6.xml><?xml version="1.0" encoding="utf-8"?>
<ds:datastoreItem xmlns:ds="http://schemas.openxmlformats.org/officeDocument/2006/customXml" ds:itemID="{5240EF46-1C14-46C8-B0DE-45C02212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10069</CharactersWithSpaces>
  <SharedDoc>false</SharedDoc>
  <HyperlinkBase/>
  <HLinks>
    <vt:vector size="36"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ariant>
        <vt:i4>7471154</vt:i4>
      </vt:variant>
      <vt:variant>
        <vt:i4>0</vt:i4>
      </vt:variant>
      <vt:variant>
        <vt:i4>0</vt:i4>
      </vt:variant>
      <vt:variant>
        <vt:i4>5</vt:i4>
      </vt:variant>
      <vt:variant>
        <vt:lpwstr>https://elibrary.ferc.gov/idmws/common/OpenNat.asp?fileID=14615693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2017-07-26T14:29:00Z</dcterms:created>
  <dcterms:modified xsi:type="dcterms:W3CDTF">2017-07-26T14:29:00Z</dcterms:modified>
  <cp:category/>
  <dc:identifier/>
  <cp:contentStatus/>
  <cp:version/>
</cp:coreProperties>
</file>