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238E0B83" w14:textId="77777777" w:rsidR="00D001E4" w:rsidRDefault="00711414">
          <w:pPr>
            <w:rPr>
              <w:noProof/>
            </w:rPr>
          </w:pPr>
          <w:r>
            <w:rPr>
              <w:noProof/>
            </w:rPr>
            <mc:AlternateContent>
              <mc:Choice Requires="wps">
                <w:drawing>
                  <wp:anchor distT="0" distB="0" distL="114300" distR="114300" simplePos="0" relativeHeight="251676672" behindDoc="1" locked="0" layoutInCell="1" allowOverlap="1" wp14:anchorId="4EF83DFA" wp14:editId="246E71CB">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5EB34E"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Pr>
              <w:noProof/>
            </w:rPr>
            <w:drawing>
              <wp:anchor distT="0" distB="0" distL="114300" distR="114300" simplePos="0" relativeHeight="251675647" behindDoc="0" locked="0" layoutInCell="1" allowOverlap="1" wp14:anchorId="3C1047A5" wp14:editId="5799690B">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335FBE9D" wp14:editId="7B204AEC">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D273D1"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1B5C574A" w14:textId="77777777" w:rsidR="00041909" w:rsidRDefault="001F3A8F" w:rsidP="00D928FD">
          <w:pPr>
            <w:ind w:left="1080"/>
          </w:pPr>
          <w:r>
            <w:rPr>
              <w:noProof/>
            </w:rPr>
            <w:softHyphen/>
          </w:r>
          <w:r>
            <w:rPr>
              <w:noProof/>
            </w:rPr>
            <w:softHyphen/>
          </w:r>
          <w:r>
            <w:rPr>
              <w:noProof/>
            </w:rPr>
            <w:softHyphen/>
          </w:r>
        </w:p>
      </w:sdtContent>
    </w:sdt>
    <w:p w14:paraId="408D7C49"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0EE5E486" w14:textId="77777777" w:rsidR="00711414" w:rsidRDefault="0059212D"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0466C0">
            <w:rPr>
              <w:rFonts w:ascii="Times New Roman" w:hAnsi="Times New Roman" w:cs="Times New Roman"/>
              <w:color w:val="139CD8"/>
              <w:sz w:val="56"/>
              <w:szCs w:val="52"/>
            </w:rPr>
            <w:t>Petroleum Marketing Program</w:t>
          </w:r>
        </w:p>
      </w:sdtContent>
    </w:sdt>
    <w:p w14:paraId="247CA0A7" w14:textId="77777777" w:rsidR="0059212D" w:rsidRPr="007E53C4" w:rsidRDefault="007E53C4" w:rsidP="007E53C4">
      <w:pPr>
        <w:pStyle w:val="Heading1"/>
      </w:pPr>
      <w:bookmarkStart w:id="1" w:name="_Toc466046933"/>
      <w:r w:rsidRPr="007E53C4">
        <w:t>Part B</w:t>
      </w:r>
      <w:r w:rsidR="00EE2CAF" w:rsidRPr="007E53C4">
        <w:t xml:space="preserve">: </w:t>
      </w:r>
      <w:r w:rsidRPr="007E53C4">
        <w:t>Collections of Information Employing Statistical Methods</w:t>
      </w:r>
      <w:bookmarkEnd w:id="1"/>
    </w:p>
    <w:p w14:paraId="5C2BF471" w14:textId="77777777" w:rsidR="00711414" w:rsidRPr="00711414" w:rsidRDefault="007E53C4" w:rsidP="00D928FD">
      <w:pPr>
        <w:rPr>
          <w:b/>
          <w:sz w:val="36"/>
          <w:szCs w:val="36"/>
        </w:rPr>
      </w:pPr>
      <w:r>
        <w:rPr>
          <w:noProof/>
        </w:rPr>
        <mc:AlternateContent>
          <mc:Choice Requires="wps">
            <w:drawing>
              <wp:anchor distT="0" distB="0" distL="114300" distR="114300" simplePos="0" relativeHeight="251693056" behindDoc="0" locked="0" layoutInCell="1" allowOverlap="1" wp14:anchorId="20E7414A" wp14:editId="62C0699B">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C568" w14:textId="77777777" w:rsidR="00C86514" w:rsidRDefault="00C86514" w:rsidP="00E0419A">
                            <w:pPr>
                              <w:spacing w:after="0"/>
                              <w:rPr>
                                <w:i/>
                                <w:sz w:val="28"/>
                                <w:szCs w:val="28"/>
                              </w:rPr>
                            </w:pPr>
                            <w:r w:rsidRPr="00811836">
                              <w:rPr>
                                <w:i/>
                                <w:sz w:val="28"/>
                                <w:szCs w:val="28"/>
                              </w:rPr>
                              <w:t>Form EIA-14</w:t>
                            </w:r>
                            <w:r>
                              <w:rPr>
                                <w:i/>
                                <w:sz w:val="28"/>
                                <w:szCs w:val="28"/>
                              </w:rPr>
                              <w:t xml:space="preserve">, </w:t>
                            </w:r>
                            <w:r w:rsidRPr="00811836">
                              <w:rPr>
                                <w:i/>
                                <w:sz w:val="28"/>
                                <w:szCs w:val="28"/>
                              </w:rPr>
                              <w:t>Refiners’ Monthly Cost Report</w:t>
                            </w:r>
                          </w:p>
                          <w:p w14:paraId="244BF71B" w14:textId="77777777" w:rsidR="00C86514" w:rsidRPr="00811836" w:rsidRDefault="00C86514" w:rsidP="00E0419A">
                            <w:pPr>
                              <w:spacing w:after="0"/>
                              <w:rPr>
                                <w:i/>
                                <w:sz w:val="28"/>
                                <w:szCs w:val="28"/>
                              </w:rPr>
                            </w:pPr>
                            <w:r w:rsidRPr="00811836">
                              <w:rPr>
                                <w:i/>
                                <w:sz w:val="28"/>
                                <w:szCs w:val="28"/>
                              </w:rPr>
                              <w:t>Form EIA-182</w:t>
                            </w:r>
                            <w:r>
                              <w:rPr>
                                <w:i/>
                                <w:sz w:val="28"/>
                                <w:szCs w:val="28"/>
                              </w:rPr>
                              <w:t xml:space="preserve">, </w:t>
                            </w:r>
                            <w:r w:rsidRPr="00811836">
                              <w:rPr>
                                <w:i/>
                                <w:sz w:val="28"/>
                                <w:szCs w:val="28"/>
                              </w:rPr>
                              <w:t xml:space="preserve">Domestic Crude Oil First Purchase Report </w:t>
                            </w:r>
                          </w:p>
                          <w:p w14:paraId="115395DC" w14:textId="77777777" w:rsidR="00C86514" w:rsidRPr="00811836" w:rsidRDefault="00C86514" w:rsidP="00E0419A">
                            <w:pPr>
                              <w:spacing w:after="0"/>
                              <w:rPr>
                                <w:i/>
                                <w:sz w:val="28"/>
                                <w:szCs w:val="28"/>
                              </w:rPr>
                            </w:pPr>
                            <w:r w:rsidRPr="00811836">
                              <w:rPr>
                                <w:i/>
                                <w:sz w:val="28"/>
                                <w:szCs w:val="28"/>
                              </w:rPr>
                              <w:t>Form EIA-782A</w:t>
                            </w:r>
                            <w:r>
                              <w:rPr>
                                <w:i/>
                                <w:sz w:val="28"/>
                                <w:szCs w:val="28"/>
                              </w:rPr>
                              <w:t xml:space="preserve">, </w:t>
                            </w:r>
                            <w:r w:rsidRPr="00811836">
                              <w:rPr>
                                <w:i/>
                                <w:sz w:val="28"/>
                                <w:szCs w:val="28"/>
                              </w:rPr>
                              <w:t xml:space="preserve">Refiners’/Gas Plant Operators’ Monthly Petroleum Product Sales Report </w:t>
                            </w:r>
                          </w:p>
                          <w:p w14:paraId="4EA8E499" w14:textId="77777777" w:rsidR="00C86514" w:rsidRPr="00811836" w:rsidRDefault="00C86514" w:rsidP="00E0419A">
                            <w:pPr>
                              <w:spacing w:after="0"/>
                              <w:rPr>
                                <w:i/>
                                <w:sz w:val="28"/>
                                <w:szCs w:val="28"/>
                              </w:rPr>
                            </w:pPr>
                            <w:r w:rsidRPr="00811836">
                              <w:rPr>
                                <w:i/>
                                <w:sz w:val="28"/>
                                <w:szCs w:val="28"/>
                              </w:rPr>
                              <w:t>Form EIA</w:t>
                            </w:r>
                            <w:r>
                              <w:rPr>
                                <w:i/>
                                <w:sz w:val="28"/>
                                <w:szCs w:val="28"/>
                              </w:rPr>
                              <w:t>-</w:t>
                            </w:r>
                            <w:r w:rsidRPr="00811836">
                              <w:rPr>
                                <w:i/>
                                <w:sz w:val="28"/>
                                <w:szCs w:val="28"/>
                              </w:rPr>
                              <w:t>782C</w:t>
                            </w:r>
                            <w:r>
                              <w:rPr>
                                <w:i/>
                                <w:sz w:val="28"/>
                                <w:szCs w:val="28"/>
                              </w:rPr>
                              <w:t xml:space="preserve">, </w:t>
                            </w:r>
                            <w:r w:rsidRPr="00811836">
                              <w:rPr>
                                <w:i/>
                                <w:sz w:val="28"/>
                                <w:szCs w:val="28"/>
                              </w:rPr>
                              <w:t xml:space="preserve">Monthly Report of Prime Supplier Sales of Petroleum Products Sold for Local Consumption </w:t>
                            </w:r>
                          </w:p>
                          <w:p w14:paraId="4056ACF4" w14:textId="77777777" w:rsidR="00C86514" w:rsidRPr="00811836" w:rsidRDefault="00C86514" w:rsidP="00E0419A">
                            <w:pPr>
                              <w:spacing w:after="0"/>
                              <w:rPr>
                                <w:i/>
                                <w:sz w:val="28"/>
                                <w:szCs w:val="28"/>
                              </w:rPr>
                            </w:pPr>
                            <w:r w:rsidRPr="00811836">
                              <w:rPr>
                                <w:i/>
                                <w:sz w:val="28"/>
                                <w:szCs w:val="28"/>
                              </w:rPr>
                              <w:t>Form EIA</w:t>
                            </w:r>
                            <w:r>
                              <w:rPr>
                                <w:i/>
                                <w:sz w:val="28"/>
                                <w:szCs w:val="28"/>
                              </w:rPr>
                              <w:t>-</w:t>
                            </w:r>
                            <w:r w:rsidRPr="00811836">
                              <w:rPr>
                                <w:i/>
                                <w:sz w:val="28"/>
                                <w:szCs w:val="28"/>
                              </w:rPr>
                              <w:t>821</w:t>
                            </w:r>
                            <w:r>
                              <w:rPr>
                                <w:i/>
                                <w:sz w:val="28"/>
                                <w:szCs w:val="28"/>
                              </w:rPr>
                              <w:t xml:space="preserve">, </w:t>
                            </w:r>
                            <w:r w:rsidRPr="00811836">
                              <w:rPr>
                                <w:i/>
                                <w:sz w:val="28"/>
                                <w:szCs w:val="28"/>
                              </w:rPr>
                              <w:t xml:space="preserve">Annual Fuel Oil and Kerosene Sales Report </w:t>
                            </w:r>
                          </w:p>
                          <w:p w14:paraId="5835F1A5" w14:textId="77777777" w:rsidR="00C86514" w:rsidRPr="00811836" w:rsidRDefault="00C86514" w:rsidP="00E0419A">
                            <w:pPr>
                              <w:spacing w:after="0"/>
                              <w:rPr>
                                <w:i/>
                                <w:sz w:val="28"/>
                                <w:szCs w:val="28"/>
                              </w:rPr>
                            </w:pPr>
                            <w:r>
                              <w:rPr>
                                <w:i/>
                                <w:sz w:val="28"/>
                                <w:szCs w:val="28"/>
                              </w:rPr>
                              <w:t>Form EIA-</w:t>
                            </w:r>
                            <w:r w:rsidRPr="00811836">
                              <w:rPr>
                                <w:i/>
                                <w:sz w:val="28"/>
                                <w:szCs w:val="28"/>
                              </w:rPr>
                              <w:t>856</w:t>
                            </w:r>
                            <w:r>
                              <w:rPr>
                                <w:i/>
                                <w:sz w:val="28"/>
                                <w:szCs w:val="28"/>
                              </w:rPr>
                              <w:t xml:space="preserve">, </w:t>
                            </w:r>
                            <w:r w:rsidRPr="00811836">
                              <w:rPr>
                                <w:i/>
                                <w:sz w:val="28"/>
                                <w:szCs w:val="28"/>
                              </w:rPr>
                              <w:t xml:space="preserve">Monthly Foreign Crude Oil Acquisition Report </w:t>
                            </w:r>
                          </w:p>
                          <w:p w14:paraId="28841B16" w14:textId="77777777" w:rsidR="00C86514" w:rsidRPr="00811836" w:rsidRDefault="00C86514" w:rsidP="00E0419A">
                            <w:pPr>
                              <w:spacing w:after="0"/>
                              <w:rPr>
                                <w:i/>
                                <w:sz w:val="28"/>
                                <w:szCs w:val="28"/>
                              </w:rPr>
                            </w:pPr>
                            <w:r>
                              <w:rPr>
                                <w:i/>
                                <w:sz w:val="28"/>
                                <w:szCs w:val="28"/>
                              </w:rPr>
                              <w:t>Form EIA-</w:t>
                            </w:r>
                            <w:r w:rsidRPr="00811836">
                              <w:rPr>
                                <w:i/>
                                <w:sz w:val="28"/>
                                <w:szCs w:val="28"/>
                              </w:rPr>
                              <w:t>863</w:t>
                            </w:r>
                            <w:r>
                              <w:rPr>
                                <w:i/>
                                <w:sz w:val="28"/>
                                <w:szCs w:val="28"/>
                              </w:rPr>
                              <w:t xml:space="preserve">, </w:t>
                            </w:r>
                            <w:r w:rsidRPr="00811836">
                              <w:rPr>
                                <w:i/>
                                <w:sz w:val="28"/>
                                <w:szCs w:val="28"/>
                              </w:rPr>
                              <w:t xml:space="preserve">Petroleum Product Sales Identification Survey </w:t>
                            </w:r>
                          </w:p>
                          <w:p w14:paraId="6F0FF428" w14:textId="77777777" w:rsidR="00C86514" w:rsidRPr="00811836" w:rsidRDefault="00C86514" w:rsidP="00E0419A">
                            <w:pPr>
                              <w:spacing w:after="0"/>
                              <w:rPr>
                                <w:i/>
                                <w:sz w:val="28"/>
                                <w:szCs w:val="28"/>
                              </w:rPr>
                            </w:pPr>
                            <w:r w:rsidRPr="00811836">
                              <w:rPr>
                                <w:i/>
                                <w:sz w:val="28"/>
                                <w:szCs w:val="28"/>
                              </w:rPr>
                              <w:t>Form EIA-877</w:t>
                            </w:r>
                            <w:r>
                              <w:rPr>
                                <w:i/>
                                <w:sz w:val="28"/>
                                <w:szCs w:val="28"/>
                              </w:rPr>
                              <w:t xml:space="preserve">, </w:t>
                            </w:r>
                            <w:r w:rsidRPr="00811836">
                              <w:rPr>
                                <w:i/>
                                <w:sz w:val="28"/>
                                <w:szCs w:val="28"/>
                              </w:rPr>
                              <w:t xml:space="preserve">Winter Heating Fuels Telephone Survey </w:t>
                            </w:r>
                          </w:p>
                          <w:p w14:paraId="52168237" w14:textId="77777777" w:rsidR="00C86514" w:rsidRPr="00811836" w:rsidRDefault="00C86514" w:rsidP="00E0419A">
                            <w:pPr>
                              <w:spacing w:after="0"/>
                              <w:rPr>
                                <w:i/>
                                <w:sz w:val="28"/>
                                <w:szCs w:val="28"/>
                              </w:rPr>
                            </w:pPr>
                            <w:r w:rsidRPr="00811836">
                              <w:rPr>
                                <w:i/>
                                <w:sz w:val="28"/>
                                <w:szCs w:val="28"/>
                              </w:rPr>
                              <w:t>Form EIA-878</w:t>
                            </w:r>
                            <w:r>
                              <w:rPr>
                                <w:i/>
                                <w:sz w:val="28"/>
                                <w:szCs w:val="28"/>
                              </w:rPr>
                              <w:t xml:space="preserve">, </w:t>
                            </w:r>
                            <w:r w:rsidRPr="00811836">
                              <w:rPr>
                                <w:i/>
                                <w:sz w:val="28"/>
                                <w:szCs w:val="28"/>
                              </w:rPr>
                              <w:t xml:space="preserve">Motor Gasoline Price Survey </w:t>
                            </w:r>
                          </w:p>
                          <w:p w14:paraId="448E502C" w14:textId="77777777" w:rsidR="00C86514" w:rsidRPr="0059212D" w:rsidRDefault="00C86514" w:rsidP="00E0419A">
                            <w:pPr>
                              <w:rPr>
                                <w:i/>
                                <w:sz w:val="28"/>
                                <w:szCs w:val="28"/>
                              </w:rPr>
                            </w:pPr>
                            <w:r w:rsidRPr="00811836">
                              <w:rPr>
                                <w:i/>
                                <w:sz w:val="28"/>
                                <w:szCs w:val="28"/>
                              </w:rPr>
                              <w:t>Form EIA-888</w:t>
                            </w:r>
                            <w:r>
                              <w:rPr>
                                <w:i/>
                                <w:sz w:val="28"/>
                                <w:szCs w:val="28"/>
                              </w:rPr>
                              <w:t xml:space="preserve">, </w:t>
                            </w:r>
                            <w:r w:rsidRPr="00811836">
                              <w:rPr>
                                <w:i/>
                                <w:sz w:val="28"/>
                                <w:szCs w:val="28"/>
                              </w:rPr>
                              <w:t>On-Highway Diesel Fuel Price Survey</w:t>
                            </w:r>
                          </w:p>
                          <w:p w14:paraId="22A679CF" w14:textId="77777777" w:rsidR="00C86514" w:rsidRPr="0059212D" w:rsidRDefault="00C86514" w:rsidP="00FB6BF3">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55.75pt;width:47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" filled="f" stroked="f">
                <v:textbox inset="0">
                  <w:txbxContent>
                    <w:p w14:paraId="4BB2C568" w14:textId="77777777" w:rsidR="00C86514" w:rsidRDefault="00C86514" w:rsidP="00E0419A">
                      <w:pPr>
                        <w:spacing w:after="0"/>
                        <w:rPr>
                          <w:i/>
                          <w:sz w:val="28"/>
                          <w:szCs w:val="28"/>
                        </w:rPr>
                      </w:pPr>
                      <w:r w:rsidRPr="00811836">
                        <w:rPr>
                          <w:i/>
                          <w:sz w:val="28"/>
                          <w:szCs w:val="28"/>
                        </w:rPr>
                        <w:t>Form EIA-14</w:t>
                      </w:r>
                      <w:r>
                        <w:rPr>
                          <w:i/>
                          <w:sz w:val="28"/>
                          <w:szCs w:val="28"/>
                        </w:rPr>
                        <w:t xml:space="preserve">, </w:t>
                      </w:r>
                      <w:r w:rsidRPr="00811836">
                        <w:rPr>
                          <w:i/>
                          <w:sz w:val="28"/>
                          <w:szCs w:val="28"/>
                        </w:rPr>
                        <w:t>Refiners’ Monthly Cost Report</w:t>
                      </w:r>
                    </w:p>
                    <w:p w14:paraId="244BF71B" w14:textId="77777777" w:rsidR="00C86514" w:rsidRPr="00811836" w:rsidRDefault="00C86514" w:rsidP="00E0419A">
                      <w:pPr>
                        <w:spacing w:after="0"/>
                        <w:rPr>
                          <w:i/>
                          <w:sz w:val="28"/>
                          <w:szCs w:val="28"/>
                        </w:rPr>
                      </w:pPr>
                      <w:r w:rsidRPr="00811836">
                        <w:rPr>
                          <w:i/>
                          <w:sz w:val="28"/>
                          <w:szCs w:val="28"/>
                        </w:rPr>
                        <w:t>Form EIA-182</w:t>
                      </w:r>
                      <w:r>
                        <w:rPr>
                          <w:i/>
                          <w:sz w:val="28"/>
                          <w:szCs w:val="28"/>
                        </w:rPr>
                        <w:t xml:space="preserve">, </w:t>
                      </w:r>
                      <w:r w:rsidRPr="00811836">
                        <w:rPr>
                          <w:i/>
                          <w:sz w:val="28"/>
                          <w:szCs w:val="28"/>
                        </w:rPr>
                        <w:t xml:space="preserve">Domestic Crude Oil First Purchase Report </w:t>
                      </w:r>
                    </w:p>
                    <w:p w14:paraId="115395DC" w14:textId="77777777" w:rsidR="00C86514" w:rsidRPr="00811836" w:rsidRDefault="00C86514" w:rsidP="00E0419A">
                      <w:pPr>
                        <w:spacing w:after="0"/>
                        <w:rPr>
                          <w:i/>
                          <w:sz w:val="28"/>
                          <w:szCs w:val="28"/>
                        </w:rPr>
                      </w:pPr>
                      <w:r w:rsidRPr="00811836">
                        <w:rPr>
                          <w:i/>
                          <w:sz w:val="28"/>
                          <w:szCs w:val="28"/>
                        </w:rPr>
                        <w:t>Form EIA-782A</w:t>
                      </w:r>
                      <w:r>
                        <w:rPr>
                          <w:i/>
                          <w:sz w:val="28"/>
                          <w:szCs w:val="28"/>
                        </w:rPr>
                        <w:t xml:space="preserve">, </w:t>
                      </w:r>
                      <w:r w:rsidRPr="00811836">
                        <w:rPr>
                          <w:i/>
                          <w:sz w:val="28"/>
                          <w:szCs w:val="28"/>
                        </w:rPr>
                        <w:t xml:space="preserve">Refiners’/Gas Plant Operators’ Monthly Petroleum Product Sales Report </w:t>
                      </w:r>
                    </w:p>
                    <w:p w14:paraId="4EA8E499" w14:textId="77777777" w:rsidR="00C86514" w:rsidRPr="00811836" w:rsidRDefault="00C86514" w:rsidP="00E0419A">
                      <w:pPr>
                        <w:spacing w:after="0"/>
                        <w:rPr>
                          <w:i/>
                          <w:sz w:val="28"/>
                          <w:szCs w:val="28"/>
                        </w:rPr>
                      </w:pPr>
                      <w:r w:rsidRPr="00811836">
                        <w:rPr>
                          <w:i/>
                          <w:sz w:val="28"/>
                          <w:szCs w:val="28"/>
                        </w:rPr>
                        <w:t>Form EIA</w:t>
                      </w:r>
                      <w:r>
                        <w:rPr>
                          <w:i/>
                          <w:sz w:val="28"/>
                          <w:szCs w:val="28"/>
                        </w:rPr>
                        <w:t>-</w:t>
                      </w:r>
                      <w:r w:rsidRPr="00811836">
                        <w:rPr>
                          <w:i/>
                          <w:sz w:val="28"/>
                          <w:szCs w:val="28"/>
                        </w:rPr>
                        <w:t>782C</w:t>
                      </w:r>
                      <w:r>
                        <w:rPr>
                          <w:i/>
                          <w:sz w:val="28"/>
                          <w:szCs w:val="28"/>
                        </w:rPr>
                        <w:t xml:space="preserve">, </w:t>
                      </w:r>
                      <w:r w:rsidRPr="00811836">
                        <w:rPr>
                          <w:i/>
                          <w:sz w:val="28"/>
                          <w:szCs w:val="28"/>
                        </w:rPr>
                        <w:t xml:space="preserve">Monthly Report of Prime Supplier Sales of Petroleum Products Sold for Local Consumption </w:t>
                      </w:r>
                    </w:p>
                    <w:p w14:paraId="4056ACF4" w14:textId="77777777" w:rsidR="00C86514" w:rsidRPr="00811836" w:rsidRDefault="00C86514" w:rsidP="00E0419A">
                      <w:pPr>
                        <w:spacing w:after="0"/>
                        <w:rPr>
                          <w:i/>
                          <w:sz w:val="28"/>
                          <w:szCs w:val="28"/>
                        </w:rPr>
                      </w:pPr>
                      <w:r w:rsidRPr="00811836">
                        <w:rPr>
                          <w:i/>
                          <w:sz w:val="28"/>
                          <w:szCs w:val="28"/>
                        </w:rPr>
                        <w:t>Form EIA</w:t>
                      </w:r>
                      <w:r>
                        <w:rPr>
                          <w:i/>
                          <w:sz w:val="28"/>
                          <w:szCs w:val="28"/>
                        </w:rPr>
                        <w:t>-</w:t>
                      </w:r>
                      <w:r w:rsidRPr="00811836">
                        <w:rPr>
                          <w:i/>
                          <w:sz w:val="28"/>
                          <w:szCs w:val="28"/>
                        </w:rPr>
                        <w:t>821</w:t>
                      </w:r>
                      <w:r>
                        <w:rPr>
                          <w:i/>
                          <w:sz w:val="28"/>
                          <w:szCs w:val="28"/>
                        </w:rPr>
                        <w:t xml:space="preserve">, </w:t>
                      </w:r>
                      <w:r w:rsidRPr="00811836">
                        <w:rPr>
                          <w:i/>
                          <w:sz w:val="28"/>
                          <w:szCs w:val="28"/>
                        </w:rPr>
                        <w:t xml:space="preserve">Annual Fuel Oil and Kerosene Sales Report </w:t>
                      </w:r>
                    </w:p>
                    <w:p w14:paraId="5835F1A5" w14:textId="77777777" w:rsidR="00C86514" w:rsidRPr="00811836" w:rsidRDefault="00C86514" w:rsidP="00E0419A">
                      <w:pPr>
                        <w:spacing w:after="0"/>
                        <w:rPr>
                          <w:i/>
                          <w:sz w:val="28"/>
                          <w:szCs w:val="28"/>
                        </w:rPr>
                      </w:pPr>
                      <w:r>
                        <w:rPr>
                          <w:i/>
                          <w:sz w:val="28"/>
                          <w:szCs w:val="28"/>
                        </w:rPr>
                        <w:t>Form EIA-</w:t>
                      </w:r>
                      <w:r w:rsidRPr="00811836">
                        <w:rPr>
                          <w:i/>
                          <w:sz w:val="28"/>
                          <w:szCs w:val="28"/>
                        </w:rPr>
                        <w:t>856</w:t>
                      </w:r>
                      <w:r>
                        <w:rPr>
                          <w:i/>
                          <w:sz w:val="28"/>
                          <w:szCs w:val="28"/>
                        </w:rPr>
                        <w:t xml:space="preserve">, </w:t>
                      </w:r>
                      <w:r w:rsidRPr="00811836">
                        <w:rPr>
                          <w:i/>
                          <w:sz w:val="28"/>
                          <w:szCs w:val="28"/>
                        </w:rPr>
                        <w:t xml:space="preserve">Monthly Foreign Crude Oil Acquisition Report </w:t>
                      </w:r>
                    </w:p>
                    <w:p w14:paraId="28841B16" w14:textId="77777777" w:rsidR="00C86514" w:rsidRPr="00811836" w:rsidRDefault="00C86514" w:rsidP="00E0419A">
                      <w:pPr>
                        <w:spacing w:after="0"/>
                        <w:rPr>
                          <w:i/>
                          <w:sz w:val="28"/>
                          <w:szCs w:val="28"/>
                        </w:rPr>
                      </w:pPr>
                      <w:r>
                        <w:rPr>
                          <w:i/>
                          <w:sz w:val="28"/>
                          <w:szCs w:val="28"/>
                        </w:rPr>
                        <w:t>Form EIA-</w:t>
                      </w:r>
                      <w:r w:rsidRPr="00811836">
                        <w:rPr>
                          <w:i/>
                          <w:sz w:val="28"/>
                          <w:szCs w:val="28"/>
                        </w:rPr>
                        <w:t>863</w:t>
                      </w:r>
                      <w:r>
                        <w:rPr>
                          <w:i/>
                          <w:sz w:val="28"/>
                          <w:szCs w:val="28"/>
                        </w:rPr>
                        <w:t xml:space="preserve">, </w:t>
                      </w:r>
                      <w:r w:rsidRPr="00811836">
                        <w:rPr>
                          <w:i/>
                          <w:sz w:val="28"/>
                          <w:szCs w:val="28"/>
                        </w:rPr>
                        <w:t xml:space="preserve">Petroleum Product Sales Identification Survey </w:t>
                      </w:r>
                    </w:p>
                    <w:p w14:paraId="6F0FF428" w14:textId="77777777" w:rsidR="00C86514" w:rsidRPr="00811836" w:rsidRDefault="00C86514" w:rsidP="00E0419A">
                      <w:pPr>
                        <w:spacing w:after="0"/>
                        <w:rPr>
                          <w:i/>
                          <w:sz w:val="28"/>
                          <w:szCs w:val="28"/>
                        </w:rPr>
                      </w:pPr>
                      <w:r w:rsidRPr="00811836">
                        <w:rPr>
                          <w:i/>
                          <w:sz w:val="28"/>
                          <w:szCs w:val="28"/>
                        </w:rPr>
                        <w:t>Form EIA-877</w:t>
                      </w:r>
                      <w:r>
                        <w:rPr>
                          <w:i/>
                          <w:sz w:val="28"/>
                          <w:szCs w:val="28"/>
                        </w:rPr>
                        <w:t xml:space="preserve">, </w:t>
                      </w:r>
                      <w:r w:rsidRPr="00811836">
                        <w:rPr>
                          <w:i/>
                          <w:sz w:val="28"/>
                          <w:szCs w:val="28"/>
                        </w:rPr>
                        <w:t xml:space="preserve">Winter Heating Fuels Telephone Survey </w:t>
                      </w:r>
                    </w:p>
                    <w:p w14:paraId="52168237" w14:textId="77777777" w:rsidR="00C86514" w:rsidRPr="00811836" w:rsidRDefault="00C86514" w:rsidP="00E0419A">
                      <w:pPr>
                        <w:spacing w:after="0"/>
                        <w:rPr>
                          <w:i/>
                          <w:sz w:val="28"/>
                          <w:szCs w:val="28"/>
                        </w:rPr>
                      </w:pPr>
                      <w:r w:rsidRPr="00811836">
                        <w:rPr>
                          <w:i/>
                          <w:sz w:val="28"/>
                          <w:szCs w:val="28"/>
                        </w:rPr>
                        <w:t>Form EIA-878</w:t>
                      </w:r>
                      <w:r>
                        <w:rPr>
                          <w:i/>
                          <w:sz w:val="28"/>
                          <w:szCs w:val="28"/>
                        </w:rPr>
                        <w:t xml:space="preserve">, </w:t>
                      </w:r>
                      <w:r w:rsidRPr="00811836">
                        <w:rPr>
                          <w:i/>
                          <w:sz w:val="28"/>
                          <w:szCs w:val="28"/>
                        </w:rPr>
                        <w:t xml:space="preserve">Motor Gasoline Price Survey </w:t>
                      </w:r>
                    </w:p>
                    <w:p w14:paraId="448E502C" w14:textId="77777777" w:rsidR="00C86514" w:rsidRPr="0059212D" w:rsidRDefault="00C86514" w:rsidP="00E0419A">
                      <w:pPr>
                        <w:rPr>
                          <w:i/>
                          <w:sz w:val="28"/>
                          <w:szCs w:val="28"/>
                        </w:rPr>
                      </w:pPr>
                      <w:r w:rsidRPr="00811836">
                        <w:rPr>
                          <w:i/>
                          <w:sz w:val="28"/>
                          <w:szCs w:val="28"/>
                        </w:rPr>
                        <w:t>Form EIA-888</w:t>
                      </w:r>
                      <w:r>
                        <w:rPr>
                          <w:i/>
                          <w:sz w:val="28"/>
                          <w:szCs w:val="28"/>
                        </w:rPr>
                        <w:t xml:space="preserve">, </w:t>
                      </w:r>
                      <w:r w:rsidRPr="00811836">
                        <w:rPr>
                          <w:i/>
                          <w:sz w:val="28"/>
                          <w:szCs w:val="28"/>
                        </w:rPr>
                        <w:t>On-Highway Diesel Fuel Price Survey</w:t>
                      </w:r>
                    </w:p>
                    <w:p w14:paraId="22A679CF" w14:textId="77777777" w:rsidR="00C86514" w:rsidRPr="0059212D" w:rsidRDefault="00C86514" w:rsidP="00FB6BF3">
                      <w:pPr>
                        <w:rPr>
                          <w:i/>
                          <w:sz w:val="28"/>
                          <w:szCs w:val="28"/>
                        </w:rPr>
                      </w:pP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sidR="000466C0">
        <w:rPr>
          <w:rFonts w:ascii="Times New Roman" w:hAnsi="Times New Roman" w:cs="Times New Roman"/>
          <w:b/>
          <w:sz w:val="36"/>
          <w:szCs w:val="36"/>
        </w:rPr>
        <w:t>174</w:t>
      </w:r>
    </w:p>
    <w:p w14:paraId="1D4D81B9" w14:textId="77777777" w:rsidR="001F3A8F" w:rsidRPr="00711414" w:rsidRDefault="00D32B94" w:rsidP="00711414">
      <w:pPr>
        <w:rPr>
          <w:i/>
          <w:sz w:val="28"/>
          <w:szCs w:val="28"/>
        </w:rPr>
      </w:pPr>
      <w:r>
        <w:rPr>
          <w:noProof/>
        </w:rPr>
        <w:lastRenderedPageBreak/>
        <w:drawing>
          <wp:anchor distT="0" distB="0" distL="114300" distR="114300" simplePos="0" relativeHeight="251658752" behindDoc="0" locked="0" layoutInCell="1" allowOverlap="1" wp14:anchorId="0AA04238" wp14:editId="411908D4">
            <wp:simplePos x="0" y="0"/>
            <wp:positionH relativeFrom="page">
              <wp:posOffset>717550</wp:posOffset>
            </wp:positionH>
            <wp:positionV relativeFrom="page">
              <wp:posOffset>7959725</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E53C4">
        <w:rPr>
          <w:noProof/>
        </w:rPr>
        <mc:AlternateContent>
          <mc:Choice Requires="wps">
            <w:drawing>
              <wp:anchor distT="0" distB="0" distL="114300" distR="114300" simplePos="0" relativeHeight="251689984" behindDoc="1" locked="0" layoutInCell="1" allowOverlap="1" wp14:anchorId="7874867A" wp14:editId="2957F1E1">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83EED" id="Rectangle 34" o:spid="_x0000_s1026" style="position:absolute;margin-left:-35.5pt;margin-top:358.9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fillcolor="#0c95d3" stroked="f" strokecolor="#f2f2f2 [3041]" strokeweight="3pt">
                <v:shadow color="#50191f [1608]" opacity=".5" offset="1pt"/>
                <w10:wrap type="through"/>
              </v:rect>
            </w:pict>
          </mc:Fallback>
        </mc:AlternateContent>
      </w:r>
      <w:r w:rsidR="00EE2CAF">
        <w:rPr>
          <w:noProof/>
        </w:rPr>
        <mc:AlternateContent>
          <mc:Choice Requires="wps">
            <w:drawing>
              <wp:anchor distT="0" distB="0" distL="114300" distR="114300" simplePos="0" relativeHeight="251681792" behindDoc="0" locked="0" layoutInCell="1" allowOverlap="1" wp14:anchorId="2DE70C72" wp14:editId="13D544BD">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8003D" w14:textId="77777777" w:rsidR="00C86514" w:rsidRDefault="00C86514">
                            <w:pPr>
                              <w:rPr>
                                <w:color w:val="A6A6A6" w:themeColor="background1" w:themeShade="A6"/>
                                <w:sz w:val="36"/>
                              </w:rPr>
                            </w:pPr>
                            <w:r>
                              <w:rPr>
                                <w:color w:val="A6A6A6" w:themeColor="background1" w:themeShade="A6"/>
                                <w:sz w:val="36"/>
                              </w:rPr>
                              <w:t>July 2017</w:t>
                            </w:r>
                          </w:p>
                          <w:p w14:paraId="1CDE1707" w14:textId="77777777" w:rsidR="00C86514" w:rsidRPr="009818F9" w:rsidRDefault="00C86514">
                            <w:pPr>
                              <w:rPr>
                                <w:color w:val="A6A6A6" w:themeColor="background1" w:themeShade="A6"/>
                                <w:sz w:val="36"/>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5C68003D" w14:textId="77777777" w:rsidR="00C86514" w:rsidRDefault="00C86514">
                      <w:pPr>
                        <w:rPr>
                          <w:color w:val="A6A6A6" w:themeColor="background1" w:themeShade="A6"/>
                          <w:sz w:val="36"/>
                        </w:rPr>
                      </w:pPr>
                      <w:r>
                        <w:rPr>
                          <w:color w:val="A6A6A6" w:themeColor="background1" w:themeShade="A6"/>
                          <w:sz w:val="36"/>
                        </w:rPr>
                        <w:t>July 2017</w:t>
                      </w:r>
                    </w:p>
                    <w:p w14:paraId="1CDE1707" w14:textId="77777777" w:rsidR="00C86514" w:rsidRPr="009818F9" w:rsidRDefault="00C86514">
                      <w:pPr>
                        <w:rPr>
                          <w:color w:val="A6A6A6" w:themeColor="background1" w:themeShade="A6"/>
                          <w:sz w:val="36"/>
                        </w:rPr>
                      </w:pPr>
                    </w:p>
                  </w:txbxContent>
                </v:textbox>
                <w10:wrap type="square" anchorx="margin" anchory="margin"/>
              </v:shape>
            </w:pict>
          </mc:Fallback>
        </mc:AlternateContent>
      </w:r>
      <w:r w:rsidR="00711414">
        <w:rPr>
          <w:noProof/>
        </w:rPr>
        <mc:AlternateContent>
          <mc:Choice Requires="wps">
            <w:drawing>
              <wp:anchor distT="0" distB="0" distL="114300" distR="114300" simplePos="0" relativeHeight="251680768" behindDoc="0" locked="0" layoutInCell="1" allowOverlap="1" wp14:anchorId="77BAB989" wp14:editId="516CA36C">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225B" w14:textId="77777777" w:rsidR="00C86514" w:rsidRPr="00AA3D91" w:rsidRDefault="00C86514"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4685225B" w14:textId="77777777" w:rsidR="00C86514" w:rsidRPr="00AA3D91" w:rsidRDefault="00C86514" w:rsidP="00D001E4">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4FC63A61" wp14:editId="02BA7468">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BA9F1" w14:textId="77777777" w:rsidR="00C86514" w:rsidRPr="008F4CBD" w:rsidRDefault="00C86514"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36D365D5" w14:textId="77777777" w:rsidR="00C86514" w:rsidRPr="008F4CBD" w:rsidRDefault="00C86514"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689BA9F1" w14:textId="77777777" w:rsidR="00C86514" w:rsidRPr="008F4CBD" w:rsidRDefault="00C86514"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36D365D5" w14:textId="77777777" w:rsidR="00C86514" w:rsidRPr="008F4CBD" w:rsidRDefault="00C86514"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4610731A" wp14:editId="001C849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099E" w14:textId="77777777" w:rsidR="00C86514" w:rsidRPr="008F4CBD" w:rsidRDefault="00C86514"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7E77A319" w14:textId="77777777" w:rsidR="00C86514" w:rsidRPr="008F4CBD" w:rsidRDefault="00C86514"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1642099E" w14:textId="77777777" w:rsidR="00C86514" w:rsidRPr="008F4CBD" w:rsidRDefault="00C86514"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7E77A319" w14:textId="77777777" w:rsidR="00C86514" w:rsidRPr="008F4CBD" w:rsidRDefault="00C86514"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E0419A">
        <w:rPr>
          <w:noProof/>
        </w:rPr>
        <w:t xml:space="preserve"> </w:t>
      </w:r>
      <w:r w:rsidR="001F3A8F">
        <w:br w:type="page"/>
      </w:r>
    </w:p>
    <w:p w14:paraId="4176548C"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73965D7E" w14:textId="77777777" w:rsidR="0059212D" w:rsidRDefault="0059212D" w:rsidP="007E53C4">
          <w:pPr>
            <w:pStyle w:val="TOCHeading"/>
          </w:pPr>
          <w:r>
            <w:t>Table of Contents</w:t>
          </w:r>
        </w:p>
        <w:p w14:paraId="6A8D946C" w14:textId="77777777" w:rsidR="007E53C4" w:rsidRDefault="0059212D">
          <w:pPr>
            <w:pStyle w:val="TOC1"/>
            <w:rPr>
              <w:rFonts w:eastAsiaTheme="minorEastAsia"/>
              <w:noProof/>
              <w:color w:val="auto"/>
            </w:rPr>
          </w:pPr>
          <w:r>
            <w:fldChar w:fldCharType="begin"/>
          </w:r>
          <w:r>
            <w:instrText xml:space="preserve"> TOC \o "1-3" \h \z \u </w:instrText>
          </w:r>
          <w:r>
            <w:fldChar w:fldCharType="separate"/>
          </w:r>
          <w:hyperlink w:anchor="_Toc466046933" w:history="1">
            <w:r w:rsidR="007E53C4" w:rsidRPr="008650D1">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2757E8">
              <w:rPr>
                <w:noProof/>
                <w:webHidden/>
              </w:rPr>
              <w:t>i</w:t>
            </w:r>
            <w:r w:rsidR="007E53C4">
              <w:rPr>
                <w:noProof/>
                <w:webHidden/>
              </w:rPr>
              <w:fldChar w:fldCharType="end"/>
            </w:r>
          </w:hyperlink>
        </w:p>
        <w:p w14:paraId="5483D191" w14:textId="77777777" w:rsidR="007E53C4" w:rsidRDefault="00DF50CA">
          <w:pPr>
            <w:pStyle w:val="TOC2"/>
            <w:rPr>
              <w:rFonts w:eastAsiaTheme="minorEastAsia"/>
              <w:noProof/>
              <w:color w:val="auto"/>
            </w:rPr>
          </w:pPr>
          <w:hyperlink w:anchor="_Toc466046934" w:history="1">
            <w:r w:rsidR="007E53C4" w:rsidRPr="008650D1">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2757E8">
              <w:rPr>
                <w:noProof/>
                <w:webHidden/>
              </w:rPr>
              <w:t>1</w:t>
            </w:r>
            <w:r w:rsidR="007E53C4">
              <w:rPr>
                <w:noProof/>
                <w:webHidden/>
              </w:rPr>
              <w:fldChar w:fldCharType="end"/>
            </w:r>
          </w:hyperlink>
        </w:p>
        <w:p w14:paraId="600B9BD0" w14:textId="0587A4BF" w:rsidR="007E53C4" w:rsidRDefault="00DF50CA">
          <w:pPr>
            <w:pStyle w:val="TOC2"/>
            <w:rPr>
              <w:rFonts w:eastAsiaTheme="minorEastAsia"/>
              <w:noProof/>
              <w:color w:val="auto"/>
            </w:rPr>
          </w:pPr>
          <w:hyperlink w:anchor="_Toc466046935" w:history="1">
            <w:r w:rsidR="007E53C4" w:rsidRPr="008650D1">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2757E8">
              <w:rPr>
                <w:noProof/>
                <w:webHidden/>
              </w:rPr>
              <w:t>4</w:t>
            </w:r>
            <w:r w:rsidR="007E53C4">
              <w:rPr>
                <w:noProof/>
                <w:webHidden/>
              </w:rPr>
              <w:fldChar w:fldCharType="end"/>
            </w:r>
          </w:hyperlink>
        </w:p>
        <w:p w14:paraId="3865693B" w14:textId="3FC7F925" w:rsidR="007E53C4" w:rsidRDefault="00DF50CA">
          <w:pPr>
            <w:pStyle w:val="TOC2"/>
            <w:rPr>
              <w:rFonts w:eastAsiaTheme="minorEastAsia"/>
              <w:noProof/>
              <w:color w:val="auto"/>
            </w:rPr>
          </w:pPr>
          <w:hyperlink w:anchor="_Toc466046936" w:history="1">
            <w:r w:rsidR="007E53C4" w:rsidRPr="008650D1">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sidR="002757E8">
              <w:rPr>
                <w:noProof/>
                <w:webHidden/>
              </w:rPr>
              <w:t>16</w:t>
            </w:r>
            <w:r w:rsidR="007E53C4">
              <w:rPr>
                <w:noProof/>
                <w:webHidden/>
              </w:rPr>
              <w:fldChar w:fldCharType="end"/>
            </w:r>
          </w:hyperlink>
        </w:p>
        <w:p w14:paraId="2582E124" w14:textId="10227A01" w:rsidR="007E53C4" w:rsidRDefault="00DF50CA">
          <w:pPr>
            <w:pStyle w:val="TOC2"/>
            <w:rPr>
              <w:rFonts w:eastAsiaTheme="minorEastAsia"/>
              <w:noProof/>
              <w:color w:val="auto"/>
            </w:rPr>
          </w:pPr>
          <w:hyperlink w:anchor="_Toc466046937" w:history="1">
            <w:r w:rsidR="007E53C4" w:rsidRPr="008650D1">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sidR="002757E8">
              <w:rPr>
                <w:noProof/>
                <w:webHidden/>
              </w:rPr>
              <w:t>16</w:t>
            </w:r>
            <w:r w:rsidR="007E53C4">
              <w:rPr>
                <w:noProof/>
                <w:webHidden/>
              </w:rPr>
              <w:fldChar w:fldCharType="end"/>
            </w:r>
          </w:hyperlink>
        </w:p>
        <w:p w14:paraId="2903DA5A" w14:textId="77777777" w:rsidR="007E53C4" w:rsidRDefault="00DF50CA">
          <w:pPr>
            <w:pStyle w:val="TOC2"/>
            <w:rPr>
              <w:rFonts w:eastAsiaTheme="minorEastAsia"/>
              <w:noProof/>
              <w:color w:val="auto"/>
            </w:rPr>
          </w:pPr>
          <w:hyperlink w:anchor="_Toc466046938" w:history="1">
            <w:r w:rsidR="007E53C4" w:rsidRPr="008650D1">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sidR="002757E8">
              <w:rPr>
                <w:noProof/>
                <w:webHidden/>
              </w:rPr>
              <w:t>17</w:t>
            </w:r>
            <w:r w:rsidR="007E53C4">
              <w:rPr>
                <w:noProof/>
                <w:webHidden/>
              </w:rPr>
              <w:fldChar w:fldCharType="end"/>
            </w:r>
          </w:hyperlink>
        </w:p>
        <w:p w14:paraId="13DC71FC" w14:textId="77777777" w:rsidR="0059212D" w:rsidRDefault="0059212D">
          <w:r>
            <w:rPr>
              <w:b/>
              <w:bCs/>
              <w:noProof/>
            </w:rPr>
            <w:fldChar w:fldCharType="end"/>
          </w:r>
        </w:p>
      </w:sdtContent>
    </w:sdt>
    <w:p w14:paraId="0B0D885F" w14:textId="77777777" w:rsidR="001F3A8F" w:rsidRDefault="001F3A8F" w:rsidP="00D928FD"/>
    <w:p w14:paraId="2135645A"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1857A13F"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74D1AB7A" w14:textId="77777777" w:rsidR="007E53C4" w:rsidRDefault="00844524" w:rsidP="008F60C8">
      <w:pPr>
        <w:pStyle w:val="Heading2"/>
      </w:pPr>
      <w:bookmarkStart w:id="2" w:name="_Toc466046934"/>
      <w:r>
        <w:t>B.</w:t>
      </w:r>
      <w:r w:rsidR="00A41763" w:rsidRPr="00A41763">
        <w:t xml:space="preserve">1. </w:t>
      </w:r>
      <w:r w:rsidR="007E53C4">
        <w:t>Respondent Universe</w:t>
      </w:r>
      <w:bookmarkEnd w:id="2"/>
    </w:p>
    <w:p w14:paraId="2AAC4D00" w14:textId="37E457B9" w:rsidR="00C74606" w:rsidRDefault="00C74606" w:rsidP="00AF2B5F">
      <w:pPr>
        <w:spacing w:after="0" w:line="360" w:lineRule="auto"/>
        <w:rPr>
          <w:rFonts w:ascii="Calibri" w:eastAsia="Times New Roman" w:hAnsi="Calibri" w:cs="Times New Roman"/>
          <w:color w:val="000000"/>
        </w:rPr>
      </w:pPr>
      <w:r w:rsidRPr="00C74606">
        <w:rPr>
          <w:rFonts w:ascii="Calibri" w:eastAsia="Times New Roman" w:hAnsi="Calibri" w:cs="Times New Roman"/>
        </w:rPr>
        <w:t>The Petroleum Marketing Program collects data from two types of entities in general. In terms of the market chain, the data system begins by collecting data from firms, generally parent companies that have complex structures with multiple offices, locations, subsidiaries, etc. The target population for the surveys is the firms, which are defined in terms of their oil market activities. This includes firms which purchase domestic or foreign crude oil (</w:t>
      </w:r>
      <w:r w:rsidR="000F2383">
        <w:rPr>
          <w:rFonts w:ascii="Calibri" w:eastAsia="Times New Roman" w:hAnsi="Calibri" w:cs="Times New Roman"/>
        </w:rPr>
        <w:t xml:space="preserve">Forms </w:t>
      </w:r>
      <w:r w:rsidRPr="00C74606">
        <w:rPr>
          <w:rFonts w:ascii="Calibri" w:eastAsia="Times New Roman" w:hAnsi="Calibri" w:cs="Times New Roman"/>
        </w:rPr>
        <w:t>EIA-182</w:t>
      </w:r>
      <w:r w:rsidR="000F2383">
        <w:rPr>
          <w:rFonts w:ascii="Calibri" w:eastAsia="Times New Roman" w:hAnsi="Calibri" w:cs="Times New Roman"/>
        </w:rPr>
        <w:t xml:space="preserve"> and</w:t>
      </w:r>
      <w:r w:rsidRPr="00C74606">
        <w:rPr>
          <w:rFonts w:ascii="Calibri" w:eastAsia="Times New Roman" w:hAnsi="Calibri" w:cs="Times New Roman"/>
        </w:rPr>
        <w:t xml:space="preserve"> EIA-856); firms which refine crude oil into finished petroleum products (</w:t>
      </w:r>
      <w:r w:rsidR="000F2383">
        <w:rPr>
          <w:rFonts w:ascii="Calibri" w:eastAsia="Times New Roman" w:hAnsi="Calibri" w:cs="Times New Roman"/>
        </w:rPr>
        <w:t xml:space="preserve">Form </w:t>
      </w:r>
      <w:r w:rsidRPr="00C74606">
        <w:rPr>
          <w:rFonts w:ascii="Calibri" w:eastAsia="Times New Roman" w:hAnsi="Calibri" w:cs="Times New Roman"/>
        </w:rPr>
        <w:t>EIA-14); and firms which supply and/or sell finished petroleum products to customers (</w:t>
      </w:r>
      <w:r w:rsidR="000F2383">
        <w:rPr>
          <w:rFonts w:ascii="Calibri" w:eastAsia="Times New Roman" w:hAnsi="Calibri" w:cs="Times New Roman"/>
        </w:rPr>
        <w:t xml:space="preserve">Forms </w:t>
      </w:r>
      <w:r w:rsidRPr="00C74606">
        <w:rPr>
          <w:rFonts w:ascii="Calibri" w:eastAsia="Times New Roman" w:hAnsi="Calibri" w:cs="Times New Roman"/>
        </w:rPr>
        <w:t xml:space="preserve">EIA-782A, EIA-782C, </w:t>
      </w:r>
      <w:r w:rsidR="000F2383">
        <w:rPr>
          <w:rFonts w:ascii="Calibri" w:eastAsia="Times New Roman" w:hAnsi="Calibri" w:cs="Times New Roman"/>
        </w:rPr>
        <w:t xml:space="preserve">and </w:t>
      </w:r>
      <w:r w:rsidRPr="00C74606">
        <w:rPr>
          <w:rFonts w:ascii="Calibri" w:eastAsia="Times New Roman" w:hAnsi="Calibri" w:cs="Times New Roman"/>
        </w:rPr>
        <w:t>EIA-821). The remaining surveys focus on individual outlets selling the products to consumers (</w:t>
      </w:r>
      <w:r w:rsidR="000F2383">
        <w:rPr>
          <w:rFonts w:ascii="Calibri" w:eastAsia="Times New Roman" w:hAnsi="Calibri" w:cs="Times New Roman"/>
        </w:rPr>
        <w:t xml:space="preserve">Forms </w:t>
      </w:r>
      <w:r w:rsidRPr="00C74606">
        <w:rPr>
          <w:rFonts w:ascii="Calibri" w:eastAsia="Times New Roman" w:hAnsi="Calibri" w:cs="Times New Roman"/>
        </w:rPr>
        <w:t>EIA-877,</w:t>
      </w:r>
      <w:r w:rsidRPr="00C74606">
        <w:rPr>
          <w:rFonts w:ascii="Calibri" w:eastAsia="Times New Roman" w:hAnsi="Calibri" w:cs="Times New Roman"/>
          <w:color w:val="FF0000"/>
        </w:rPr>
        <w:t xml:space="preserve"> </w:t>
      </w:r>
      <w:r w:rsidRPr="00C74606">
        <w:rPr>
          <w:rFonts w:ascii="Calibri" w:eastAsia="Times New Roman" w:hAnsi="Calibri" w:cs="Times New Roman"/>
        </w:rPr>
        <w:t xml:space="preserve">EIA-878, </w:t>
      </w:r>
      <w:r w:rsidR="000F2383">
        <w:rPr>
          <w:rFonts w:ascii="Calibri" w:eastAsia="Times New Roman" w:hAnsi="Calibri" w:cs="Times New Roman"/>
        </w:rPr>
        <w:t xml:space="preserve">and </w:t>
      </w:r>
      <w:r w:rsidRPr="00C74606">
        <w:rPr>
          <w:rFonts w:ascii="Calibri" w:eastAsia="Times New Roman" w:hAnsi="Calibri" w:cs="Times New Roman"/>
        </w:rPr>
        <w:t>EIA-888) and collect price data on a weekly basis. The Petroleum Product Sales Identification Survey (</w:t>
      </w:r>
      <w:r w:rsidR="000F2383">
        <w:rPr>
          <w:rFonts w:ascii="Calibri" w:eastAsia="Times New Roman" w:hAnsi="Calibri" w:cs="Times New Roman"/>
        </w:rPr>
        <w:t xml:space="preserve">Form </w:t>
      </w:r>
      <w:r w:rsidRPr="00C74606">
        <w:rPr>
          <w:rFonts w:ascii="Calibri" w:eastAsia="Times New Roman" w:hAnsi="Calibri" w:cs="Times New Roman"/>
        </w:rPr>
        <w:t xml:space="preserve">EIA-863) is used to build and maintain the frame for several of these surveys. </w:t>
      </w:r>
      <w:r w:rsidRPr="00C74606">
        <w:rPr>
          <w:rFonts w:ascii="Calibri" w:eastAsia="Times New Roman" w:hAnsi="Calibri" w:cs="Times New Roman"/>
          <w:color w:val="000000"/>
        </w:rPr>
        <w:t xml:space="preserve">The frames for the monthly surveys are kept current using information from other surveys as well as information from industry journals and other sources.  </w:t>
      </w:r>
    </w:p>
    <w:p w14:paraId="7D3E35A8" w14:textId="4E0635B0" w:rsidR="00C74606" w:rsidRPr="008F60C8" w:rsidRDefault="007860AC" w:rsidP="008F60C8">
      <w:pPr>
        <w:pStyle w:val="Heading2"/>
      </w:pPr>
      <w:r w:rsidRPr="008F60C8">
        <w:t xml:space="preserve">B.1.1 </w:t>
      </w:r>
      <w:r w:rsidR="00C74606" w:rsidRPr="008F60C8">
        <w:t>Petroleum Marketing Frame</w:t>
      </w:r>
    </w:p>
    <w:p w14:paraId="569D7354" w14:textId="53CC0E92" w:rsidR="00C74606" w:rsidRPr="00C74606" w:rsidRDefault="00C74606" w:rsidP="00C74606">
      <w:pPr>
        <w:spacing w:before="200"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Frame building for </w:t>
      </w:r>
      <w:r w:rsidR="000F2383">
        <w:rPr>
          <w:rFonts w:ascii="Calibri" w:eastAsia="Times New Roman" w:hAnsi="Calibri" w:cs="Times New Roman"/>
          <w:lang w:bidi="en-US"/>
        </w:rPr>
        <w:t>Form EIA-863,</w:t>
      </w:r>
      <w:r w:rsidRPr="00C74606">
        <w:rPr>
          <w:rFonts w:ascii="Calibri" w:eastAsia="Times New Roman" w:hAnsi="Calibri" w:cs="Times New Roman"/>
          <w:lang w:bidi="en-US"/>
        </w:rPr>
        <w:t xml:space="preserve"> </w:t>
      </w:r>
      <w:r w:rsidR="000F2383">
        <w:rPr>
          <w:rFonts w:ascii="Calibri" w:eastAsia="Times New Roman" w:hAnsi="Calibri" w:cs="Times New Roman"/>
          <w:lang w:bidi="en-US"/>
        </w:rPr>
        <w:t>“</w:t>
      </w:r>
      <w:r w:rsidRPr="00C74606">
        <w:rPr>
          <w:rFonts w:ascii="Calibri" w:eastAsia="Times New Roman" w:hAnsi="Calibri" w:cs="Times New Roman"/>
          <w:lang w:bidi="en-US"/>
        </w:rPr>
        <w:t>Petroleum Product Sales Identification Survey</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begins with the frame constructed from the previous cycle</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relevant data records from an internal frame system maintained by the Office of Petroleum and Biofuels Statistics</w:t>
      </w:r>
      <w:r w:rsidR="000F2383">
        <w:rPr>
          <w:rFonts w:ascii="Calibri" w:eastAsia="Times New Roman" w:hAnsi="Calibri" w:cs="Times New Roman"/>
          <w:lang w:bidi="en-US"/>
        </w:rPr>
        <w:t xml:space="preserve"> (PBS)</w:t>
      </w:r>
      <w:r w:rsidRPr="00C74606">
        <w:rPr>
          <w:rFonts w:ascii="Calibri" w:eastAsia="Times New Roman" w:hAnsi="Calibri" w:cs="Times New Roman"/>
          <w:lang w:bidi="en-US"/>
        </w:rPr>
        <w:t xml:space="preserve">, and outside source lists of petroleum marketers from State Energy Offices and Petroleum Marketing Associations. The target population for </w:t>
      </w:r>
      <w:r w:rsidR="000F2383">
        <w:rPr>
          <w:rFonts w:ascii="Calibri" w:eastAsia="Times New Roman" w:hAnsi="Calibri" w:cs="Times New Roman"/>
          <w:lang w:bidi="en-US"/>
        </w:rPr>
        <w:t xml:space="preserve">Form </w:t>
      </w:r>
      <w:r w:rsidRPr="00C74606">
        <w:rPr>
          <w:rFonts w:ascii="Calibri" w:eastAsia="Times New Roman" w:hAnsi="Calibri" w:cs="Times New Roman"/>
          <w:lang w:bidi="en-US"/>
        </w:rPr>
        <w:t>EIA-863 is estimated over 20,000 companies.</w:t>
      </w:r>
    </w:p>
    <w:p w14:paraId="715E3CBF" w14:textId="77777777" w:rsidR="00C74606" w:rsidRPr="007860AC" w:rsidRDefault="007860AC" w:rsidP="008F60C8">
      <w:pPr>
        <w:pStyle w:val="Heading2"/>
      </w:pPr>
      <w:r w:rsidRPr="007860AC">
        <w:t xml:space="preserve">B.1.2 </w:t>
      </w:r>
      <w:r w:rsidR="00C74606" w:rsidRPr="007860AC">
        <w:t>Monthly Crude Oil Surveys Frames and Target Population</w:t>
      </w:r>
    </w:p>
    <w:p w14:paraId="474D666B" w14:textId="5657D72C" w:rsidR="000F2383" w:rsidRPr="008F60C8" w:rsidRDefault="000F2383" w:rsidP="00C74606">
      <w:pPr>
        <w:spacing w:before="200" w:after="0" w:line="360" w:lineRule="auto"/>
        <w:rPr>
          <w:rFonts w:ascii="Calibri" w:eastAsia="Times New Roman" w:hAnsi="Calibri" w:cs="Times New Roman"/>
          <w:b/>
          <w:color w:val="000000"/>
          <w:u w:val="single"/>
          <w:lang w:bidi="en-US"/>
        </w:rPr>
      </w:pPr>
      <w:r w:rsidRPr="008F60C8">
        <w:rPr>
          <w:rFonts w:ascii="Calibri" w:eastAsia="Times New Roman" w:hAnsi="Calibri" w:cs="Times New Roman"/>
          <w:b/>
          <w:color w:val="000000"/>
          <w:u w:val="single"/>
          <w:lang w:bidi="en-US"/>
        </w:rPr>
        <w:t xml:space="preserve">Form </w:t>
      </w:r>
      <w:r w:rsidR="00C74606" w:rsidRPr="008F60C8">
        <w:rPr>
          <w:rFonts w:ascii="Calibri" w:eastAsia="Times New Roman" w:hAnsi="Calibri" w:cs="Times New Roman"/>
          <w:b/>
          <w:color w:val="000000"/>
          <w:u w:val="single"/>
          <w:lang w:bidi="en-US"/>
        </w:rPr>
        <w:t>EIA-14,</w:t>
      </w:r>
      <w:bookmarkStart w:id="3" w:name="eia-14"/>
      <w:bookmarkEnd w:id="3"/>
      <w:r w:rsidR="00C74606" w:rsidRPr="008F60C8">
        <w:rPr>
          <w:rFonts w:ascii="Calibri" w:eastAsia="Times New Roman" w:hAnsi="Calibri" w:cs="Times New Roman"/>
          <w:b/>
          <w:color w:val="000000"/>
          <w:u w:val="single"/>
          <w:lang w:bidi="en-US"/>
        </w:rPr>
        <w:t xml:space="preserve"> “</w:t>
      </w:r>
      <w:r w:rsidR="00C74606" w:rsidRPr="008F60C8">
        <w:rPr>
          <w:rFonts w:ascii="Calibri" w:eastAsia="Times New Roman" w:hAnsi="Calibri" w:cs="Times New Roman"/>
          <w:b/>
          <w:u w:val="single"/>
          <w:lang w:bidi="en-US"/>
        </w:rPr>
        <w:t>Refiners' Monthly Cost Report</w:t>
      </w:r>
      <w:r w:rsidR="00C74606" w:rsidRPr="008F60C8">
        <w:rPr>
          <w:rFonts w:ascii="Calibri" w:eastAsia="Times New Roman" w:hAnsi="Calibri" w:cs="Times New Roman"/>
          <w:b/>
          <w:color w:val="000000"/>
          <w:u w:val="single"/>
          <w:lang w:bidi="en-US"/>
        </w:rPr>
        <w:t xml:space="preserve">” </w:t>
      </w:r>
    </w:p>
    <w:p w14:paraId="7F5EFA99" w14:textId="56BA3539" w:rsidR="00C74606" w:rsidRPr="00C74606" w:rsidRDefault="00C74606" w:rsidP="008F60C8">
      <w:pPr>
        <w:spacing w:after="0" w:line="360" w:lineRule="auto"/>
        <w:rPr>
          <w:rFonts w:ascii="Calibri" w:eastAsia="Times New Roman" w:hAnsi="Calibri" w:cs="Times New Roman"/>
          <w:lang w:bidi="en-US"/>
        </w:rPr>
      </w:pPr>
      <w:r w:rsidRPr="00C74606">
        <w:rPr>
          <w:rFonts w:ascii="Calibri" w:eastAsia="Times New Roman" w:hAnsi="Calibri" w:cs="Times New Roman"/>
          <w:color w:val="000000"/>
          <w:lang w:bidi="en-US"/>
        </w:rPr>
        <w:t xml:space="preserve">The target population for this survey is all refiners of crude oil. </w:t>
      </w:r>
      <w:r w:rsidRPr="00C74606">
        <w:rPr>
          <w:rFonts w:ascii="Calibri" w:eastAsia="Times New Roman" w:hAnsi="Calibri" w:cs="Times New Roman"/>
          <w:lang w:bidi="en-US"/>
        </w:rPr>
        <w:t xml:space="preserve">The frame for </w:t>
      </w:r>
      <w:r w:rsidR="000F2383">
        <w:rPr>
          <w:rFonts w:ascii="Calibri" w:eastAsia="Times New Roman" w:hAnsi="Calibri" w:cs="Times New Roman"/>
          <w:lang w:bidi="en-US"/>
        </w:rPr>
        <w:t xml:space="preserve">Form </w:t>
      </w:r>
      <w:r w:rsidRPr="00C74606">
        <w:rPr>
          <w:rFonts w:ascii="Calibri" w:eastAsia="Times New Roman" w:hAnsi="Calibri" w:cs="Times New Roman"/>
          <w:lang w:bidi="en-US"/>
        </w:rPr>
        <w:t xml:space="preserve">EIA-14 was constructed from a list of 206 refiners obtained from the Oil and Gas Journal in 1983. The frame is updated periodically via information derived from </w:t>
      </w:r>
      <w:r w:rsidR="000F2383">
        <w:rPr>
          <w:rFonts w:ascii="Calibri" w:eastAsia="Times New Roman" w:hAnsi="Calibri" w:cs="Times New Roman"/>
          <w:lang w:bidi="en-US"/>
        </w:rPr>
        <w:t xml:space="preserve">Form </w:t>
      </w:r>
      <w:r w:rsidRPr="00C74606">
        <w:rPr>
          <w:rFonts w:ascii="Calibri" w:eastAsia="Times New Roman" w:hAnsi="Calibri" w:cs="Times New Roman"/>
          <w:lang w:bidi="en-US"/>
        </w:rPr>
        <w:t>EIA-782A</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w:t>
      </w:r>
      <w:r w:rsidR="000F2383">
        <w:rPr>
          <w:rFonts w:ascii="Calibri" w:eastAsia="Times New Roman" w:hAnsi="Calibri" w:cs="Times New Roman"/>
          <w:lang w:bidi="en-US"/>
        </w:rPr>
        <w:t>“</w:t>
      </w:r>
      <w:r w:rsidRPr="00C74606">
        <w:rPr>
          <w:rFonts w:ascii="Calibri" w:eastAsia="Times New Roman" w:hAnsi="Calibri" w:cs="Times New Roman"/>
          <w:lang w:bidi="en-US"/>
        </w:rPr>
        <w:t>Refiners’/Gas Plant Operators’ Monthly Petroleum Product Sales Report</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and </w:t>
      </w:r>
      <w:r w:rsidR="000F2383">
        <w:rPr>
          <w:rFonts w:ascii="Calibri" w:eastAsia="Times New Roman" w:hAnsi="Calibri" w:cs="Times New Roman"/>
          <w:lang w:bidi="en-US"/>
        </w:rPr>
        <w:t xml:space="preserve">Form </w:t>
      </w:r>
      <w:r w:rsidRPr="00C74606">
        <w:rPr>
          <w:rFonts w:ascii="Calibri" w:eastAsia="Times New Roman" w:hAnsi="Calibri" w:cs="Times New Roman"/>
          <w:lang w:bidi="en-US"/>
        </w:rPr>
        <w:t>EIA-810</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w:t>
      </w:r>
      <w:r w:rsidR="000F2383">
        <w:rPr>
          <w:rFonts w:ascii="Calibri" w:eastAsia="Times New Roman" w:hAnsi="Calibri" w:cs="Times New Roman"/>
          <w:lang w:bidi="en-US"/>
        </w:rPr>
        <w:t>“</w:t>
      </w:r>
      <w:r w:rsidRPr="00C74606">
        <w:rPr>
          <w:rFonts w:ascii="Calibri" w:eastAsia="Times New Roman" w:hAnsi="Calibri" w:cs="Times New Roman"/>
          <w:lang w:bidi="en-US"/>
        </w:rPr>
        <w:t>Monthly Refinery Report.</w:t>
      </w:r>
      <w:r w:rsidR="000F2383">
        <w:rPr>
          <w:rFonts w:ascii="Calibri" w:eastAsia="Times New Roman" w:hAnsi="Calibri" w:cs="Times New Roman"/>
          <w:lang w:bidi="en-US"/>
        </w:rPr>
        <w:t>”</w:t>
      </w:r>
      <w:r w:rsidRPr="00C74606">
        <w:rPr>
          <w:rFonts w:ascii="Calibri" w:eastAsia="Times New Roman" w:hAnsi="Calibri" w:cs="Times New Roman"/>
          <w:lang w:bidi="en-US"/>
        </w:rPr>
        <w:t xml:space="preserve"> </w:t>
      </w:r>
      <w:r w:rsidRPr="00C74606">
        <w:rPr>
          <w:rFonts w:ascii="Calibri" w:eastAsia="Times New Roman" w:hAnsi="Calibri" w:cs="Times New Roman"/>
          <w:color w:val="000000"/>
          <w:lang w:bidi="en-US"/>
        </w:rPr>
        <w:t xml:space="preserve">There are currently </w:t>
      </w:r>
      <w:r w:rsidRPr="00C74606">
        <w:rPr>
          <w:rFonts w:ascii="Calibri" w:eastAsia="Times New Roman" w:hAnsi="Calibri" w:cs="Times New Roman"/>
          <w:lang w:bidi="en-US"/>
        </w:rPr>
        <w:t>69</w:t>
      </w:r>
      <w:r w:rsidRPr="00C74606">
        <w:rPr>
          <w:rFonts w:ascii="Calibri" w:eastAsia="Times New Roman" w:hAnsi="Calibri" w:cs="Times New Roman"/>
          <w:color w:val="000000"/>
          <w:lang w:bidi="en-US"/>
        </w:rPr>
        <w:t xml:space="preserve"> active respondents filing Form EIA-14. </w:t>
      </w:r>
    </w:p>
    <w:p w14:paraId="79C0B6B7" w14:textId="4098A2ED" w:rsidR="000F2383" w:rsidRPr="008F60C8" w:rsidRDefault="000F2383" w:rsidP="00874032">
      <w:pPr>
        <w:spacing w:before="200" w:after="0" w:line="360" w:lineRule="auto"/>
        <w:rPr>
          <w:rFonts w:ascii="Calibri" w:eastAsia="Times New Roman" w:hAnsi="Calibri" w:cs="Times New Roman"/>
          <w:b/>
          <w:u w:val="single"/>
          <w:lang w:bidi="en-US"/>
        </w:rPr>
      </w:pPr>
      <w:r w:rsidRPr="008F60C8">
        <w:rPr>
          <w:rFonts w:ascii="Calibri" w:eastAsia="Times New Roman" w:hAnsi="Calibri" w:cs="Times New Roman"/>
          <w:b/>
          <w:u w:val="single"/>
          <w:lang w:bidi="en-US"/>
        </w:rPr>
        <w:t xml:space="preserve">Form </w:t>
      </w:r>
      <w:r w:rsidR="0079037F" w:rsidRPr="008F60C8">
        <w:rPr>
          <w:rFonts w:ascii="Calibri" w:eastAsia="Times New Roman" w:hAnsi="Calibri" w:cs="Times New Roman"/>
          <w:b/>
          <w:u w:val="single"/>
          <w:lang w:bidi="en-US"/>
        </w:rPr>
        <w:t>E</w:t>
      </w:r>
      <w:r w:rsidR="00C74606" w:rsidRPr="008F60C8">
        <w:rPr>
          <w:rFonts w:ascii="Calibri" w:eastAsia="Times New Roman" w:hAnsi="Calibri" w:cs="Times New Roman"/>
          <w:b/>
          <w:u w:val="single"/>
          <w:lang w:bidi="en-US"/>
        </w:rPr>
        <w:t xml:space="preserve">IA-182, “Domestic Crude Oil First Purchase Report” </w:t>
      </w:r>
    </w:p>
    <w:p w14:paraId="712E837D" w14:textId="6972E03C" w:rsidR="00874032" w:rsidRPr="00C74606" w:rsidRDefault="00C74606" w:rsidP="008F60C8">
      <w:pPr>
        <w:spacing w:after="0" w:line="360" w:lineRule="auto"/>
        <w:rPr>
          <w:rFonts w:ascii="Calibri" w:eastAsia="Times New Roman" w:hAnsi="Calibri" w:cs="Times New Roman"/>
          <w:color w:val="000000"/>
          <w:lang w:bidi="en-US"/>
        </w:rPr>
      </w:pPr>
      <w:r w:rsidRPr="00C74606">
        <w:rPr>
          <w:rFonts w:ascii="Calibri" w:eastAsia="Times New Roman" w:hAnsi="Calibri" w:cs="Times New Roman"/>
          <w:lang w:bidi="en-US"/>
        </w:rPr>
        <w:t xml:space="preserve">The target population for this survey is all firms that buy domestic crude oil at the lease boundary, acquiring ownership of the crude in a first purchase transaction. The frame for </w:t>
      </w:r>
      <w:r w:rsidR="000F2383">
        <w:rPr>
          <w:rFonts w:ascii="Calibri" w:eastAsia="Times New Roman" w:hAnsi="Calibri" w:cs="Times New Roman"/>
          <w:lang w:bidi="en-US"/>
        </w:rPr>
        <w:t xml:space="preserve">Form </w:t>
      </w:r>
      <w:r w:rsidRPr="00C74606">
        <w:rPr>
          <w:rFonts w:ascii="Calibri" w:eastAsia="Times New Roman" w:hAnsi="Calibri" w:cs="Times New Roman"/>
          <w:lang w:bidi="en-US"/>
        </w:rPr>
        <w:t xml:space="preserve">EIA-182 was </w:t>
      </w:r>
      <w:r w:rsidR="00874032">
        <w:rPr>
          <w:rFonts w:ascii="Calibri" w:eastAsia="Times New Roman" w:hAnsi="Calibri" w:cs="Times New Roman"/>
          <w:lang w:bidi="en-US"/>
        </w:rPr>
        <w:t xml:space="preserve">initially </w:t>
      </w:r>
      <w:r w:rsidRPr="00C74606">
        <w:rPr>
          <w:rFonts w:ascii="Calibri" w:eastAsia="Times New Roman" w:hAnsi="Calibri" w:cs="Times New Roman"/>
          <w:lang w:bidi="en-US"/>
        </w:rPr>
        <w:t xml:space="preserve">compiled from the 1974 Federal Energy Administration (FEA) Oil and Gas Survey of Producers and Operators. </w:t>
      </w:r>
      <w:r w:rsidRPr="00C74606">
        <w:rPr>
          <w:rFonts w:ascii="Calibri" w:eastAsia="Times New Roman" w:hAnsi="Calibri" w:cs="Times New Roman"/>
          <w:color w:val="000000"/>
          <w:lang w:bidi="en-US"/>
        </w:rPr>
        <w:t xml:space="preserve">Collection of data from first purchasers began in February 1976. By 1978, the frame consisted of 340 respondents. Of these, 198 purchased more than 150,000 barrels per year and together represented 99.9 percent of the total reported volume. Following decontrol in January 1981, many small firms went out of business or were absorbed by larger companies. By January 1986 the frame had been reduced to 170 respondents.  Over the years, adjustments to the frame have mostly been deaths, with relatively few births. </w:t>
      </w:r>
      <w:r w:rsidR="00874032" w:rsidRPr="00C74606">
        <w:rPr>
          <w:rFonts w:ascii="Calibri" w:eastAsia="Times New Roman" w:hAnsi="Calibri" w:cs="Times New Roman"/>
          <w:lang w:bidi="en-US"/>
        </w:rPr>
        <w:t>The size of the frame has declined from 340 firms in 1978 to 106 firms in 2016.</w:t>
      </w:r>
      <w:r w:rsidR="00874032" w:rsidRPr="00C74606">
        <w:rPr>
          <w:rFonts w:ascii="Calibri" w:eastAsia="Times New Roman" w:hAnsi="Calibri" w:cs="Times New Roman"/>
          <w:color w:val="000000"/>
          <w:lang w:bidi="en-US"/>
        </w:rPr>
        <w:t xml:space="preserve">  </w:t>
      </w:r>
    </w:p>
    <w:p w14:paraId="207739BD" w14:textId="77115827" w:rsidR="007860AC" w:rsidRPr="008F60C8" w:rsidRDefault="008B667E" w:rsidP="00C74606">
      <w:pPr>
        <w:spacing w:before="200" w:after="0" w:line="360" w:lineRule="auto"/>
        <w:rPr>
          <w:rFonts w:ascii="Calibri" w:eastAsia="Times New Roman" w:hAnsi="Calibri" w:cs="Times New Roman"/>
          <w:b/>
          <w:u w:val="single"/>
          <w:lang w:bidi="en-US"/>
        </w:rPr>
      </w:pPr>
      <w:r w:rsidRPr="008F60C8">
        <w:rPr>
          <w:rFonts w:ascii="Calibri" w:eastAsia="Times New Roman" w:hAnsi="Calibri" w:cs="Times New Roman"/>
          <w:b/>
          <w:u w:val="single"/>
          <w:lang w:bidi="en-US"/>
        </w:rPr>
        <w:t xml:space="preserve">Form </w:t>
      </w:r>
      <w:r w:rsidR="00C74606" w:rsidRPr="008F60C8">
        <w:rPr>
          <w:rFonts w:ascii="Calibri" w:eastAsia="Times New Roman" w:hAnsi="Calibri" w:cs="Times New Roman"/>
          <w:b/>
          <w:u w:val="single"/>
          <w:lang w:bidi="en-US"/>
        </w:rPr>
        <w:t>EIA-856, “</w:t>
      </w:r>
      <w:r w:rsidR="00C74606" w:rsidRPr="008F60C8">
        <w:rPr>
          <w:rFonts w:ascii="Calibri" w:eastAsia="Times New Roman" w:hAnsi="Calibri" w:cs="Times New Roman"/>
          <w:b/>
          <w:bCs/>
          <w:u w:val="single"/>
          <w:lang w:bidi="en-US"/>
        </w:rPr>
        <w:t>Monthly Foreign Crude Oil Acquisition Report”</w:t>
      </w:r>
      <w:r w:rsidR="00C74606" w:rsidRPr="008F60C8">
        <w:rPr>
          <w:rFonts w:ascii="Calibri" w:eastAsia="Times New Roman" w:hAnsi="Calibri" w:cs="Times New Roman"/>
          <w:b/>
          <w:u w:val="single"/>
          <w:lang w:bidi="en-US"/>
        </w:rPr>
        <w:t xml:space="preserve"> </w:t>
      </w:r>
    </w:p>
    <w:p w14:paraId="18EECDB9" w14:textId="2D691767" w:rsidR="00C74606" w:rsidRPr="00C74606" w:rsidRDefault="00C74606" w:rsidP="008F60C8">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All companies acquiring more than 500,000 barrels of foreign crude oil in the report month for importation into the United States are required to submit this form monthly. The frame for </w:t>
      </w:r>
      <w:r w:rsidR="007860AC">
        <w:rPr>
          <w:rFonts w:ascii="Calibri" w:eastAsia="Times New Roman" w:hAnsi="Calibri" w:cs="Times New Roman"/>
          <w:lang w:bidi="en-US"/>
        </w:rPr>
        <w:t xml:space="preserve">Form </w:t>
      </w:r>
      <w:r w:rsidRPr="00C74606">
        <w:rPr>
          <w:rFonts w:ascii="Calibri" w:eastAsia="Times New Roman" w:hAnsi="Calibri" w:cs="Times New Roman"/>
          <w:lang w:bidi="en-US"/>
        </w:rPr>
        <w:t>EIA-856 is composed of all companies reporting data in June 1982 on the Transfer Pricing Report (</w:t>
      </w:r>
      <w:r w:rsidR="007860AC">
        <w:rPr>
          <w:rFonts w:ascii="Calibri" w:eastAsia="Times New Roman" w:hAnsi="Calibri" w:cs="Times New Roman"/>
          <w:lang w:bidi="en-US"/>
        </w:rPr>
        <w:t xml:space="preserve">Form </w:t>
      </w:r>
      <w:r w:rsidRPr="00C74606">
        <w:rPr>
          <w:rFonts w:ascii="Calibri" w:eastAsia="Times New Roman" w:hAnsi="Calibri" w:cs="Times New Roman"/>
          <w:lang w:bidi="en-US"/>
        </w:rPr>
        <w:t>ERA-51) regardless of the total volumes of crude oil that were imported and all companies acquiring more than 500,000 barrels of oil in the reference month for importation into the United States. Recently it was determined data from the latter is only required. Currently the frame consists of 42 respondents.</w:t>
      </w:r>
    </w:p>
    <w:p w14:paraId="1C56DF51" w14:textId="77777777" w:rsidR="00C74606" w:rsidRPr="00C74606" w:rsidRDefault="007860AC" w:rsidP="008F60C8">
      <w:pPr>
        <w:pStyle w:val="Heading2"/>
      </w:pPr>
      <w:r>
        <w:t xml:space="preserve">B.1.3 </w:t>
      </w:r>
      <w:r w:rsidR="00C74606" w:rsidRPr="00C74606">
        <w:t xml:space="preserve">Monthly and Annual Petroleum Product Frames and Target Populations </w:t>
      </w:r>
    </w:p>
    <w:p w14:paraId="4BC1E73D" w14:textId="1C960232" w:rsidR="00C74606" w:rsidRPr="00C74606" w:rsidRDefault="00C74606" w:rsidP="00C74606">
      <w:pPr>
        <w:spacing w:before="100" w:beforeAutospacing="1" w:after="0" w:line="360" w:lineRule="auto"/>
        <w:rPr>
          <w:rFonts w:ascii="Calibri" w:eastAsia="Times New Roman" w:hAnsi="Calibri" w:cs="Times New Roman"/>
        </w:rPr>
      </w:pPr>
      <w:r w:rsidRPr="00C74606">
        <w:rPr>
          <w:rFonts w:ascii="Calibri" w:eastAsia="Times New Roman" w:hAnsi="Calibri" w:cs="Times New Roman"/>
        </w:rPr>
        <w:t xml:space="preserve">The target population for </w:t>
      </w:r>
      <w:r w:rsidR="008B667E">
        <w:rPr>
          <w:rFonts w:ascii="Calibri" w:eastAsia="Times New Roman" w:hAnsi="Calibri" w:cs="Times New Roman"/>
        </w:rPr>
        <w:t xml:space="preserve">Form </w:t>
      </w:r>
      <w:r w:rsidRPr="00C74606">
        <w:rPr>
          <w:rFonts w:ascii="Calibri" w:eastAsia="Times New Roman" w:hAnsi="Calibri" w:cs="Times New Roman"/>
        </w:rPr>
        <w:t xml:space="preserve">EIA-863 is all firms which sell petroleum products. The firms surveyed on </w:t>
      </w:r>
      <w:r w:rsidR="008B667E">
        <w:rPr>
          <w:rFonts w:ascii="Calibri" w:eastAsia="Times New Roman" w:hAnsi="Calibri" w:cs="Times New Roman"/>
        </w:rPr>
        <w:t xml:space="preserve">Form </w:t>
      </w:r>
      <w:r w:rsidRPr="00C74606">
        <w:rPr>
          <w:rFonts w:ascii="Calibri" w:eastAsia="Times New Roman" w:hAnsi="Calibri" w:cs="Times New Roman"/>
        </w:rPr>
        <w:t>EIA-863, along with their associated volumetric data and tracking information, serve solely or partially as the sampling frame for Forms EIA-821, “Annual Fuel Oil and Kerosene Sales Report,” EIA-877, “Winter Heating Fuels Telephone Survey,” EIA-878, “Weekly Motor Gasoline Price Survey,” EIA-888, “Weekly On-Highway Diesel Price Survey,” and in the past, other ad hoc surveys, such as the National Petroleum Council Surveys.</w:t>
      </w:r>
    </w:p>
    <w:p w14:paraId="68D0ED91" w14:textId="41DEFA67" w:rsidR="008B667E" w:rsidRPr="008F60C8" w:rsidRDefault="008B667E" w:rsidP="00C74606">
      <w:pPr>
        <w:spacing w:before="200" w:after="0" w:line="360" w:lineRule="auto"/>
        <w:rPr>
          <w:rFonts w:ascii="Calibri" w:eastAsia="Times New Roman" w:hAnsi="Calibri" w:cs="Times New Roman"/>
          <w:b/>
          <w:u w:val="single"/>
          <w:lang w:bidi="en-US"/>
        </w:rPr>
      </w:pPr>
      <w:r w:rsidRPr="008F60C8">
        <w:rPr>
          <w:rFonts w:ascii="Calibri" w:eastAsia="Times New Roman" w:hAnsi="Calibri" w:cs="Times New Roman"/>
          <w:b/>
          <w:u w:val="single"/>
          <w:lang w:bidi="en-US"/>
        </w:rPr>
        <w:t xml:space="preserve">Form </w:t>
      </w:r>
      <w:r w:rsidR="00C74606" w:rsidRPr="008F60C8">
        <w:rPr>
          <w:rFonts w:ascii="Calibri" w:eastAsia="Times New Roman" w:hAnsi="Calibri" w:cs="Times New Roman"/>
          <w:b/>
          <w:u w:val="single"/>
          <w:lang w:bidi="en-US"/>
        </w:rPr>
        <w:t xml:space="preserve">EIA-821, “Annual Fuel Oil and Kerosene Sales Report” </w:t>
      </w:r>
    </w:p>
    <w:p w14:paraId="3236CEC9" w14:textId="3985ADC0" w:rsidR="00C74606" w:rsidRPr="00C74606" w:rsidRDefault="00C74606" w:rsidP="008F60C8">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The frame for this survey is constructed from </w:t>
      </w:r>
      <w:r w:rsidR="008B667E">
        <w:rPr>
          <w:rFonts w:ascii="Calibri" w:eastAsia="Times New Roman" w:hAnsi="Calibri" w:cs="Times New Roman"/>
          <w:lang w:bidi="en-US"/>
        </w:rPr>
        <w:t>Form</w:t>
      </w:r>
      <w:r w:rsidRPr="00C74606">
        <w:rPr>
          <w:rFonts w:ascii="Calibri" w:eastAsia="Times New Roman" w:hAnsi="Calibri" w:cs="Times New Roman"/>
          <w:lang w:bidi="en-US"/>
        </w:rPr>
        <w:t xml:space="preserve"> EIA-863 survey results, supplemented by retailers/resellers and importers of residual fuel oil who were not identified by </w:t>
      </w:r>
      <w:r w:rsidR="008B667E">
        <w:rPr>
          <w:rFonts w:ascii="Calibri" w:eastAsia="Times New Roman" w:hAnsi="Calibri" w:cs="Times New Roman"/>
          <w:lang w:bidi="en-US"/>
        </w:rPr>
        <w:t>Form</w:t>
      </w:r>
      <w:r w:rsidRPr="00C74606">
        <w:rPr>
          <w:rFonts w:ascii="Calibri" w:eastAsia="Times New Roman" w:hAnsi="Calibri" w:cs="Times New Roman"/>
          <w:lang w:bidi="en-US"/>
        </w:rPr>
        <w:t xml:space="preserve"> EIA-863. Currently, the sampling frame consists of over 20,000 companies. </w:t>
      </w:r>
    </w:p>
    <w:p w14:paraId="7BA7B933" w14:textId="58676748" w:rsidR="008B667E" w:rsidRPr="008F60C8" w:rsidRDefault="002B5DA7" w:rsidP="00C74606">
      <w:pPr>
        <w:spacing w:before="200" w:after="0" w:line="360" w:lineRule="auto"/>
        <w:rPr>
          <w:rFonts w:ascii="Calibri" w:eastAsia="Times New Roman" w:hAnsi="Calibri" w:cs="Times New Roman"/>
          <w:b/>
          <w:u w:val="single"/>
          <w:lang w:bidi="en-US"/>
        </w:rPr>
      </w:pPr>
      <w:r>
        <w:rPr>
          <w:rFonts w:ascii="Calibri" w:eastAsia="Times New Roman" w:hAnsi="Calibri" w:cs="Times New Roman"/>
          <w:b/>
          <w:u w:val="single"/>
          <w:lang w:bidi="en-US"/>
        </w:rPr>
        <w:t xml:space="preserve">Form </w:t>
      </w:r>
      <w:r w:rsidR="00C74606" w:rsidRPr="008F60C8">
        <w:rPr>
          <w:rFonts w:ascii="Calibri" w:eastAsia="Times New Roman" w:hAnsi="Calibri" w:cs="Times New Roman"/>
          <w:b/>
          <w:u w:val="single"/>
          <w:lang w:bidi="en-US"/>
        </w:rPr>
        <w:t>EIA-782A, “Refiners’ Gas Plant Operators’ Monthly Petroleum Product Sales Report”</w:t>
      </w:r>
    </w:p>
    <w:p w14:paraId="6C78E4F7" w14:textId="0EF0F5E8" w:rsidR="00C74606" w:rsidRPr="00C74606" w:rsidRDefault="00C74606" w:rsidP="008F60C8">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The target population for this survey includes the universe of refiners and gas plant operators. The original frame was derived from a consolidated list of refiners known to have reported on several EIA surveys; and the frame of gas plant operators from </w:t>
      </w:r>
      <w:r w:rsidR="007860AC">
        <w:rPr>
          <w:rFonts w:ascii="Calibri" w:eastAsia="Times New Roman" w:hAnsi="Calibri" w:cs="Times New Roman"/>
          <w:lang w:bidi="en-US"/>
        </w:rPr>
        <w:t>Form</w:t>
      </w:r>
      <w:r w:rsidRPr="00C74606">
        <w:rPr>
          <w:rFonts w:ascii="Calibri" w:eastAsia="Times New Roman" w:hAnsi="Calibri" w:cs="Times New Roman"/>
          <w:lang w:bidi="en-US"/>
        </w:rPr>
        <w:t xml:space="preserve"> EIA-64, “Natural Gas Liquids Operations Report.”</w:t>
      </w:r>
      <w:r w:rsidRPr="00C74606">
        <w:rPr>
          <w:rFonts w:ascii="Calibri" w:eastAsia="Times New Roman" w:hAnsi="Calibri" w:cs="Times New Roman"/>
          <w:color w:val="FF0000"/>
          <w:lang w:bidi="en-US"/>
        </w:rPr>
        <w:t xml:space="preserve"> </w:t>
      </w:r>
      <w:r w:rsidR="00B00154">
        <w:rPr>
          <w:rFonts w:ascii="Calibri" w:eastAsia="Times New Roman" w:hAnsi="Calibri" w:cs="Times New Roman"/>
          <w:color w:val="FF0000"/>
          <w:lang w:bidi="en-US"/>
        </w:rPr>
        <w:t xml:space="preserve"> </w:t>
      </w:r>
      <w:r w:rsidR="00B00154" w:rsidRPr="00C74606">
        <w:rPr>
          <w:rFonts w:ascii="Calibri" w:eastAsia="Times New Roman" w:hAnsi="Calibri" w:cs="Times New Roman"/>
          <w:lang w:bidi="en-US"/>
        </w:rPr>
        <w:t>In 2016 the frame consist</w:t>
      </w:r>
      <w:r w:rsidR="00D32B94">
        <w:rPr>
          <w:rFonts w:ascii="Calibri" w:eastAsia="Times New Roman" w:hAnsi="Calibri" w:cs="Times New Roman"/>
          <w:lang w:bidi="en-US"/>
        </w:rPr>
        <w:t>ed</w:t>
      </w:r>
      <w:r w:rsidR="00B00154" w:rsidRPr="00C74606">
        <w:rPr>
          <w:rFonts w:ascii="Calibri" w:eastAsia="Times New Roman" w:hAnsi="Calibri" w:cs="Times New Roman"/>
          <w:lang w:bidi="en-US"/>
        </w:rPr>
        <w:t xml:space="preserve"> of 100 companies.</w:t>
      </w:r>
    </w:p>
    <w:p w14:paraId="74F4D947" w14:textId="4D1678FB" w:rsidR="007860AC" w:rsidRPr="008F60C8" w:rsidRDefault="002B5DA7" w:rsidP="00C74606">
      <w:pPr>
        <w:spacing w:before="100" w:beforeAutospacing="1" w:after="0" w:line="360" w:lineRule="auto"/>
        <w:rPr>
          <w:rFonts w:ascii="Calibri" w:eastAsia="Times New Roman" w:hAnsi="Calibri" w:cs="Times New Roman"/>
          <w:b/>
          <w:color w:val="000000"/>
          <w:u w:val="single"/>
        </w:rPr>
      </w:pPr>
      <w:r>
        <w:rPr>
          <w:rFonts w:ascii="Calibri" w:eastAsia="Times New Roman" w:hAnsi="Calibri" w:cs="Times New Roman"/>
          <w:b/>
          <w:color w:val="000000"/>
          <w:u w:val="single"/>
        </w:rPr>
        <w:t xml:space="preserve">Form </w:t>
      </w:r>
      <w:r w:rsidR="00C74606" w:rsidRPr="008F60C8">
        <w:rPr>
          <w:rFonts w:ascii="Calibri" w:eastAsia="Times New Roman" w:hAnsi="Calibri" w:cs="Times New Roman"/>
          <w:b/>
          <w:color w:val="000000"/>
          <w:u w:val="single"/>
        </w:rPr>
        <w:t>EIA-782C,</w:t>
      </w:r>
      <w:r w:rsidR="00C74606" w:rsidRPr="008F60C8">
        <w:rPr>
          <w:rFonts w:ascii="Calibri" w:eastAsia="Times New Roman" w:hAnsi="Calibri" w:cs="Times New Roman"/>
          <w:b/>
          <w:u w:val="single"/>
        </w:rPr>
        <w:t xml:space="preserve"> “Monthly Report of Prime Supplier Sales of Petroleum Products Sold for Local Consumption”</w:t>
      </w:r>
      <w:r w:rsidR="00C74606" w:rsidRPr="008F60C8">
        <w:rPr>
          <w:rFonts w:ascii="Calibri" w:eastAsia="Times New Roman" w:hAnsi="Calibri" w:cs="Times New Roman"/>
          <w:b/>
          <w:color w:val="000000"/>
          <w:u w:val="single"/>
        </w:rPr>
        <w:t xml:space="preserve"> </w:t>
      </w:r>
    </w:p>
    <w:p w14:paraId="70407B3E" w14:textId="77777777" w:rsidR="00C74606" w:rsidRDefault="00C74606" w:rsidP="008F60C8">
      <w:pPr>
        <w:spacing w:after="0" w:line="360" w:lineRule="auto"/>
        <w:rPr>
          <w:rFonts w:ascii="Calibri" w:eastAsia="Times New Roman" w:hAnsi="Calibri" w:cs="Times New Roman"/>
          <w:color w:val="000000"/>
        </w:rPr>
      </w:pPr>
      <w:r w:rsidRPr="00C74606">
        <w:rPr>
          <w:rFonts w:ascii="Calibri" w:eastAsia="Times New Roman" w:hAnsi="Calibri" w:cs="Times New Roman"/>
          <w:color w:val="000000"/>
        </w:rPr>
        <w:t xml:space="preserve">The target population for this survey includes all suppliers who make the first sale of any of the products listed on Form EIA-782C, and deliver that product into a state for consumption in that state. The product slate includes: motor gasoline, No. 1 distillate, kerosene, fuel oil, diesel fuel, aviation gasoline, jet fuel, No. 4 fuel, residual fuel oil, and propane. The original frame was constructed from the respondent frame of the former </w:t>
      </w:r>
      <w:r w:rsidR="007860AC">
        <w:rPr>
          <w:rFonts w:ascii="Calibri" w:eastAsia="Times New Roman" w:hAnsi="Calibri" w:cs="Times New Roman"/>
          <w:color w:val="000000"/>
        </w:rPr>
        <w:t xml:space="preserve">Form </w:t>
      </w:r>
      <w:r w:rsidRPr="00C74606">
        <w:rPr>
          <w:rFonts w:ascii="Calibri" w:eastAsia="Times New Roman" w:hAnsi="Calibri" w:cs="Times New Roman"/>
          <w:color w:val="000000"/>
        </w:rPr>
        <w:t xml:space="preserve">EIA-25, “Prime Supplier’s Monthly Report.” Currently the frame consists of </w:t>
      </w:r>
      <w:r w:rsidRPr="00C74606">
        <w:rPr>
          <w:rFonts w:ascii="Calibri" w:eastAsia="Times New Roman" w:hAnsi="Calibri" w:cs="Times New Roman"/>
        </w:rPr>
        <w:t>20</w:t>
      </w:r>
      <w:r w:rsidR="00B00154">
        <w:rPr>
          <w:rFonts w:ascii="Calibri" w:eastAsia="Times New Roman" w:hAnsi="Calibri" w:cs="Times New Roman"/>
        </w:rPr>
        <w:t>0</w:t>
      </w:r>
      <w:r w:rsidRPr="00C74606">
        <w:rPr>
          <w:rFonts w:ascii="Calibri" w:eastAsia="Times New Roman" w:hAnsi="Calibri" w:cs="Times New Roman"/>
          <w:color w:val="000000"/>
        </w:rPr>
        <w:t xml:space="preserve"> prime suppliers and is updated as needed due to births, deaths and mergers.</w:t>
      </w:r>
    </w:p>
    <w:p w14:paraId="74C4DC80" w14:textId="77777777" w:rsidR="00C74606" w:rsidRPr="00C74606" w:rsidRDefault="007860AC" w:rsidP="00BF5764">
      <w:pPr>
        <w:pStyle w:val="Heading2"/>
      </w:pPr>
      <w:r>
        <w:t xml:space="preserve">B.1.4. </w:t>
      </w:r>
      <w:r w:rsidR="00C74606" w:rsidRPr="00C74606">
        <w:t>Weekly Petroleum Product Frames and Target Population</w:t>
      </w:r>
      <w:r w:rsidR="00B00154">
        <w:t>s</w:t>
      </w:r>
    </w:p>
    <w:p w14:paraId="3F4C18C1" w14:textId="6AE70153" w:rsidR="007860AC" w:rsidRPr="00BF5764" w:rsidRDefault="002B5DA7" w:rsidP="00C74606">
      <w:pPr>
        <w:spacing w:before="200" w:after="0" w:line="360" w:lineRule="auto"/>
        <w:rPr>
          <w:rFonts w:ascii="Calibri" w:eastAsia="Times New Roman" w:hAnsi="Calibri" w:cs="Times New Roman"/>
          <w:b/>
          <w:bCs/>
          <w:color w:val="000000"/>
          <w:u w:val="single"/>
          <w:lang w:bidi="en-US"/>
        </w:rPr>
      </w:pPr>
      <w:r>
        <w:rPr>
          <w:rFonts w:ascii="Calibri" w:eastAsia="Times New Roman" w:hAnsi="Calibri" w:cs="Times New Roman"/>
          <w:b/>
          <w:color w:val="000000"/>
          <w:u w:val="single"/>
          <w:lang w:bidi="en-US"/>
        </w:rPr>
        <w:t xml:space="preserve">Form </w:t>
      </w:r>
      <w:r w:rsidR="00C74606" w:rsidRPr="00BF5764">
        <w:rPr>
          <w:rFonts w:ascii="Calibri" w:eastAsia="Times New Roman" w:hAnsi="Calibri" w:cs="Times New Roman"/>
          <w:b/>
          <w:color w:val="000000"/>
          <w:u w:val="single"/>
          <w:lang w:bidi="en-US"/>
        </w:rPr>
        <w:t>EIA-877, “</w:t>
      </w:r>
      <w:r w:rsidR="00C74606" w:rsidRPr="00BF5764">
        <w:rPr>
          <w:rFonts w:ascii="Calibri" w:eastAsia="Times New Roman" w:hAnsi="Calibri" w:cs="Times New Roman"/>
          <w:b/>
          <w:bCs/>
          <w:u w:val="single"/>
          <w:lang w:bidi="en-US"/>
        </w:rPr>
        <w:t>Winter Heating Fuels Telephone Survey</w:t>
      </w:r>
      <w:r w:rsidR="00C74606" w:rsidRPr="00BF5764">
        <w:rPr>
          <w:rFonts w:ascii="Calibri" w:eastAsia="Times New Roman" w:hAnsi="Calibri" w:cs="Times New Roman"/>
          <w:b/>
          <w:bCs/>
          <w:color w:val="000000"/>
          <w:u w:val="single"/>
          <w:lang w:bidi="en-US"/>
        </w:rPr>
        <w:t xml:space="preserve">” </w:t>
      </w:r>
    </w:p>
    <w:p w14:paraId="655E807F" w14:textId="703AFA16" w:rsidR="00C74606" w:rsidRPr="00C74606" w:rsidRDefault="00C74606" w:rsidP="00BF5764">
      <w:pPr>
        <w:spacing w:after="0" w:line="360" w:lineRule="auto"/>
        <w:rPr>
          <w:rFonts w:ascii="Calibri" w:eastAsia="Times New Roman" w:hAnsi="Calibri" w:cs="Times New Roman"/>
          <w:color w:val="FF0000"/>
          <w:lang w:bidi="en-US"/>
        </w:rPr>
      </w:pPr>
      <w:r w:rsidRPr="00C74606">
        <w:rPr>
          <w:rFonts w:ascii="Calibri" w:eastAsia="Times New Roman" w:hAnsi="Calibri" w:cs="Times New Roman"/>
          <w:lang w:bidi="en-US"/>
        </w:rPr>
        <w:t xml:space="preserve">The company/state level frame for this survey is constructed from company state units identified in </w:t>
      </w:r>
      <w:r w:rsidR="00A01C47">
        <w:rPr>
          <w:rFonts w:ascii="Calibri" w:eastAsia="Times New Roman" w:hAnsi="Calibri" w:cs="Times New Roman"/>
          <w:lang w:bidi="en-US"/>
        </w:rPr>
        <w:t xml:space="preserve">Form </w:t>
      </w:r>
      <w:r w:rsidRPr="00C74606">
        <w:rPr>
          <w:rFonts w:ascii="Calibri" w:eastAsia="Times New Roman" w:hAnsi="Calibri" w:cs="Times New Roman"/>
          <w:lang w:bidi="en-US"/>
        </w:rPr>
        <w:t xml:space="preserve">EIA-863. The current sampling frame for units which sell either residential heating oil or propane consists of 16,000 Company State Units (CSUs) in 38 states. For residential propane sellers, an outlet level frame is used for the second phase selection of individual outlets to represent the companies selected in the first phase. There are approximately 6,500 active propane outlets in the 38 states. </w:t>
      </w:r>
    </w:p>
    <w:p w14:paraId="757486EA" w14:textId="219917D4" w:rsidR="00A01C47" w:rsidRPr="00BF5764" w:rsidRDefault="002B5DA7" w:rsidP="00C74606">
      <w:pPr>
        <w:spacing w:before="200" w:after="0" w:line="360" w:lineRule="auto"/>
        <w:rPr>
          <w:rFonts w:ascii="Calibri" w:eastAsia="Times New Roman" w:hAnsi="Calibri" w:cs="Times New Roman"/>
          <w:b/>
          <w:u w:val="single"/>
          <w:lang w:bidi="en-US"/>
        </w:rPr>
      </w:pPr>
      <w:r>
        <w:rPr>
          <w:rFonts w:ascii="Calibri" w:eastAsia="Times New Roman" w:hAnsi="Calibri" w:cs="Times New Roman"/>
          <w:b/>
          <w:color w:val="000000"/>
          <w:u w:val="single"/>
          <w:lang w:bidi="en-US"/>
        </w:rPr>
        <w:t xml:space="preserve">Form </w:t>
      </w:r>
      <w:r w:rsidR="00C74606" w:rsidRPr="00BF5764">
        <w:rPr>
          <w:rFonts w:ascii="Calibri" w:eastAsia="Times New Roman" w:hAnsi="Calibri" w:cs="Times New Roman"/>
          <w:b/>
          <w:color w:val="000000"/>
          <w:u w:val="single"/>
          <w:lang w:bidi="en-US"/>
        </w:rPr>
        <w:t>EIA-878, “</w:t>
      </w:r>
      <w:r w:rsidR="00C74606" w:rsidRPr="00BF5764">
        <w:rPr>
          <w:rFonts w:ascii="Calibri" w:eastAsia="Times New Roman" w:hAnsi="Calibri" w:cs="Times New Roman"/>
          <w:b/>
          <w:bCs/>
          <w:u w:val="single"/>
          <w:lang w:bidi="en-US"/>
        </w:rPr>
        <w:t>Motor Gasoline Price Survey”</w:t>
      </w:r>
      <w:r w:rsidR="00C74606" w:rsidRPr="00BF5764">
        <w:rPr>
          <w:rFonts w:ascii="Calibri" w:eastAsia="Times New Roman" w:hAnsi="Calibri" w:cs="Times New Roman"/>
          <w:b/>
          <w:u w:val="single"/>
          <w:lang w:bidi="en-US"/>
        </w:rPr>
        <w:t xml:space="preserve"> </w:t>
      </w:r>
    </w:p>
    <w:p w14:paraId="1268A5BD" w14:textId="264AC32B" w:rsidR="00C74606" w:rsidRPr="00C74606" w:rsidRDefault="00C74606" w:rsidP="00BF5764">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The sample </w:t>
      </w:r>
      <w:r w:rsidR="00BF5764">
        <w:rPr>
          <w:rFonts w:ascii="Calibri" w:eastAsia="Times New Roman" w:hAnsi="Calibri" w:cs="Times New Roman"/>
          <w:lang w:bidi="en-US"/>
        </w:rPr>
        <w:t xml:space="preserve">for </w:t>
      </w:r>
      <w:r w:rsidR="00A01C47">
        <w:rPr>
          <w:rFonts w:ascii="Calibri" w:eastAsia="Times New Roman" w:hAnsi="Calibri" w:cs="Times New Roman"/>
          <w:lang w:bidi="en-US"/>
        </w:rPr>
        <w:t>Form EIA-878</w:t>
      </w:r>
      <w:r w:rsidRPr="00C74606">
        <w:rPr>
          <w:rFonts w:ascii="Calibri" w:eastAsia="Times New Roman" w:hAnsi="Calibri" w:cs="Times New Roman"/>
          <w:lang w:bidi="en-US"/>
        </w:rPr>
        <w:t xml:space="preserve"> was drawn from a frame of approximately 130,000 retail gasoline outlets. The gasoline outlet frame was constructed by combining outlet level name and address information purchased from the Oil Price Information Service (OPIS) with information from various internet sources including the Yellow Pages. The individual frame outlets were mapped to zip codes and counties. The outlets were then assigned to the sampling regions. These regions are non-overlapping and one or more sampling regions will comprise a publication region – reformulated gasoline areas as defined by the U.S. Environmental Protection A</w:t>
      </w:r>
      <w:r w:rsidR="00B00154">
        <w:rPr>
          <w:rFonts w:ascii="Calibri" w:eastAsia="Times New Roman" w:hAnsi="Calibri" w:cs="Times New Roman"/>
          <w:lang w:bidi="en-US"/>
        </w:rPr>
        <w:t>gency</w:t>
      </w:r>
      <w:r w:rsidRPr="00C74606">
        <w:rPr>
          <w:rFonts w:ascii="Calibri" w:eastAsia="Times New Roman" w:hAnsi="Calibri" w:cs="Times New Roman"/>
          <w:lang w:bidi="en-US"/>
        </w:rPr>
        <w:t xml:space="preserve"> (EPA) program area, or for conventional gasoline areas. </w:t>
      </w:r>
    </w:p>
    <w:p w14:paraId="53AAF855" w14:textId="1D2E1520" w:rsidR="00A01C47" w:rsidRPr="00BF5764" w:rsidRDefault="002B5DA7" w:rsidP="00C74606">
      <w:pPr>
        <w:spacing w:before="200" w:after="0" w:line="360" w:lineRule="auto"/>
        <w:rPr>
          <w:rFonts w:ascii="Calibri" w:eastAsia="Times New Roman" w:hAnsi="Calibri" w:cs="Times New Roman"/>
          <w:b/>
          <w:u w:val="single"/>
          <w:lang w:bidi="en-US"/>
        </w:rPr>
      </w:pPr>
      <w:r>
        <w:rPr>
          <w:rFonts w:ascii="Calibri" w:eastAsia="Times New Roman" w:hAnsi="Calibri" w:cs="Times New Roman"/>
          <w:b/>
          <w:u w:val="single"/>
          <w:lang w:bidi="en-US"/>
        </w:rPr>
        <w:t xml:space="preserve">Form </w:t>
      </w:r>
      <w:r w:rsidR="00C74606" w:rsidRPr="00BF5764">
        <w:rPr>
          <w:rFonts w:ascii="Calibri" w:eastAsia="Times New Roman" w:hAnsi="Calibri" w:cs="Times New Roman"/>
          <w:b/>
          <w:u w:val="single"/>
          <w:lang w:bidi="en-US"/>
        </w:rPr>
        <w:t>EIA-888, “</w:t>
      </w:r>
      <w:r w:rsidR="00C74606" w:rsidRPr="00BF5764">
        <w:rPr>
          <w:rFonts w:ascii="Calibri" w:eastAsia="Times New Roman" w:hAnsi="Calibri" w:cs="Times New Roman"/>
          <w:b/>
          <w:bCs/>
          <w:u w:val="single"/>
          <w:lang w:bidi="en-US"/>
        </w:rPr>
        <w:t>On-Highway Diesel Fuel Price Survey”</w:t>
      </w:r>
      <w:r w:rsidR="00C74606" w:rsidRPr="00BF5764">
        <w:rPr>
          <w:rFonts w:ascii="Calibri" w:eastAsia="Times New Roman" w:hAnsi="Calibri" w:cs="Times New Roman"/>
          <w:b/>
          <w:u w:val="single"/>
          <w:lang w:bidi="en-US"/>
        </w:rPr>
        <w:t xml:space="preserve"> </w:t>
      </w:r>
    </w:p>
    <w:p w14:paraId="6105C951" w14:textId="77777777" w:rsidR="00C74606" w:rsidRPr="00C74606" w:rsidRDefault="00C74606" w:rsidP="00BF5764">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w:t>
      </w:r>
    </w:p>
    <w:p w14:paraId="36090C9B" w14:textId="77777777" w:rsidR="007E53C4" w:rsidRDefault="00844524" w:rsidP="00BF5764">
      <w:pPr>
        <w:pStyle w:val="Heading2"/>
      </w:pPr>
      <w:bookmarkStart w:id="4" w:name="_Toc466046935"/>
      <w:r>
        <w:t>B.</w:t>
      </w:r>
      <w:r w:rsidR="00A41763" w:rsidRPr="00A41763">
        <w:t xml:space="preserve">2. </w:t>
      </w:r>
      <w:r w:rsidR="007E53C4">
        <w:t>Statistical Methods</w:t>
      </w:r>
      <w:bookmarkEnd w:id="4"/>
    </w:p>
    <w:p w14:paraId="14356A88" w14:textId="173253D1" w:rsidR="0079037F" w:rsidRPr="00EA033A" w:rsidRDefault="0079037F" w:rsidP="00BF5764">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360" w:lineRule="auto"/>
        <w:rPr>
          <w:rFonts w:cs="Times New Roman"/>
          <w:color w:val="000000"/>
          <w:szCs w:val="24"/>
        </w:rPr>
      </w:pPr>
      <w:r w:rsidRPr="00EA033A">
        <w:rPr>
          <w:rFonts w:cs="Times New Roman"/>
          <w:szCs w:val="24"/>
        </w:rPr>
        <w:t>Six of the ten petroleum marketing surveys—</w:t>
      </w:r>
      <w:r w:rsidR="00A01C47">
        <w:rPr>
          <w:rFonts w:cs="Times New Roman"/>
          <w:szCs w:val="24"/>
        </w:rPr>
        <w:t xml:space="preserve"> Forms</w:t>
      </w:r>
      <w:r w:rsidR="00BF5764">
        <w:rPr>
          <w:rFonts w:cs="Times New Roman"/>
          <w:szCs w:val="24"/>
        </w:rPr>
        <w:t xml:space="preserve"> </w:t>
      </w:r>
      <w:r w:rsidRPr="00EA033A">
        <w:rPr>
          <w:rFonts w:cs="Times New Roman"/>
          <w:szCs w:val="24"/>
        </w:rPr>
        <w:t>EIA-14, EIA-182, EIA-782A, EIA-782C, EIA-856, and EIA-863—are census</w:t>
      </w:r>
      <w:r w:rsidR="00176646">
        <w:rPr>
          <w:rFonts w:cs="Times New Roman"/>
          <w:szCs w:val="24"/>
        </w:rPr>
        <w:t xml:space="preserve"> surveys </w:t>
      </w:r>
      <w:r w:rsidRPr="00EA033A">
        <w:rPr>
          <w:rFonts w:cs="Times New Roman"/>
          <w:szCs w:val="24"/>
        </w:rPr>
        <w:t>so no weighting is required.</w:t>
      </w:r>
      <w:r w:rsidRPr="00711FDA">
        <w:rPr>
          <w:rFonts w:cs="Times New Roman"/>
          <w:szCs w:val="24"/>
        </w:rPr>
        <w:t xml:space="preserve"> The target population for </w:t>
      </w:r>
      <w:r w:rsidR="00A01C47">
        <w:rPr>
          <w:rFonts w:cs="Times New Roman"/>
          <w:szCs w:val="24"/>
        </w:rPr>
        <w:t>Form</w:t>
      </w:r>
      <w:r w:rsidR="00BF5764">
        <w:rPr>
          <w:rFonts w:cs="Times New Roman"/>
          <w:szCs w:val="24"/>
        </w:rPr>
        <w:t xml:space="preserve"> </w:t>
      </w:r>
      <w:r w:rsidRPr="00711FDA">
        <w:rPr>
          <w:rFonts w:cs="Times New Roman"/>
          <w:szCs w:val="24"/>
        </w:rPr>
        <w:t xml:space="preserve">EIA-856 is all companies with over 500,000 </w:t>
      </w:r>
      <w:r w:rsidRPr="00711FDA">
        <w:t>barrels of foreign crude oil in the report month for importation into the United States</w:t>
      </w:r>
      <w:r w:rsidRPr="00711FDA">
        <w:rPr>
          <w:rFonts w:cs="Times New Roman"/>
        </w:rPr>
        <w:t>. O</w:t>
      </w:r>
      <w:r w:rsidRPr="00711FDA">
        <w:rPr>
          <w:rFonts w:cs="Times New Roman"/>
          <w:szCs w:val="24"/>
        </w:rPr>
        <w:t xml:space="preserve">ne respondent with less than 500,000 barrels is required to report because they were originally on the frame in 1982. The volume weighted price is used for estimation in four of these surveys. The total cost or revenue (price times volume) is divided by </w:t>
      </w:r>
      <w:r w:rsidRPr="00EA033A">
        <w:rPr>
          <w:rFonts w:cs="Times New Roman"/>
          <w:color w:val="000000"/>
          <w:szCs w:val="24"/>
        </w:rPr>
        <w:t>a corresponding total volume to arrive at a volume weighted average cost.</w:t>
      </w:r>
    </w:p>
    <w:p w14:paraId="60449D2D" w14:textId="77777777" w:rsidR="0079037F" w:rsidRPr="00EA033A" w:rsidRDefault="0079037F" w:rsidP="00BF5764">
      <w:pPr>
        <w:pStyle w:val="TEXT0"/>
        <w:rPr>
          <w:color w:val="000000"/>
        </w:rPr>
      </w:pPr>
      <w:r w:rsidRPr="00EA033A">
        <w:t>For the remaining surveys, sample weights are typically calculated as the inverse of the probability of selection of the sampled company or outlet.</w:t>
      </w:r>
      <w:r>
        <w:t xml:space="preserve"> </w:t>
      </w:r>
      <w:r w:rsidRPr="00EA033A">
        <w:t>The price surveys create volume-weights for use in estimation, which are the product of the sampling weight times a sales volume measure for the outlet.</w:t>
      </w:r>
      <w:r>
        <w:t xml:space="preserve"> </w:t>
      </w:r>
    </w:p>
    <w:p w14:paraId="434EA2E9" w14:textId="00C62B5B" w:rsidR="0079037F" w:rsidRDefault="008A2788" w:rsidP="00BF5764">
      <w:pPr>
        <w:pStyle w:val="Heading2"/>
      </w:pPr>
      <w:r>
        <w:t xml:space="preserve">B.2.1 </w:t>
      </w:r>
      <w:r w:rsidR="00176646">
        <w:t>Statistical Methods</w:t>
      </w:r>
      <w:r w:rsidR="0079037F" w:rsidRPr="00EA033A">
        <w:t xml:space="preserve"> for Monthly Crude Oil Surveys</w:t>
      </w:r>
    </w:p>
    <w:p w14:paraId="56B50F0C" w14:textId="4D79FEE6" w:rsidR="0079037F" w:rsidRPr="00BE3A26" w:rsidRDefault="00A01C47" w:rsidP="00C722B2">
      <w:pPr>
        <w:pStyle w:val="ListParagraph"/>
        <w:rPr>
          <w:sz w:val="22"/>
          <w:szCs w:val="22"/>
        </w:rPr>
      </w:pPr>
      <w:r w:rsidRPr="00BE3A26">
        <w:rPr>
          <w:color w:val="000000"/>
          <w:sz w:val="22"/>
          <w:szCs w:val="22"/>
        </w:rPr>
        <w:t>Form</w:t>
      </w:r>
      <w:r w:rsidR="0079037F" w:rsidRPr="00BE3A26">
        <w:rPr>
          <w:color w:val="000000"/>
          <w:sz w:val="22"/>
          <w:szCs w:val="22"/>
        </w:rPr>
        <w:t xml:space="preserve"> EIA-14 is a census. </w:t>
      </w:r>
      <w:r w:rsidR="0079037F" w:rsidRPr="00BE3A26">
        <w:rPr>
          <w:sz w:val="22"/>
          <w:szCs w:val="22"/>
        </w:rPr>
        <w:t>A volume weighted price at the national and regional levels is calculated by dividing the total cost (price times volume) by the corresponding total volume.</w:t>
      </w:r>
    </w:p>
    <w:p w14:paraId="7B0F1633" w14:textId="5C34AA47" w:rsidR="0079037F" w:rsidRPr="00BE3A26" w:rsidRDefault="00A01C47" w:rsidP="00C722B2">
      <w:pPr>
        <w:pStyle w:val="ListParagraph"/>
        <w:rPr>
          <w:sz w:val="22"/>
          <w:szCs w:val="22"/>
        </w:rPr>
      </w:pPr>
      <w:r w:rsidRPr="00BE3A26">
        <w:rPr>
          <w:sz w:val="22"/>
          <w:szCs w:val="22"/>
        </w:rPr>
        <w:t xml:space="preserve">Form </w:t>
      </w:r>
      <w:r w:rsidR="0079037F" w:rsidRPr="00BE3A26">
        <w:rPr>
          <w:sz w:val="22"/>
          <w:szCs w:val="22"/>
        </w:rPr>
        <w:t>EIA-182 is a census. To obtain a national weighted average price, the total cost (amount paid times volume purchased) is divided by corresponding total volume. Subsequently, the data are sorted by crude stream within each state. These data are aggregated across all companies reporting purchases from a given state. Weighted average prices for crude oil are then derived for each producing state and for the Outer Continental Shelf regions, Alaska North Slope and Alaska Other.</w:t>
      </w:r>
    </w:p>
    <w:p w14:paraId="0CD39060" w14:textId="6B753A3C" w:rsidR="0079037F" w:rsidRPr="00176646" w:rsidRDefault="00A01C47" w:rsidP="00C722B2">
      <w:pPr>
        <w:pStyle w:val="ListParagraph"/>
        <w:rPr>
          <w:color w:val="000000"/>
        </w:rPr>
      </w:pPr>
      <w:r w:rsidRPr="00BE3A26">
        <w:rPr>
          <w:sz w:val="22"/>
          <w:szCs w:val="22"/>
        </w:rPr>
        <w:t>Form</w:t>
      </w:r>
      <w:r w:rsidR="0079037F" w:rsidRPr="00BE3A26">
        <w:rPr>
          <w:sz w:val="22"/>
          <w:szCs w:val="22"/>
        </w:rPr>
        <w:t xml:space="preserve"> EIA-856 is a census of those companies importing over 500,000 barrels of foreign crude oil into the United States in the report month.</w:t>
      </w:r>
      <w:r w:rsidR="0079037F" w:rsidRPr="00711FDA">
        <w:t xml:space="preserve"> </w:t>
      </w:r>
    </w:p>
    <w:p w14:paraId="2E4AC93A" w14:textId="77777777" w:rsidR="0079037F" w:rsidRPr="00EA033A" w:rsidRDefault="008A2788" w:rsidP="00BF5764">
      <w:pPr>
        <w:pStyle w:val="Heading2"/>
      </w:pPr>
      <w:r>
        <w:t xml:space="preserve">B.2.2 </w:t>
      </w:r>
      <w:r w:rsidR="00B86BC5">
        <w:t>Statistical Methods</w:t>
      </w:r>
      <w:r w:rsidR="0079037F" w:rsidRPr="00EA033A">
        <w:t xml:space="preserve"> for Monthly Petroleum Product Surveys</w:t>
      </w:r>
    </w:p>
    <w:p w14:paraId="0616935C" w14:textId="77777777" w:rsidR="0079037F" w:rsidRPr="00711FDA" w:rsidRDefault="0079037F" w:rsidP="00BF57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szCs w:val="24"/>
        </w:rPr>
      </w:pPr>
      <w:r w:rsidRPr="00EA033A">
        <w:rPr>
          <w:rFonts w:cs="Times New Roman"/>
          <w:color w:val="000000"/>
          <w:szCs w:val="24"/>
        </w:rPr>
        <w:t xml:space="preserve">There are two monthly petroleum product surveys and both are a census since the target population for each of these surveys is small. The volume weighted price is used for estimation in </w:t>
      </w:r>
      <w:r w:rsidRPr="00711FDA">
        <w:rPr>
          <w:rFonts w:cs="Times New Roman"/>
          <w:szCs w:val="24"/>
        </w:rPr>
        <w:t>one of these surveys. The total revenue (price times volume) is divided by a corresponding total volume to arrive at a volume weighted average selling price.</w:t>
      </w:r>
    </w:p>
    <w:p w14:paraId="2B1FE95E" w14:textId="0B4804D7" w:rsidR="0079037F" w:rsidRPr="00BE3A26" w:rsidRDefault="008A2788" w:rsidP="00BE3A26">
      <w:pPr>
        <w:pStyle w:val="ListParagraph"/>
        <w:numPr>
          <w:ilvl w:val="0"/>
          <w:numId w:val="19"/>
        </w:numPr>
        <w:ind w:left="734" w:hanging="288"/>
        <w:rPr>
          <w:sz w:val="22"/>
          <w:szCs w:val="22"/>
        </w:rPr>
      </w:pPr>
      <w:r w:rsidRPr="00BE3A26">
        <w:rPr>
          <w:sz w:val="22"/>
          <w:szCs w:val="22"/>
        </w:rPr>
        <w:t xml:space="preserve">Form </w:t>
      </w:r>
      <w:r w:rsidR="0079037F" w:rsidRPr="00BE3A26">
        <w:rPr>
          <w:sz w:val="22"/>
          <w:szCs w:val="22"/>
        </w:rPr>
        <w:t xml:space="preserve">EIA-782A Aggregation: Data from this survey is used to estimate the national average price for each product and market level - e.g., U.S., Petroleum Administration for </w:t>
      </w:r>
      <w:r w:rsidR="00176646" w:rsidRPr="00BE3A26">
        <w:rPr>
          <w:sz w:val="22"/>
          <w:szCs w:val="22"/>
        </w:rPr>
        <w:t>Defense Districts (</w:t>
      </w:r>
      <w:r w:rsidR="0079037F" w:rsidRPr="00BE3A26">
        <w:rPr>
          <w:sz w:val="22"/>
          <w:szCs w:val="22"/>
        </w:rPr>
        <w:t>PADD</w:t>
      </w:r>
      <w:r w:rsidR="00176646" w:rsidRPr="00BE3A26">
        <w:rPr>
          <w:sz w:val="22"/>
          <w:szCs w:val="22"/>
        </w:rPr>
        <w:t>)</w:t>
      </w:r>
      <w:r w:rsidR="0079037F" w:rsidRPr="00BE3A26">
        <w:rPr>
          <w:sz w:val="22"/>
          <w:szCs w:val="22"/>
        </w:rPr>
        <w:t xml:space="preserve">, and </w:t>
      </w:r>
      <w:r w:rsidRPr="00BE3A26">
        <w:rPr>
          <w:sz w:val="22"/>
          <w:szCs w:val="22"/>
        </w:rPr>
        <w:t>s</w:t>
      </w:r>
      <w:r w:rsidR="0079037F" w:rsidRPr="00BE3A26">
        <w:rPr>
          <w:sz w:val="22"/>
          <w:szCs w:val="22"/>
        </w:rPr>
        <w:t xml:space="preserve">tate. The price and volume data for each company are multiplied and then aggregated across all companies for each product and market level to obtain a total revenue figure. This revenue is then divided by the corresponding total volume to arrive at a volume weighted average selling price. </w:t>
      </w:r>
    </w:p>
    <w:p w14:paraId="024896CA" w14:textId="64EE5517" w:rsidR="00D1656B" w:rsidRDefault="008A2788" w:rsidP="00BE3A26">
      <w:pPr>
        <w:pStyle w:val="ListParagraph"/>
      </w:pPr>
      <w:r w:rsidRPr="00BE3A26">
        <w:rPr>
          <w:sz w:val="22"/>
          <w:szCs w:val="22"/>
        </w:rPr>
        <w:t xml:space="preserve">Form </w:t>
      </w:r>
      <w:r w:rsidR="0079037F" w:rsidRPr="00BE3A26">
        <w:rPr>
          <w:sz w:val="22"/>
          <w:szCs w:val="22"/>
        </w:rPr>
        <w:t xml:space="preserve">EIA-782C Aggregation: Because </w:t>
      </w:r>
      <w:r w:rsidR="006C06B5" w:rsidRPr="00BE3A26">
        <w:rPr>
          <w:sz w:val="22"/>
          <w:szCs w:val="22"/>
        </w:rPr>
        <w:t xml:space="preserve">Form </w:t>
      </w:r>
      <w:r w:rsidR="0079037F" w:rsidRPr="00BE3A26">
        <w:rPr>
          <w:sz w:val="22"/>
          <w:szCs w:val="22"/>
        </w:rPr>
        <w:t>EIA-782C is a census survey and only volume totals are published, the only estimation procedures used are for summing across companies.</w:t>
      </w:r>
    </w:p>
    <w:p w14:paraId="272D3DE6" w14:textId="77777777" w:rsidR="0079037F" w:rsidRPr="00B33897" w:rsidRDefault="008A2788" w:rsidP="00BF5764">
      <w:pPr>
        <w:pStyle w:val="Heading2"/>
      </w:pPr>
      <w:r>
        <w:t xml:space="preserve">B.2.3 </w:t>
      </w:r>
      <w:r w:rsidR="00D766D2">
        <w:t>S</w:t>
      </w:r>
      <w:r w:rsidR="00D1398E">
        <w:t>tatistical Methods</w:t>
      </w:r>
      <w:r w:rsidR="0079037F" w:rsidRPr="00B33897">
        <w:t xml:space="preserve"> for Weekly Petroleum Product Surveys </w:t>
      </w:r>
    </w:p>
    <w:p w14:paraId="0DAC686A" w14:textId="77777777" w:rsidR="00E51E43" w:rsidRDefault="0079037F" w:rsidP="00E51E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rPr>
          <w:rFonts w:cs="Times New Roman"/>
          <w:color w:val="000000"/>
          <w:szCs w:val="24"/>
        </w:rPr>
      </w:pPr>
      <w:r w:rsidRPr="00EA033A">
        <w:rPr>
          <w:rFonts w:cs="Times New Roman"/>
          <w:color w:val="000000"/>
          <w:szCs w:val="24"/>
        </w:rPr>
        <w:t>All three of the following surveys collect weekly prices for petroleum products – motor gasoline, on-highway diesel, heating fuel</w:t>
      </w:r>
      <w:r>
        <w:rPr>
          <w:rFonts w:cs="Times New Roman"/>
          <w:color w:val="000000"/>
          <w:szCs w:val="24"/>
        </w:rPr>
        <w:t>,</w:t>
      </w:r>
      <w:r w:rsidRPr="00EA033A">
        <w:rPr>
          <w:rFonts w:cs="Times New Roman"/>
          <w:color w:val="000000"/>
          <w:szCs w:val="24"/>
        </w:rPr>
        <w:t xml:space="preserve"> and propane. Table B1 contains a summary of the sample design for</w:t>
      </w:r>
    </w:p>
    <w:p w14:paraId="0E088B53" w14:textId="77777777" w:rsidR="00137342" w:rsidRDefault="00D32B94" w:rsidP="00E51E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rPr>
          <w:rFonts w:cs="Times New Roman"/>
          <w:color w:val="000000"/>
          <w:szCs w:val="24"/>
        </w:rPr>
      </w:pPr>
      <w:r>
        <w:rPr>
          <w:rFonts w:cs="Times New Roman"/>
          <w:color w:val="000000"/>
          <w:szCs w:val="24"/>
        </w:rPr>
        <w:t xml:space="preserve">the </w:t>
      </w:r>
      <w:r w:rsidRPr="00EA033A">
        <w:rPr>
          <w:rFonts w:cs="Times New Roman"/>
          <w:color w:val="000000"/>
          <w:szCs w:val="24"/>
        </w:rPr>
        <w:t>weekly surveys (</w:t>
      </w:r>
      <w:r w:rsidR="006C06B5">
        <w:rPr>
          <w:rFonts w:cs="Times New Roman"/>
          <w:color w:val="000000"/>
          <w:szCs w:val="24"/>
        </w:rPr>
        <w:t xml:space="preserve">Forms </w:t>
      </w:r>
      <w:r w:rsidRPr="00EA033A">
        <w:rPr>
          <w:rFonts w:cs="Times New Roman"/>
          <w:color w:val="000000"/>
          <w:szCs w:val="24"/>
        </w:rPr>
        <w:t>EIA-877, EIA-878</w:t>
      </w:r>
      <w:r>
        <w:rPr>
          <w:rFonts w:cs="Times New Roman"/>
          <w:color w:val="000000"/>
          <w:szCs w:val="24"/>
        </w:rPr>
        <w:t>,</w:t>
      </w:r>
      <w:r w:rsidRPr="00EA033A">
        <w:rPr>
          <w:rFonts w:cs="Times New Roman"/>
          <w:color w:val="000000"/>
          <w:szCs w:val="24"/>
        </w:rPr>
        <w:t xml:space="preserve"> and EIA-888) in the Petroleum Marketing Program. </w:t>
      </w:r>
    </w:p>
    <w:tbl>
      <w:tblPr>
        <w:tblStyle w:val="TableGrid3"/>
        <w:tblpPr w:leftFromText="187" w:rightFromText="187" w:vertAnchor="text" w:horzAnchor="margin" w:tblpY="1"/>
        <w:tblW w:w="9990" w:type="dxa"/>
        <w:tblLayout w:type="fixed"/>
        <w:tblLook w:val="04A0" w:firstRow="1" w:lastRow="0" w:firstColumn="1" w:lastColumn="0" w:noHBand="0" w:noVBand="1"/>
      </w:tblPr>
      <w:tblGrid>
        <w:gridCol w:w="2520"/>
        <w:gridCol w:w="5220"/>
        <w:gridCol w:w="1260"/>
        <w:gridCol w:w="990"/>
      </w:tblGrid>
      <w:tr w:rsidR="00137342" w:rsidRPr="004A0B1D" w14:paraId="36E6AAFF" w14:textId="77777777" w:rsidTr="002B5DA7">
        <w:tc>
          <w:tcPr>
            <w:tcW w:w="9990" w:type="dxa"/>
            <w:gridSpan w:val="4"/>
          </w:tcPr>
          <w:p w14:paraId="78D5A34D" w14:textId="77777777" w:rsidR="00137342" w:rsidRPr="004A0B1D" w:rsidRDefault="00137342" w:rsidP="002B5DA7">
            <w:pPr>
              <w:pBdr>
                <w:top w:val="single" w:sz="24" w:space="0" w:color="DBE5F1"/>
                <w:left w:val="single" w:sz="24" w:space="0" w:color="DBE5F1"/>
                <w:bottom w:val="single" w:sz="24" w:space="0" w:color="DBE5F1"/>
                <w:right w:val="single" w:sz="24" w:space="0" w:color="DBE5F1"/>
              </w:pBdr>
              <w:shd w:val="clear" w:color="auto" w:fill="DBE5F1"/>
              <w:spacing w:line="240" w:lineRule="auto"/>
              <w:outlineLvl w:val="1"/>
              <w:rPr>
                <w:rFonts w:ascii="Cambria" w:hAnsi="Cambria" w:cs="Times New Roman"/>
                <w:b/>
                <w:caps/>
                <w:color w:val="365F91"/>
                <w:spacing w:val="15"/>
                <w:sz w:val="28"/>
                <w:szCs w:val="28"/>
              </w:rPr>
            </w:pPr>
            <w:r w:rsidRPr="004A0B1D">
              <w:rPr>
                <w:rFonts w:ascii="Cambria" w:hAnsi="Cambria" w:cs="Times New Roman"/>
                <w:b/>
                <w:color w:val="365F91"/>
                <w:spacing w:val="15"/>
                <w:sz w:val="28"/>
                <w:szCs w:val="28"/>
              </w:rPr>
              <w:t>Table</w:t>
            </w:r>
            <w:r w:rsidRPr="004A0B1D">
              <w:rPr>
                <w:rFonts w:ascii="Cambria" w:hAnsi="Cambria" w:cs="Times New Roman"/>
                <w:b/>
                <w:caps/>
                <w:color w:val="365F91"/>
                <w:spacing w:val="15"/>
                <w:sz w:val="28"/>
                <w:szCs w:val="28"/>
              </w:rPr>
              <w:t xml:space="preserve"> B1: </w:t>
            </w:r>
            <w:r w:rsidRPr="004A0B1D">
              <w:rPr>
                <w:rFonts w:ascii="Cambria" w:hAnsi="Cambria" w:cs="Times New Roman"/>
                <w:b/>
                <w:color w:val="365F91"/>
                <w:spacing w:val="15"/>
                <w:sz w:val="28"/>
                <w:szCs w:val="28"/>
              </w:rPr>
              <w:t>Summary of Sample Design</w:t>
            </w:r>
          </w:p>
        </w:tc>
      </w:tr>
      <w:tr w:rsidR="00137342" w:rsidRPr="004A0B1D" w14:paraId="36198AD4" w14:textId="77777777" w:rsidTr="002B5DA7">
        <w:tc>
          <w:tcPr>
            <w:tcW w:w="2520" w:type="dxa"/>
          </w:tcPr>
          <w:p w14:paraId="4A3AD360"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Pr>
                <w:rFonts w:ascii="Calibri" w:hAnsi="Calibri" w:cs="Times New Roman"/>
                <w:b/>
                <w:color w:val="000000"/>
              </w:rPr>
              <w:t xml:space="preserve">                                  </w:t>
            </w:r>
            <w:r w:rsidRPr="004A0B1D">
              <w:rPr>
                <w:rFonts w:ascii="Calibri" w:hAnsi="Calibri" w:cs="Times New Roman"/>
                <w:b/>
                <w:color w:val="000000"/>
              </w:rPr>
              <w:t>Survey Name</w:t>
            </w:r>
          </w:p>
        </w:tc>
        <w:tc>
          <w:tcPr>
            <w:tcW w:w="5220" w:type="dxa"/>
          </w:tcPr>
          <w:p w14:paraId="4DCBE271"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p>
          <w:p w14:paraId="21BAD75A"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b/>
                <w:color w:val="000000"/>
              </w:rPr>
              <w:t>Sample Design</w:t>
            </w:r>
          </w:p>
        </w:tc>
        <w:tc>
          <w:tcPr>
            <w:tcW w:w="1260" w:type="dxa"/>
          </w:tcPr>
          <w:p w14:paraId="17E46A6B"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b/>
                <w:color w:val="000000"/>
              </w:rPr>
              <w:t>Selection Procedure</w:t>
            </w:r>
          </w:p>
        </w:tc>
        <w:tc>
          <w:tcPr>
            <w:tcW w:w="990" w:type="dxa"/>
          </w:tcPr>
          <w:p w14:paraId="30D352BB"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center"/>
              <w:rPr>
                <w:rFonts w:ascii="Calibri" w:hAnsi="Calibri" w:cs="Times New Roman"/>
                <w:b/>
                <w:color w:val="000000"/>
              </w:rPr>
            </w:pPr>
            <w:r w:rsidRPr="004A0B1D">
              <w:rPr>
                <w:rFonts w:ascii="Calibri" w:hAnsi="Calibri" w:cs="Times New Roman"/>
                <w:b/>
                <w:color w:val="000000"/>
              </w:rPr>
              <w:t>Sample Size</w:t>
            </w:r>
          </w:p>
        </w:tc>
      </w:tr>
      <w:tr w:rsidR="00137342" w:rsidRPr="004A0B1D" w14:paraId="296598F3" w14:textId="77777777" w:rsidTr="002B5DA7">
        <w:tc>
          <w:tcPr>
            <w:tcW w:w="2520" w:type="dxa"/>
          </w:tcPr>
          <w:p w14:paraId="0CEFB804"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color w:val="000000"/>
              </w:rPr>
              <w:t>EIA-877,</w:t>
            </w:r>
            <w:r w:rsidRPr="004A0B1D">
              <w:rPr>
                <w:rFonts w:ascii="Calibri" w:hAnsi="Calibri" w:cs="Times New Roman"/>
                <w:b/>
                <w:color w:val="000000"/>
              </w:rPr>
              <w:t xml:space="preserve"> “</w:t>
            </w:r>
            <w:r w:rsidRPr="004A0B1D">
              <w:rPr>
                <w:rFonts w:ascii="Calibri" w:hAnsi="Calibri" w:cs="Times New Roman"/>
                <w:bCs/>
              </w:rPr>
              <w:t>Winter Heating Fuels Telephone Survey</w:t>
            </w:r>
            <w:r w:rsidRPr="004A0B1D">
              <w:rPr>
                <w:rFonts w:ascii="Calibri" w:hAnsi="Calibri" w:cs="Times New Roman"/>
                <w:color w:val="000000"/>
              </w:rPr>
              <w:t>”</w:t>
            </w:r>
          </w:p>
        </w:tc>
        <w:tc>
          <w:tcPr>
            <w:tcW w:w="5220" w:type="dxa"/>
          </w:tcPr>
          <w:p w14:paraId="6373327D"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Heating oil: Stratified random sample with certainty for 21 states and DC in the East Coast and Midwest Regions.</w:t>
            </w:r>
          </w:p>
        </w:tc>
        <w:tc>
          <w:tcPr>
            <w:tcW w:w="1260" w:type="dxa"/>
          </w:tcPr>
          <w:p w14:paraId="5564D8B9" w14:textId="743158B8" w:rsidR="00137342" w:rsidRPr="004A0B1D" w:rsidRDefault="00137342" w:rsidP="00BF57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See section 1</w:t>
            </w:r>
            <w:r>
              <w:rPr>
                <w:rFonts w:ascii="Calibri" w:hAnsi="Calibri" w:cs="Times New Roman"/>
                <w:color w:val="000000"/>
              </w:rPr>
              <w:t>a</w:t>
            </w:r>
            <w:r w:rsidRPr="004A0B1D">
              <w:rPr>
                <w:rFonts w:ascii="Calibri" w:hAnsi="Calibri" w:cs="Times New Roman"/>
                <w:color w:val="000000"/>
              </w:rPr>
              <w:t xml:space="preserve"> </w:t>
            </w:r>
            <w:r>
              <w:rPr>
                <w:rFonts w:ascii="Calibri" w:hAnsi="Calibri" w:cs="Times New Roman"/>
                <w:color w:val="000000"/>
              </w:rPr>
              <w:t xml:space="preserve"> </w:t>
            </w:r>
          </w:p>
        </w:tc>
        <w:tc>
          <w:tcPr>
            <w:tcW w:w="990" w:type="dxa"/>
          </w:tcPr>
          <w:p w14:paraId="18DB1FF4"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center"/>
              <w:rPr>
                <w:rFonts w:ascii="Calibri" w:hAnsi="Calibri" w:cs="Times New Roman"/>
                <w:color w:val="000000"/>
              </w:rPr>
            </w:pPr>
            <w:r w:rsidRPr="004A0B1D">
              <w:rPr>
                <w:rFonts w:ascii="Calibri" w:hAnsi="Calibri" w:cs="Times New Roman"/>
                <w:color w:val="000000"/>
              </w:rPr>
              <w:t>527</w:t>
            </w:r>
          </w:p>
        </w:tc>
      </w:tr>
      <w:tr w:rsidR="00137342" w:rsidRPr="004A0B1D" w14:paraId="030A4784" w14:textId="77777777" w:rsidTr="002B5DA7">
        <w:tc>
          <w:tcPr>
            <w:tcW w:w="2520" w:type="dxa"/>
          </w:tcPr>
          <w:p w14:paraId="39A97CCB"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color w:val="000000"/>
              </w:rPr>
              <w:t>EIA-877, “</w:t>
            </w:r>
            <w:r w:rsidRPr="004A0B1D">
              <w:rPr>
                <w:rFonts w:ascii="Calibri" w:hAnsi="Calibri" w:cs="Times New Roman"/>
                <w:bCs/>
              </w:rPr>
              <w:t>Winter Heating Fuels Telephone Survey</w:t>
            </w:r>
            <w:r w:rsidRPr="004A0B1D">
              <w:rPr>
                <w:rFonts w:ascii="Calibri" w:hAnsi="Calibri" w:cs="Times New Roman"/>
                <w:color w:val="000000"/>
              </w:rPr>
              <w:t>”</w:t>
            </w:r>
          </w:p>
        </w:tc>
        <w:tc>
          <w:tcPr>
            <w:tcW w:w="5220" w:type="dxa"/>
          </w:tcPr>
          <w:p w14:paraId="36253B68"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rPr>
            </w:pPr>
            <w:r w:rsidRPr="004A0B1D">
              <w:rPr>
                <w:rFonts w:ascii="Calibri" w:hAnsi="Calibri" w:cs="Times New Roman"/>
              </w:rPr>
              <w:t xml:space="preserve">Propane: Two-stage sample for 38 states, which includes the states in the East Coast, Midwest, Gulf Coast, and Rocky Mountain Regions. Stratified Probability Proportional to Size (PPS) Sequential Sample with Probability Minimum Replacement of Company State Units in the first stage and simple random sample of outlets in the second stage. </w:t>
            </w:r>
          </w:p>
        </w:tc>
        <w:tc>
          <w:tcPr>
            <w:tcW w:w="1260" w:type="dxa"/>
          </w:tcPr>
          <w:p w14:paraId="4D64DF72" w14:textId="24257E89"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 xml:space="preserve">See section </w:t>
            </w:r>
            <w:r>
              <w:rPr>
                <w:rFonts w:ascii="Calibri" w:hAnsi="Calibri" w:cs="Times New Roman"/>
                <w:color w:val="000000"/>
              </w:rPr>
              <w:t>1b</w:t>
            </w:r>
            <w:r w:rsidRPr="004A0B1D">
              <w:rPr>
                <w:rFonts w:ascii="Calibri" w:hAnsi="Calibri" w:cs="Times New Roman"/>
                <w:color w:val="000000"/>
              </w:rPr>
              <w:t xml:space="preserve"> </w:t>
            </w:r>
            <w:r>
              <w:rPr>
                <w:rFonts w:ascii="Calibri" w:hAnsi="Calibri" w:cs="Times New Roman"/>
                <w:color w:val="000000"/>
              </w:rPr>
              <w:t xml:space="preserve"> </w:t>
            </w:r>
          </w:p>
        </w:tc>
        <w:tc>
          <w:tcPr>
            <w:tcW w:w="990" w:type="dxa"/>
          </w:tcPr>
          <w:p w14:paraId="31DCEA03"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center"/>
              <w:rPr>
                <w:rFonts w:ascii="Calibri" w:hAnsi="Calibri" w:cs="Times New Roman"/>
                <w:color w:val="000000"/>
              </w:rPr>
            </w:pPr>
            <w:r w:rsidRPr="004A0B1D">
              <w:rPr>
                <w:rFonts w:ascii="Calibri" w:hAnsi="Calibri" w:cs="Times New Roman"/>
              </w:rPr>
              <w:t>1,140</w:t>
            </w:r>
          </w:p>
        </w:tc>
      </w:tr>
      <w:tr w:rsidR="00137342" w:rsidRPr="004A0B1D" w14:paraId="1286EC0A" w14:textId="77777777" w:rsidTr="002B5DA7">
        <w:trPr>
          <w:trHeight w:val="593"/>
        </w:trPr>
        <w:tc>
          <w:tcPr>
            <w:tcW w:w="2520" w:type="dxa"/>
          </w:tcPr>
          <w:p w14:paraId="3C663EF0"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color w:val="000000"/>
              </w:rPr>
              <w:t>EIA-878, “</w:t>
            </w:r>
            <w:r w:rsidRPr="004A0B1D">
              <w:rPr>
                <w:rFonts w:ascii="Calibri" w:hAnsi="Calibri" w:cs="Times New Roman"/>
                <w:bCs/>
              </w:rPr>
              <w:t>Motor Gasoline Price Survey</w:t>
            </w:r>
            <w:r w:rsidRPr="004A0B1D">
              <w:rPr>
                <w:rFonts w:ascii="Calibri" w:hAnsi="Calibri" w:cs="Times New Roman"/>
                <w:color w:val="000000"/>
              </w:rPr>
              <w:t>”</w:t>
            </w:r>
          </w:p>
        </w:tc>
        <w:tc>
          <w:tcPr>
            <w:tcW w:w="5220" w:type="dxa"/>
          </w:tcPr>
          <w:p w14:paraId="39894892" w14:textId="77777777" w:rsidR="00137342" w:rsidRPr="004A0B1D" w:rsidRDefault="00137342" w:rsidP="002B5DA7">
            <w:pPr>
              <w:spacing w:line="240" w:lineRule="auto"/>
              <w:rPr>
                <w:rFonts w:ascii="Calibri" w:hAnsi="Calibri" w:cs="Times New Roman"/>
              </w:rPr>
            </w:pPr>
            <w:r w:rsidRPr="004A0B1D">
              <w:rPr>
                <w:rFonts w:ascii="Calibri" w:hAnsi="Calibri" w:cs="Times New Roman"/>
              </w:rPr>
              <w:t>Stratified systematic simple random sample.</w:t>
            </w:r>
          </w:p>
        </w:tc>
        <w:tc>
          <w:tcPr>
            <w:tcW w:w="1260" w:type="dxa"/>
          </w:tcPr>
          <w:p w14:paraId="62B1C92D" w14:textId="4D7412A1" w:rsidR="00137342" w:rsidRPr="004A0B1D" w:rsidRDefault="00137342" w:rsidP="00BF57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 xml:space="preserve">See section 2 </w:t>
            </w:r>
            <w:r>
              <w:rPr>
                <w:rFonts w:ascii="Calibri" w:hAnsi="Calibri" w:cs="Times New Roman"/>
                <w:color w:val="000000"/>
              </w:rPr>
              <w:t xml:space="preserve"> </w:t>
            </w:r>
          </w:p>
        </w:tc>
        <w:tc>
          <w:tcPr>
            <w:tcW w:w="990" w:type="dxa"/>
          </w:tcPr>
          <w:p w14:paraId="597FAFC5"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center"/>
              <w:rPr>
                <w:rFonts w:ascii="Calibri" w:hAnsi="Calibri" w:cs="Times New Roman"/>
                <w:color w:val="000000"/>
              </w:rPr>
            </w:pPr>
            <w:r w:rsidRPr="004A0B1D">
              <w:rPr>
                <w:rFonts w:ascii="Calibri" w:hAnsi="Calibri" w:cs="Times New Roman"/>
                <w:color w:val="000000"/>
              </w:rPr>
              <w:t>1,000</w:t>
            </w:r>
          </w:p>
        </w:tc>
      </w:tr>
      <w:tr w:rsidR="00137342" w:rsidRPr="004A0B1D" w14:paraId="3F0A883D" w14:textId="77777777" w:rsidTr="002B5DA7">
        <w:tc>
          <w:tcPr>
            <w:tcW w:w="2520" w:type="dxa"/>
          </w:tcPr>
          <w:p w14:paraId="5D19FC72"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b/>
                <w:color w:val="000000"/>
              </w:rPr>
            </w:pPr>
            <w:r w:rsidRPr="004A0B1D">
              <w:rPr>
                <w:rFonts w:ascii="Calibri" w:hAnsi="Calibri" w:cs="Times New Roman"/>
                <w:color w:val="000000"/>
              </w:rPr>
              <w:t>EIA-888, “</w:t>
            </w:r>
            <w:r w:rsidRPr="004A0B1D">
              <w:rPr>
                <w:rFonts w:ascii="Calibri" w:hAnsi="Calibri" w:cs="Times New Roman"/>
                <w:bCs/>
              </w:rPr>
              <w:t>On-Highway Diesel Fuel Price Survey</w:t>
            </w:r>
            <w:r w:rsidRPr="004A0B1D">
              <w:rPr>
                <w:rFonts w:ascii="Calibri" w:hAnsi="Calibri" w:cs="Times New Roman"/>
                <w:color w:val="000000"/>
              </w:rPr>
              <w:t>”</w:t>
            </w:r>
          </w:p>
        </w:tc>
        <w:tc>
          <w:tcPr>
            <w:tcW w:w="5220" w:type="dxa"/>
          </w:tcPr>
          <w:p w14:paraId="48F67FD3"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Stratified Probability Proportional to Size sample of retail outlets from 48 continental states and DC.</w:t>
            </w:r>
          </w:p>
        </w:tc>
        <w:tc>
          <w:tcPr>
            <w:tcW w:w="1260" w:type="dxa"/>
          </w:tcPr>
          <w:p w14:paraId="33929666" w14:textId="78FB818D" w:rsidR="00137342" w:rsidRPr="004A0B1D" w:rsidRDefault="00137342" w:rsidP="00BF57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Calibri" w:hAnsi="Calibri" w:cs="Times New Roman"/>
                <w:color w:val="000000"/>
              </w:rPr>
            </w:pPr>
            <w:r w:rsidRPr="004A0B1D">
              <w:rPr>
                <w:rFonts w:ascii="Calibri" w:hAnsi="Calibri" w:cs="Times New Roman"/>
                <w:color w:val="000000"/>
              </w:rPr>
              <w:t xml:space="preserve">See section 3 </w:t>
            </w:r>
            <w:r>
              <w:rPr>
                <w:rFonts w:ascii="Calibri" w:hAnsi="Calibri" w:cs="Times New Roman"/>
                <w:color w:val="000000"/>
              </w:rPr>
              <w:t xml:space="preserve"> </w:t>
            </w:r>
          </w:p>
        </w:tc>
        <w:tc>
          <w:tcPr>
            <w:tcW w:w="990" w:type="dxa"/>
          </w:tcPr>
          <w:p w14:paraId="19A08B3E" w14:textId="77777777" w:rsidR="00137342" w:rsidRPr="004A0B1D" w:rsidRDefault="00137342" w:rsidP="002B5D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center"/>
              <w:rPr>
                <w:rFonts w:ascii="Calibri" w:hAnsi="Calibri" w:cs="Times New Roman"/>
                <w:color w:val="000000"/>
              </w:rPr>
            </w:pPr>
            <w:r w:rsidRPr="004A0B1D">
              <w:rPr>
                <w:rFonts w:ascii="Calibri" w:hAnsi="Calibri" w:cs="Times New Roman"/>
                <w:color w:val="000000"/>
              </w:rPr>
              <w:t>403</w:t>
            </w:r>
          </w:p>
        </w:tc>
      </w:tr>
    </w:tbl>
    <w:p w14:paraId="2A2E6567" w14:textId="6277190A" w:rsidR="00D32B94" w:rsidRDefault="00D32B94" w:rsidP="00E51E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rPr>
          <w:rFonts w:cs="Times New Roman"/>
          <w:color w:val="000000"/>
          <w:szCs w:val="24"/>
        </w:rPr>
      </w:pPr>
    </w:p>
    <w:p w14:paraId="50F4F16A" w14:textId="77777777" w:rsidR="00D1398E" w:rsidRPr="00BE3A26" w:rsidRDefault="0079037F" w:rsidP="00C722B2">
      <w:pPr>
        <w:pStyle w:val="ListParagraph"/>
        <w:numPr>
          <w:ilvl w:val="0"/>
          <w:numId w:val="18"/>
        </w:numPr>
        <w:rPr>
          <w:sz w:val="22"/>
          <w:szCs w:val="22"/>
        </w:rPr>
      </w:pPr>
      <w:r w:rsidRPr="00BE3A26">
        <w:rPr>
          <w:b/>
          <w:i/>
          <w:sz w:val="22"/>
          <w:szCs w:val="22"/>
        </w:rPr>
        <w:t>EIA-877 Sample and Estimation:</w:t>
      </w:r>
      <w:r w:rsidRPr="00BE3A26">
        <w:rPr>
          <w:sz w:val="22"/>
          <w:szCs w:val="22"/>
        </w:rPr>
        <w:t xml:space="preserve"> </w:t>
      </w:r>
      <w:r w:rsidR="00D1398E" w:rsidRPr="00BE3A26">
        <w:rPr>
          <w:sz w:val="22"/>
          <w:szCs w:val="22"/>
        </w:rPr>
        <w:t>Separate sampling and est</w:t>
      </w:r>
      <w:r w:rsidR="00D1656B" w:rsidRPr="00BE3A26">
        <w:rPr>
          <w:sz w:val="22"/>
          <w:szCs w:val="22"/>
        </w:rPr>
        <w:t xml:space="preserve">imation procedures are used for </w:t>
      </w:r>
      <w:r w:rsidR="00E51E43" w:rsidRPr="00BE3A26">
        <w:rPr>
          <w:sz w:val="22"/>
          <w:szCs w:val="22"/>
        </w:rPr>
        <w:t>r</w:t>
      </w:r>
      <w:r w:rsidR="00D1398E" w:rsidRPr="00BE3A26">
        <w:rPr>
          <w:sz w:val="22"/>
          <w:szCs w:val="22"/>
        </w:rPr>
        <w:t xml:space="preserve">esidential No. 2 heating oil and propane. Descriptions of these procedures follow. </w:t>
      </w:r>
    </w:p>
    <w:p w14:paraId="38002FB7" w14:textId="728028F2" w:rsidR="00D1656B" w:rsidRDefault="00D1398E" w:rsidP="00A56637">
      <w:pPr>
        <w:spacing w:after="0" w:line="360" w:lineRule="auto"/>
        <w:ind w:left="1267" w:hanging="547"/>
      </w:pPr>
      <w:r w:rsidRPr="00AF2B5F">
        <w:rPr>
          <w:b/>
          <w:i/>
          <w:color w:val="000000"/>
        </w:rPr>
        <w:t>1a)</w:t>
      </w:r>
      <w:r w:rsidR="00D1656B">
        <w:rPr>
          <w:b/>
          <w:i/>
          <w:color w:val="000000"/>
        </w:rPr>
        <w:t xml:space="preserve"> </w:t>
      </w:r>
      <w:r w:rsidR="006C06B5">
        <w:rPr>
          <w:b/>
          <w:i/>
          <w:color w:val="000000"/>
        </w:rPr>
        <w:tab/>
      </w:r>
      <w:r w:rsidR="00B86BC5" w:rsidRPr="00AF2B5F">
        <w:rPr>
          <w:b/>
          <w:i/>
          <w:color w:val="000000"/>
        </w:rPr>
        <w:t xml:space="preserve">EIA-877 </w:t>
      </w:r>
      <w:r w:rsidR="0079037F" w:rsidRPr="00AF2B5F">
        <w:rPr>
          <w:b/>
          <w:i/>
          <w:color w:val="000000"/>
        </w:rPr>
        <w:t>Sample and Estimation Procedures for No. 2 Heating Oil Prices:</w:t>
      </w:r>
      <w:r w:rsidR="0079037F" w:rsidRPr="00AF2B5F">
        <w:rPr>
          <w:color w:val="000000"/>
        </w:rPr>
        <w:t xml:space="preserve"> </w:t>
      </w:r>
      <w:r w:rsidR="0079037F" w:rsidRPr="00340F80">
        <w:t>The No.</w:t>
      </w:r>
      <w:r w:rsidR="0079037F">
        <w:t xml:space="preserve"> </w:t>
      </w:r>
      <w:r w:rsidR="0079037F" w:rsidRPr="00340F80">
        <w:t xml:space="preserve">2 heating oil price data are reported by a statistical sample. According to the requirement of the State Heating Oil and </w:t>
      </w:r>
      <w:r w:rsidR="0079037F">
        <w:t xml:space="preserve">Propane </w:t>
      </w:r>
      <w:r w:rsidR="0079037F" w:rsidRPr="00340F80">
        <w:t xml:space="preserve">Program (SHOPP) program, 21 </w:t>
      </w:r>
      <w:r w:rsidR="0079037F">
        <w:t>s</w:t>
      </w:r>
      <w:r w:rsidR="0079037F" w:rsidRPr="00340F80">
        <w:t>tates and the District of Columbia (DC) in the East Coast and Midwest regions participate in the No.</w:t>
      </w:r>
      <w:r w:rsidR="0079037F">
        <w:t xml:space="preserve"> </w:t>
      </w:r>
      <w:r w:rsidR="0079037F" w:rsidRPr="00340F80">
        <w:t xml:space="preserve">2 heating oil price survey. The sampling frame used was a list of all Company State Units (CSUs) in those 21 </w:t>
      </w:r>
      <w:r w:rsidR="0079037F">
        <w:t>s</w:t>
      </w:r>
      <w:r w:rsidR="0079037F" w:rsidRPr="00340F80">
        <w:t xml:space="preserve">tates and DC that reported residential No. 2 heating oil sales on the 2006 Form EIA-863, “Petroleum Product Sales Identification Survey.” </w:t>
      </w:r>
    </w:p>
    <w:p w14:paraId="7A334AD1" w14:textId="77777777" w:rsidR="0079037F" w:rsidRDefault="0079037F" w:rsidP="00BF5764">
      <w:pPr>
        <w:spacing w:after="0" w:line="360" w:lineRule="auto"/>
        <w:ind w:left="1260"/>
      </w:pPr>
      <w:r w:rsidRPr="00340F80">
        <w:t>CSUs that sold at least five percent (5%) of the residential No.</w:t>
      </w:r>
      <w:r>
        <w:t xml:space="preserve"> </w:t>
      </w:r>
      <w:r w:rsidRPr="00340F80">
        <w:t xml:space="preserve">2 heating oil in a </w:t>
      </w:r>
      <w:r>
        <w:t>s</w:t>
      </w:r>
      <w:r w:rsidRPr="00340F80">
        <w:t>tate, as reported on the frame survey EIA-863, were automatically included in the sample and are referred to as certainty units. The remaining CSUs, referred to as non-certainty units, were stratified into three groups by their residential No.</w:t>
      </w:r>
      <w:r>
        <w:t xml:space="preserve"> </w:t>
      </w:r>
      <w:r w:rsidRPr="00340F80">
        <w:t xml:space="preserve">2 heating oil sales volumes in each </w:t>
      </w:r>
      <w:r>
        <w:t>s</w:t>
      </w:r>
      <w:r w:rsidRPr="00340F80">
        <w:t xml:space="preserve">tate, as reported on the EIA-863. Strata boundaries were determined using the Dalenius-Hodges procedure. The sample allocations were designed generally to yield average price coefficients of variation (CV) of one percent (1%), but, due to budget constraints, individual </w:t>
      </w:r>
      <w:r>
        <w:t>s</w:t>
      </w:r>
      <w:r w:rsidRPr="00340F80">
        <w:t xml:space="preserve">tate sample sizes were capped at 35 even if the target CV was not met. In addition, a minimum size of fifteen was required for each of the 21 </w:t>
      </w:r>
      <w:r>
        <w:t>s</w:t>
      </w:r>
      <w:r w:rsidRPr="00340F80">
        <w:t>tates. The sample of CSUs within each stratum was a simple random sample. The residential No.</w:t>
      </w:r>
      <w:r>
        <w:t xml:space="preserve"> </w:t>
      </w:r>
      <w:r w:rsidRPr="00340F80">
        <w:t>2 heating oil sample size inclusive of certainty and non-certainty units is 527 CSUs.</w:t>
      </w:r>
    </w:p>
    <w:p w14:paraId="1CCA3973" w14:textId="77777777" w:rsidR="00D1656B" w:rsidRDefault="00D1656B" w:rsidP="00D1656B">
      <w:pPr>
        <w:spacing w:after="0" w:line="360" w:lineRule="auto"/>
        <w:ind w:left="360"/>
      </w:pPr>
    </w:p>
    <w:p w14:paraId="150ABEA1" w14:textId="77777777" w:rsidR="0079037F" w:rsidRDefault="0079037F" w:rsidP="009A6235">
      <w:pPr>
        <w:autoSpaceDE w:val="0"/>
        <w:autoSpaceDN w:val="0"/>
        <w:adjustRightInd w:val="0"/>
        <w:spacing w:after="0" w:line="360" w:lineRule="auto"/>
        <w:ind w:left="1267"/>
        <w:rPr>
          <w:rFonts w:cs="Times New Roman"/>
          <w:color w:val="231F20"/>
          <w:szCs w:val="24"/>
        </w:rPr>
      </w:pPr>
      <w:r w:rsidRPr="00EA033A">
        <w:rPr>
          <w:rFonts w:cs="Times New Roman"/>
          <w:color w:val="231F20"/>
          <w:szCs w:val="24"/>
        </w:rPr>
        <w:t xml:space="preserve">The </w:t>
      </w:r>
      <w:r w:rsidRPr="00340F80">
        <w:rPr>
          <w:rFonts w:cs="Times New Roman"/>
          <w:color w:val="231F20"/>
          <w:szCs w:val="24"/>
        </w:rPr>
        <w:t xml:space="preserve">residential No. 2 heating oil prices (excluding taxes) for a given </w:t>
      </w:r>
      <w:r>
        <w:rPr>
          <w:rFonts w:cs="Times New Roman"/>
          <w:color w:val="231F20"/>
          <w:szCs w:val="24"/>
        </w:rPr>
        <w:t>s</w:t>
      </w:r>
      <w:r w:rsidRPr="00340F80">
        <w:rPr>
          <w:rFonts w:cs="Times New Roman"/>
          <w:color w:val="231F20"/>
          <w:szCs w:val="24"/>
        </w:rPr>
        <w:t xml:space="preserve">tate are based on the results of </w:t>
      </w:r>
      <w:r>
        <w:rPr>
          <w:rFonts w:cs="Times New Roman"/>
          <w:color w:val="231F20"/>
          <w:szCs w:val="24"/>
        </w:rPr>
        <w:t xml:space="preserve">a </w:t>
      </w:r>
      <w:r w:rsidRPr="00340F80">
        <w:rPr>
          <w:rFonts w:cs="Times New Roman"/>
          <w:color w:val="231F20"/>
          <w:szCs w:val="24"/>
        </w:rPr>
        <w:t xml:space="preserve">telephone survey of marketers and refiners, one for each of the two products. Data are collected by State Energy Offices under the </w:t>
      </w:r>
      <w:r>
        <w:rPr>
          <w:rFonts w:cs="Times New Roman"/>
          <w:color w:val="231F20"/>
          <w:szCs w:val="24"/>
        </w:rPr>
        <w:t xml:space="preserve">U.S. </w:t>
      </w:r>
      <w:r w:rsidRPr="00340F80">
        <w:rPr>
          <w:rFonts w:cs="Times New Roman"/>
          <w:color w:val="231F20"/>
          <w:szCs w:val="24"/>
        </w:rPr>
        <w:t>Energy Information Administration (EIA) State Heating Oil and Propane Program (SHOPP).</w:t>
      </w:r>
    </w:p>
    <w:p w14:paraId="583FF5C3" w14:textId="77777777" w:rsidR="00D1656B" w:rsidRDefault="00D1656B" w:rsidP="00D1656B">
      <w:pPr>
        <w:autoSpaceDE w:val="0"/>
        <w:autoSpaceDN w:val="0"/>
        <w:adjustRightInd w:val="0"/>
        <w:spacing w:after="0" w:line="360" w:lineRule="auto"/>
        <w:ind w:left="360"/>
        <w:rPr>
          <w:rFonts w:cs="Times New Roman"/>
          <w:color w:val="231F20"/>
          <w:szCs w:val="24"/>
        </w:rPr>
      </w:pPr>
    </w:p>
    <w:p w14:paraId="28C41A6D" w14:textId="77777777" w:rsidR="0079037F" w:rsidRDefault="0079037F" w:rsidP="00BF5764">
      <w:pPr>
        <w:autoSpaceDE w:val="0"/>
        <w:autoSpaceDN w:val="0"/>
        <w:adjustRightInd w:val="0"/>
        <w:spacing w:after="0" w:line="360" w:lineRule="auto"/>
        <w:ind w:left="1260"/>
        <w:rPr>
          <w:rFonts w:cs="Times New Roman"/>
          <w:color w:val="231F20"/>
          <w:szCs w:val="24"/>
        </w:rPr>
      </w:pPr>
      <w:r w:rsidRPr="00340F80">
        <w:rPr>
          <w:rFonts w:cs="Times New Roman"/>
          <w:color w:val="231F20"/>
          <w:szCs w:val="24"/>
        </w:rPr>
        <w:t xml:space="preserve">To estimate the average residential No. 2 heating oil price data for a </w:t>
      </w:r>
      <w:r>
        <w:rPr>
          <w:rFonts w:cs="Times New Roman"/>
          <w:color w:val="231F20"/>
          <w:szCs w:val="24"/>
        </w:rPr>
        <w:t>s</w:t>
      </w:r>
      <w:r w:rsidRPr="00340F80">
        <w:rPr>
          <w:rFonts w:cs="Times New Roman"/>
          <w:color w:val="231F20"/>
          <w:szCs w:val="24"/>
        </w:rPr>
        <w:t>tate, the sample and volume weights are applied to the reported price, summed and divided by the sum of the weighted volume:</w:t>
      </w:r>
    </w:p>
    <w:p w14:paraId="0636803F" w14:textId="77777777" w:rsidR="0079037F" w:rsidRPr="00D735D2" w:rsidRDefault="006C06B5" w:rsidP="0079037F">
      <w:pPr>
        <w:autoSpaceDE w:val="0"/>
        <w:autoSpaceDN w:val="0"/>
        <w:adjustRightInd w:val="0"/>
        <w:ind w:left="360"/>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79037F" w:rsidRPr="00D735D2">
        <w:rPr>
          <w:rFonts w:ascii="Times New Roman" w:hAnsi="Times New Roman" w:cs="Times New Roman"/>
          <w:color w:val="231F20"/>
          <w:sz w:val="24"/>
          <w:szCs w:val="24"/>
        </w:rPr>
        <w:tab/>
      </w:r>
      <w:r w:rsidR="0079037F" w:rsidRPr="0019555A">
        <w:rPr>
          <w:rFonts w:ascii="Cambria Math" w:hAnsi="Cambria Math" w:cs="Times New Roman"/>
          <w:sz w:val="24"/>
          <w:szCs w:val="24"/>
        </w:rPr>
        <w:object w:dxaOrig="2580" w:dyaOrig="740" w14:anchorId="61166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75pt" o:ole="">
            <v:imagedata r:id="rId16" o:title=""/>
          </v:shape>
          <o:OLEObject Type="Embed" ProgID="Equation.3" ShapeID="_x0000_i1025" DrawAspect="Content" ObjectID="_1562497674" r:id="rId17"/>
        </w:object>
      </w:r>
    </w:p>
    <w:p w14:paraId="73E2B0A6" w14:textId="77777777" w:rsidR="0079037F" w:rsidRPr="00515192" w:rsidRDefault="0079037F" w:rsidP="00BF5764">
      <w:pPr>
        <w:pStyle w:val="BodyText2"/>
        <w:spacing w:line="360" w:lineRule="auto"/>
        <w:ind w:left="1800" w:firstLine="360"/>
        <w:rPr>
          <w:color w:val="231F20"/>
        </w:rPr>
      </w:pPr>
      <w:r>
        <w:rPr>
          <w:color w:val="231F20"/>
        </w:rPr>
        <w:t xml:space="preserve">where </w:t>
      </w:r>
      <w:r>
        <w:rPr>
          <w:color w:val="231F20"/>
        </w:rPr>
        <w:tab/>
      </w:r>
      <w:r w:rsidRPr="00515192">
        <w:rPr>
          <w:color w:val="231F20"/>
        </w:rPr>
        <w:t>w</w:t>
      </w:r>
      <w:r w:rsidRPr="00FD462B">
        <w:rPr>
          <w:color w:val="231F20"/>
          <w:vertAlign w:val="subscript"/>
        </w:rPr>
        <w:t>ij</w:t>
      </w:r>
      <w:r w:rsidRPr="00515192">
        <w:rPr>
          <w:color w:val="231F20"/>
        </w:rPr>
        <w:t xml:space="preserve"> = sample weight</w:t>
      </w:r>
    </w:p>
    <w:p w14:paraId="5A9FC03F" w14:textId="77777777" w:rsidR="0079037F" w:rsidRPr="00515192" w:rsidRDefault="0079037F" w:rsidP="0079037F">
      <w:pPr>
        <w:pStyle w:val="BodyText2"/>
        <w:spacing w:line="360" w:lineRule="auto"/>
        <w:ind w:left="360"/>
        <w:rPr>
          <w:color w:val="231F20"/>
        </w:rPr>
      </w:pPr>
      <w:r w:rsidRPr="00515192">
        <w:rPr>
          <w:color w:val="231F20"/>
        </w:rPr>
        <w:tab/>
      </w:r>
      <w:r w:rsidRPr="00515192">
        <w:rPr>
          <w:color w:val="231F20"/>
        </w:rPr>
        <w:tab/>
      </w:r>
      <w:r w:rsidR="006C06B5">
        <w:rPr>
          <w:color w:val="231F20"/>
        </w:rPr>
        <w:tab/>
      </w:r>
      <w:r w:rsidR="006C06B5">
        <w:rPr>
          <w:color w:val="231F20"/>
        </w:rPr>
        <w:tab/>
      </w:r>
      <w:r w:rsidRPr="00515192">
        <w:rPr>
          <w:color w:val="231F20"/>
        </w:rPr>
        <w:t>v</w:t>
      </w:r>
      <w:r w:rsidRPr="00FD462B">
        <w:rPr>
          <w:color w:val="231F20"/>
          <w:vertAlign w:val="subscript"/>
        </w:rPr>
        <w:t>ij</w:t>
      </w:r>
      <w:r w:rsidRPr="00515192">
        <w:rPr>
          <w:color w:val="231F20"/>
        </w:rPr>
        <w:t xml:space="preserve"> – volume weight</w:t>
      </w:r>
    </w:p>
    <w:p w14:paraId="3D9F191D" w14:textId="77777777" w:rsidR="0079037F" w:rsidRPr="00515192" w:rsidRDefault="0079037F" w:rsidP="0079037F">
      <w:pPr>
        <w:pStyle w:val="BodyText2"/>
        <w:ind w:left="360"/>
        <w:rPr>
          <w:i/>
          <w:iCs/>
          <w:color w:val="231F20"/>
        </w:rPr>
      </w:pPr>
      <w:r w:rsidRPr="00515192">
        <w:rPr>
          <w:color w:val="231F20"/>
          <w:position w:val="-14"/>
        </w:rPr>
        <w:tab/>
      </w:r>
      <w:r w:rsidRPr="00515192">
        <w:rPr>
          <w:color w:val="231F20"/>
          <w:position w:val="-14"/>
        </w:rPr>
        <w:tab/>
      </w:r>
      <w:r w:rsidR="006C06B5">
        <w:rPr>
          <w:color w:val="231F20"/>
          <w:position w:val="-14"/>
        </w:rPr>
        <w:tab/>
      </w:r>
      <w:r w:rsidR="006C06B5">
        <w:rPr>
          <w:color w:val="231F20"/>
          <w:position w:val="-14"/>
        </w:rPr>
        <w:tab/>
      </w:r>
      <w:r w:rsidRPr="00515192">
        <w:rPr>
          <w:color w:val="231F20"/>
          <w:position w:val="-14"/>
        </w:rPr>
        <w:object w:dxaOrig="320" w:dyaOrig="380" w14:anchorId="33F3D601">
          <v:shape id="_x0000_i1026" type="#_x0000_t75" style="width:15.75pt;height:18.75pt" o:ole="">
            <v:imagedata r:id="rId18" o:title=""/>
          </v:shape>
          <o:OLEObject Type="Embed" ProgID="Equation.3" ShapeID="_x0000_i1026" DrawAspect="Content" ObjectID="_1562497675" r:id="rId19"/>
        </w:object>
      </w:r>
      <w:r w:rsidRPr="00515192">
        <w:rPr>
          <w:i/>
          <w:iCs/>
          <w:color w:val="231F20"/>
        </w:rPr>
        <w:t xml:space="preserve"> </w:t>
      </w:r>
      <w:r w:rsidRPr="00515192">
        <w:rPr>
          <w:color w:val="231F20"/>
        </w:rPr>
        <w:t xml:space="preserve">= price, </w:t>
      </w:r>
    </w:p>
    <w:p w14:paraId="1B933A6A" w14:textId="77777777" w:rsidR="0079037F" w:rsidRPr="00515192" w:rsidRDefault="0079037F" w:rsidP="0079037F">
      <w:pPr>
        <w:pStyle w:val="BodyText2"/>
        <w:spacing w:line="360" w:lineRule="auto"/>
        <w:ind w:left="360"/>
        <w:rPr>
          <w:color w:val="231F20"/>
          <w:position w:val="-14"/>
        </w:rPr>
      </w:pPr>
      <w:r w:rsidRPr="00515192">
        <w:rPr>
          <w:i/>
          <w:iCs/>
          <w:color w:val="231F20"/>
        </w:rPr>
        <w:tab/>
      </w:r>
      <w:r w:rsidRPr="00515192">
        <w:rPr>
          <w:i/>
          <w:iCs/>
          <w:color w:val="231F20"/>
        </w:rPr>
        <w:tab/>
      </w:r>
      <w:r w:rsidR="006C06B5">
        <w:rPr>
          <w:i/>
          <w:iCs/>
          <w:color w:val="231F20"/>
        </w:rPr>
        <w:tab/>
      </w:r>
      <w:r w:rsidR="006C06B5">
        <w:rPr>
          <w:i/>
          <w:iCs/>
          <w:color w:val="231F20"/>
        </w:rPr>
        <w:tab/>
      </w:r>
      <w:r w:rsidRPr="00515192">
        <w:rPr>
          <w:i/>
          <w:iCs/>
          <w:color w:val="231F20"/>
        </w:rPr>
        <w:t xml:space="preserve">i </w:t>
      </w:r>
      <w:r w:rsidRPr="00515192">
        <w:rPr>
          <w:color w:val="231F20"/>
        </w:rPr>
        <w:t>= respondent</w:t>
      </w:r>
    </w:p>
    <w:p w14:paraId="7A34B5EB" w14:textId="77777777" w:rsidR="0079037F" w:rsidRPr="00515192" w:rsidRDefault="0079037F" w:rsidP="0079037F">
      <w:pPr>
        <w:pStyle w:val="BodyText2"/>
        <w:spacing w:line="360" w:lineRule="auto"/>
        <w:ind w:left="360"/>
        <w:rPr>
          <w:i/>
          <w:iCs/>
          <w:color w:val="231F20"/>
        </w:rPr>
      </w:pPr>
      <w:r w:rsidRPr="00515192">
        <w:rPr>
          <w:i/>
          <w:iCs/>
          <w:color w:val="231F20"/>
        </w:rPr>
        <w:tab/>
      </w:r>
      <w:r w:rsidRPr="00515192">
        <w:rPr>
          <w:i/>
          <w:iCs/>
          <w:color w:val="231F20"/>
        </w:rPr>
        <w:tab/>
      </w:r>
      <w:r w:rsidR="006C06B5">
        <w:rPr>
          <w:i/>
          <w:iCs/>
          <w:color w:val="231F20"/>
        </w:rPr>
        <w:tab/>
      </w:r>
      <w:r w:rsidR="006C06B5">
        <w:rPr>
          <w:i/>
          <w:iCs/>
          <w:color w:val="231F20"/>
        </w:rPr>
        <w:tab/>
      </w:r>
      <w:r w:rsidRPr="00515192">
        <w:rPr>
          <w:color w:val="231F20"/>
          <w:position w:val="-14"/>
        </w:rPr>
        <w:object w:dxaOrig="279" w:dyaOrig="380" w14:anchorId="2C65B92F">
          <v:shape id="_x0000_i1027" type="#_x0000_t75" style="width:14.25pt;height:18.75pt" o:ole="">
            <v:imagedata r:id="rId20" o:title=""/>
          </v:shape>
          <o:OLEObject Type="Embed" ProgID="Equation.3" ShapeID="_x0000_i1027" DrawAspect="Content" ObjectID="_1562497676" r:id="rId21"/>
        </w:object>
      </w:r>
      <w:r w:rsidRPr="00515192">
        <w:rPr>
          <w:i/>
          <w:iCs/>
          <w:color w:val="231F20"/>
        </w:rPr>
        <w:t xml:space="preserve"> </w:t>
      </w:r>
      <w:r w:rsidRPr="00515192">
        <w:rPr>
          <w:color w:val="231F20"/>
        </w:rPr>
        <w:t xml:space="preserve">= sample size of stratum </w:t>
      </w:r>
      <w:r w:rsidRPr="00515192">
        <w:rPr>
          <w:i/>
          <w:iCs/>
          <w:color w:val="231F20"/>
        </w:rPr>
        <w:t>j</w:t>
      </w:r>
      <w:r w:rsidRPr="00515192">
        <w:rPr>
          <w:color w:val="231F20"/>
        </w:rPr>
        <w:t xml:space="preserve">, and </w:t>
      </w:r>
    </w:p>
    <w:p w14:paraId="5333E82A" w14:textId="77777777" w:rsidR="0079037F" w:rsidRDefault="0079037F" w:rsidP="0079037F">
      <w:pPr>
        <w:pStyle w:val="BodyText2"/>
        <w:spacing w:line="360" w:lineRule="auto"/>
        <w:ind w:left="360"/>
        <w:rPr>
          <w:color w:val="231F20"/>
        </w:rPr>
      </w:pPr>
      <w:r w:rsidRPr="00515192">
        <w:rPr>
          <w:i/>
          <w:iCs/>
          <w:color w:val="231F20"/>
        </w:rPr>
        <w:tab/>
      </w:r>
      <w:r w:rsidRPr="00515192">
        <w:rPr>
          <w:i/>
          <w:iCs/>
          <w:color w:val="231F20"/>
        </w:rPr>
        <w:tab/>
      </w:r>
      <w:r w:rsidR="006C06B5">
        <w:rPr>
          <w:i/>
          <w:iCs/>
          <w:color w:val="231F20"/>
        </w:rPr>
        <w:tab/>
      </w:r>
      <w:r w:rsidR="006C06B5">
        <w:rPr>
          <w:i/>
          <w:iCs/>
          <w:color w:val="231F20"/>
        </w:rPr>
        <w:tab/>
      </w:r>
      <w:r w:rsidRPr="00515192">
        <w:rPr>
          <w:i/>
          <w:iCs/>
          <w:color w:val="231F20"/>
        </w:rPr>
        <w:t xml:space="preserve">s </w:t>
      </w:r>
      <w:r w:rsidRPr="00515192">
        <w:rPr>
          <w:color w:val="231F20"/>
        </w:rPr>
        <w:t>= number of strata</w:t>
      </w:r>
    </w:p>
    <w:p w14:paraId="6DC106CE" w14:textId="0179FD46" w:rsidR="00137342" w:rsidRDefault="0079037F" w:rsidP="009A6235">
      <w:pPr>
        <w:pStyle w:val="BodyText2"/>
        <w:spacing w:after="0" w:line="360" w:lineRule="auto"/>
        <w:ind w:left="1267"/>
      </w:pPr>
      <w:r w:rsidRPr="00515192">
        <w:t xml:space="preserve">The sample weights </w:t>
      </w:r>
      <w:r w:rsidRPr="00515192">
        <w:rPr>
          <w:color w:val="231F20"/>
          <w:position w:val="-14"/>
        </w:rPr>
        <w:object w:dxaOrig="320" w:dyaOrig="380" w14:anchorId="557E0B3A">
          <v:shape id="_x0000_i1028" type="#_x0000_t75" style="width:15.75pt;height:18.75pt" o:ole="">
            <v:imagedata r:id="rId22" o:title=""/>
          </v:shape>
          <o:OLEObject Type="Embed" ProgID="Equation.3" ShapeID="_x0000_i1028" DrawAspect="Content" ObjectID="_1562497677" r:id="rId23"/>
        </w:object>
      </w:r>
      <w:r w:rsidRPr="00515192">
        <w:t xml:space="preserve"> were calculated as ratios of population number of CSUs to the sampled number of CSUs in each stratum. Volume weights </w:t>
      </w:r>
      <w:r w:rsidRPr="00515192">
        <w:rPr>
          <w:color w:val="231F20"/>
          <w:position w:val="-14"/>
        </w:rPr>
        <w:object w:dxaOrig="260" w:dyaOrig="380" w14:anchorId="5F819107">
          <v:shape id="_x0000_i1029" type="#_x0000_t75" style="width:12.75pt;height:18.75pt" o:ole="">
            <v:imagedata r:id="rId24" o:title=""/>
          </v:shape>
          <o:OLEObject Type="Embed" ProgID="Equation.3" ShapeID="_x0000_i1029" DrawAspect="Content" ObjectID="_1562497678" r:id="rId25"/>
        </w:object>
      </w:r>
      <w:r w:rsidRPr="00515192">
        <w:rPr>
          <w:color w:val="231F20"/>
        </w:rPr>
        <w:t xml:space="preserve"> </w:t>
      </w:r>
      <w:r w:rsidRPr="00515192">
        <w:t>were assigned using the data reported in the frame survey.</w:t>
      </w:r>
      <w:r w:rsidR="00A20831">
        <w:t xml:space="preserve">  </w:t>
      </w:r>
      <w:r>
        <w:t>S</w:t>
      </w:r>
      <w:r w:rsidRPr="00515192">
        <w:t xml:space="preserve">tate level residential No. 2 heating oil average prices are then aggregated into regional and overall averages with </w:t>
      </w:r>
      <w:r>
        <w:t>s</w:t>
      </w:r>
      <w:r w:rsidRPr="00515192">
        <w:t>tate level total residential No. 2 heating oil volumes as weights.</w:t>
      </w:r>
      <w:r>
        <w:t xml:space="preserve"> </w:t>
      </w:r>
    </w:p>
    <w:p w14:paraId="14ACA98D" w14:textId="77777777" w:rsidR="00137342" w:rsidRDefault="00137342" w:rsidP="00BF5764">
      <w:pPr>
        <w:pStyle w:val="BodyText2"/>
        <w:spacing w:line="360" w:lineRule="auto"/>
        <w:ind w:left="1440"/>
      </w:pPr>
    </w:p>
    <w:p w14:paraId="0697A93E" w14:textId="77777777" w:rsidR="0079037F" w:rsidRDefault="0079037F" w:rsidP="009A6235">
      <w:pPr>
        <w:pStyle w:val="BodyText2"/>
        <w:spacing w:line="360" w:lineRule="auto"/>
        <w:ind w:left="1267"/>
      </w:pPr>
      <w:r>
        <w:t>These fixed volume weights indicate the relative importance of the individual companies according to the size of their sales at the time of the frame. Therefore, changes in the average price across time reflect only the change in the price being offered by the company, and not the change in the amounts sold. Price indexes constructed using fixed volumes, such as these annual sales, are known as Laspeyres Indexes. One alternative method of weighting, used in Paasche Indexes, uses current weights. This method would require each company to report the number of gallons sold at the reported price each pricing period and would be more burdensome on the companies. Both methods of weighting are correct but provide different averages particularly when volumes are changing. It has been argued in the literature that during periods of change, the Laspeyres method has a tendency to overestimate price changes, while the Paasche method tends to underestimate price changes.</w:t>
      </w:r>
    </w:p>
    <w:p w14:paraId="03445212" w14:textId="39AFB99C" w:rsidR="0079037F" w:rsidRDefault="0079037F" w:rsidP="009A6235">
      <w:pPr>
        <w:pStyle w:val="BodyText2"/>
        <w:spacing w:line="360" w:lineRule="auto"/>
        <w:ind w:left="1267"/>
      </w:pPr>
      <w:r>
        <w:t xml:space="preserve">In this survey, it is expected that the </w:t>
      </w:r>
      <w:r w:rsidR="002B5DA7">
        <w:t xml:space="preserve">weekly </w:t>
      </w:r>
      <w:r>
        <w:t xml:space="preserve">change in volumes during the heating season is small. Residential sales are not bulk in nature and do not tend to reflect discounts on price for large volume purchases. Absolute changes in volume with a year’s time would more likely reflect demand and be consistent across companies within a geographic area. Therefore, even though the volume weights used in the calculation of average prices in the SHOPP tend to lag behind the actual volumes sold in the reference period, fixed volumes are used to reduce company burden and enable timely release of average prices. </w:t>
      </w:r>
    </w:p>
    <w:p w14:paraId="1CC86FC7" w14:textId="1DBAF813" w:rsidR="002B5DA7" w:rsidRPr="00515192" w:rsidRDefault="002B5DA7" w:rsidP="00A56637">
      <w:pPr>
        <w:pStyle w:val="BodyText2"/>
        <w:spacing w:line="360" w:lineRule="auto"/>
        <w:ind w:left="1267"/>
      </w:pPr>
      <w:r>
        <w:t xml:space="preserve">EIA seeks to collect information on heating oil volumes in order to </w:t>
      </w:r>
      <w:r w:rsidR="00A67AE7">
        <w:t xml:space="preserve">periodically calibrate the sampling weights for </w:t>
      </w:r>
      <w:r w:rsidR="009D69E6">
        <w:t xml:space="preserve">the </w:t>
      </w:r>
      <w:r w:rsidR="00A67AE7">
        <w:t xml:space="preserve">volumes used to calculate the </w:t>
      </w:r>
      <w:r w:rsidR="009D69E6">
        <w:t xml:space="preserve">sample weights. </w:t>
      </w:r>
      <w:r w:rsidR="00A67AE7">
        <w:t xml:space="preserve">Moreover, this collection will be consistent with how EIA </w:t>
      </w:r>
      <w:r w:rsidR="009D69E6">
        <w:t>uses the reported</w:t>
      </w:r>
      <w:r w:rsidR="00A67AE7">
        <w:t xml:space="preserve"> propane volumes in the same survey form, as described in the next subsection.</w:t>
      </w:r>
      <w:r w:rsidR="00C86514" w:rsidRPr="00C86514">
        <w:t xml:space="preserve"> Outlet level heating oil volumes will be collected to inform sample design.  </w:t>
      </w:r>
    </w:p>
    <w:p w14:paraId="3379DF4A" w14:textId="2A39E6B8" w:rsidR="00A67AE7" w:rsidRDefault="0079037F" w:rsidP="00A56637">
      <w:pPr>
        <w:autoSpaceDE w:val="0"/>
        <w:autoSpaceDN w:val="0"/>
        <w:adjustRightInd w:val="0"/>
        <w:spacing w:line="360" w:lineRule="auto"/>
        <w:ind w:left="1267" w:hanging="547"/>
        <w:rPr>
          <w:rFonts w:cs="Times New Roman"/>
          <w:szCs w:val="24"/>
        </w:rPr>
      </w:pPr>
      <w:r>
        <w:rPr>
          <w:rFonts w:cs="Times New Roman"/>
          <w:b/>
          <w:i/>
          <w:color w:val="231F20"/>
          <w:szCs w:val="24"/>
        </w:rPr>
        <w:t>1b</w:t>
      </w:r>
      <w:r w:rsidR="00D1656B">
        <w:rPr>
          <w:rFonts w:cs="Times New Roman"/>
          <w:b/>
          <w:i/>
          <w:color w:val="231F20"/>
          <w:szCs w:val="24"/>
        </w:rPr>
        <w:t xml:space="preserve">) </w:t>
      </w:r>
      <w:r w:rsidR="00CA6180">
        <w:rPr>
          <w:rFonts w:cs="Times New Roman"/>
          <w:b/>
          <w:i/>
          <w:color w:val="231F20"/>
          <w:szCs w:val="24"/>
        </w:rPr>
        <w:t xml:space="preserve"> </w:t>
      </w:r>
      <w:r w:rsidR="00DB49F2">
        <w:rPr>
          <w:rFonts w:cs="Times New Roman"/>
          <w:b/>
          <w:i/>
          <w:color w:val="231F20"/>
          <w:szCs w:val="24"/>
        </w:rPr>
        <w:t xml:space="preserve">   </w:t>
      </w:r>
      <w:r w:rsidR="00D766D2" w:rsidRPr="00453E39">
        <w:rPr>
          <w:rFonts w:cs="Times New Roman"/>
          <w:b/>
          <w:i/>
          <w:color w:val="231F20"/>
          <w:szCs w:val="24"/>
        </w:rPr>
        <w:t>EIA-877</w:t>
      </w:r>
      <w:r w:rsidR="00D766D2">
        <w:rPr>
          <w:rFonts w:cs="Times New Roman"/>
          <w:b/>
          <w:i/>
          <w:color w:val="231F20"/>
          <w:szCs w:val="24"/>
        </w:rPr>
        <w:t xml:space="preserve"> </w:t>
      </w:r>
      <w:r w:rsidRPr="00453E39">
        <w:rPr>
          <w:rFonts w:cs="Times New Roman"/>
          <w:b/>
          <w:i/>
          <w:color w:val="231F20"/>
          <w:szCs w:val="24"/>
        </w:rPr>
        <w:t>Sample and Estimation Procedures for Propane Prices</w:t>
      </w:r>
      <w:r w:rsidRPr="005153EF">
        <w:rPr>
          <w:rFonts w:cs="Times New Roman"/>
          <w:i/>
          <w:color w:val="231F20"/>
          <w:szCs w:val="24"/>
        </w:rPr>
        <w:t>:</w:t>
      </w:r>
      <w:r>
        <w:rPr>
          <w:rFonts w:cs="Times New Roman"/>
          <w:color w:val="231F20"/>
          <w:szCs w:val="24"/>
        </w:rPr>
        <w:t xml:space="preserve"> Propane price d</w:t>
      </w:r>
      <w:r w:rsidRPr="00340F80">
        <w:rPr>
          <w:rFonts w:cs="Times New Roman"/>
          <w:color w:val="231F20"/>
          <w:szCs w:val="24"/>
        </w:rPr>
        <w:t xml:space="preserve">ata are collected </w:t>
      </w:r>
      <w:r>
        <w:rPr>
          <w:rFonts w:cs="Times New Roman"/>
          <w:color w:val="231F20"/>
          <w:szCs w:val="24"/>
        </w:rPr>
        <w:t xml:space="preserve">from a sample of companies from a </w:t>
      </w:r>
      <w:r>
        <w:rPr>
          <w:rFonts w:cs="Times New Roman"/>
          <w:szCs w:val="24"/>
        </w:rPr>
        <w:t>total of 38</w:t>
      </w:r>
      <w:r w:rsidRPr="00340F80">
        <w:rPr>
          <w:rFonts w:cs="Times New Roman"/>
          <w:szCs w:val="24"/>
        </w:rPr>
        <w:t xml:space="preserve"> </w:t>
      </w:r>
      <w:r>
        <w:rPr>
          <w:rFonts w:cs="Times New Roman"/>
          <w:szCs w:val="24"/>
        </w:rPr>
        <w:t>s</w:t>
      </w:r>
      <w:r w:rsidRPr="00340F80">
        <w:rPr>
          <w:rFonts w:cs="Times New Roman"/>
          <w:szCs w:val="24"/>
        </w:rPr>
        <w:t xml:space="preserve">tates. The sampling frame used was a list of all Company State Units (CSUs) in those </w:t>
      </w:r>
      <w:r w:rsidRPr="00A937A5">
        <w:rPr>
          <w:rFonts w:cs="Times New Roman"/>
          <w:szCs w:val="24"/>
        </w:rPr>
        <w:t xml:space="preserve">38 states </w:t>
      </w:r>
      <w:r w:rsidRPr="00340F80">
        <w:rPr>
          <w:rFonts w:cs="Times New Roman"/>
          <w:szCs w:val="24"/>
        </w:rPr>
        <w:t>that reported residential propane sales on the 2006</w:t>
      </w:r>
      <w:r>
        <w:rPr>
          <w:rFonts w:cs="Times New Roman"/>
          <w:szCs w:val="24"/>
        </w:rPr>
        <w:t xml:space="preserve"> </w:t>
      </w:r>
      <w:r w:rsidRPr="00A937A5">
        <w:rPr>
          <w:rFonts w:cs="Times New Roman"/>
          <w:szCs w:val="24"/>
        </w:rPr>
        <w:t xml:space="preserve">and 2010 </w:t>
      </w:r>
      <w:r w:rsidRPr="00340F80">
        <w:rPr>
          <w:rFonts w:cs="Times New Roman"/>
          <w:szCs w:val="24"/>
        </w:rPr>
        <w:t xml:space="preserve">Form EIA-863, “Petroleum Product Sales Identification Survey.” The population of the survey was first stratified by </w:t>
      </w:r>
      <w:r>
        <w:rPr>
          <w:rFonts w:cs="Times New Roman"/>
          <w:szCs w:val="24"/>
        </w:rPr>
        <w:t>s</w:t>
      </w:r>
      <w:r w:rsidRPr="00340F80">
        <w:rPr>
          <w:rFonts w:cs="Times New Roman"/>
          <w:szCs w:val="24"/>
        </w:rPr>
        <w:t xml:space="preserve">tate, which is the publication cell. Due to high residential propane price variation and budget constraints, sample sizes of all strata were limited to 30 even though the target CV of one percent (1%) was not met in many </w:t>
      </w:r>
      <w:r>
        <w:rPr>
          <w:rFonts w:cs="Times New Roman"/>
          <w:szCs w:val="24"/>
        </w:rPr>
        <w:t>s</w:t>
      </w:r>
      <w:r w:rsidRPr="00340F80">
        <w:rPr>
          <w:rFonts w:cs="Times New Roman"/>
          <w:szCs w:val="24"/>
        </w:rPr>
        <w:t xml:space="preserve">tates. </w:t>
      </w:r>
      <w:r w:rsidRPr="000C30F9">
        <w:rPr>
          <w:rFonts w:cs="Times New Roman"/>
          <w:szCs w:val="24"/>
        </w:rPr>
        <w:t xml:space="preserve">To select the sample, the CSUs in each state were ordered by zip code in order to control for the geographic location of the companies. A </w:t>
      </w:r>
      <w:r w:rsidRPr="00340F80">
        <w:rPr>
          <w:rFonts w:cs="Times New Roman"/>
          <w:szCs w:val="24"/>
        </w:rPr>
        <w:t xml:space="preserve">Probability Proportional to Size (PPS) </w:t>
      </w:r>
      <w:r>
        <w:rPr>
          <w:rFonts w:cs="Times New Roman"/>
          <w:szCs w:val="24"/>
        </w:rPr>
        <w:t xml:space="preserve">Sequential </w:t>
      </w:r>
      <w:r w:rsidRPr="00340F80">
        <w:rPr>
          <w:rFonts w:cs="Times New Roman"/>
          <w:szCs w:val="24"/>
        </w:rPr>
        <w:t>Sample with Probability Minimum Replacement, using the propane volumes reported on the</w:t>
      </w:r>
      <w:r>
        <w:rPr>
          <w:rFonts w:cs="Times New Roman"/>
          <w:szCs w:val="24"/>
        </w:rPr>
        <w:t xml:space="preserve"> sample</w:t>
      </w:r>
      <w:r w:rsidRPr="00340F80">
        <w:rPr>
          <w:rFonts w:cs="Times New Roman"/>
          <w:szCs w:val="24"/>
        </w:rPr>
        <w:t xml:space="preserve"> frame</w:t>
      </w:r>
      <w:r>
        <w:rPr>
          <w:rFonts w:cs="Times New Roman"/>
          <w:szCs w:val="24"/>
        </w:rPr>
        <w:t xml:space="preserve"> of CSUs from the</w:t>
      </w:r>
      <w:r w:rsidRPr="00340F80">
        <w:rPr>
          <w:rFonts w:cs="Times New Roman"/>
          <w:szCs w:val="24"/>
        </w:rPr>
        <w:t xml:space="preserve"> EIA-863 as a measure of sampling unit size, was </w:t>
      </w:r>
      <w:r>
        <w:rPr>
          <w:rFonts w:cs="Times New Roman"/>
          <w:szCs w:val="24"/>
        </w:rPr>
        <w:t>then</w:t>
      </w:r>
      <w:r w:rsidRPr="00340F80">
        <w:rPr>
          <w:rFonts w:cs="Times New Roman"/>
          <w:szCs w:val="24"/>
        </w:rPr>
        <w:t xml:space="preserve"> selected. With the targeted maximum sample size of 30 CSUs in each </w:t>
      </w:r>
      <w:r>
        <w:rPr>
          <w:rFonts w:cs="Times New Roman"/>
          <w:szCs w:val="24"/>
        </w:rPr>
        <w:t>s</w:t>
      </w:r>
      <w:r w:rsidRPr="00340F80">
        <w:rPr>
          <w:rFonts w:cs="Times New Roman"/>
          <w:szCs w:val="24"/>
        </w:rPr>
        <w:t xml:space="preserve">tate, any CSU that sold more than 3.3 percent (1/30) of the residential propane in a </w:t>
      </w:r>
      <w:r>
        <w:rPr>
          <w:rFonts w:cs="Times New Roman"/>
          <w:szCs w:val="24"/>
        </w:rPr>
        <w:t>s</w:t>
      </w:r>
      <w:r w:rsidRPr="00340F80">
        <w:rPr>
          <w:rFonts w:cs="Times New Roman"/>
          <w:szCs w:val="24"/>
        </w:rPr>
        <w:t xml:space="preserve">tate was selected at least once. </w:t>
      </w:r>
    </w:p>
    <w:p w14:paraId="6F0D25E6" w14:textId="0D368F0E" w:rsidR="0079037F" w:rsidRPr="00D735D2" w:rsidRDefault="00A67AE7" w:rsidP="00A56637">
      <w:pPr>
        <w:autoSpaceDE w:val="0"/>
        <w:autoSpaceDN w:val="0"/>
        <w:adjustRightInd w:val="0"/>
        <w:spacing w:line="360" w:lineRule="auto"/>
        <w:ind w:left="1267" w:hanging="360"/>
        <w:rPr>
          <w:rFonts w:ascii="Times New Roman" w:hAnsi="Times New Roman" w:cs="Times New Roman"/>
          <w:spacing w:val="-3"/>
          <w:sz w:val="24"/>
          <w:szCs w:val="24"/>
        </w:rPr>
      </w:pPr>
      <w:r>
        <w:rPr>
          <w:rFonts w:cs="Times New Roman"/>
          <w:b/>
          <w:i/>
          <w:color w:val="231F20"/>
          <w:szCs w:val="24"/>
        </w:rPr>
        <w:tab/>
      </w:r>
      <w:r w:rsidR="0079037F" w:rsidRPr="00340F80">
        <w:rPr>
          <w:rFonts w:cs="Times New Roman"/>
          <w:szCs w:val="24"/>
        </w:rPr>
        <w:t xml:space="preserve">Within each sampled CSU, a simple random sample of residential propane outlets was drawn by using an outlet address listing EIA developed with </w:t>
      </w:r>
      <w:r w:rsidR="0079037F" w:rsidRPr="00340F80">
        <w:rPr>
          <w:rFonts w:cs="Times New Roman"/>
          <w:color w:val="231F20"/>
          <w:szCs w:val="24"/>
        </w:rPr>
        <w:t xml:space="preserve">information provided by the industry and </w:t>
      </w:r>
      <w:r w:rsidR="0079037F">
        <w:rPr>
          <w:rFonts w:cs="Times New Roman"/>
          <w:color w:val="231F20"/>
          <w:szCs w:val="24"/>
        </w:rPr>
        <w:t>s</w:t>
      </w:r>
      <w:r w:rsidR="0079037F" w:rsidRPr="00340F80">
        <w:rPr>
          <w:rFonts w:cs="Times New Roman"/>
          <w:color w:val="231F20"/>
          <w:szCs w:val="24"/>
        </w:rPr>
        <w:t>tate energy officials</w:t>
      </w:r>
      <w:r w:rsidR="0079037F" w:rsidRPr="00340F80">
        <w:rPr>
          <w:rFonts w:cs="Times New Roman"/>
          <w:szCs w:val="24"/>
        </w:rPr>
        <w:t xml:space="preserve">. The number of outlets selected from each CSU was the same as the number of times that CSU was selected in the </w:t>
      </w:r>
      <w:r w:rsidR="0079037F">
        <w:rPr>
          <w:rFonts w:cs="Times New Roman"/>
          <w:szCs w:val="24"/>
        </w:rPr>
        <w:t xml:space="preserve">first stage </w:t>
      </w:r>
      <w:r w:rsidR="0079037F" w:rsidRPr="00340F80">
        <w:rPr>
          <w:rFonts w:cs="Times New Roman"/>
          <w:szCs w:val="24"/>
        </w:rPr>
        <w:t xml:space="preserve">PPS sample. </w:t>
      </w:r>
      <w:r w:rsidR="0079037F" w:rsidRPr="00340F80">
        <w:rPr>
          <w:rFonts w:cs="Times New Roman"/>
          <w:spacing w:val="-3"/>
          <w:szCs w:val="24"/>
        </w:rPr>
        <w:t xml:space="preserve">The resulting total number of outlets selected to report on the propane sample was </w:t>
      </w:r>
      <w:r w:rsidR="0079037F" w:rsidRPr="00A937A5">
        <w:rPr>
          <w:rFonts w:cs="Times New Roman"/>
          <w:spacing w:val="-3"/>
          <w:szCs w:val="24"/>
        </w:rPr>
        <w:t>1</w:t>
      </w:r>
      <w:r w:rsidR="0079037F">
        <w:rPr>
          <w:rFonts w:cs="Times New Roman"/>
          <w:spacing w:val="-3"/>
          <w:szCs w:val="24"/>
        </w:rPr>
        <w:t>,</w:t>
      </w:r>
      <w:r w:rsidR="0079037F" w:rsidRPr="00A937A5">
        <w:rPr>
          <w:rFonts w:cs="Times New Roman"/>
          <w:spacing w:val="-3"/>
          <w:szCs w:val="24"/>
        </w:rPr>
        <w:t>140</w:t>
      </w:r>
      <w:r w:rsidR="0079037F">
        <w:rPr>
          <w:rFonts w:cs="Times New Roman"/>
          <w:spacing w:val="-3"/>
          <w:szCs w:val="24"/>
        </w:rPr>
        <w:t>.</w:t>
      </w:r>
    </w:p>
    <w:p w14:paraId="6673CC96" w14:textId="77777777" w:rsidR="0079037F" w:rsidRPr="00340F80" w:rsidRDefault="0079037F" w:rsidP="00A56637">
      <w:pPr>
        <w:autoSpaceDE w:val="0"/>
        <w:autoSpaceDN w:val="0"/>
        <w:adjustRightInd w:val="0"/>
        <w:spacing w:line="360" w:lineRule="auto"/>
        <w:ind w:left="1267"/>
        <w:rPr>
          <w:rFonts w:cs="Times New Roman"/>
          <w:spacing w:val="-3"/>
          <w:szCs w:val="24"/>
        </w:rPr>
      </w:pPr>
      <w:r w:rsidRPr="00340F80">
        <w:rPr>
          <w:rFonts w:cs="Times New Roman"/>
          <w:szCs w:val="24"/>
        </w:rPr>
        <w:t>In cases where there were fewer outlets in a sampled CSU than the number of times that CSU was sampled in the PPS sample, all outlets for that CSU were selected and their weights were adjusted to</w:t>
      </w:r>
      <w:r w:rsidRPr="00340F80">
        <w:rPr>
          <w:rFonts w:cs="Times New Roman"/>
          <w:position w:val="-12"/>
        </w:rPr>
        <w:object w:dxaOrig="580" w:dyaOrig="380" w14:anchorId="08A59509">
          <v:shape id="_x0000_i1030" type="#_x0000_t75" style="width:29.25pt;height:18.75pt" o:ole="">
            <v:imagedata r:id="rId26" o:title=""/>
          </v:shape>
          <o:OLEObject Type="Embed" ProgID="Equation.3" ShapeID="_x0000_i1030" DrawAspect="Content" ObjectID="_1562497679" r:id="rId27"/>
        </w:object>
      </w:r>
      <w:r w:rsidRPr="00340F80">
        <w:rPr>
          <w:rFonts w:cs="Times New Roman"/>
        </w:rPr>
        <w:t xml:space="preserve">, where </w:t>
      </w:r>
      <w:r w:rsidRPr="00340F80">
        <w:rPr>
          <w:rFonts w:cs="Times New Roman"/>
          <w:position w:val="-12"/>
        </w:rPr>
        <w:object w:dxaOrig="240" w:dyaOrig="380" w14:anchorId="5353256D">
          <v:shape id="_x0000_i1031" type="#_x0000_t75" style="width:12pt;height:18.75pt" o:ole="">
            <v:imagedata r:id="rId28" o:title=""/>
          </v:shape>
          <o:OLEObject Type="Embed" ProgID="Equation.3" ShapeID="_x0000_i1031" DrawAspect="Content" ObjectID="_1562497680" r:id="rId29"/>
        </w:object>
      </w:r>
      <w:r w:rsidRPr="00340F80">
        <w:rPr>
          <w:rFonts w:cs="Times New Roman"/>
        </w:rPr>
        <w:t xml:space="preserve"> is the number of times that CSU was sampled and </w:t>
      </w:r>
      <w:r w:rsidRPr="00340F80">
        <w:rPr>
          <w:rFonts w:cs="Times New Roman"/>
          <w:position w:val="-12"/>
        </w:rPr>
        <w:object w:dxaOrig="240" w:dyaOrig="360" w14:anchorId="37CFB86A">
          <v:shape id="_x0000_i1032" type="#_x0000_t75" style="width:12pt;height:18pt" o:ole="">
            <v:imagedata r:id="rId30" o:title=""/>
          </v:shape>
          <o:OLEObject Type="Embed" ProgID="Equation.3" ShapeID="_x0000_i1032" DrawAspect="Content" ObjectID="_1562497681" r:id="rId31"/>
        </w:object>
      </w:r>
      <w:r w:rsidRPr="00340F80">
        <w:rPr>
          <w:rFonts w:cs="Times New Roman"/>
        </w:rPr>
        <w:t xml:space="preserve"> i</w:t>
      </w:r>
      <w:r w:rsidRPr="00340F80">
        <w:rPr>
          <w:rFonts w:cs="Times New Roman"/>
          <w:szCs w:val="24"/>
        </w:rPr>
        <w:t xml:space="preserve">s the number of outlets sampled. </w:t>
      </w:r>
      <w:r w:rsidRPr="00340F80">
        <w:rPr>
          <w:rFonts w:cs="Times New Roman"/>
          <w:spacing w:val="-3"/>
          <w:szCs w:val="24"/>
        </w:rPr>
        <w:t xml:space="preserve">This was also the practice if a CSU preferred to report on the survey by providing the average of all its outlets in a given </w:t>
      </w:r>
      <w:r>
        <w:rPr>
          <w:rFonts w:cs="Times New Roman"/>
          <w:spacing w:val="-3"/>
          <w:szCs w:val="24"/>
        </w:rPr>
        <w:t>s</w:t>
      </w:r>
      <w:r w:rsidRPr="00340F80">
        <w:rPr>
          <w:rFonts w:cs="Times New Roman"/>
          <w:spacing w:val="-3"/>
          <w:szCs w:val="24"/>
        </w:rPr>
        <w:t xml:space="preserve">tate. Therefore, the actual number responding each </w:t>
      </w:r>
      <w:r>
        <w:rPr>
          <w:rFonts w:cs="Times New Roman"/>
          <w:spacing w:val="-3"/>
          <w:szCs w:val="24"/>
        </w:rPr>
        <w:t xml:space="preserve">week </w:t>
      </w:r>
      <w:r w:rsidRPr="00340F80">
        <w:rPr>
          <w:rFonts w:cs="Times New Roman"/>
          <w:spacing w:val="-3"/>
          <w:szCs w:val="24"/>
        </w:rPr>
        <w:t xml:space="preserve">may deviate from </w:t>
      </w:r>
      <w:r>
        <w:rPr>
          <w:rFonts w:cs="Times New Roman"/>
          <w:spacing w:val="-3"/>
          <w:szCs w:val="24"/>
        </w:rPr>
        <w:t xml:space="preserve">the </w:t>
      </w:r>
      <w:r w:rsidRPr="00A937A5">
        <w:rPr>
          <w:rFonts w:cs="Times New Roman"/>
          <w:spacing w:val="-3"/>
          <w:szCs w:val="24"/>
        </w:rPr>
        <w:t>1</w:t>
      </w:r>
      <w:r>
        <w:rPr>
          <w:rFonts w:cs="Times New Roman"/>
          <w:spacing w:val="-3"/>
          <w:szCs w:val="24"/>
        </w:rPr>
        <w:t>,</w:t>
      </w:r>
      <w:r w:rsidRPr="00A937A5">
        <w:rPr>
          <w:rFonts w:cs="Times New Roman"/>
          <w:spacing w:val="-3"/>
          <w:szCs w:val="24"/>
        </w:rPr>
        <w:t>140</w:t>
      </w:r>
      <w:r>
        <w:rPr>
          <w:rFonts w:cs="Times New Roman"/>
          <w:spacing w:val="-3"/>
          <w:szCs w:val="24"/>
        </w:rPr>
        <w:t xml:space="preserve"> </w:t>
      </w:r>
      <w:r w:rsidRPr="00340F80">
        <w:rPr>
          <w:rFonts w:cs="Times New Roman"/>
          <w:spacing w:val="-3"/>
          <w:szCs w:val="24"/>
        </w:rPr>
        <w:t xml:space="preserve">outlets sampled. </w:t>
      </w:r>
    </w:p>
    <w:p w14:paraId="037C73C8" w14:textId="77777777" w:rsidR="0079037F" w:rsidRPr="00327D62" w:rsidRDefault="0079037F" w:rsidP="00A56637">
      <w:pPr>
        <w:pStyle w:val="BodyText2"/>
        <w:spacing w:line="360" w:lineRule="auto"/>
        <w:ind w:left="1267"/>
        <w:rPr>
          <w:color w:val="231F20"/>
          <w:szCs w:val="24"/>
        </w:rPr>
      </w:pPr>
      <w:bookmarkStart w:id="5" w:name="OLE_LINK1"/>
      <w:bookmarkStart w:id="6" w:name="OLE_LINK2"/>
      <w:r w:rsidRPr="00327D62">
        <w:rPr>
          <w:color w:val="231F20"/>
          <w:szCs w:val="24"/>
        </w:rPr>
        <w:t xml:space="preserve">To estimate the average residential propane price data for a state, </w:t>
      </w:r>
      <w:r w:rsidRPr="00327D62">
        <w:rPr>
          <w:szCs w:val="24"/>
        </w:rPr>
        <w:t>a simple average of the prices from each sampled outlet yields a valid estimate as a result of the cancellation of sample weights of the PPS sample design and volume weights in the estimate:</w:t>
      </w:r>
      <w:r w:rsidRPr="00327D62">
        <w:rPr>
          <w:color w:val="231F20"/>
          <w:szCs w:val="24"/>
        </w:rPr>
        <w:t xml:space="preserve"> </w:t>
      </w:r>
    </w:p>
    <w:p w14:paraId="5872789A" w14:textId="77777777" w:rsidR="0079037F" w:rsidRPr="00D735D2" w:rsidRDefault="006C06B5" w:rsidP="0079037F">
      <w:pPr>
        <w:autoSpaceDE w:val="0"/>
        <w:autoSpaceDN w:val="0"/>
        <w:adjustRightInd w:val="0"/>
        <w:ind w:left="360"/>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79037F" w:rsidRPr="00D735D2">
        <w:rPr>
          <w:rFonts w:ascii="Times New Roman" w:hAnsi="Times New Roman" w:cs="Times New Roman"/>
          <w:color w:val="231F20"/>
          <w:sz w:val="24"/>
          <w:szCs w:val="24"/>
        </w:rPr>
        <w:tab/>
      </w:r>
      <w:r w:rsidR="0079037F" w:rsidRPr="0019555A">
        <w:rPr>
          <w:rFonts w:ascii="Cambria Math" w:hAnsi="Cambria Math" w:cs="Times New Roman"/>
          <w:position w:val="-30"/>
          <w:sz w:val="24"/>
          <w:szCs w:val="24"/>
        </w:rPr>
        <w:object w:dxaOrig="980" w:dyaOrig="720" w14:anchorId="36E290FA">
          <v:shape id="_x0000_i1033" type="#_x0000_t75" style="width:48.75pt;height:36pt" o:ole="">
            <v:imagedata r:id="rId32" o:title=""/>
          </v:shape>
          <o:OLEObject Type="Embed" ProgID="Equation.3" ShapeID="_x0000_i1033" DrawAspect="Content" ObjectID="_1562497682" r:id="rId33"/>
        </w:object>
      </w:r>
    </w:p>
    <w:p w14:paraId="3A898795" w14:textId="77777777" w:rsidR="0079037F" w:rsidRPr="00515192" w:rsidRDefault="0079037F" w:rsidP="0079037F">
      <w:pPr>
        <w:pStyle w:val="BodyText2"/>
        <w:spacing w:line="360" w:lineRule="auto"/>
        <w:rPr>
          <w:color w:val="231F20"/>
        </w:rPr>
      </w:pPr>
      <w:r>
        <w:rPr>
          <w:color w:val="231F20"/>
          <w:szCs w:val="24"/>
        </w:rPr>
        <w:tab/>
      </w:r>
      <w:r w:rsidR="006C06B5">
        <w:rPr>
          <w:color w:val="231F20"/>
          <w:szCs w:val="24"/>
        </w:rPr>
        <w:tab/>
      </w:r>
      <w:r w:rsidR="006C06B5">
        <w:rPr>
          <w:color w:val="231F20"/>
          <w:szCs w:val="24"/>
        </w:rPr>
        <w:tab/>
      </w:r>
      <w:r>
        <w:rPr>
          <w:color w:val="231F20"/>
          <w:szCs w:val="24"/>
        </w:rPr>
        <w:tab/>
      </w:r>
      <w:r w:rsidRPr="00515192">
        <w:rPr>
          <w:color w:val="231F20"/>
        </w:rPr>
        <w:t xml:space="preserve">where </w:t>
      </w:r>
      <w:r w:rsidRPr="00515192">
        <w:rPr>
          <w:color w:val="231F20"/>
          <w:position w:val="-12"/>
        </w:rPr>
        <w:object w:dxaOrig="279" w:dyaOrig="360" w14:anchorId="2CE091D3">
          <v:shape id="_x0000_i1034" type="#_x0000_t75" style="width:14.25pt;height:18pt" o:ole="">
            <v:imagedata r:id="rId34" o:title=""/>
          </v:shape>
          <o:OLEObject Type="Embed" ProgID="Equation.3" ShapeID="_x0000_i1034" DrawAspect="Content" ObjectID="_1562497683" r:id="rId35"/>
        </w:object>
      </w:r>
      <w:r w:rsidRPr="00515192">
        <w:rPr>
          <w:i/>
          <w:iCs/>
          <w:color w:val="231F20"/>
        </w:rPr>
        <w:t xml:space="preserve"> </w:t>
      </w:r>
      <w:r w:rsidRPr="00515192">
        <w:rPr>
          <w:color w:val="231F20"/>
        </w:rPr>
        <w:t xml:space="preserve">= price, </w:t>
      </w:r>
    </w:p>
    <w:p w14:paraId="49233E96" w14:textId="77777777" w:rsidR="0079037F" w:rsidRDefault="0079037F" w:rsidP="0079037F">
      <w:pPr>
        <w:pStyle w:val="BodyText2"/>
        <w:spacing w:line="360" w:lineRule="auto"/>
        <w:ind w:left="360"/>
        <w:rPr>
          <w:color w:val="231F20"/>
        </w:rPr>
      </w:pPr>
      <w:r w:rsidRPr="00515192">
        <w:rPr>
          <w:color w:val="231F20"/>
        </w:rPr>
        <w:tab/>
      </w:r>
      <w:r w:rsidR="006C06B5">
        <w:rPr>
          <w:color w:val="231F20"/>
        </w:rPr>
        <w:tab/>
      </w:r>
      <w:r w:rsidR="006C06B5">
        <w:rPr>
          <w:color w:val="231F20"/>
        </w:rPr>
        <w:tab/>
      </w:r>
      <w:r w:rsidRPr="00515192">
        <w:rPr>
          <w:color w:val="231F20"/>
        </w:rPr>
        <w:tab/>
      </w:r>
      <w:r w:rsidRPr="00515192">
        <w:rPr>
          <w:color w:val="231F20"/>
        </w:rPr>
        <w:tab/>
      </w:r>
      <w:r>
        <w:rPr>
          <w:color w:val="231F20"/>
        </w:rPr>
        <w:t xml:space="preserve"> </w:t>
      </w:r>
      <w:r w:rsidRPr="00515192">
        <w:rPr>
          <w:color w:val="231F20"/>
        </w:rPr>
        <w:t xml:space="preserve"> </w:t>
      </w:r>
      <w:r w:rsidRPr="00515192">
        <w:rPr>
          <w:i/>
          <w:iCs/>
          <w:color w:val="231F20"/>
        </w:rPr>
        <w:t xml:space="preserve">i </w:t>
      </w:r>
      <w:r w:rsidRPr="00515192">
        <w:rPr>
          <w:color w:val="231F20"/>
        </w:rPr>
        <w:t xml:space="preserve">= outlet respondent, </w:t>
      </w:r>
    </w:p>
    <w:p w14:paraId="6824EA10" w14:textId="77777777" w:rsidR="0079037F" w:rsidRPr="00515192" w:rsidRDefault="0079037F" w:rsidP="0079037F">
      <w:pPr>
        <w:pStyle w:val="BodyText2"/>
        <w:spacing w:line="360" w:lineRule="auto"/>
        <w:ind w:left="360"/>
        <w:rPr>
          <w:color w:val="231F20"/>
        </w:rPr>
      </w:pPr>
      <w:r>
        <w:rPr>
          <w:i/>
          <w:iCs/>
          <w:color w:val="231F20"/>
        </w:rPr>
        <w:tab/>
      </w:r>
      <w:r w:rsidR="006C06B5">
        <w:rPr>
          <w:i/>
          <w:iCs/>
          <w:color w:val="231F20"/>
        </w:rPr>
        <w:tab/>
      </w:r>
      <w:r w:rsidR="006C06B5">
        <w:rPr>
          <w:i/>
          <w:iCs/>
          <w:color w:val="231F20"/>
        </w:rPr>
        <w:tab/>
      </w:r>
      <w:r>
        <w:rPr>
          <w:i/>
          <w:iCs/>
          <w:color w:val="231F20"/>
        </w:rPr>
        <w:tab/>
      </w:r>
      <w:r>
        <w:rPr>
          <w:i/>
          <w:iCs/>
          <w:color w:val="231F20"/>
        </w:rPr>
        <w:tab/>
        <w:t xml:space="preserve"> k = the number of outlets sampled in a state (k ≤ n) </w:t>
      </w:r>
    </w:p>
    <w:p w14:paraId="6B346564" w14:textId="77777777" w:rsidR="0079037F" w:rsidRPr="00515192" w:rsidRDefault="0079037F" w:rsidP="0079037F">
      <w:pPr>
        <w:pStyle w:val="BodyText2"/>
        <w:spacing w:line="360" w:lineRule="auto"/>
        <w:ind w:left="360"/>
        <w:rPr>
          <w:color w:val="231F20"/>
        </w:rPr>
      </w:pPr>
      <w:r>
        <w:rPr>
          <w:i/>
          <w:iCs/>
          <w:color w:val="231F20"/>
        </w:rPr>
        <w:tab/>
      </w:r>
      <w:r>
        <w:rPr>
          <w:i/>
          <w:iCs/>
          <w:color w:val="231F20"/>
        </w:rPr>
        <w:tab/>
      </w:r>
      <w:r w:rsidR="006C06B5">
        <w:rPr>
          <w:i/>
          <w:iCs/>
          <w:color w:val="231F20"/>
        </w:rPr>
        <w:tab/>
      </w:r>
      <w:r w:rsidR="006C06B5">
        <w:rPr>
          <w:i/>
          <w:iCs/>
          <w:color w:val="231F20"/>
        </w:rPr>
        <w:tab/>
      </w:r>
      <w:r>
        <w:rPr>
          <w:i/>
          <w:iCs/>
          <w:color w:val="231F20"/>
        </w:rPr>
        <w:tab/>
      </w:r>
      <w:r w:rsidRPr="00515192">
        <w:rPr>
          <w:color w:val="231F20"/>
          <w:position w:val="-6"/>
        </w:rPr>
        <w:object w:dxaOrig="200" w:dyaOrig="220" w14:anchorId="3E471EAC">
          <v:shape id="_x0000_i1035" type="#_x0000_t75" style="width:9.75pt;height:11.25pt" o:ole="">
            <v:imagedata r:id="rId36" o:title=""/>
          </v:shape>
          <o:OLEObject Type="Embed" ProgID="Equation.3" ShapeID="_x0000_i1035" DrawAspect="Content" ObjectID="_1562497684" r:id="rId37"/>
        </w:object>
      </w:r>
      <w:r w:rsidRPr="00515192">
        <w:rPr>
          <w:i/>
          <w:iCs/>
          <w:color w:val="231F20"/>
        </w:rPr>
        <w:t xml:space="preserve"> </w:t>
      </w:r>
      <w:r w:rsidRPr="00515192">
        <w:rPr>
          <w:color w:val="231F20"/>
        </w:rPr>
        <w:t xml:space="preserve">= sample size, and </w:t>
      </w:r>
    </w:p>
    <w:p w14:paraId="542297A7" w14:textId="77777777" w:rsidR="0079037F" w:rsidRPr="00515192" w:rsidRDefault="0079037F" w:rsidP="003C2487">
      <w:pPr>
        <w:pStyle w:val="BodyText2"/>
        <w:spacing w:line="360" w:lineRule="auto"/>
        <w:ind w:left="360" w:right="-360"/>
        <w:rPr>
          <w:color w:val="231F20"/>
        </w:rPr>
      </w:pPr>
      <w:r w:rsidRPr="00515192">
        <w:rPr>
          <w:color w:val="231F20"/>
        </w:rPr>
        <w:tab/>
      </w:r>
      <w:r w:rsidRPr="00515192">
        <w:rPr>
          <w:color w:val="231F20"/>
        </w:rPr>
        <w:tab/>
      </w:r>
      <w:r w:rsidR="006C06B5">
        <w:rPr>
          <w:color w:val="231F20"/>
        </w:rPr>
        <w:tab/>
      </w:r>
      <w:r w:rsidR="006C06B5">
        <w:rPr>
          <w:color w:val="231F20"/>
        </w:rPr>
        <w:tab/>
      </w:r>
      <w:r w:rsidRPr="00515192">
        <w:rPr>
          <w:color w:val="231F20"/>
        </w:rPr>
        <w:tab/>
      </w:r>
      <w:r w:rsidRPr="00515192">
        <w:rPr>
          <w:position w:val="-12"/>
        </w:rPr>
        <w:object w:dxaOrig="580" w:dyaOrig="380" w14:anchorId="49709037">
          <v:shape id="_x0000_i1036" type="#_x0000_t75" style="width:29.25pt;height:18.75pt" o:ole="">
            <v:imagedata r:id="rId26" o:title=""/>
          </v:shape>
          <o:OLEObject Type="Embed" ProgID="Equation.3" ShapeID="_x0000_i1036" DrawAspect="Content" ObjectID="_1562497685" r:id="rId38"/>
        </w:object>
      </w:r>
      <w:r w:rsidRPr="00515192">
        <w:rPr>
          <w:i/>
          <w:iCs/>
          <w:color w:val="231F20"/>
        </w:rPr>
        <w:t xml:space="preserve"> </w:t>
      </w:r>
      <w:r w:rsidRPr="00515192">
        <w:rPr>
          <w:color w:val="231F20"/>
        </w:rPr>
        <w:t xml:space="preserve">= weight adjustment as described in the previous paragraph </w:t>
      </w:r>
    </w:p>
    <w:p w14:paraId="2F57C044" w14:textId="5F2CC37D" w:rsidR="00C86514" w:rsidRPr="00C86514" w:rsidRDefault="0079037F" w:rsidP="00C86514">
      <w:pPr>
        <w:pStyle w:val="BodyText2"/>
        <w:spacing w:line="360" w:lineRule="auto"/>
        <w:ind w:left="1267"/>
        <w:rPr>
          <w:szCs w:val="24"/>
        </w:rPr>
      </w:pPr>
      <w:r w:rsidRPr="00340F80">
        <w:rPr>
          <w:szCs w:val="24"/>
        </w:rPr>
        <w:t xml:space="preserve">Regional and overall averages are calculated as averages of the </w:t>
      </w:r>
      <w:r>
        <w:rPr>
          <w:szCs w:val="24"/>
        </w:rPr>
        <w:t>s</w:t>
      </w:r>
      <w:r w:rsidRPr="00340F80">
        <w:rPr>
          <w:szCs w:val="24"/>
        </w:rPr>
        <w:t xml:space="preserve">tate level residential propane prices with </w:t>
      </w:r>
      <w:r>
        <w:rPr>
          <w:szCs w:val="24"/>
        </w:rPr>
        <w:t>s</w:t>
      </w:r>
      <w:r w:rsidRPr="00340F80">
        <w:rPr>
          <w:szCs w:val="24"/>
        </w:rPr>
        <w:t xml:space="preserve">tate level total residential propane volumes as weights. </w:t>
      </w:r>
      <w:r w:rsidR="00C86514" w:rsidRPr="00C86514">
        <w:rPr>
          <w:szCs w:val="24"/>
        </w:rPr>
        <w:t xml:space="preserve">Outlet </w:t>
      </w:r>
      <w:r w:rsidR="00BF2CC5" w:rsidRPr="00C86514">
        <w:rPr>
          <w:szCs w:val="24"/>
        </w:rPr>
        <w:t>level propane</w:t>
      </w:r>
      <w:r w:rsidR="00C86514" w:rsidRPr="00C86514">
        <w:rPr>
          <w:szCs w:val="24"/>
        </w:rPr>
        <w:t xml:space="preserve"> volumes </w:t>
      </w:r>
      <w:r w:rsidR="00BF2CC5">
        <w:rPr>
          <w:szCs w:val="24"/>
        </w:rPr>
        <w:t>can</w:t>
      </w:r>
      <w:r w:rsidR="00C86514" w:rsidRPr="00C86514">
        <w:rPr>
          <w:szCs w:val="24"/>
        </w:rPr>
        <w:t xml:space="preserve"> be collected to inform </w:t>
      </w:r>
      <w:r w:rsidR="00BF2CC5">
        <w:rPr>
          <w:szCs w:val="24"/>
        </w:rPr>
        <w:t xml:space="preserve">a better </w:t>
      </w:r>
      <w:r w:rsidR="00C86514" w:rsidRPr="00C86514">
        <w:rPr>
          <w:szCs w:val="24"/>
        </w:rPr>
        <w:t xml:space="preserve">sample design.  </w:t>
      </w:r>
    </w:p>
    <w:p w14:paraId="57564C73" w14:textId="77777777" w:rsidR="0079037F" w:rsidRPr="003C2B3D" w:rsidRDefault="00513C3B" w:rsidP="00C722B2">
      <w:pPr>
        <w:pStyle w:val="ListParagraph"/>
        <w:numPr>
          <w:ilvl w:val="0"/>
          <w:numId w:val="18"/>
        </w:numPr>
      </w:pPr>
      <w:r w:rsidRPr="002757E8">
        <w:rPr>
          <w:b/>
          <w:i/>
          <w:sz w:val="22"/>
          <w:szCs w:val="22"/>
        </w:rPr>
        <w:t xml:space="preserve">Form </w:t>
      </w:r>
      <w:r w:rsidR="0079037F" w:rsidRPr="002757E8">
        <w:rPr>
          <w:b/>
          <w:i/>
          <w:sz w:val="22"/>
          <w:szCs w:val="22"/>
        </w:rPr>
        <w:t>EIA-878 Sample Design:</w:t>
      </w:r>
      <w:r w:rsidR="0079037F" w:rsidRPr="00340F80">
        <w:t xml:space="preserve"> </w:t>
      </w:r>
      <w:r w:rsidR="0079037F" w:rsidRPr="002757E8">
        <w:rPr>
          <w:sz w:val="22"/>
          <w:szCs w:val="22"/>
        </w:rPr>
        <w:t>The sample for the Motor Gasoline Price Survey was</w:t>
      </w:r>
      <w:r w:rsidR="0079037F" w:rsidRPr="00340F80">
        <w:t xml:space="preserve"> </w:t>
      </w:r>
      <w:r w:rsidR="0079037F" w:rsidRPr="002757E8">
        <w:rPr>
          <w:sz w:val="22"/>
          <w:szCs w:val="22"/>
        </w:rPr>
        <w:t>drawn from a frame of approximately 130,000 retail gasoline outlets. The gasoline outlet frame was constructed by combining information purchased from a private commercial source with information available on the Internet. Outlet names and zip codes were obtained from the same private commercial data source. Additional information was obtained directly from companies selling retail gasoline to supplement information on the frame. The individual frame outlets were mapped to zip codes and counties. The outlets were then assigned to the sampling geographic regions. These regions are non-overlapping and one or more sampling region will comprise a publication region – reformulated gas areas as defined by the EPA program area, or for conventional gasoline areas.</w:t>
      </w:r>
    </w:p>
    <w:p w14:paraId="24BFCDF1" w14:textId="33F65CBA" w:rsidR="0079037F" w:rsidRPr="003C2B3D" w:rsidRDefault="0079037F" w:rsidP="00BB5A69">
      <w:pPr>
        <w:spacing w:before="100" w:beforeAutospacing="1" w:after="100" w:afterAutospacing="1" w:line="360" w:lineRule="auto"/>
        <w:ind w:left="720"/>
        <w:rPr>
          <w:rFonts w:cs="Times New Roman"/>
          <w:szCs w:val="24"/>
        </w:rPr>
      </w:pPr>
      <w:r w:rsidRPr="003C2B3D">
        <w:t>The sampling regions will be further stratified by type of outlet – hypermarkets and non-hypermarkets. This results in 76 (=38x2) strata for sampling. Since hypermarkets sell about 2.5 times more volume of gasoline than non-hypermarkets, we will allocate a sample size to hypermarkets at 2.5 times their number as compared to the other outlets. Also, the estimation formula for volume weighted price shown below needs a slight modification – there will be two (adjusted) sampling weights per sampling region, one for hypermarkets and another for non-hypermarkets.</w:t>
      </w:r>
    </w:p>
    <w:p w14:paraId="6D4C5B2F" w14:textId="7D15B797" w:rsidR="0079037F" w:rsidRDefault="0079037F" w:rsidP="00BB5A69">
      <w:pPr>
        <w:spacing w:before="100" w:beforeAutospacing="1" w:after="100" w:afterAutospacing="1" w:line="360" w:lineRule="auto"/>
        <w:ind w:left="720"/>
      </w:pPr>
      <w:r w:rsidRPr="003C2B3D">
        <w:t xml:space="preserve">Sampling within each region and type of outlet will be done by first listing the counties alphabetically and then the zip code within the counties listed in numerically increasing order. Outlets within a given zip code will be listed alphabetically and serialized from one to the total number of outlets in the sampling region. The sampling will be done using systematic random sampling without replacement. </w:t>
      </w:r>
    </w:p>
    <w:p w14:paraId="2553029A" w14:textId="77777777" w:rsidR="0079037F" w:rsidRPr="003C2B3D" w:rsidRDefault="0079037F" w:rsidP="00BB5A69">
      <w:pPr>
        <w:spacing w:before="100" w:beforeAutospacing="1" w:after="100" w:afterAutospacing="1" w:line="360" w:lineRule="auto"/>
        <w:ind w:left="720"/>
      </w:pPr>
      <w:r>
        <w:t>After the initial sample of outlets has been selected, available sources of information on new outlets since the sampling frame was constructed will be analyzed each year until the sample is redesigned, with the goal of selecting an independent birth sample annually to augment the initial sample. In designing these annual birth samples, sampling geographic regions will be oversampled where there are relatively higher rates of sample attrition because of outlets that were selected in the initial sample and subsequently went out of business.</w:t>
      </w:r>
    </w:p>
    <w:p w14:paraId="7C979067" w14:textId="77777777" w:rsidR="0079037F" w:rsidRPr="003C2B3D" w:rsidRDefault="00513C3B" w:rsidP="00BB5A69">
      <w:pPr>
        <w:spacing w:before="100" w:beforeAutospacing="1" w:after="100" w:afterAutospacing="1" w:line="360" w:lineRule="auto"/>
        <w:ind w:left="720"/>
      </w:pPr>
      <w:r>
        <w:rPr>
          <w:b/>
          <w:i/>
        </w:rPr>
        <w:t xml:space="preserve">Form </w:t>
      </w:r>
      <w:r w:rsidR="0079037F" w:rsidRPr="00063077">
        <w:rPr>
          <w:b/>
          <w:i/>
        </w:rPr>
        <w:t>EIA-878 Estimation</w:t>
      </w:r>
      <w:r w:rsidR="0079037F" w:rsidRPr="00063077">
        <w:rPr>
          <w:b/>
        </w:rPr>
        <w:t>:</w:t>
      </w:r>
      <w:r w:rsidR="0079037F" w:rsidRPr="003C2B3D">
        <w:t xml:space="preserve"> In the first phase of this survey, a measure of size – annual volumetric sales by grade of gasoline- will be collected from </w:t>
      </w:r>
      <w:r w:rsidR="00A20831">
        <w:t>about 1,000</w:t>
      </w:r>
      <w:r w:rsidR="0079037F" w:rsidRPr="003C2B3D">
        <w:t xml:space="preserve"> selected outlet owners. These volumes will be applied each week to the reported outlet gasoline prices to get volume weighted average prices and measures of uncertainty. Since we need volumetric data for all the sampled outlets, imputation for nonresponse for these volumes will be done at the outlet level, by substituting the average reported volume by imputation cell - PADD/SubPADD and grade (regular, midgrade, and premium). Also, we will do nonresponse imputation separately for hypermarkets and non-hypermarkets. Small area estimation will be used for imputation by collapsing over adjacent PADD/subPADD if two or less responses fall into an imputation cell.</w:t>
      </w:r>
    </w:p>
    <w:p w14:paraId="5D8BC40A" w14:textId="77777777" w:rsidR="0079037F" w:rsidRPr="003C2B3D" w:rsidRDefault="0079037F" w:rsidP="00BB5A69">
      <w:pPr>
        <w:ind w:left="360" w:firstLine="360"/>
      </w:pPr>
      <w:r w:rsidRPr="003C2B3D">
        <w:t>For the estimation of average prices and variances, the following notation is used:</w:t>
      </w:r>
    </w:p>
    <w:p w14:paraId="55ECA0F4" w14:textId="77777777" w:rsidR="0079037F" w:rsidRPr="003C2B3D" w:rsidRDefault="0079037F" w:rsidP="00BB5A69">
      <w:pPr>
        <w:ind w:left="720" w:firstLine="720"/>
      </w:pPr>
      <w:r w:rsidRPr="003C2B3D">
        <w:t>j</w:t>
      </w:r>
      <w:r w:rsidRPr="003C2B3D">
        <w:tab/>
        <w:t>sampling region</w:t>
      </w:r>
    </w:p>
    <w:p w14:paraId="71E78B00" w14:textId="77777777" w:rsidR="0079037F" w:rsidRPr="003C2B3D" w:rsidRDefault="0079037F" w:rsidP="00BB5A69">
      <w:pPr>
        <w:ind w:left="720" w:firstLine="720"/>
      </w:pPr>
      <w:r w:rsidRPr="003C2B3D">
        <w:t>i</w:t>
      </w:r>
      <w:r w:rsidRPr="003C2B3D">
        <w:tab/>
        <w:t>outlet</w:t>
      </w:r>
    </w:p>
    <w:p w14:paraId="5ACC8173" w14:textId="77777777" w:rsidR="0079037F" w:rsidRPr="003C2B3D" w:rsidRDefault="0079037F" w:rsidP="00BB5A69">
      <w:pPr>
        <w:ind w:left="720" w:firstLine="720"/>
      </w:pPr>
      <w:r w:rsidRPr="003C2B3D">
        <w:t>N</w:t>
      </w:r>
      <w:r w:rsidRPr="003C2B3D">
        <w:tab/>
        <w:t>population size (number of outlets)</w:t>
      </w:r>
    </w:p>
    <w:p w14:paraId="728EFBC1" w14:textId="77777777" w:rsidR="0079037F" w:rsidRPr="003C2B3D" w:rsidRDefault="0079037F" w:rsidP="00BB5A69">
      <w:pPr>
        <w:ind w:left="720" w:firstLine="720"/>
      </w:pPr>
      <w:r w:rsidRPr="003C2B3D">
        <w:t>n</w:t>
      </w:r>
      <w:r w:rsidRPr="003C2B3D">
        <w:rPr>
          <w:vertAlign w:val="subscript"/>
        </w:rPr>
        <w:t>j</w:t>
      </w:r>
      <w:r w:rsidRPr="003C2B3D">
        <w:tab/>
        <w:t>sample size in sampling region j</w:t>
      </w:r>
    </w:p>
    <w:p w14:paraId="725D194A" w14:textId="77777777" w:rsidR="0079037F" w:rsidRPr="003C2B3D" w:rsidRDefault="0079037F" w:rsidP="00BB5A69">
      <w:pPr>
        <w:ind w:left="720" w:firstLine="720"/>
      </w:pPr>
      <w:r w:rsidRPr="003C2B3D">
        <w:t>m</w:t>
      </w:r>
      <w:r w:rsidRPr="003C2B3D">
        <w:rPr>
          <w:vertAlign w:val="subscript"/>
        </w:rPr>
        <w:t>j</w:t>
      </w:r>
      <w:r w:rsidRPr="003C2B3D">
        <w:tab/>
        <w:t>number of respondents in sampling region j</w:t>
      </w:r>
    </w:p>
    <w:p w14:paraId="78A02796" w14:textId="77777777" w:rsidR="0079037F" w:rsidRPr="003C2B3D" w:rsidRDefault="0079037F" w:rsidP="00BB5A69">
      <w:pPr>
        <w:ind w:left="720" w:firstLine="720"/>
      </w:pPr>
      <w:r w:rsidRPr="003C2B3D">
        <w:t>P</w:t>
      </w:r>
      <w:r w:rsidRPr="003C2B3D">
        <w:tab/>
        <w:t>price</w:t>
      </w:r>
    </w:p>
    <w:p w14:paraId="331BA180" w14:textId="77777777" w:rsidR="0079037F" w:rsidRPr="003C2B3D" w:rsidRDefault="0079037F" w:rsidP="00BB5A69">
      <w:pPr>
        <w:ind w:left="720" w:firstLine="720"/>
      </w:pPr>
      <w:r w:rsidRPr="003C2B3D">
        <w:t>V</w:t>
      </w:r>
      <w:r w:rsidRPr="003C2B3D">
        <w:tab/>
        <w:t>volume</w:t>
      </w:r>
    </w:p>
    <w:p w14:paraId="460F76A7" w14:textId="77777777" w:rsidR="0079037F" w:rsidRPr="003C2B3D" w:rsidRDefault="0079037F" w:rsidP="00BB5A69">
      <w:pPr>
        <w:ind w:left="720" w:firstLine="720"/>
      </w:pPr>
      <w:r w:rsidRPr="003C2B3D">
        <w:t>W</w:t>
      </w:r>
      <w:r w:rsidRPr="003C2B3D">
        <w:tab/>
        <w:t xml:space="preserve">sampling weights = inverses of probability of selection </w:t>
      </w:r>
    </w:p>
    <w:p w14:paraId="5A47C5A0" w14:textId="77777777" w:rsidR="0079037F" w:rsidRPr="003C2B3D" w:rsidRDefault="0079037F" w:rsidP="00BB5A69">
      <w:pPr>
        <w:ind w:left="720" w:firstLine="720"/>
      </w:pPr>
      <w:r w:rsidRPr="003C2B3D">
        <w:rPr>
          <w:rFonts w:ascii="Cambria Math" w:hAnsi="Cambria Math"/>
          <w:sz w:val="24"/>
          <w:szCs w:val="24"/>
        </w:rPr>
        <w:t>W ’</w:t>
      </w:r>
      <w:r w:rsidRPr="003C2B3D">
        <w:tab/>
        <w:t xml:space="preserve">adjusted sampling weight due to nonresponse </w:t>
      </w:r>
    </w:p>
    <w:p w14:paraId="0E75669E" w14:textId="77777777" w:rsidR="0079037F" w:rsidRPr="003C2B3D" w:rsidRDefault="0079037F" w:rsidP="00BB5A69">
      <w:pPr>
        <w:ind w:left="360" w:firstLine="360"/>
      </w:pPr>
      <w:r w:rsidRPr="003C2B3D">
        <w:t>By definition,</w:t>
      </w:r>
    </w:p>
    <w:p w14:paraId="48EE668F" w14:textId="77777777" w:rsidR="0079037F" w:rsidRPr="003C2B3D" w:rsidRDefault="00DF50CA" w:rsidP="00BB5A69">
      <w:pPr>
        <w:ind w:left="1440" w:firstLine="720"/>
        <w:rPr>
          <w:sz w:val="24"/>
          <w:szCs w:val="24"/>
        </w:rPr>
      </w:pPr>
      <m:oMath>
        <m:sSub>
          <m:sSubPr>
            <m:ctrlPr>
              <w:rPr>
                <w:rFonts w:ascii="Cambria Math" w:hAnsi="Cambria Math"/>
                <w:sz w:val="24"/>
                <w:szCs w:val="24"/>
              </w:rPr>
            </m:ctrlPr>
          </m:sSubPr>
          <m:e>
            <m:r>
              <m:rPr>
                <m:sty m:val="p"/>
              </m:rPr>
              <w:rPr>
                <w:rFonts w:ascii="Cambria Math" w:hAnsi="Cambria Math"/>
                <w:sz w:val="24"/>
                <w:szCs w:val="24"/>
              </w:rPr>
              <m:t>W</m:t>
            </m:r>
          </m:e>
          <m:sub>
            <m:r>
              <m:rPr>
                <m:sty m:val="p"/>
              </m:rPr>
              <w:rPr>
                <w:rFonts w:ascii="Cambria Math" w:hAnsi="Cambria Math"/>
                <w:sz w:val="24"/>
                <w:szCs w:val="24"/>
              </w:rPr>
              <m:t>ji</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j</m:t>
                </m:r>
              </m:sub>
            </m:sSub>
          </m:num>
          <m:den>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j</m:t>
                </m:r>
              </m:sub>
            </m:sSub>
          </m:den>
        </m:f>
      </m:oMath>
      <w:r w:rsidR="0079037F" w:rsidRPr="003C2B3D">
        <w:rPr>
          <w:sz w:val="24"/>
          <w:szCs w:val="24"/>
        </w:rPr>
        <w:t xml:space="preserve"> , </w:t>
      </w:r>
      <m:oMath>
        <m:sSub>
          <m:sSubPr>
            <m:ctrlPr>
              <w:rPr>
                <w:rFonts w:ascii="Cambria Math" w:hAnsi="Cambria Math"/>
                <w:sz w:val="24"/>
                <w:szCs w:val="24"/>
              </w:rPr>
            </m:ctrlPr>
          </m:sSubPr>
          <m:e>
            <m:r>
              <m:rPr>
                <m:sty m:val="p"/>
              </m:rPr>
              <w:rPr>
                <w:rFonts w:ascii="Cambria Math" w:hAnsi="Cambria Math"/>
                <w:sz w:val="24"/>
                <w:szCs w:val="24"/>
              </w:rPr>
              <m:t>W '</m:t>
            </m:r>
          </m:e>
          <m:sub>
            <m:r>
              <m:rPr>
                <m:sty m:val="p"/>
              </m:rPr>
              <w:rPr>
                <w:rFonts w:ascii="Cambria Math" w:hAnsi="Cambria Math"/>
                <w:sz w:val="24"/>
                <w:szCs w:val="24"/>
              </w:rPr>
              <m:t>ji</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j</m:t>
                </m:r>
              </m:sub>
            </m:sSub>
          </m:num>
          <m:den>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j</m:t>
                </m:r>
              </m:sub>
            </m:sSub>
          </m:den>
        </m:f>
        <m:sSub>
          <m:sSubPr>
            <m:ctrlPr>
              <w:rPr>
                <w:rFonts w:ascii="Cambria Math" w:hAnsi="Cambria Math"/>
                <w:sz w:val="24"/>
                <w:szCs w:val="24"/>
              </w:rPr>
            </m:ctrlPr>
          </m:sSubPr>
          <m:e>
            <m:r>
              <m:rPr>
                <m:sty m:val="p"/>
              </m:rPr>
              <w:rPr>
                <w:rFonts w:ascii="Cambria Math" w:hAnsi="Cambria Math"/>
                <w:sz w:val="24"/>
                <w:szCs w:val="24"/>
              </w:rPr>
              <m:t>W</m:t>
            </m:r>
          </m:e>
          <m:sub>
            <m:r>
              <m:rPr>
                <m:sty m:val="p"/>
              </m:rPr>
              <w:rPr>
                <w:rFonts w:ascii="Cambria Math" w:hAnsi="Cambria Math"/>
                <w:sz w:val="24"/>
                <w:szCs w:val="24"/>
              </w:rPr>
              <m:t>ji</m:t>
            </m:r>
          </m:sub>
        </m:sSub>
      </m:oMath>
      <w:r w:rsidR="0079037F" w:rsidRPr="003C2B3D">
        <w:rPr>
          <w:sz w:val="24"/>
          <w:szCs w:val="24"/>
        </w:rPr>
        <w:t xml:space="preserve"> </w:t>
      </w:r>
    </w:p>
    <w:p w14:paraId="7CE14766" w14:textId="77777777" w:rsidR="0079037F" w:rsidRPr="003C2B3D" w:rsidRDefault="0079037F" w:rsidP="00BB5A69">
      <w:pPr>
        <w:ind w:left="360" w:firstLine="360"/>
        <w:rPr>
          <w:sz w:val="24"/>
          <w:szCs w:val="24"/>
        </w:rPr>
      </w:pPr>
      <w:r w:rsidRPr="003C2B3D">
        <w:t>Define</w:t>
      </w:r>
      <w:r w:rsidR="00513C3B">
        <w:tab/>
      </w:r>
      <w:r w:rsidRPr="003C2B3D">
        <w:t xml:space="preserve"> </w:t>
      </w:r>
      <w:r w:rsidRPr="003C2B3D">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ji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 '</m:t>
            </m:r>
          </m:e>
          <m:sub>
            <m:r>
              <m:rPr>
                <m:sty m:val="p"/>
              </m:rPr>
              <w:rPr>
                <w:rFonts w:ascii="Cambria Math" w:hAnsi="Cambria Math" w:cs="Times New Roman"/>
                <w:sz w:val="24"/>
                <w:szCs w:val="24"/>
              </w:rPr>
              <m:t>ji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 '</m:t>
            </m:r>
          </m:e>
          <m:sub>
            <m:r>
              <m:rPr>
                <m:sty m:val="p"/>
              </m:rPr>
              <w:rPr>
                <w:rFonts w:ascii="Cambria Math" w:hAnsi="Cambria Math" w:cs="Times New Roman"/>
                <w:sz w:val="24"/>
                <w:szCs w:val="24"/>
              </w:rPr>
              <m:t>ji</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ji</m:t>
            </m:r>
          </m:sub>
        </m:sSub>
      </m:oMath>
    </w:p>
    <w:p w14:paraId="697D10E2" w14:textId="77777777" w:rsidR="0079037F" w:rsidRPr="003C2B3D" w:rsidRDefault="0079037F" w:rsidP="0079037F">
      <w:pPr>
        <w:rPr>
          <w:sz w:val="24"/>
          <w:szCs w:val="24"/>
        </w:rPr>
      </w:pPr>
      <w:r w:rsidRPr="003C2B3D">
        <w:rPr>
          <w:sz w:val="24"/>
          <w:szCs w:val="24"/>
        </w:rPr>
        <w:tab/>
      </w:r>
      <w:r w:rsidRPr="003C2B3D">
        <w:rPr>
          <w:sz w:val="24"/>
          <w:szCs w:val="24"/>
        </w:rPr>
        <w:tab/>
      </w:r>
      <w:r w:rsidR="00513C3B">
        <w:rPr>
          <w:sz w:val="24"/>
          <w:szCs w:val="24"/>
        </w:rPr>
        <w:tab/>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ji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R '</m:t>
            </m:r>
          </m:e>
          <m:sub>
            <m:r>
              <m:rPr>
                <m:sty m:val="p"/>
              </m:rPr>
              <w:rPr>
                <w:rFonts w:ascii="Cambria Math" w:hAnsi="Cambria Math"/>
                <w:sz w:val="24"/>
                <w:szCs w:val="24"/>
              </w:rPr>
              <m:t>ji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V '</m:t>
            </m:r>
          </m:e>
          <m:sub>
            <m:r>
              <m:rPr>
                <m:sty m:val="p"/>
              </m:rPr>
              <w:rPr>
                <w:rFonts w:ascii="Cambria Math" w:hAnsi="Cambria Math"/>
                <w:sz w:val="24"/>
                <w:szCs w:val="24"/>
              </w:rPr>
              <m:t>ji</m:t>
            </m:r>
          </m:sub>
        </m:sSub>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ji</m:t>
            </m:r>
          </m:sub>
        </m:sSub>
      </m:oMath>
    </w:p>
    <w:p w14:paraId="7DFD9F9D" w14:textId="77777777" w:rsidR="0079037F" w:rsidRPr="003C2B3D" w:rsidRDefault="0079037F" w:rsidP="0079037F">
      <w:pPr>
        <w:rPr>
          <w:sz w:val="24"/>
          <w:szCs w:val="24"/>
        </w:rPr>
      </w:pPr>
      <w:r w:rsidRPr="003C2B3D">
        <w:rPr>
          <w:sz w:val="24"/>
          <w:szCs w:val="24"/>
        </w:rPr>
        <w:tab/>
      </w:r>
      <w:r w:rsidRPr="003C2B3D">
        <w:rPr>
          <w:sz w:val="24"/>
          <w:szCs w:val="24"/>
        </w:rPr>
        <w:tab/>
      </w:r>
      <w:r w:rsidR="00513C3B">
        <w:rPr>
          <w:sz w:val="24"/>
          <w:szCs w:val="24"/>
        </w:rPr>
        <w:tab/>
      </w:r>
      <w:r w:rsidRPr="003C2B3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j</m:t>
            </m:r>
          </m:sub>
        </m:sSub>
        <m:r>
          <m:rPr>
            <m:sty m:val="p"/>
          </m:rPr>
          <w:rPr>
            <w:rFonts w:ascii="Cambria Math" w:hAnsi="Cambria Math"/>
            <w:sz w:val="24"/>
            <w:szCs w:val="24"/>
          </w:rPr>
          <m:t>=</m:t>
        </m:r>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ji</m:t>
                </m:r>
              </m:sub>
            </m:sSub>
          </m:e>
        </m:nary>
      </m:oMath>
    </w:p>
    <w:p w14:paraId="05E1515C" w14:textId="77777777" w:rsidR="0079037F" w:rsidRPr="003C2B3D" w:rsidRDefault="0079037F" w:rsidP="0079037F">
      <w:pPr>
        <w:rPr>
          <w:sz w:val="24"/>
          <w:szCs w:val="24"/>
        </w:rPr>
      </w:pPr>
      <w:r w:rsidRPr="003C2B3D">
        <w:rPr>
          <w:sz w:val="24"/>
          <w:szCs w:val="24"/>
        </w:rPr>
        <w:tab/>
      </w:r>
      <w:r w:rsidRPr="003C2B3D">
        <w:rPr>
          <w:sz w:val="24"/>
          <w:szCs w:val="24"/>
        </w:rPr>
        <w:tab/>
      </w:r>
      <w:r w:rsidR="00513C3B">
        <w:rPr>
          <w:rFonts w:eastAsiaTheme="minorEastAsia"/>
          <w:sz w:val="24"/>
          <w:szCs w:val="24"/>
        </w:rPr>
        <w:tab/>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j</m:t>
            </m:r>
          </m:sub>
        </m:sSub>
        <m:r>
          <m:rPr>
            <m:sty m:val="p"/>
          </m:rPr>
          <w:rPr>
            <w:rFonts w:ascii="Cambria Math" w:hAnsi="Cambria Math"/>
            <w:sz w:val="24"/>
            <w:szCs w:val="24"/>
          </w:rPr>
          <m:t>=</m:t>
        </m:r>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ji</m:t>
                </m:r>
              </m:sub>
            </m:sSub>
          </m:e>
        </m:nary>
      </m:oMath>
    </w:p>
    <w:p w14:paraId="2FFAEBB2" w14:textId="77777777" w:rsidR="0079037F" w:rsidRPr="003C2B3D" w:rsidRDefault="0079037F" w:rsidP="00BB5A69">
      <w:pPr>
        <w:ind w:left="360" w:firstLine="360"/>
      </w:pPr>
      <w:r w:rsidRPr="003C2B3D">
        <w:t>Then the volume weighted average price for a region is as follows:</w:t>
      </w:r>
    </w:p>
    <w:p w14:paraId="4830EB1F" w14:textId="77777777" w:rsidR="0079037F" w:rsidRPr="003C2B3D" w:rsidRDefault="0079037F" w:rsidP="00C722B2">
      <w:pPr>
        <w:pStyle w:val="ListParagraph"/>
        <w:numPr>
          <w:ilvl w:val="0"/>
          <w:numId w:val="17"/>
        </w:numPr>
      </w:pPr>
      <m:oMath>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j</m:t>
                </m:r>
              </m:sub>
            </m:sSub>
          </m:num>
          <m:den>
            <m:sSub>
              <m:sSubPr>
                <m:ctrlPr>
                  <w:rPr>
                    <w:rFonts w:ascii="Cambria Math" w:hAnsi="Cambria Math"/>
                  </w:rPr>
                </m:ctrlPr>
              </m:sSubPr>
              <m:e>
                <m:r>
                  <w:rPr>
                    <w:rFonts w:ascii="Cambria Math" w:hAnsi="Cambria Math"/>
                  </w:rPr>
                  <m:t>x</m:t>
                </m:r>
              </m:e>
              <m:sub>
                <m:r>
                  <w:rPr>
                    <w:rFonts w:ascii="Cambria Math" w:hAnsi="Cambria Math"/>
                  </w:rPr>
                  <m:t>j</m:t>
                </m:r>
              </m:sub>
            </m:sSub>
          </m:den>
        </m:f>
      </m:oMath>
    </w:p>
    <w:p w14:paraId="17B8EDD7" w14:textId="77777777" w:rsidR="0079037F" w:rsidRPr="003C2B3D" w:rsidRDefault="0079037F" w:rsidP="00BB5A69">
      <w:pPr>
        <w:ind w:left="360" w:firstLine="360"/>
      </w:pPr>
      <w:r w:rsidRPr="003C2B3D">
        <w:t xml:space="preserve">The relvariance of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j</m:t>
            </m:r>
          </m:sub>
        </m:sSub>
      </m:oMath>
      <w:r w:rsidRPr="003C2B3D">
        <w:t xml:space="preserve"> is as follows:</w:t>
      </w:r>
    </w:p>
    <w:p w14:paraId="2C8901F6" w14:textId="77777777" w:rsidR="0079037F" w:rsidRPr="003C2B3D" w:rsidRDefault="00DF50CA" w:rsidP="00C722B2">
      <w:pPr>
        <w:pStyle w:val="ListParagraph"/>
        <w:numPr>
          <w:ilvl w:val="0"/>
          <w:numId w:val="17"/>
        </w:numPr>
      </w:pPr>
      <m:oMath>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e>
          <m:sub>
            <m:sSub>
              <m:sSubPr>
                <m:ctrlPr>
                  <w:rPr>
                    <w:rFonts w:ascii="Cambria Math" w:hAnsi="Cambria Math"/>
                  </w:rPr>
                </m:ctrlPr>
              </m:sSubPr>
              <m:e>
                <m:r>
                  <w:rPr>
                    <w:rFonts w:ascii="Cambria Math" w:hAnsi="Cambria Math"/>
                  </w:rPr>
                  <m:t>P</m:t>
                </m:r>
              </m:e>
              <m:sub>
                <m:r>
                  <w:rPr>
                    <w:rFonts w:ascii="Cambria Math" w:hAnsi="Cambria Math"/>
                  </w:rPr>
                  <m:t>j</m:t>
                </m:r>
              </m:sub>
            </m:sSub>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V</m:t>
                </m:r>
              </m:e>
              <m:sup>
                <m:r>
                  <m:rPr>
                    <m:sty m:val="p"/>
                  </m:rPr>
                  <w:rPr>
                    <w:rFonts w:ascii="Cambria Math" w:hAnsi="Cambria Math"/>
                  </w:rPr>
                  <m:t>2</m:t>
                </m:r>
              </m:sup>
            </m:sSup>
          </m:e>
          <m:sub>
            <m:sSub>
              <m:sSubPr>
                <m:ctrlPr>
                  <w:rPr>
                    <w:rFonts w:ascii="Cambria Math" w:hAnsi="Cambria Math"/>
                  </w:rPr>
                </m:ctrlPr>
              </m:sSubPr>
              <m:e>
                <m:r>
                  <w:rPr>
                    <w:rFonts w:ascii="Cambria Math" w:hAnsi="Cambria Math"/>
                  </w:rPr>
                  <m:t>x</m:t>
                </m:r>
              </m:e>
              <m:sub>
                <m:r>
                  <w:rPr>
                    <w:rFonts w:ascii="Cambria Math" w:hAnsi="Cambria Math"/>
                  </w:rPr>
                  <m:t>j</m:t>
                </m:r>
              </m:sub>
            </m:sSub>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V</m:t>
                </m:r>
              </m:e>
              <m:sup>
                <m:r>
                  <m:rPr>
                    <m:sty m:val="p"/>
                  </m:rPr>
                  <w:rPr>
                    <w:rFonts w:ascii="Cambria Math" w:hAnsi="Cambria Math"/>
                  </w:rPr>
                  <m:t>2</m:t>
                </m:r>
              </m:sup>
            </m:sSup>
          </m:e>
          <m:sub>
            <m:sSub>
              <m:sSubPr>
                <m:ctrlPr>
                  <w:rPr>
                    <w:rFonts w:ascii="Cambria Math" w:hAnsi="Cambria Math"/>
                  </w:rPr>
                </m:ctrlPr>
              </m:sSubPr>
              <m:e>
                <m:r>
                  <w:rPr>
                    <w:rFonts w:ascii="Cambria Math" w:hAnsi="Cambria Math"/>
                  </w:rPr>
                  <m:t>y</m:t>
                </m:r>
              </m:e>
              <m:sub>
                <m:r>
                  <w:rPr>
                    <w:rFonts w:ascii="Cambria Math" w:hAnsi="Cambria Math"/>
                  </w:rPr>
                  <m:t>j</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m:t>
            </m:r>
            <m:r>
              <w:rPr>
                <w:rFonts w:ascii="Cambria Math" w:hAnsi="Cambria Math"/>
              </w:rPr>
              <m:t>V</m:t>
            </m:r>
          </m:e>
          <m:sub>
            <m:sSub>
              <m:sSubPr>
                <m:ctrlPr>
                  <w:rPr>
                    <w:rFonts w:ascii="Cambria Math" w:hAnsi="Cambria Math"/>
                  </w:rPr>
                </m:ctrlPr>
              </m:sSubPr>
              <m:e>
                <m:r>
                  <w:rPr>
                    <w:rFonts w:ascii="Cambria Math" w:hAnsi="Cambria Math"/>
                  </w:rPr>
                  <m:t>x</m:t>
                </m:r>
              </m:e>
              <m:sub>
                <m:r>
                  <w:rPr>
                    <w:rFonts w:ascii="Cambria Math" w:hAnsi="Cambria Math"/>
                  </w:rPr>
                  <m:t>j</m:t>
                </m:r>
              </m:sub>
            </m:sSub>
            <m:sSub>
              <m:sSubPr>
                <m:ctrlPr>
                  <w:rPr>
                    <w:rFonts w:ascii="Cambria Math" w:hAnsi="Cambria Math"/>
                  </w:rPr>
                </m:ctrlPr>
              </m:sSubPr>
              <m:e>
                <m:r>
                  <w:rPr>
                    <w:rFonts w:ascii="Cambria Math" w:hAnsi="Cambria Math"/>
                  </w:rPr>
                  <m:t>y</m:t>
                </m:r>
              </m:e>
              <m:sub>
                <m:r>
                  <w:rPr>
                    <w:rFonts w:ascii="Cambria Math" w:hAnsi="Cambria Math"/>
                  </w:rPr>
                  <m:t>j</m:t>
                </m:r>
              </m:sub>
            </m:sSub>
          </m:sub>
        </m:sSub>
      </m:oMath>
      <w:r w:rsidR="0079037F" w:rsidRPr="003C2B3D">
        <w:t xml:space="preserve"> , where </w:t>
      </w:r>
    </w:p>
    <w:p w14:paraId="1F1CFE54" w14:textId="77777777" w:rsidR="0079037F" w:rsidRPr="003C2B3D" w:rsidRDefault="00DF50CA" w:rsidP="00AF2B5F">
      <w:pPr>
        <w:ind w:left="1350"/>
      </w:pPr>
      <m:oMath>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e>
          <m:sub>
            <m:sSub>
              <m:sSubPr>
                <m:ctrlPr>
                  <w:rPr>
                    <w:rFonts w:ascii="Cambria Math" w:hAnsi="Cambria Math"/>
                  </w:rPr>
                </m:ctrlPr>
              </m:sSubPr>
              <m:e>
                <m:r>
                  <w:rPr>
                    <w:rFonts w:ascii="Cambria Math" w:hAnsi="Cambria Math"/>
                  </w:rPr>
                  <m:t>x</m:t>
                </m:r>
              </m:e>
              <m:sub>
                <m:r>
                  <w:rPr>
                    <w:rFonts w:ascii="Cambria Math" w:hAnsi="Cambria Math"/>
                  </w:rPr>
                  <m:t>j</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sSup>
                  <m:sSupPr>
                    <m:ctrlPr>
                      <w:rPr>
                        <w:rFonts w:ascii="Cambria Math" w:hAnsi="Cambria Math"/>
                      </w:rPr>
                    </m:ctrlPr>
                  </m:sSupPr>
                  <m:e>
                    <m:r>
                      <w:rPr>
                        <w:rFonts w:ascii="Cambria Math" w:hAnsi="Cambria Math"/>
                      </w:rPr>
                      <m:t>σ</m:t>
                    </m:r>
                  </m:e>
                  <m:sup>
                    <m:r>
                      <m:rPr>
                        <m:sty m:val="p"/>
                      </m:rPr>
                      <w:rPr>
                        <w:rFonts w:ascii="Cambria Math" w:hAnsi="Cambria Math"/>
                      </w:rPr>
                      <m:t>2</m:t>
                    </m:r>
                  </m:sup>
                </m:sSup>
              </m:e>
              <m:sub>
                <m:sSub>
                  <m:sSubPr>
                    <m:ctrlPr>
                      <w:rPr>
                        <w:rFonts w:ascii="Cambria Math" w:hAnsi="Cambria Math"/>
                      </w:rPr>
                    </m:ctrlPr>
                  </m:sSubPr>
                  <m:e>
                    <m:r>
                      <w:rPr>
                        <w:rFonts w:ascii="Cambria Math" w:hAnsi="Cambria Math"/>
                      </w:rPr>
                      <m:t>x</m:t>
                    </m:r>
                  </m:e>
                  <m:sub>
                    <m:r>
                      <w:rPr>
                        <w:rFonts w:ascii="Cambria Math" w:hAnsi="Cambria Math"/>
                      </w:rPr>
                      <m:t>j</m:t>
                    </m:r>
                  </m:sub>
                </m:sSub>
              </m:sub>
            </m:sSub>
          </m:num>
          <m:den>
            <m:sSub>
              <m:sSubPr>
                <m:ctrlPr>
                  <w:rPr>
                    <w:rFonts w:ascii="Cambria Math" w:hAnsi="Cambria Math"/>
                  </w:rPr>
                </m:ctrlPr>
              </m:sSub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sub>
                <m:r>
                  <w:rPr>
                    <w:rFonts w:ascii="Cambria Math" w:hAnsi="Cambria Math"/>
                  </w:rPr>
                  <m:t>j</m:t>
                </m:r>
              </m:sub>
            </m:sSub>
          </m:den>
        </m:f>
      </m:oMath>
      <w:r w:rsidR="0079037F" w:rsidRPr="003C2B3D">
        <w:t xml:space="preserve"> and  </w:t>
      </w:r>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x</m:t>
                </m:r>
              </m:e>
              <m:sub>
                <m:r>
                  <w:rPr>
                    <w:rFonts w:ascii="Cambria Math" w:hAnsi="Cambria Math"/>
                  </w:rPr>
                  <m:t>j</m:t>
                </m:r>
              </m:sub>
            </m:sSub>
            <m:sSub>
              <m:sSubPr>
                <m:ctrlPr>
                  <w:rPr>
                    <w:rFonts w:ascii="Cambria Math" w:hAnsi="Cambria Math"/>
                  </w:rPr>
                </m:ctrlPr>
              </m:sSubPr>
              <m:e>
                <m:r>
                  <w:rPr>
                    <w:rFonts w:ascii="Cambria Math" w:hAnsi="Cambria Math"/>
                  </w:rPr>
                  <m:t>y</m:t>
                </m:r>
              </m:e>
              <m:sub>
                <m:r>
                  <w:rPr>
                    <w:rFonts w:ascii="Cambria Math" w:hAnsi="Cambria Math"/>
                  </w:rPr>
                  <m:t>j</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σ</m:t>
                </m:r>
              </m:e>
              <m:sub>
                <m:sSub>
                  <m:sSubPr>
                    <m:ctrlPr>
                      <w:rPr>
                        <w:rFonts w:ascii="Cambria Math" w:hAnsi="Cambria Math"/>
                      </w:rPr>
                    </m:ctrlPr>
                  </m:sSubPr>
                  <m:e>
                    <m:r>
                      <w:rPr>
                        <w:rFonts w:ascii="Cambria Math" w:hAnsi="Cambria Math"/>
                      </w:rPr>
                      <m:t>x</m:t>
                    </m:r>
                  </m:e>
                  <m:sub>
                    <m:r>
                      <w:rPr>
                        <w:rFonts w:ascii="Cambria Math" w:hAnsi="Cambria Math"/>
                      </w:rPr>
                      <m:t>j</m:t>
                    </m:r>
                  </m:sub>
                </m:sSub>
                <m:sSub>
                  <m:sSubPr>
                    <m:ctrlPr>
                      <w:rPr>
                        <w:rFonts w:ascii="Cambria Math" w:hAnsi="Cambria Math"/>
                      </w:rPr>
                    </m:ctrlPr>
                  </m:sSubPr>
                  <m:e>
                    <m:r>
                      <w:rPr>
                        <w:rFonts w:ascii="Cambria Math" w:hAnsi="Cambria Math"/>
                      </w:rPr>
                      <m:t>y</m:t>
                    </m:r>
                  </m:e>
                  <m:sub>
                    <m:r>
                      <w:rPr>
                        <w:rFonts w:ascii="Cambria Math" w:hAnsi="Cambria Math"/>
                      </w:rPr>
                      <m:t>j</m:t>
                    </m:r>
                  </m:sub>
                </m:sSub>
              </m:sub>
            </m:sSub>
          </m:num>
          <m:den>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sub>
                </m:sSub>
              </m:e>
            </m:d>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j</m:t>
                    </m:r>
                  </m:sub>
                </m:sSub>
              </m:e>
            </m:d>
          </m:den>
        </m:f>
      </m:oMath>
    </w:p>
    <w:p w14:paraId="3655ACB1" w14:textId="77777777" w:rsidR="0079037F" w:rsidRPr="003C2B3D" w:rsidRDefault="0079037F" w:rsidP="00BB5A69">
      <w:pPr>
        <w:ind w:left="360" w:firstLine="360"/>
      </w:pPr>
      <w:r w:rsidRPr="003C2B3D">
        <w:t>The estimated variance of x</w:t>
      </w:r>
      <w:r w:rsidRPr="003C2B3D">
        <w:rPr>
          <w:vertAlign w:val="subscript"/>
        </w:rPr>
        <w:t>j</w:t>
      </w:r>
      <w:r w:rsidRPr="003C2B3D">
        <w:t xml:space="preserve"> is as follows (The variance of y</w:t>
      </w:r>
      <w:r w:rsidRPr="003C2B3D">
        <w:rPr>
          <w:vertAlign w:val="subscript"/>
        </w:rPr>
        <w:t>j</w:t>
      </w:r>
      <w:r w:rsidRPr="003C2B3D">
        <w:t xml:space="preserve"> is defined similarly):</w:t>
      </w:r>
    </w:p>
    <w:p w14:paraId="0FCEC36B" w14:textId="77777777" w:rsidR="0079037F" w:rsidRPr="003C2B3D" w:rsidRDefault="0079037F" w:rsidP="00C722B2">
      <w:pPr>
        <w:pStyle w:val="ListParagraph"/>
        <w:numPr>
          <w:ilvl w:val="0"/>
          <w:numId w:val="17"/>
        </w:numPr>
      </w:pPr>
      <m:oMath>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acc>
                  <m:accPr>
                    <m:ctrlPr>
                      <w:rPr>
                        <w:rFonts w:ascii="Cambria Math" w:hAnsi="Cambria Math"/>
                      </w:rPr>
                    </m:ctrlPr>
                  </m:accPr>
                  <m:e>
                    <m:r>
                      <w:rPr>
                        <w:rFonts w:ascii="Cambria Math" w:hAnsi="Cambria Math"/>
                      </w:rPr>
                      <m:t>σ</m:t>
                    </m:r>
                  </m:e>
                </m:acc>
              </m:e>
              <m:sup>
                <m:r>
                  <m:rPr>
                    <m:sty m:val="p"/>
                  </m:rPr>
                  <w:rPr>
                    <w:rFonts w:ascii="Cambria Math" w:hAnsi="Cambria Math"/>
                  </w:rPr>
                  <m:t>2</m:t>
                </m:r>
              </m:sup>
            </m:sSup>
          </m:e>
          <m:sub>
            <m:sSub>
              <m:sSubPr>
                <m:ctrlPr>
                  <w:rPr>
                    <w:rFonts w:ascii="Cambria Math" w:hAnsi="Cambria Math"/>
                  </w:rPr>
                </m:ctrlPr>
              </m:sSubPr>
              <m:e>
                <m:r>
                  <w:rPr>
                    <w:rFonts w:ascii="Cambria Math" w:hAnsi="Cambria Math"/>
                  </w:rPr>
                  <m:t>x</m:t>
                </m:r>
              </m:e>
              <m:sub>
                <m:r>
                  <w:rPr>
                    <w:rFonts w:ascii="Cambria Math" w:hAnsi="Cambria Math"/>
                  </w:rPr>
                  <m:t>j</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j</m:t>
                </m:r>
              </m:sub>
            </m:sSub>
          </m:num>
          <m:den>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 xml:space="preserve">-1 </m:t>
            </m:r>
          </m:den>
        </m:f>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sub>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ji</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j</m:t>
                        </m:r>
                      </m:sub>
                    </m:sSub>
                  </m:e>
                </m:d>
              </m:e>
              <m:sup>
                <m:r>
                  <m:rPr>
                    <m:sty m:val="p"/>
                  </m:rPr>
                  <w:rPr>
                    <w:rFonts w:ascii="Cambria Math" w:hAnsi="Cambria Math"/>
                  </w:rPr>
                  <m:t>2</m:t>
                </m:r>
              </m:sup>
            </m:sSup>
          </m:e>
        </m:nary>
        <m:r>
          <m:rPr>
            <m:sty m:val="p"/>
          </m:rPr>
          <w:rPr>
            <w:rFonts w:ascii="Cambria Math" w:hAnsi="Cambria Math"/>
          </w:rPr>
          <m:t>,</m:t>
        </m:r>
      </m:oMath>
    </w:p>
    <w:p w14:paraId="0A2B8D6E" w14:textId="77777777" w:rsidR="0079037F" w:rsidRPr="003C2B3D" w:rsidRDefault="0079037F" w:rsidP="00BB5A69">
      <w:pPr>
        <w:ind w:left="1350" w:firstLine="450"/>
        <w:rPr>
          <w:sz w:val="24"/>
          <w:szCs w:val="24"/>
        </w:rPr>
      </w:pPr>
      <m:oMathPara>
        <m:oMathParaPr>
          <m:jc m:val="left"/>
        </m:oMathParaPr>
        <m:oMath>
          <m:r>
            <w:rPr>
              <w:rFonts w:ascii="Cambria Math" w:hAnsi="Cambria Math"/>
              <w:sz w:val="24"/>
              <w:szCs w:val="24"/>
            </w:rPr>
            <m:t xml:space="preserve">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ji</m:t>
                      </m:r>
                    </m:sub>
                  </m:sSub>
                </m:e>
              </m:nary>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j</m:t>
                  </m:r>
                </m:sub>
              </m:sSub>
            </m:den>
          </m:f>
        </m:oMath>
      </m:oMathPara>
    </w:p>
    <w:p w14:paraId="43DD7939" w14:textId="77777777" w:rsidR="0079037F" w:rsidRPr="003C2B3D" w:rsidRDefault="0079037F" w:rsidP="00BB5A69">
      <w:pPr>
        <w:ind w:left="360" w:firstLine="360"/>
      </w:pPr>
      <w:r w:rsidRPr="003C2B3D">
        <w:t>The estimated covariance is as follows:</w:t>
      </w:r>
    </w:p>
    <w:p w14:paraId="22804564" w14:textId="77777777" w:rsidR="0079037F" w:rsidRPr="003C2B3D" w:rsidRDefault="0079037F" w:rsidP="00C722B2">
      <w:pPr>
        <w:pStyle w:val="ListParagraph"/>
        <w:numPr>
          <w:ilvl w:val="0"/>
          <w:numId w:val="17"/>
        </w:numPr>
      </w:pPr>
      <w:r w:rsidRPr="003C2B3D">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rPr>
                  <m:t>σ</m:t>
                </m:r>
              </m:e>
            </m:acc>
          </m:e>
          <m:sub>
            <m:sSub>
              <m:sSubPr>
                <m:ctrlPr>
                  <w:rPr>
                    <w:rFonts w:ascii="Cambria Math" w:hAnsi="Cambria Math"/>
                  </w:rPr>
                </m:ctrlPr>
              </m:sSubPr>
              <m:e>
                <m:r>
                  <w:rPr>
                    <w:rFonts w:ascii="Cambria Math" w:hAnsi="Cambria Math"/>
                  </w:rPr>
                  <m:t>x</m:t>
                </m:r>
              </m:e>
              <m:sub>
                <m:r>
                  <w:rPr>
                    <w:rFonts w:ascii="Cambria Math" w:hAnsi="Cambria Math"/>
                  </w:rPr>
                  <m:t>j</m:t>
                </m:r>
              </m:sub>
            </m:sSub>
            <m:sSub>
              <m:sSubPr>
                <m:ctrlPr>
                  <w:rPr>
                    <w:rFonts w:ascii="Cambria Math" w:hAnsi="Cambria Math"/>
                  </w:rPr>
                </m:ctrlPr>
              </m:sSubPr>
              <m:e>
                <m:r>
                  <w:rPr>
                    <w:rFonts w:ascii="Cambria Math" w:hAnsi="Cambria Math"/>
                  </w:rPr>
                  <m:t>y</m:t>
                </m:r>
              </m:e>
              <m:sub>
                <m:r>
                  <w:rPr>
                    <w:rFonts w:ascii="Cambria Math" w:hAnsi="Cambria Math"/>
                  </w:rPr>
                  <m:t>j</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j</m:t>
                </m:r>
              </m:sub>
            </m:sSub>
          </m:num>
          <m:den>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-1</m:t>
            </m:r>
          </m:den>
        </m:f>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i</m:t>
            </m:r>
          </m:sub>
          <m:sup/>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ji</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j</m:t>
                    </m:r>
                  </m:sub>
                </m:sSub>
              </m:e>
            </m:d>
          </m:e>
        </m:nary>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ji</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e>
        </m:d>
      </m:oMath>
      <w:r w:rsidRPr="003C2B3D">
        <w:t>,</w:t>
      </w:r>
    </w:p>
    <w:p w14:paraId="2DF2E452" w14:textId="77777777" w:rsidR="0079037F" w:rsidRPr="003C2B3D" w:rsidRDefault="00DF50CA" w:rsidP="0079037F">
      <w:pPr>
        <w:ind w:left="1710" w:firstLine="360"/>
        <w:rPr>
          <w:sz w:val="24"/>
          <w:szCs w:val="24"/>
        </w:rPr>
      </w:pPr>
      <m:oMathPara>
        <m:oMathParaPr>
          <m:jc m:val="left"/>
        </m:oMathPara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ji</m:t>
                      </m:r>
                    </m:sub>
                  </m:sSub>
                </m:e>
              </m:nary>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j</m:t>
                  </m:r>
                </m:sub>
              </m:sSub>
            </m:den>
          </m:f>
        </m:oMath>
      </m:oMathPara>
    </w:p>
    <w:p w14:paraId="5A2DF335" w14:textId="77777777" w:rsidR="0079037F" w:rsidRPr="003C2B3D" w:rsidRDefault="0079037F" w:rsidP="00BB5A69">
      <w:pPr>
        <w:spacing w:line="360" w:lineRule="auto"/>
        <w:ind w:left="720"/>
      </w:pPr>
      <w:r w:rsidRPr="003C2B3D">
        <w:t>The volume weighted average price for a publication region, which is made up of one or more sampling regions j</w:t>
      </w:r>
      <w:r w:rsidR="00A20831">
        <w:t xml:space="preserve"> (and</w:t>
      </w:r>
      <w:r w:rsidRPr="003C2B3D">
        <w:t xml:space="preserve"> if the sampling regions are further stratified by hypermarket and non-hypermarket then j is over sampling regions with hypermarkets and sampling regions w/o hypermarkets – thus doubling the range of j), is as follows:</w:t>
      </w:r>
    </w:p>
    <w:p w14:paraId="2FD814CB" w14:textId="77777777" w:rsidR="0079037F" w:rsidRPr="003C2B3D" w:rsidRDefault="0079037F" w:rsidP="00C722B2">
      <w:pPr>
        <w:pStyle w:val="ListParagraph"/>
        <w:numPr>
          <w:ilvl w:val="0"/>
          <w:numId w:val="17"/>
        </w:numPr>
      </w:pPr>
      <w:r w:rsidRPr="003C2B3D">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rPr>
                  <m:t>P</m:t>
                </m:r>
              </m:e>
            </m:acc>
          </m:e>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y</m:t>
                    </m:r>
                  </m:e>
                  <m:sub>
                    <m:r>
                      <w:rPr>
                        <w:rFonts w:ascii="Cambria Math" w:hAnsi="Cambria Math"/>
                      </w:rPr>
                      <m:t>j</m:t>
                    </m:r>
                  </m:sub>
                </m:sSub>
              </m:e>
            </m:nary>
          </m:num>
          <m:den>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x</m:t>
                    </m:r>
                  </m:e>
                  <m:sub>
                    <m:r>
                      <w:rPr>
                        <w:rFonts w:ascii="Cambria Math" w:hAnsi="Cambria Math"/>
                      </w:rPr>
                      <m:t>j</m:t>
                    </m:r>
                  </m:sub>
                </m:sSub>
              </m:e>
            </m:nary>
          </m:den>
        </m:f>
      </m:oMath>
      <w:r w:rsidRPr="003C2B3D">
        <w:t xml:space="preserve">   </w:t>
      </w:r>
    </w:p>
    <w:p w14:paraId="0FA26FBD" w14:textId="77777777" w:rsidR="0079037F" w:rsidRPr="003C2B3D" w:rsidRDefault="0079037F" w:rsidP="00BB5A69">
      <w:pPr>
        <w:ind w:left="360" w:firstLine="360"/>
      </w:pPr>
      <w:r w:rsidRPr="003C2B3D">
        <w:t>The estimated relvariance of p is given as follows:</w:t>
      </w:r>
    </w:p>
    <w:p w14:paraId="65A55DC8" w14:textId="77777777" w:rsidR="0079037F" w:rsidRPr="003C2B3D" w:rsidRDefault="0079037F" w:rsidP="00C722B2">
      <w:pPr>
        <w:pStyle w:val="ListParagraph"/>
        <w:numPr>
          <w:ilvl w:val="0"/>
          <w:numId w:val="17"/>
        </w:numPr>
      </w:pPr>
      <w:r w:rsidRPr="003C2B3D">
        <w:t xml:space="preserve">  </w:t>
      </w:r>
      <m:oMath>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acc>
                  <m:accPr>
                    <m:ctrlPr>
                      <w:rPr>
                        <w:rFonts w:ascii="Cambria Math" w:hAnsi="Cambria Math"/>
                      </w:rPr>
                    </m:ctrlPr>
                  </m:accPr>
                  <m:e>
                    <m:r>
                      <w:rPr>
                        <w:rFonts w:ascii="Cambria Math" w:hAnsi="Cambria Math"/>
                      </w:rPr>
                      <m:t>V</m:t>
                    </m:r>
                  </m:e>
                </m:acc>
              </m:e>
              <m:sup>
                <m:r>
                  <m:rPr>
                    <m:sty m:val="p"/>
                  </m:rPr>
                  <w:rPr>
                    <w:rFonts w:ascii="Cambria Math" w:hAnsi="Cambria Math"/>
                  </w:rPr>
                  <m:t>2</m:t>
                </m:r>
              </m:sup>
            </m:sSup>
          </m:e>
          <m:sub>
            <m:r>
              <w:rPr>
                <w:rFonts w:ascii="Cambria Math" w:hAnsi="Cambria Math"/>
              </w:rPr>
              <m:t>P</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sSup>
                      <m:sSupPr>
                        <m:ctrlPr>
                          <w:rPr>
                            <w:rFonts w:ascii="Cambria Math" w:hAnsi="Cambria Math"/>
                          </w:rPr>
                        </m:ctrlPr>
                      </m:sSupPr>
                      <m:e>
                        <m:acc>
                          <m:accPr>
                            <m:ctrlPr>
                              <w:rPr>
                                <w:rFonts w:ascii="Cambria Math" w:hAnsi="Cambria Math"/>
                              </w:rPr>
                            </m:ctrlPr>
                          </m:accPr>
                          <m:e>
                            <m:r>
                              <w:rPr>
                                <w:rFonts w:ascii="Cambria Math" w:hAnsi="Cambria Math"/>
                              </w:rPr>
                              <m:t>σ</m:t>
                            </m:r>
                          </m:e>
                        </m:acc>
                      </m:e>
                      <m:sup>
                        <m:r>
                          <m:rPr>
                            <m:sty m:val="p"/>
                          </m:rPr>
                          <w:rPr>
                            <w:rFonts w:ascii="Cambria Math" w:hAnsi="Cambria Math"/>
                          </w:rPr>
                          <m:t>2</m:t>
                        </m:r>
                      </m:sup>
                    </m:sSup>
                  </m:e>
                  <m:sub>
                    <m:sSub>
                      <m:sSubPr>
                        <m:ctrlPr>
                          <w:rPr>
                            <w:rFonts w:ascii="Cambria Math" w:hAnsi="Cambria Math"/>
                          </w:rPr>
                        </m:ctrlPr>
                      </m:sSubPr>
                      <m:e>
                        <m:r>
                          <w:rPr>
                            <w:rFonts w:ascii="Cambria Math" w:hAnsi="Cambria Math"/>
                          </w:rPr>
                          <m:t>x</m:t>
                        </m:r>
                      </m:e>
                      <m:sub>
                        <m:r>
                          <w:rPr>
                            <w:rFonts w:ascii="Cambria Math" w:hAnsi="Cambria Math"/>
                          </w:rPr>
                          <m:t>j</m:t>
                        </m:r>
                      </m:sub>
                    </m:sSub>
                  </m:sub>
                </m:sSub>
              </m:e>
            </m:nary>
          </m:num>
          <m:den>
            <m:sSup>
              <m:sSupPr>
                <m:ctrlPr>
                  <w:rPr>
                    <w:rFonts w:ascii="Cambria Math" w:hAnsi="Cambria Math"/>
                  </w:rPr>
                </m:ctrlPr>
              </m:sSupPr>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x</m:t>
                            </m:r>
                          </m:e>
                          <m:sub>
                            <m:r>
                              <w:rPr>
                                <w:rFonts w:ascii="Cambria Math" w:hAnsi="Cambria Math"/>
                              </w:rPr>
                              <m:t>j</m:t>
                            </m:r>
                          </m:sub>
                        </m:sSub>
                      </m:e>
                    </m:nary>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sSup>
                      <m:sSupPr>
                        <m:ctrlPr>
                          <w:rPr>
                            <w:rFonts w:ascii="Cambria Math" w:hAnsi="Cambria Math"/>
                          </w:rPr>
                        </m:ctrlPr>
                      </m:sSupPr>
                      <m:e>
                        <m:acc>
                          <m:accPr>
                            <m:ctrlPr>
                              <w:rPr>
                                <w:rFonts w:ascii="Cambria Math" w:hAnsi="Cambria Math"/>
                              </w:rPr>
                            </m:ctrlPr>
                          </m:accPr>
                          <m:e>
                            <m:r>
                              <w:rPr>
                                <w:rFonts w:ascii="Cambria Math" w:hAnsi="Cambria Math"/>
                              </w:rPr>
                              <m:t>σ</m:t>
                            </m:r>
                          </m:e>
                        </m:acc>
                      </m:e>
                      <m:sup>
                        <m:r>
                          <m:rPr>
                            <m:sty m:val="p"/>
                          </m:rPr>
                          <w:rPr>
                            <w:rFonts w:ascii="Cambria Math" w:hAnsi="Cambria Math"/>
                          </w:rPr>
                          <m:t>2</m:t>
                        </m:r>
                      </m:sup>
                    </m:sSup>
                  </m:e>
                  <m:sub>
                    <m:sSub>
                      <m:sSubPr>
                        <m:ctrlPr>
                          <w:rPr>
                            <w:rFonts w:ascii="Cambria Math" w:hAnsi="Cambria Math"/>
                          </w:rPr>
                        </m:ctrlPr>
                      </m:sSubPr>
                      <m:e>
                        <m:r>
                          <w:rPr>
                            <w:rFonts w:ascii="Cambria Math" w:hAnsi="Cambria Math"/>
                          </w:rPr>
                          <m:t>y</m:t>
                        </m:r>
                      </m:e>
                      <m:sub>
                        <m:r>
                          <w:rPr>
                            <w:rFonts w:ascii="Cambria Math" w:hAnsi="Cambria Math"/>
                          </w:rPr>
                          <m:t>j</m:t>
                        </m:r>
                      </m:sub>
                    </m:sSub>
                  </m:sub>
                </m:sSub>
              </m:e>
            </m:nary>
          </m:num>
          <m:den>
            <m:sSup>
              <m:sSupPr>
                <m:ctrlPr>
                  <w:rPr>
                    <w:rFonts w:ascii="Cambria Math" w:hAnsi="Cambria Math"/>
                  </w:rPr>
                </m:ctrlPr>
              </m:sSupPr>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y</m:t>
                            </m:r>
                          </m:e>
                          <m:sub>
                            <m:r>
                              <w:rPr>
                                <w:rFonts w:ascii="Cambria Math" w:hAnsi="Cambria Math"/>
                              </w:rPr>
                              <m:t>j</m:t>
                            </m:r>
                          </m:sub>
                        </m:sSub>
                      </m:e>
                    </m:nary>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m:t>
            </m:r>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sSup>
                      <m:sSupPr>
                        <m:ctrlPr>
                          <w:rPr>
                            <w:rFonts w:ascii="Cambria Math" w:hAnsi="Cambria Math"/>
                          </w:rPr>
                        </m:ctrlPr>
                      </m:sSupPr>
                      <m:e>
                        <m:acc>
                          <m:accPr>
                            <m:ctrlPr>
                              <w:rPr>
                                <w:rFonts w:ascii="Cambria Math" w:hAnsi="Cambria Math"/>
                              </w:rPr>
                            </m:ctrlPr>
                          </m:accPr>
                          <m:e>
                            <m:r>
                              <w:rPr>
                                <w:rFonts w:ascii="Cambria Math" w:hAnsi="Cambria Math"/>
                              </w:rPr>
                              <m:t>σ</m:t>
                            </m:r>
                          </m:e>
                        </m:acc>
                      </m:e>
                      <m:sup>
                        <m:r>
                          <m:rPr>
                            <m:sty m:val="p"/>
                          </m:rPr>
                          <w:rPr>
                            <w:rFonts w:ascii="Cambria Math" w:hAnsi="Cambria Math"/>
                          </w:rPr>
                          <m:t>2</m:t>
                        </m:r>
                      </m:sup>
                    </m:sSup>
                  </m:e>
                  <m:sub>
                    <m:sSub>
                      <m:sSubPr>
                        <m:ctrlPr>
                          <w:rPr>
                            <w:rFonts w:ascii="Cambria Math" w:hAnsi="Cambria Math"/>
                          </w:rPr>
                        </m:ctrlPr>
                      </m:sSubPr>
                      <m:e>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y</m:t>
                        </m:r>
                      </m:e>
                      <m:sub>
                        <m:r>
                          <w:rPr>
                            <w:rFonts w:ascii="Cambria Math" w:hAnsi="Cambria Math"/>
                          </w:rPr>
                          <m:t>j</m:t>
                        </m:r>
                      </m:sub>
                    </m:sSub>
                  </m:sub>
                </m:sSub>
              </m:e>
            </m:nary>
          </m:num>
          <m:den>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y</m:t>
                        </m:r>
                      </m:e>
                      <m:sub>
                        <m:r>
                          <w:rPr>
                            <w:rFonts w:ascii="Cambria Math" w:hAnsi="Cambria Math"/>
                          </w:rPr>
                          <m:t>j</m:t>
                        </m:r>
                      </m:sub>
                    </m:sSub>
                  </m:e>
                </m:nary>
              </m:e>
            </m:d>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x</m:t>
                        </m:r>
                      </m:e>
                      <m:sub>
                        <m:r>
                          <w:rPr>
                            <w:rFonts w:ascii="Cambria Math" w:hAnsi="Cambria Math"/>
                          </w:rPr>
                          <m:t>j</m:t>
                        </m:r>
                      </m:sub>
                    </m:sSub>
                  </m:e>
                </m:nary>
              </m:e>
            </m:d>
          </m:den>
        </m:f>
      </m:oMath>
    </w:p>
    <w:p w14:paraId="1CA10594" w14:textId="77777777" w:rsidR="0079037F" w:rsidRPr="003C2B3D" w:rsidRDefault="0079037F" w:rsidP="00C722B2">
      <w:pPr>
        <w:pStyle w:val="ListParagraph"/>
        <w:numPr>
          <w:ilvl w:val="0"/>
          <w:numId w:val="17"/>
        </w:numPr>
      </w:pPr>
      <w:r w:rsidRPr="003C2B3D">
        <w:t xml:space="preserve">    RSE(P) = (</w:t>
      </w:r>
      <m:oMath>
        <m:sSub>
          <m:sSubPr>
            <m:ctrlPr>
              <w:rPr>
                <w:rFonts w:ascii="Cambria Math" w:hAnsi="Cambria Math"/>
                <w:i/>
              </w:rPr>
            </m:ctrlPr>
          </m:sSubPr>
          <m:e>
            <m:r>
              <w:rPr>
                <w:rFonts w:ascii="Cambria Math" w:hAnsi="Cambria Math"/>
              </w:rPr>
              <m:t xml:space="preserve"> </m:t>
            </m:r>
            <m:sSup>
              <m:sSupPr>
                <m:ctrlPr>
                  <w:rPr>
                    <w:rFonts w:ascii="Cambria Math" w:hAnsi="Cambria Math"/>
                    <w:i/>
                  </w:rPr>
                </m:ctrlPr>
              </m:sSupPr>
              <m:e>
                <m:acc>
                  <m:accPr>
                    <m:ctrlPr>
                      <w:rPr>
                        <w:rFonts w:ascii="Cambria Math" w:hAnsi="Cambria Math"/>
                        <w:i/>
                      </w:rPr>
                    </m:ctrlPr>
                  </m:accPr>
                  <m:e>
                    <m:r>
                      <w:rPr>
                        <w:rFonts w:ascii="Cambria Math" w:hAnsi="Cambria Math"/>
                      </w:rPr>
                      <m:t>V</m:t>
                    </m:r>
                  </m:e>
                </m:acc>
              </m:e>
              <m:sup>
                <m:r>
                  <w:rPr>
                    <w:rFonts w:ascii="Cambria Math" w:hAnsi="Cambria Math"/>
                  </w:rPr>
                  <m:t>2</m:t>
                </m:r>
              </m:sup>
            </m:sSup>
          </m:e>
          <m:sub>
            <m:r>
              <w:rPr>
                <w:rFonts w:ascii="Cambria Math" w:hAnsi="Cambria Math"/>
              </w:rPr>
              <m:t>P</m:t>
            </m:r>
          </m:sub>
        </m:sSub>
        <m:r>
          <w:rPr>
            <w:rFonts w:ascii="Cambria Math" w:hAnsi="Cambria Math"/>
          </w:rPr>
          <m:t>)</m:t>
        </m:r>
      </m:oMath>
      <w:r w:rsidRPr="003C2B3D">
        <w:rPr>
          <w:vertAlign w:val="superscript"/>
        </w:rPr>
        <w:t>(1/2)</w:t>
      </w:r>
    </w:p>
    <w:p w14:paraId="35959115" w14:textId="77777777" w:rsidR="00873EDA" w:rsidRDefault="00873EDA"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szCs w:val="24"/>
        </w:rPr>
      </w:pPr>
    </w:p>
    <w:p w14:paraId="3C035226" w14:textId="5D614695" w:rsidR="0079037F" w:rsidRPr="003C2B3D"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szCs w:val="24"/>
        </w:rPr>
      </w:pPr>
      <w:r w:rsidRPr="003C2B3D">
        <w:rPr>
          <w:rFonts w:cs="Times New Roman"/>
          <w:szCs w:val="24"/>
        </w:rPr>
        <w:t xml:space="preserve">A sample size of </w:t>
      </w:r>
      <w:r>
        <w:rPr>
          <w:rFonts w:cs="Times New Roman"/>
          <w:szCs w:val="24"/>
        </w:rPr>
        <w:t>approximately 1,000</w:t>
      </w:r>
      <w:r w:rsidRPr="003C2B3D">
        <w:rPr>
          <w:rFonts w:cs="Times New Roman"/>
          <w:szCs w:val="24"/>
        </w:rPr>
        <w:t xml:space="preserve"> outlets was selected because it is only a modest increase </w:t>
      </w:r>
      <w:r w:rsidR="00A67AE7">
        <w:rPr>
          <w:rFonts w:cs="Times New Roman"/>
          <w:szCs w:val="24"/>
        </w:rPr>
        <w:t>in</w:t>
      </w:r>
      <w:r w:rsidRPr="003C2B3D">
        <w:rPr>
          <w:rFonts w:cs="Times New Roman"/>
          <w:szCs w:val="24"/>
        </w:rPr>
        <w:t xml:space="preserve"> sample size from the earlier collection and we expect that a larger sample size is needed because of the higher variances using annual volumes as weights versus number of pumps. Once volume data are collected, the variance formulae will determine whether this sample size is sufficient. </w:t>
      </w:r>
      <w:r w:rsidR="00873EDA">
        <w:rPr>
          <w:rFonts w:cs="Times New Roman"/>
          <w:szCs w:val="24"/>
        </w:rPr>
        <w:t>P</w:t>
      </w:r>
      <w:r w:rsidR="00873EDA">
        <w:t xml:space="preserve">arallel testing for </w:t>
      </w:r>
      <w:r w:rsidR="002A08BC">
        <w:t>three to four</w:t>
      </w:r>
      <w:r w:rsidR="00873EDA">
        <w:t xml:space="preserve"> weeks will be conducted during sample implementation.</w:t>
      </w:r>
    </w:p>
    <w:p w14:paraId="6673629B" w14:textId="636621D4" w:rsidR="0079037F" w:rsidRPr="00340F80"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Cs w:val="24"/>
        </w:rPr>
      </w:pPr>
      <w:r w:rsidRPr="003C2B3D">
        <w:rPr>
          <w:rFonts w:cs="Times New Roman"/>
          <w:szCs w:val="24"/>
        </w:rPr>
        <w:t xml:space="preserve">The target coefficient of variation was set at 0.4 for the United States, 0.55 for PADDs and U.S. formulations, 0.70 for sub-PADDS and the PADD formulations, 0.85 for cities and states, and 1.0 for the remaining cells </w:t>
      </w:r>
      <w:r w:rsidR="001F2862">
        <w:rPr>
          <w:rFonts w:cs="Times New Roman"/>
          <w:szCs w:val="24"/>
        </w:rPr>
        <w:t>–</w:t>
      </w:r>
      <w:r w:rsidRPr="003C2B3D">
        <w:rPr>
          <w:rFonts w:cs="Times New Roman"/>
          <w:szCs w:val="24"/>
        </w:rPr>
        <w:t xml:space="preserve"> </w:t>
      </w:r>
      <w:r w:rsidR="001F2862">
        <w:rPr>
          <w:rFonts w:cs="Times New Roman"/>
          <w:szCs w:val="24"/>
        </w:rPr>
        <w:t>i.e.,</w:t>
      </w:r>
      <w:r w:rsidRPr="003C2B3D">
        <w:rPr>
          <w:rFonts w:cs="Times New Roman"/>
          <w:szCs w:val="24"/>
        </w:rPr>
        <w:t xml:space="preserve"> state and sub-PADD formulations. The sample size is approximately 1,000 outlets. The survey is conducted every Monday (Tuesday on Federal holidays), and more frequently during emergency situations. Data are released on </w:t>
      </w:r>
      <w:hyperlink r:id="rId39" w:history="1">
        <w:r w:rsidRPr="003C2B3D">
          <w:rPr>
            <w:rStyle w:val="Hyperlink"/>
            <w:rFonts w:cs="Times New Roman"/>
            <w:szCs w:val="24"/>
          </w:rPr>
          <w:t>EIA’s website</w:t>
        </w:r>
      </w:hyperlink>
      <w:r w:rsidRPr="003C2B3D">
        <w:rPr>
          <w:rFonts w:cs="Times New Roman"/>
          <w:szCs w:val="24"/>
        </w:rPr>
        <w:t xml:space="preserve"> around </w:t>
      </w:r>
      <w:r w:rsidRPr="00340F80">
        <w:rPr>
          <w:rFonts w:cs="Times New Roman"/>
          <w:szCs w:val="24"/>
        </w:rPr>
        <w:t>5 p.m. each Monday (Tuesday on Federal holidays).</w:t>
      </w:r>
      <w:r>
        <w:rPr>
          <w:rFonts w:cs="Times New Roman"/>
          <w:szCs w:val="24"/>
        </w:rPr>
        <w:t xml:space="preserve"> </w:t>
      </w:r>
      <w:r w:rsidRPr="00340F80">
        <w:rPr>
          <w:rFonts w:cs="Times New Roman"/>
          <w:szCs w:val="24"/>
        </w:rPr>
        <w:t>Data are made available through email notification to those customers who sign up for that service.</w:t>
      </w:r>
      <w:r>
        <w:rPr>
          <w:rFonts w:cs="Times New Roman"/>
          <w:szCs w:val="24"/>
        </w:rPr>
        <w:t xml:space="preserve"> </w:t>
      </w:r>
      <w:r w:rsidRPr="00340F80">
        <w:rPr>
          <w:rFonts w:cs="Times New Roman"/>
          <w:szCs w:val="24"/>
        </w:rPr>
        <w:t xml:space="preserve">The U.S., PADD, sub-PADD, </w:t>
      </w:r>
      <w:r w:rsidR="008A2788">
        <w:rPr>
          <w:rFonts w:cs="Times New Roman"/>
          <w:szCs w:val="24"/>
        </w:rPr>
        <w:t>s</w:t>
      </w:r>
      <w:r w:rsidRPr="00340F80">
        <w:rPr>
          <w:rFonts w:cs="Times New Roman"/>
          <w:szCs w:val="24"/>
        </w:rPr>
        <w:t xml:space="preserve">tate, and city levels regular gasoline average prices are made available on EIA’s prerecorded telephone hotline at </w:t>
      </w:r>
      <w:r w:rsidR="00BA79C2">
        <w:rPr>
          <w:rFonts w:cs="Times New Roman"/>
          <w:szCs w:val="24"/>
        </w:rPr>
        <w:t>2</w:t>
      </w:r>
      <w:r w:rsidRPr="00340F80">
        <w:rPr>
          <w:rFonts w:cs="Times New Roman"/>
          <w:szCs w:val="24"/>
        </w:rPr>
        <w:t>02</w:t>
      </w:r>
      <w:r w:rsidR="00873EDA">
        <w:rPr>
          <w:rFonts w:cs="Times New Roman"/>
          <w:szCs w:val="24"/>
        </w:rPr>
        <w:t>-</w:t>
      </w:r>
      <w:r w:rsidRPr="00340F80">
        <w:rPr>
          <w:rFonts w:cs="Times New Roman"/>
          <w:szCs w:val="24"/>
        </w:rPr>
        <w:t xml:space="preserve">586-6966 and in the publications </w:t>
      </w:r>
      <w:hyperlink r:id="rId40" w:history="1">
        <w:r w:rsidRPr="00340F80">
          <w:rPr>
            <w:rStyle w:val="Hyperlink"/>
            <w:rFonts w:cs="Times New Roman"/>
            <w:szCs w:val="24"/>
          </w:rPr>
          <w:t>Weekly Petroleum Status Report</w:t>
        </w:r>
      </w:hyperlink>
      <w:r w:rsidRPr="00340F80">
        <w:rPr>
          <w:rFonts w:cs="Times New Roman"/>
          <w:szCs w:val="24"/>
        </w:rPr>
        <w:t xml:space="preserve"> and </w:t>
      </w:r>
      <w:hyperlink r:id="rId41" w:history="1">
        <w:r w:rsidRPr="00340F80">
          <w:rPr>
            <w:rStyle w:val="Hyperlink"/>
            <w:rFonts w:cs="Times New Roman"/>
            <w:szCs w:val="24"/>
          </w:rPr>
          <w:t>This Week in Petroleum (TWIP)</w:t>
        </w:r>
      </w:hyperlink>
      <w:r w:rsidRPr="00340F80">
        <w:rPr>
          <w:rFonts w:cs="Times New Roman"/>
          <w:szCs w:val="24"/>
        </w:rPr>
        <w:t>.</w:t>
      </w:r>
      <w:r>
        <w:rPr>
          <w:rFonts w:cs="Times New Roman"/>
          <w:szCs w:val="24"/>
        </w:rPr>
        <w:t xml:space="preserve"> </w:t>
      </w:r>
    </w:p>
    <w:p w14:paraId="739AB63D" w14:textId="77777777" w:rsidR="0079037F" w:rsidRPr="00340F80" w:rsidRDefault="00513C3B" w:rsidP="003A06C9">
      <w:pPr>
        <w:pStyle w:val="NormalWeb"/>
        <w:numPr>
          <w:ilvl w:val="0"/>
          <w:numId w:val="18"/>
        </w:numPr>
        <w:spacing w:before="100" w:beforeAutospacing="1" w:after="100" w:afterAutospacing="1" w:line="360" w:lineRule="auto"/>
        <w:ind w:left="360"/>
        <w:rPr>
          <w:rFonts w:asciiTheme="minorHAnsi" w:hAnsiTheme="minorHAnsi"/>
          <w:sz w:val="22"/>
        </w:rPr>
      </w:pPr>
      <w:r>
        <w:rPr>
          <w:rFonts w:asciiTheme="minorHAnsi" w:hAnsiTheme="minorHAnsi"/>
          <w:b/>
          <w:i/>
          <w:sz w:val="22"/>
        </w:rPr>
        <w:t xml:space="preserve">Form </w:t>
      </w:r>
      <w:r w:rsidR="0079037F" w:rsidRPr="00453E39">
        <w:rPr>
          <w:rFonts w:asciiTheme="minorHAnsi" w:hAnsiTheme="minorHAnsi"/>
          <w:b/>
          <w:i/>
          <w:sz w:val="22"/>
        </w:rPr>
        <w:t>EIA-888 Sample Design</w:t>
      </w:r>
      <w:r w:rsidR="0079037F" w:rsidRPr="00340F80">
        <w:rPr>
          <w:rFonts w:asciiTheme="minorHAnsi" w:hAnsiTheme="minorHAnsi"/>
          <w:i/>
          <w:sz w:val="22"/>
        </w:rPr>
        <w:t>:</w:t>
      </w:r>
      <w:r w:rsidR="0079037F" w:rsidRPr="00340F80">
        <w:rPr>
          <w:rFonts w:asciiTheme="minorHAnsi" w:hAnsiTheme="minorHAnsi"/>
          <w:sz w:val="22"/>
        </w:rPr>
        <w:t xml:space="preserve"> The respondents reporting to the weekly diesel price survey represent a stratified probability proportional to size (PPS) sample selected from a frame list of retail outlets. 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Due to statistical and operational considerations, outlets in the States of Alaska and Hawaii are excluded from the target population.</w:t>
      </w:r>
    </w:p>
    <w:p w14:paraId="114E2B83" w14:textId="4C8725E0" w:rsidR="0079037F" w:rsidRPr="00340F80" w:rsidRDefault="0079037F" w:rsidP="0079037F">
      <w:pPr>
        <w:pStyle w:val="NormalWeb"/>
        <w:spacing w:line="360" w:lineRule="auto"/>
        <w:ind w:left="360"/>
        <w:rPr>
          <w:rFonts w:asciiTheme="minorHAnsi" w:hAnsiTheme="minorHAnsi"/>
          <w:sz w:val="22"/>
        </w:rPr>
      </w:pPr>
      <w:r w:rsidRPr="00340F80">
        <w:rPr>
          <w:rFonts w:asciiTheme="minorHAnsi" w:hAnsiTheme="minorHAnsi"/>
          <w:sz w:val="22"/>
        </w:rPr>
        <w:t>The primary publication cells of the survey include PADD</w:t>
      </w:r>
      <w:r>
        <w:rPr>
          <w:rFonts w:asciiTheme="minorHAnsi" w:hAnsiTheme="minorHAnsi"/>
          <w:sz w:val="22"/>
        </w:rPr>
        <w:t>s</w:t>
      </w:r>
      <w:r w:rsidRPr="00340F80">
        <w:rPr>
          <w:rFonts w:asciiTheme="minorHAnsi" w:hAnsiTheme="minorHAnsi"/>
          <w:sz w:val="22"/>
        </w:rPr>
        <w:t xml:space="preserve"> 2-4, three sub-PADDs within PADD 1, and the two subparts of PADD 5 (the State of California and the West Coast region excluding California). The U.S., the East Coast (PADD 1), and the West Coast (PADD 5) are considered secondary publication cells since their prices are aggregated based on the prices from their primary publication cell components. To select the sample, allocations were first assigned to all primary publication cells through a simulation of coefficients of variation of average prices using historical price data. The target coefficient of variation for each primary publication cell was capped at one percent (1%). Allocations were further assigned to the </w:t>
      </w:r>
      <w:r>
        <w:rPr>
          <w:rFonts w:asciiTheme="minorHAnsi" w:hAnsiTheme="minorHAnsi"/>
          <w:sz w:val="22"/>
        </w:rPr>
        <w:t>s</w:t>
      </w:r>
      <w:r w:rsidRPr="00340F80">
        <w:rPr>
          <w:rFonts w:asciiTheme="minorHAnsi" w:hAnsiTheme="minorHAnsi"/>
          <w:sz w:val="22"/>
        </w:rPr>
        <w:t xml:space="preserve">tates covered by each primary publication cell. The distribution of allocations was proportional to the annual </w:t>
      </w:r>
      <w:r>
        <w:rPr>
          <w:rFonts w:asciiTheme="minorHAnsi" w:hAnsiTheme="minorHAnsi"/>
          <w:sz w:val="22"/>
        </w:rPr>
        <w:t>s</w:t>
      </w:r>
      <w:r w:rsidRPr="00340F80">
        <w:rPr>
          <w:rFonts w:asciiTheme="minorHAnsi" w:hAnsiTheme="minorHAnsi"/>
          <w:sz w:val="22"/>
        </w:rPr>
        <w:t xml:space="preserve">tate total volume of retail on-highway diesel fuel sales. This allocation procedure yielded a total target sample size of 403 retail outlets. The </w:t>
      </w:r>
      <w:r>
        <w:rPr>
          <w:rFonts w:asciiTheme="minorHAnsi" w:hAnsiTheme="minorHAnsi"/>
          <w:sz w:val="22"/>
        </w:rPr>
        <w:t>s</w:t>
      </w:r>
      <w:r w:rsidRPr="00340F80">
        <w:rPr>
          <w:rFonts w:asciiTheme="minorHAnsi" w:hAnsiTheme="minorHAnsi"/>
          <w:sz w:val="22"/>
        </w:rPr>
        <w:t>tates were treated as sampling strata in the sample design.</w:t>
      </w:r>
    </w:p>
    <w:p w14:paraId="7EE8030C" w14:textId="77777777" w:rsidR="0079037F" w:rsidRPr="00340F80" w:rsidRDefault="0079037F" w:rsidP="0079037F">
      <w:pPr>
        <w:pStyle w:val="NormalWeb"/>
        <w:spacing w:line="360" w:lineRule="auto"/>
        <w:ind w:left="360"/>
        <w:rPr>
          <w:rFonts w:asciiTheme="minorHAnsi" w:hAnsiTheme="minorHAnsi"/>
          <w:sz w:val="22"/>
        </w:rPr>
      </w:pPr>
      <w:r w:rsidRPr="00340F80">
        <w:rPr>
          <w:rFonts w:asciiTheme="minorHAnsi" w:hAnsiTheme="minorHAnsi"/>
          <w:sz w:val="22"/>
        </w:rPr>
        <w:t xml:space="preserve">It is believed that on-highway diesel fuel sold through all service stations combined only accounts for a small portion of the retail on-highway diesel fuel market. The truck stops on the frame were also classified into two categories, dependent on whether they belong to the nation's four largest on-highway diesel sellers. Based on information from other survey data and industry sources the proportions of total diesel volumes sold by outlets in the three categories - service stations, mid-sized truck stops, and top four - was assumed to be 20, 55, and 25 percent, respectively. These volume proportions, along with the outlet counts for the three categories on the frame, were used to calculate relative size measures for the outlets in each of the three categories. Pareto Sampling, which is a PPS procedure, and the size measures for each outlet were then used to select sampling units from each </w:t>
      </w:r>
      <w:r>
        <w:rPr>
          <w:rFonts w:asciiTheme="minorHAnsi" w:hAnsiTheme="minorHAnsi"/>
          <w:sz w:val="22"/>
        </w:rPr>
        <w:t>s</w:t>
      </w:r>
      <w:r w:rsidRPr="00340F80">
        <w:rPr>
          <w:rFonts w:asciiTheme="minorHAnsi" w:hAnsiTheme="minorHAnsi"/>
          <w:sz w:val="22"/>
        </w:rPr>
        <w:t>tate.</w:t>
      </w:r>
    </w:p>
    <w:p w14:paraId="25C9E7FC" w14:textId="77C4F2EA" w:rsidR="0079037F" w:rsidRPr="00340F80" w:rsidRDefault="0079037F" w:rsidP="0079037F">
      <w:pPr>
        <w:pStyle w:val="NormalWeb"/>
        <w:spacing w:line="360" w:lineRule="auto"/>
        <w:ind w:left="360"/>
        <w:rPr>
          <w:rFonts w:asciiTheme="minorHAnsi" w:hAnsiTheme="minorHAnsi"/>
          <w:sz w:val="22"/>
        </w:rPr>
      </w:pPr>
      <w:r w:rsidRPr="00340F80">
        <w:rPr>
          <w:rFonts w:asciiTheme="minorHAnsi" w:hAnsiTheme="minorHAnsi"/>
          <w:color w:val="000000"/>
          <w:sz w:val="22"/>
        </w:rPr>
        <w:t xml:space="preserve">The survey is conducted every Monday (Tuesday on Federal holidays), and data are released on </w:t>
      </w:r>
      <w:hyperlink r:id="rId42" w:history="1">
        <w:r w:rsidRPr="00340F80">
          <w:rPr>
            <w:rStyle w:val="Hyperlink"/>
            <w:sz w:val="22"/>
          </w:rPr>
          <w:t>EIA’s website</w:t>
        </w:r>
      </w:hyperlink>
      <w:r w:rsidRPr="00340F80">
        <w:rPr>
          <w:rFonts w:asciiTheme="minorHAnsi" w:hAnsiTheme="minorHAnsi"/>
          <w:color w:val="000000"/>
          <w:sz w:val="22"/>
        </w:rPr>
        <w:t xml:space="preserve"> </w:t>
      </w:r>
      <w:r w:rsidRPr="003C2B3D">
        <w:rPr>
          <w:rFonts w:asciiTheme="minorHAnsi" w:hAnsiTheme="minorHAnsi"/>
          <w:sz w:val="22"/>
        </w:rPr>
        <w:t>around</w:t>
      </w:r>
      <w:r w:rsidRPr="00340F80">
        <w:rPr>
          <w:rFonts w:asciiTheme="minorHAnsi" w:hAnsiTheme="minorHAnsi"/>
          <w:color w:val="000000"/>
          <w:sz w:val="22"/>
        </w:rPr>
        <w:t xml:space="preserve"> 5 p.m. each Monday (Tuesday on Federal holidays).</w:t>
      </w:r>
      <w:r>
        <w:rPr>
          <w:rFonts w:asciiTheme="minorHAnsi" w:hAnsiTheme="minorHAnsi"/>
          <w:color w:val="000000"/>
          <w:sz w:val="22"/>
        </w:rPr>
        <w:t xml:space="preserve"> </w:t>
      </w:r>
      <w:r w:rsidRPr="00340F80">
        <w:rPr>
          <w:rFonts w:asciiTheme="minorHAnsi" w:hAnsiTheme="minorHAnsi"/>
          <w:color w:val="000000"/>
          <w:sz w:val="22"/>
        </w:rPr>
        <w:t>Data are made available through email notification to those customers who sign up for that service.</w:t>
      </w:r>
      <w:r>
        <w:rPr>
          <w:rFonts w:asciiTheme="minorHAnsi" w:hAnsiTheme="minorHAnsi"/>
          <w:color w:val="000000"/>
          <w:sz w:val="22"/>
        </w:rPr>
        <w:t xml:space="preserve"> </w:t>
      </w:r>
      <w:r w:rsidRPr="00340F80">
        <w:rPr>
          <w:rFonts w:asciiTheme="minorHAnsi" w:hAnsiTheme="minorHAnsi"/>
          <w:color w:val="000000"/>
          <w:sz w:val="22"/>
        </w:rPr>
        <w:t>The U.S., PADD, sub-PADD, and the State of California levels retail on-highway diesel average prices are made available on EIA’s prerecorded telephone hotline</w:t>
      </w:r>
      <w:r w:rsidRPr="00340F80">
        <w:rPr>
          <w:rFonts w:asciiTheme="minorHAnsi" w:hAnsiTheme="minorHAnsi"/>
          <w:sz w:val="22"/>
        </w:rPr>
        <w:t xml:space="preserve"> at 202</w:t>
      </w:r>
      <w:r>
        <w:rPr>
          <w:rFonts w:asciiTheme="minorHAnsi" w:hAnsiTheme="minorHAnsi"/>
          <w:sz w:val="22"/>
        </w:rPr>
        <w:t>-</w:t>
      </w:r>
      <w:r w:rsidRPr="00340F80">
        <w:rPr>
          <w:rFonts w:asciiTheme="minorHAnsi" w:hAnsiTheme="minorHAnsi"/>
          <w:sz w:val="22"/>
        </w:rPr>
        <w:t xml:space="preserve">586-6966 and in the publications </w:t>
      </w:r>
      <w:hyperlink r:id="rId43" w:history="1">
        <w:r w:rsidRPr="00340F80">
          <w:rPr>
            <w:rStyle w:val="Hyperlink"/>
            <w:sz w:val="22"/>
          </w:rPr>
          <w:t>Weekly Petroleum Status Report</w:t>
        </w:r>
      </w:hyperlink>
      <w:r w:rsidRPr="00340F80">
        <w:rPr>
          <w:rFonts w:asciiTheme="minorHAnsi" w:hAnsiTheme="minorHAnsi"/>
          <w:sz w:val="22"/>
        </w:rPr>
        <w:t xml:space="preserve"> and</w:t>
      </w:r>
      <w:r w:rsidRPr="00340F80">
        <w:rPr>
          <w:rFonts w:asciiTheme="minorHAnsi" w:hAnsiTheme="minorHAnsi"/>
          <w:iCs/>
          <w:color w:val="FF0000"/>
          <w:sz w:val="22"/>
        </w:rPr>
        <w:t xml:space="preserve"> </w:t>
      </w:r>
      <w:hyperlink r:id="rId44" w:history="1">
        <w:r w:rsidRPr="00340F80">
          <w:rPr>
            <w:rStyle w:val="Hyperlink"/>
            <w:sz w:val="22"/>
          </w:rPr>
          <w:t>This Week in Petroleum (TWIP)</w:t>
        </w:r>
      </w:hyperlink>
      <w:r w:rsidRPr="00340F80">
        <w:rPr>
          <w:rFonts w:asciiTheme="minorHAnsi" w:hAnsiTheme="minorHAnsi"/>
          <w:iCs/>
          <w:sz w:val="22"/>
        </w:rPr>
        <w:t>.</w:t>
      </w:r>
      <w:r w:rsidRPr="00340F80">
        <w:rPr>
          <w:rFonts w:asciiTheme="minorHAnsi" w:hAnsiTheme="minorHAnsi"/>
          <w:sz w:val="22"/>
        </w:rPr>
        <w:t xml:space="preserve"> </w:t>
      </w:r>
    </w:p>
    <w:p w14:paraId="4DD57581" w14:textId="77777777" w:rsidR="0079037F" w:rsidRDefault="00513C3B" w:rsidP="0079037F">
      <w:pPr>
        <w:pStyle w:val="NormalWeb"/>
        <w:spacing w:line="360" w:lineRule="auto"/>
        <w:ind w:left="360"/>
        <w:rPr>
          <w:rFonts w:asciiTheme="minorHAnsi" w:hAnsiTheme="minorHAnsi"/>
          <w:sz w:val="22"/>
        </w:rPr>
      </w:pPr>
      <w:r>
        <w:rPr>
          <w:rFonts w:asciiTheme="minorHAnsi" w:hAnsiTheme="minorHAnsi"/>
          <w:b/>
          <w:i/>
          <w:sz w:val="22"/>
        </w:rPr>
        <w:t xml:space="preserve">Form </w:t>
      </w:r>
      <w:r w:rsidR="0079037F" w:rsidRPr="00063077">
        <w:rPr>
          <w:rFonts w:asciiTheme="minorHAnsi" w:hAnsiTheme="minorHAnsi"/>
          <w:b/>
          <w:i/>
          <w:sz w:val="22"/>
        </w:rPr>
        <w:t>EIA-888 Estimation:</w:t>
      </w:r>
      <w:r w:rsidR="0079037F" w:rsidRPr="00340F80">
        <w:rPr>
          <w:rFonts w:asciiTheme="minorHAnsi" w:hAnsiTheme="minorHAnsi"/>
          <w:sz w:val="22"/>
        </w:rPr>
        <w:t xml:space="preserve"> The reported and imputed prices each week are aggregated in multiple steps to obtain price estimates for publication cells. First, </w:t>
      </w:r>
      <w:r w:rsidR="0079037F">
        <w:rPr>
          <w:rFonts w:asciiTheme="minorHAnsi" w:hAnsiTheme="minorHAnsi"/>
          <w:sz w:val="22"/>
        </w:rPr>
        <w:t>s</w:t>
      </w:r>
      <w:r w:rsidR="0079037F" w:rsidRPr="00340F80">
        <w:rPr>
          <w:rFonts w:asciiTheme="minorHAnsi" w:hAnsiTheme="minorHAnsi"/>
          <w:sz w:val="22"/>
        </w:rPr>
        <w:t xml:space="preserve">tate average prices are calculated as simple unweighted averages of reported and imputed prices. Volumes of on-highway diesel sold in the </w:t>
      </w:r>
      <w:r w:rsidR="0079037F">
        <w:rPr>
          <w:rFonts w:asciiTheme="minorHAnsi" w:hAnsiTheme="minorHAnsi"/>
          <w:sz w:val="22"/>
        </w:rPr>
        <w:t>s</w:t>
      </w:r>
      <w:r w:rsidR="0079037F" w:rsidRPr="00340F80">
        <w:rPr>
          <w:rFonts w:asciiTheme="minorHAnsi" w:hAnsiTheme="minorHAnsi"/>
          <w:sz w:val="22"/>
        </w:rPr>
        <w:t>tates</w:t>
      </w:r>
      <w:r w:rsidR="0079037F">
        <w:rPr>
          <w:rFonts w:asciiTheme="minorHAnsi" w:hAnsiTheme="minorHAnsi"/>
          <w:sz w:val="22"/>
        </w:rPr>
        <w:t>,</w:t>
      </w:r>
      <w:r w:rsidR="0079037F" w:rsidRPr="00340F80">
        <w:rPr>
          <w:rFonts w:asciiTheme="minorHAnsi" w:hAnsiTheme="minorHAnsi"/>
          <w:sz w:val="22"/>
        </w:rPr>
        <w:t xml:space="preserve"> as published by the Federal Highway Administration</w:t>
      </w:r>
      <w:r w:rsidR="0079037F">
        <w:rPr>
          <w:rFonts w:asciiTheme="minorHAnsi" w:hAnsiTheme="minorHAnsi"/>
          <w:sz w:val="22"/>
        </w:rPr>
        <w:t xml:space="preserve"> (FHWA)</w:t>
      </w:r>
      <w:r w:rsidR="0079037F" w:rsidRPr="00340F80">
        <w:rPr>
          <w:rFonts w:asciiTheme="minorHAnsi" w:hAnsiTheme="minorHAnsi"/>
          <w:sz w:val="22"/>
        </w:rPr>
        <w:t xml:space="preserve">, are then used to weight the </w:t>
      </w:r>
      <w:r w:rsidR="0079037F">
        <w:rPr>
          <w:rFonts w:asciiTheme="minorHAnsi" w:hAnsiTheme="minorHAnsi"/>
          <w:sz w:val="22"/>
        </w:rPr>
        <w:t>s</w:t>
      </w:r>
      <w:r w:rsidR="0079037F" w:rsidRPr="00340F80">
        <w:rPr>
          <w:rFonts w:asciiTheme="minorHAnsi" w:hAnsiTheme="minorHAnsi"/>
          <w:sz w:val="22"/>
        </w:rPr>
        <w:t xml:space="preserve">tate average prices and obtain average prices for primary publication cells. </w:t>
      </w:r>
      <w:r w:rsidR="0079037F" w:rsidRPr="003C2B3D">
        <w:rPr>
          <w:rFonts w:asciiTheme="minorHAnsi" w:hAnsiTheme="minorHAnsi"/>
          <w:sz w:val="22"/>
        </w:rPr>
        <w:t>These weights are updated annually when FHWA data are available. Average prices for secon</w:t>
      </w:r>
      <w:r w:rsidR="0079037F" w:rsidRPr="00340F80">
        <w:rPr>
          <w:rFonts w:asciiTheme="minorHAnsi" w:hAnsiTheme="minorHAnsi"/>
          <w:sz w:val="22"/>
        </w:rPr>
        <w:t>dary publication cells are weighted averages of primary publication cell prices based on the proportion of diesel volumes attributable to their component primary publication cells.</w:t>
      </w:r>
    </w:p>
    <w:p w14:paraId="1109B03B" w14:textId="355DB7F7" w:rsidR="0079037F" w:rsidRPr="00C722B2" w:rsidRDefault="00C722B2" w:rsidP="00C722B2">
      <w:pPr>
        <w:pStyle w:val="Heading2"/>
      </w:pPr>
      <w:r w:rsidRPr="00C722B2">
        <w:t>B.2.</w:t>
      </w:r>
      <w:r>
        <w:t>4</w:t>
      </w:r>
      <w:r w:rsidRPr="00C722B2">
        <w:t xml:space="preserve"> Statistical Methods for </w:t>
      </w:r>
      <w:r>
        <w:t>Annual Petroleum Product Survey</w:t>
      </w:r>
      <w:r w:rsidR="0079037F" w:rsidRPr="00C722B2">
        <w:t xml:space="preserve"> </w:t>
      </w:r>
    </w:p>
    <w:p w14:paraId="3BBA7D28" w14:textId="59A7F477" w:rsidR="0079037F" w:rsidRPr="00883535" w:rsidRDefault="00513C3B"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i/>
          <w:color w:val="000000"/>
          <w:szCs w:val="24"/>
        </w:rPr>
      </w:pPr>
      <w:r>
        <w:rPr>
          <w:rFonts w:cs="Times New Roman"/>
          <w:b/>
          <w:i/>
          <w:color w:val="000000"/>
          <w:szCs w:val="24"/>
        </w:rPr>
        <w:t xml:space="preserve">Form </w:t>
      </w:r>
      <w:r w:rsidR="0079037F" w:rsidRPr="00063077">
        <w:rPr>
          <w:rFonts w:cs="Times New Roman"/>
          <w:b/>
          <w:i/>
          <w:color w:val="000000"/>
          <w:szCs w:val="24"/>
        </w:rPr>
        <w:t>EIA-821 Sample Design:</w:t>
      </w:r>
      <w:r w:rsidR="0079037F">
        <w:rPr>
          <w:rFonts w:cs="Times New Roman"/>
          <w:i/>
          <w:color w:val="000000"/>
          <w:szCs w:val="24"/>
        </w:rPr>
        <w:t xml:space="preserve"> </w:t>
      </w:r>
      <w:r w:rsidR="0079037F" w:rsidRPr="00340F80">
        <w:rPr>
          <w:rFonts w:cs="Times New Roman"/>
          <w:szCs w:val="24"/>
        </w:rPr>
        <w:t xml:space="preserve">The target population for </w:t>
      </w:r>
      <w:r>
        <w:rPr>
          <w:rFonts w:cs="Times New Roman"/>
          <w:szCs w:val="24"/>
        </w:rPr>
        <w:t>Form</w:t>
      </w:r>
      <w:r w:rsidR="0079037F" w:rsidRPr="00340F80">
        <w:rPr>
          <w:rFonts w:cs="Times New Roman"/>
          <w:szCs w:val="24"/>
        </w:rPr>
        <w:t xml:space="preserve"> EIA-821, “Annual Fuel Oil and Kerosene Sales Report” survey is the universe of all active companies that sell distillate fuel oil, residual fuel oil, or kerosene in the 50 </w:t>
      </w:r>
      <w:r w:rsidR="0079037F">
        <w:rPr>
          <w:rFonts w:cs="Times New Roman"/>
          <w:szCs w:val="24"/>
        </w:rPr>
        <w:t>s</w:t>
      </w:r>
      <w:r w:rsidR="0079037F" w:rsidRPr="00340F80">
        <w:rPr>
          <w:rFonts w:cs="Times New Roman"/>
          <w:szCs w:val="24"/>
        </w:rPr>
        <w:t>tates and the District of Columbia.</w:t>
      </w:r>
      <w:r w:rsidR="0079037F">
        <w:rPr>
          <w:rFonts w:cs="Times New Roman"/>
          <w:szCs w:val="24"/>
        </w:rPr>
        <w:t xml:space="preserve"> </w:t>
      </w:r>
    </w:p>
    <w:p w14:paraId="7C604A6F" w14:textId="650A28BC" w:rsidR="0079037F" w:rsidRPr="00340F80" w:rsidRDefault="0079037F" w:rsidP="0079037F">
      <w:pPr>
        <w:spacing w:line="360" w:lineRule="auto"/>
        <w:ind w:left="360"/>
        <w:rPr>
          <w:rFonts w:cs="Times New Roman"/>
          <w:szCs w:val="24"/>
        </w:rPr>
      </w:pPr>
      <w:r w:rsidRPr="00340F80">
        <w:rPr>
          <w:rFonts w:cs="Times New Roman"/>
          <w:szCs w:val="24"/>
        </w:rPr>
        <w:t>The 2006</w:t>
      </w:r>
      <w:r w:rsidR="00513C3B">
        <w:rPr>
          <w:rFonts w:cs="Times New Roman"/>
          <w:szCs w:val="24"/>
        </w:rPr>
        <w:t xml:space="preserve"> Form </w:t>
      </w:r>
      <w:r w:rsidRPr="00340F80">
        <w:rPr>
          <w:rFonts w:cs="Times New Roman"/>
          <w:szCs w:val="24"/>
        </w:rPr>
        <w:t xml:space="preserve">EIA-863 database provided a base sampling frame for </w:t>
      </w:r>
      <w:r w:rsidR="00513C3B">
        <w:rPr>
          <w:rFonts w:cs="Times New Roman"/>
          <w:szCs w:val="24"/>
        </w:rPr>
        <w:t>Form</w:t>
      </w:r>
      <w:r w:rsidRPr="00340F80">
        <w:rPr>
          <w:rFonts w:cs="Times New Roman"/>
          <w:szCs w:val="24"/>
        </w:rPr>
        <w:t xml:space="preserve"> EIA-821 survey. </w:t>
      </w:r>
      <w:r w:rsidR="00513C3B">
        <w:rPr>
          <w:rFonts w:cs="Times New Roman"/>
          <w:szCs w:val="24"/>
        </w:rPr>
        <w:t>Form</w:t>
      </w:r>
      <w:r w:rsidR="00BB5A69">
        <w:rPr>
          <w:rFonts w:cs="Times New Roman"/>
          <w:szCs w:val="24"/>
        </w:rPr>
        <w:t xml:space="preserve"> </w:t>
      </w:r>
      <w:r w:rsidRPr="00340F80">
        <w:rPr>
          <w:rFonts w:cs="Times New Roman"/>
          <w:szCs w:val="24"/>
        </w:rPr>
        <w:t>EIA-863</w:t>
      </w:r>
      <w:r w:rsidR="00513C3B">
        <w:rPr>
          <w:rFonts w:cs="Times New Roman"/>
          <w:szCs w:val="24"/>
        </w:rPr>
        <w:t xml:space="preserve"> </w:t>
      </w:r>
      <w:r w:rsidRPr="00340F80">
        <w:rPr>
          <w:rFonts w:cs="Times New Roman"/>
          <w:szCs w:val="24"/>
        </w:rPr>
        <w:t xml:space="preserve">was mailed to approximately 24,000 companies in January 2007 to collect 2006 </w:t>
      </w:r>
      <w:r>
        <w:rPr>
          <w:rFonts w:cs="Times New Roman"/>
          <w:szCs w:val="24"/>
        </w:rPr>
        <w:t>s</w:t>
      </w:r>
      <w:r w:rsidRPr="00340F80">
        <w:rPr>
          <w:rFonts w:cs="Times New Roman"/>
          <w:szCs w:val="24"/>
        </w:rPr>
        <w:t>tate-level sales volume data for No. 2 distillate fuel, residual fuel oil, motor gasoline, and propane.</w:t>
      </w:r>
      <w:r>
        <w:rPr>
          <w:rFonts w:cs="Times New Roman"/>
          <w:szCs w:val="24"/>
        </w:rPr>
        <w:t xml:space="preserve"> </w:t>
      </w:r>
      <w:r w:rsidRPr="00340F80">
        <w:rPr>
          <w:rFonts w:cs="Times New Roman"/>
          <w:szCs w:val="24"/>
        </w:rPr>
        <w:t>Companies also indicated if they sold kerosene. The No. 2 distillate fuel data were further identified by residential No. 2 fuel oil</w:t>
      </w:r>
      <w:r w:rsidRPr="00340F80" w:rsidDel="00BE19A9">
        <w:rPr>
          <w:rFonts w:cs="Times New Roman"/>
          <w:szCs w:val="24"/>
        </w:rPr>
        <w:t xml:space="preserve"> </w:t>
      </w:r>
      <w:r w:rsidRPr="00340F80">
        <w:rPr>
          <w:rFonts w:cs="Times New Roman"/>
          <w:szCs w:val="24"/>
        </w:rPr>
        <w:t>and by nonresidential retail and wholesale for No. 2 fuel oil and No. 2 diesel fuel; the residual fuel oil data were identified by retail and wholesale.</w:t>
      </w:r>
      <w:r>
        <w:rPr>
          <w:rFonts w:cs="Times New Roman"/>
          <w:szCs w:val="24"/>
        </w:rPr>
        <w:t xml:space="preserve"> </w:t>
      </w:r>
      <w:r w:rsidRPr="00340F80">
        <w:rPr>
          <w:rFonts w:cs="Times New Roman"/>
          <w:szCs w:val="24"/>
        </w:rPr>
        <w:t>In addition, company/</w:t>
      </w:r>
      <w:r>
        <w:rPr>
          <w:rFonts w:cs="Times New Roman"/>
          <w:szCs w:val="24"/>
        </w:rPr>
        <w:t>s</w:t>
      </w:r>
      <w:r w:rsidRPr="00340F80">
        <w:rPr>
          <w:rFonts w:cs="Times New Roman"/>
          <w:szCs w:val="24"/>
        </w:rPr>
        <w:t xml:space="preserve">tate-level volumes for distillate fuel, residual fuel oil, and kerosene from the 2008 </w:t>
      </w:r>
      <w:r w:rsidR="00513C3B">
        <w:rPr>
          <w:rFonts w:cs="Times New Roman"/>
          <w:szCs w:val="24"/>
        </w:rPr>
        <w:t xml:space="preserve">Form </w:t>
      </w:r>
      <w:r w:rsidRPr="00340F80">
        <w:rPr>
          <w:rFonts w:cs="Times New Roman"/>
          <w:szCs w:val="24"/>
        </w:rPr>
        <w:t xml:space="preserve">EIA-821, 2008 </w:t>
      </w:r>
      <w:r w:rsidR="00513C3B">
        <w:rPr>
          <w:rFonts w:cs="Times New Roman"/>
          <w:szCs w:val="24"/>
        </w:rPr>
        <w:t xml:space="preserve">Form </w:t>
      </w:r>
      <w:r w:rsidRPr="00340F80">
        <w:rPr>
          <w:rFonts w:cs="Times New Roman"/>
          <w:szCs w:val="24"/>
        </w:rPr>
        <w:t xml:space="preserve">EIA-782A, and 2008 </w:t>
      </w:r>
      <w:r w:rsidR="00513C3B">
        <w:rPr>
          <w:rFonts w:cs="Times New Roman"/>
          <w:szCs w:val="24"/>
        </w:rPr>
        <w:t xml:space="preserve">Form </w:t>
      </w:r>
      <w:r w:rsidRPr="00340F80">
        <w:rPr>
          <w:rFonts w:cs="Times New Roman"/>
          <w:szCs w:val="24"/>
        </w:rPr>
        <w:t xml:space="preserve">EIA-782B were also merged with the 2006 </w:t>
      </w:r>
      <w:r w:rsidR="007C1F59">
        <w:rPr>
          <w:rFonts w:cs="Times New Roman"/>
          <w:szCs w:val="24"/>
        </w:rPr>
        <w:t xml:space="preserve">Form </w:t>
      </w:r>
      <w:r w:rsidRPr="00340F80">
        <w:rPr>
          <w:rFonts w:cs="Times New Roman"/>
          <w:szCs w:val="24"/>
        </w:rPr>
        <w:t xml:space="preserve">EIA-863 data. The integrated and comprehensive frame was then used to design and select the 2009 </w:t>
      </w:r>
      <w:r w:rsidR="007C1F59">
        <w:rPr>
          <w:rFonts w:cs="Times New Roman"/>
          <w:szCs w:val="24"/>
        </w:rPr>
        <w:t xml:space="preserve">Form </w:t>
      </w:r>
      <w:r w:rsidRPr="00340F80">
        <w:rPr>
          <w:rFonts w:cs="Times New Roman"/>
          <w:szCs w:val="24"/>
        </w:rPr>
        <w:t>EIA-821 sample, which the survey is based.</w:t>
      </w:r>
    </w:p>
    <w:p w14:paraId="15147B8A" w14:textId="3E4190A9" w:rsidR="0079037F" w:rsidRDefault="0079037F" w:rsidP="0079037F">
      <w:pPr>
        <w:spacing w:line="360" w:lineRule="auto"/>
        <w:ind w:left="360"/>
        <w:rPr>
          <w:rFonts w:cs="Times New Roman"/>
          <w:spacing w:val="-2"/>
          <w:szCs w:val="24"/>
        </w:rPr>
      </w:pPr>
      <w:r w:rsidRPr="00340F80">
        <w:rPr>
          <w:rFonts w:cs="Times New Roman"/>
          <w:szCs w:val="24"/>
        </w:rPr>
        <w:t xml:space="preserve">To select a sample for </w:t>
      </w:r>
      <w:r w:rsidR="007C1F59">
        <w:rPr>
          <w:rFonts w:cs="Times New Roman"/>
          <w:szCs w:val="24"/>
        </w:rPr>
        <w:t>Form</w:t>
      </w:r>
      <w:r w:rsidR="007F2B30">
        <w:rPr>
          <w:rFonts w:cs="Times New Roman"/>
          <w:szCs w:val="24"/>
        </w:rPr>
        <w:t xml:space="preserve"> </w:t>
      </w:r>
      <w:r w:rsidRPr="00340F80">
        <w:rPr>
          <w:rFonts w:cs="Times New Roman"/>
          <w:szCs w:val="24"/>
        </w:rPr>
        <w:t>EIA-821, s</w:t>
      </w:r>
      <w:r w:rsidRPr="00340F80">
        <w:rPr>
          <w:rFonts w:cs="Times New Roman"/>
          <w:spacing w:val="-2"/>
          <w:szCs w:val="24"/>
        </w:rPr>
        <w:t>ubsidiaries and parents of a company were merged by adding the volumes of parents and subsidiaries in a cluster (i.e.</w:t>
      </w:r>
      <w:r w:rsidR="000355BD">
        <w:rPr>
          <w:rFonts w:cs="Times New Roman"/>
          <w:spacing w:val="-2"/>
          <w:szCs w:val="24"/>
        </w:rPr>
        <w:t xml:space="preserve">, </w:t>
      </w:r>
      <w:r w:rsidRPr="00340F80">
        <w:rPr>
          <w:rFonts w:cs="Times New Roman"/>
          <w:spacing w:val="-2"/>
          <w:szCs w:val="24"/>
        </w:rPr>
        <w:t>parent-subsidiary combination) to represent the company.</w:t>
      </w:r>
      <w:r>
        <w:rPr>
          <w:rFonts w:cs="Times New Roman"/>
          <w:spacing w:val="-2"/>
          <w:szCs w:val="24"/>
        </w:rPr>
        <w:t xml:space="preserve"> </w:t>
      </w:r>
      <w:r w:rsidRPr="00340F80">
        <w:rPr>
          <w:rFonts w:cs="Times New Roman"/>
          <w:spacing w:val="-2"/>
          <w:szCs w:val="24"/>
        </w:rPr>
        <w:t>The sample was drawn from a multi-attribute frame with</w:t>
      </w:r>
      <w:r w:rsidRPr="00340F80">
        <w:rPr>
          <w:rFonts w:cs="Times New Roman"/>
          <w:szCs w:val="24"/>
        </w:rPr>
        <w:t xml:space="preserve"> four target variables of No. 2 residential fuel oil, No. 2 nonresidential fuel oil, No. 2 nonresidential diesel fuel, and No. 2 wholesale distillate fuel.</w:t>
      </w:r>
      <w:r>
        <w:rPr>
          <w:rFonts w:cs="Times New Roman"/>
          <w:szCs w:val="24"/>
        </w:rPr>
        <w:t xml:space="preserve"> </w:t>
      </w:r>
    </w:p>
    <w:p w14:paraId="4DD4104F" w14:textId="77777777" w:rsidR="0079037F" w:rsidRPr="00340F80" w:rsidRDefault="0079037F" w:rsidP="0079037F">
      <w:pPr>
        <w:spacing w:line="360" w:lineRule="auto"/>
        <w:ind w:left="360"/>
        <w:rPr>
          <w:rFonts w:cs="Times New Roman"/>
          <w:spacing w:val="-2"/>
          <w:szCs w:val="24"/>
        </w:rPr>
      </w:pPr>
      <w:r>
        <w:rPr>
          <w:rFonts w:cs="Times New Roman"/>
          <w:spacing w:val="-2"/>
          <w:szCs w:val="24"/>
        </w:rPr>
        <w:t>A</w:t>
      </w:r>
      <w:r w:rsidRPr="00340F80">
        <w:rPr>
          <w:rFonts w:cs="Times New Roman"/>
          <w:spacing w:val="-2"/>
          <w:szCs w:val="24"/>
        </w:rPr>
        <w:t xml:space="preserve"> company was classified as a certainty company if it met one of the following criteria:</w:t>
      </w:r>
    </w:p>
    <w:p w14:paraId="5B8282DC" w14:textId="77777777" w:rsidR="0079037F" w:rsidRPr="00340F80" w:rsidRDefault="0079037F" w:rsidP="00076175">
      <w:pPr>
        <w:numPr>
          <w:ilvl w:val="0"/>
          <w:numId w:val="14"/>
        </w:numPr>
        <w:tabs>
          <w:tab w:val="clear" w:pos="720"/>
          <w:tab w:val="num" w:pos="576"/>
          <w:tab w:val="num" w:pos="1260"/>
        </w:tabs>
        <w:spacing w:after="0" w:line="360" w:lineRule="auto"/>
        <w:ind w:left="1116"/>
        <w:rPr>
          <w:rFonts w:cs="Times New Roman"/>
          <w:szCs w:val="24"/>
        </w:rPr>
      </w:pPr>
      <w:r w:rsidRPr="00340F80">
        <w:rPr>
          <w:rFonts w:cs="Times New Roman"/>
          <w:spacing w:val="-2"/>
          <w:szCs w:val="24"/>
        </w:rPr>
        <w:t>The company (or one of its subsidiaries) was a refiner</w:t>
      </w:r>
      <w:r w:rsidRPr="00340F80">
        <w:rPr>
          <w:rFonts w:cs="Times New Roman"/>
          <w:szCs w:val="24"/>
        </w:rPr>
        <w:t xml:space="preserve"> as identified in the 2008 </w:t>
      </w:r>
      <w:r w:rsidR="007C1F59">
        <w:rPr>
          <w:rFonts w:cs="Times New Roman"/>
          <w:szCs w:val="24"/>
        </w:rPr>
        <w:t xml:space="preserve">Form </w:t>
      </w:r>
      <w:r w:rsidRPr="00340F80">
        <w:rPr>
          <w:rFonts w:cs="Times New Roman"/>
          <w:szCs w:val="24"/>
        </w:rPr>
        <w:t>EIA-782A survey.</w:t>
      </w:r>
    </w:p>
    <w:p w14:paraId="38E31BCC" w14:textId="77777777" w:rsidR="0079037F" w:rsidRPr="00340F80" w:rsidRDefault="0079037F" w:rsidP="00076175">
      <w:pPr>
        <w:numPr>
          <w:ilvl w:val="0"/>
          <w:numId w:val="14"/>
        </w:numPr>
        <w:tabs>
          <w:tab w:val="clear" w:pos="720"/>
          <w:tab w:val="num" w:pos="576"/>
          <w:tab w:val="num" w:pos="1260"/>
        </w:tabs>
        <w:spacing w:after="0" w:line="360" w:lineRule="auto"/>
        <w:ind w:left="1116"/>
        <w:rPr>
          <w:rFonts w:cs="Times New Roman"/>
          <w:szCs w:val="24"/>
        </w:rPr>
      </w:pPr>
      <w:r w:rsidRPr="00340F80">
        <w:rPr>
          <w:rFonts w:cs="Times New Roman"/>
          <w:szCs w:val="24"/>
        </w:rPr>
        <w:t>The</w:t>
      </w:r>
      <w:r w:rsidRPr="00340F80">
        <w:rPr>
          <w:rFonts w:cs="Times New Roman"/>
          <w:spacing w:val="-2"/>
          <w:szCs w:val="24"/>
        </w:rPr>
        <w:t xml:space="preserve"> company had residual fuel oil sales.</w:t>
      </w:r>
    </w:p>
    <w:p w14:paraId="7BAE2DD5" w14:textId="77777777" w:rsidR="0079037F" w:rsidRPr="00340F80" w:rsidRDefault="0079037F" w:rsidP="00076175">
      <w:pPr>
        <w:numPr>
          <w:ilvl w:val="0"/>
          <w:numId w:val="14"/>
        </w:numPr>
        <w:tabs>
          <w:tab w:val="clear" w:pos="720"/>
          <w:tab w:val="num" w:pos="576"/>
          <w:tab w:val="num" w:pos="1260"/>
        </w:tabs>
        <w:spacing w:after="0" w:line="360" w:lineRule="auto"/>
        <w:ind w:left="1116"/>
        <w:rPr>
          <w:rFonts w:cs="Times New Roman"/>
          <w:szCs w:val="24"/>
        </w:rPr>
      </w:pPr>
      <w:r w:rsidRPr="00340F80">
        <w:rPr>
          <w:rFonts w:cs="Times New Roman"/>
          <w:spacing w:val="-2"/>
          <w:szCs w:val="24"/>
        </w:rPr>
        <w:t xml:space="preserve">The company sold any </w:t>
      </w:r>
      <w:r w:rsidR="007C1F59">
        <w:rPr>
          <w:rFonts w:cs="Times New Roman"/>
          <w:spacing w:val="-2"/>
          <w:szCs w:val="24"/>
        </w:rPr>
        <w:t xml:space="preserve">Form </w:t>
      </w:r>
      <w:r w:rsidRPr="00340F80">
        <w:rPr>
          <w:rFonts w:cs="Times New Roman"/>
          <w:spacing w:val="-2"/>
          <w:szCs w:val="24"/>
        </w:rPr>
        <w:t xml:space="preserve">EIA-821 product in at least five </w:t>
      </w:r>
      <w:r>
        <w:rPr>
          <w:rFonts w:cs="Times New Roman"/>
          <w:spacing w:val="-2"/>
          <w:szCs w:val="24"/>
        </w:rPr>
        <w:t>s</w:t>
      </w:r>
      <w:r w:rsidRPr="00340F80">
        <w:rPr>
          <w:rFonts w:cs="Times New Roman"/>
          <w:spacing w:val="-2"/>
          <w:szCs w:val="24"/>
        </w:rPr>
        <w:t>tates.</w:t>
      </w:r>
    </w:p>
    <w:p w14:paraId="64214494" w14:textId="77777777" w:rsidR="0079037F" w:rsidRPr="00340F80" w:rsidRDefault="0079037F" w:rsidP="00076175">
      <w:pPr>
        <w:numPr>
          <w:ilvl w:val="0"/>
          <w:numId w:val="14"/>
        </w:numPr>
        <w:tabs>
          <w:tab w:val="clear" w:pos="720"/>
          <w:tab w:val="num" w:pos="576"/>
          <w:tab w:val="num" w:pos="1260"/>
        </w:tabs>
        <w:spacing w:after="0" w:line="360" w:lineRule="auto"/>
        <w:ind w:left="1116"/>
        <w:rPr>
          <w:rFonts w:cs="Times New Roman"/>
          <w:szCs w:val="24"/>
        </w:rPr>
      </w:pPr>
      <w:r w:rsidRPr="00340F80">
        <w:rPr>
          <w:rFonts w:cs="Times New Roman"/>
          <w:spacing w:val="-2"/>
          <w:szCs w:val="24"/>
        </w:rPr>
        <w:t xml:space="preserve">The sum of maximum percentage of the four distillate products at the </w:t>
      </w:r>
      <w:r>
        <w:rPr>
          <w:rFonts w:cs="Times New Roman"/>
          <w:spacing w:val="-2"/>
          <w:szCs w:val="24"/>
        </w:rPr>
        <w:t>s</w:t>
      </w:r>
      <w:r w:rsidRPr="00340F80">
        <w:rPr>
          <w:rFonts w:cs="Times New Roman"/>
          <w:spacing w:val="-2"/>
          <w:szCs w:val="24"/>
        </w:rPr>
        <w:t xml:space="preserve">tate level across </w:t>
      </w:r>
      <w:r>
        <w:rPr>
          <w:rFonts w:cs="Times New Roman"/>
          <w:spacing w:val="-2"/>
          <w:szCs w:val="24"/>
        </w:rPr>
        <w:t>s</w:t>
      </w:r>
      <w:r w:rsidRPr="00340F80">
        <w:rPr>
          <w:rFonts w:cs="Times New Roman"/>
          <w:spacing w:val="-2"/>
          <w:szCs w:val="24"/>
        </w:rPr>
        <w:t>tates was five percent or more.</w:t>
      </w:r>
    </w:p>
    <w:p w14:paraId="6B50D9E0" w14:textId="77777777" w:rsidR="0079037F" w:rsidRPr="00512577" w:rsidRDefault="0079037F" w:rsidP="00076175">
      <w:pPr>
        <w:numPr>
          <w:ilvl w:val="0"/>
          <w:numId w:val="14"/>
        </w:numPr>
        <w:tabs>
          <w:tab w:val="clear" w:pos="720"/>
          <w:tab w:val="num" w:pos="576"/>
          <w:tab w:val="num" w:pos="1260"/>
        </w:tabs>
        <w:spacing w:after="0" w:line="360" w:lineRule="auto"/>
        <w:ind w:left="1116"/>
        <w:rPr>
          <w:rFonts w:cs="Times New Roman"/>
          <w:szCs w:val="24"/>
        </w:rPr>
      </w:pPr>
      <w:r w:rsidRPr="00340F80">
        <w:rPr>
          <w:rFonts w:cs="Times New Roman"/>
          <w:szCs w:val="24"/>
        </w:rPr>
        <w:t xml:space="preserve">The company reported over five percent of the total weighted volume in any </w:t>
      </w:r>
      <w:r>
        <w:rPr>
          <w:rFonts w:cs="Times New Roman"/>
          <w:szCs w:val="24"/>
        </w:rPr>
        <w:t>s</w:t>
      </w:r>
      <w:r w:rsidRPr="00340F80">
        <w:rPr>
          <w:rFonts w:cs="Times New Roman"/>
          <w:szCs w:val="24"/>
        </w:rPr>
        <w:t xml:space="preserve">tate for any specified product by end-use category in the 2008 </w:t>
      </w:r>
      <w:r w:rsidR="007C1F59">
        <w:rPr>
          <w:rFonts w:cs="Times New Roman"/>
          <w:szCs w:val="24"/>
        </w:rPr>
        <w:t xml:space="preserve">Form </w:t>
      </w:r>
      <w:r w:rsidRPr="00340F80">
        <w:rPr>
          <w:rFonts w:cs="Times New Roman"/>
          <w:szCs w:val="24"/>
        </w:rPr>
        <w:t>EIA-821 survey</w:t>
      </w:r>
      <w:r w:rsidRPr="00340F80">
        <w:rPr>
          <w:rFonts w:cs="Times New Roman"/>
          <w:spacing w:val="-2"/>
          <w:szCs w:val="24"/>
        </w:rPr>
        <w:t>.</w:t>
      </w:r>
    </w:p>
    <w:p w14:paraId="17C346BC" w14:textId="77777777" w:rsidR="0079037F" w:rsidRDefault="0079037F" w:rsidP="0079037F">
      <w:pPr>
        <w:tabs>
          <w:tab w:val="num" w:pos="1260"/>
        </w:tabs>
        <w:spacing w:after="0" w:line="360" w:lineRule="auto"/>
        <w:ind w:left="576"/>
        <w:rPr>
          <w:rFonts w:cs="Times New Roman"/>
          <w:szCs w:val="24"/>
        </w:rPr>
      </w:pPr>
    </w:p>
    <w:p w14:paraId="397D648D" w14:textId="77777777" w:rsidR="003A06C9" w:rsidRDefault="0079037F" w:rsidP="00BB5A69">
      <w:pPr>
        <w:spacing w:after="0" w:line="360" w:lineRule="auto"/>
        <w:ind w:left="360"/>
        <w:rPr>
          <w:rFonts w:cs="Times New Roman"/>
          <w:szCs w:val="24"/>
        </w:rPr>
      </w:pPr>
      <w:r w:rsidRPr="00512577">
        <w:rPr>
          <w:rFonts w:cs="Times New Roman"/>
          <w:szCs w:val="24"/>
        </w:rPr>
        <w:t>A systematic probability proportional to size design (PPS) was used to sample noncertainty companies.</w:t>
      </w:r>
      <w:r>
        <w:rPr>
          <w:rFonts w:cs="Times New Roman"/>
          <w:szCs w:val="24"/>
        </w:rPr>
        <w:t xml:space="preserve"> </w:t>
      </w:r>
      <w:r w:rsidRPr="00512577">
        <w:rPr>
          <w:rFonts w:cs="Times New Roman"/>
          <w:szCs w:val="24"/>
        </w:rPr>
        <w:t>Company</w:t>
      </w:r>
      <w:r>
        <w:rPr>
          <w:rFonts w:cs="Times New Roman"/>
          <w:szCs w:val="24"/>
        </w:rPr>
        <w:t xml:space="preserve"> </w:t>
      </w:r>
      <w:r w:rsidRPr="00512577">
        <w:rPr>
          <w:rFonts w:cs="Times New Roman"/>
          <w:szCs w:val="24"/>
        </w:rPr>
        <w:t>State Units (CSUs) were the sampling units.</w:t>
      </w:r>
      <w:r>
        <w:rPr>
          <w:rFonts w:cs="Times New Roman"/>
          <w:szCs w:val="24"/>
        </w:rPr>
        <w:t xml:space="preserve"> </w:t>
      </w:r>
      <w:r w:rsidRPr="00512577">
        <w:rPr>
          <w:rFonts w:cs="Times New Roman"/>
          <w:szCs w:val="24"/>
        </w:rPr>
        <w:t>A CSU selected by the sampling procedure was referred as a “basic” CSU.</w:t>
      </w:r>
      <w:r>
        <w:rPr>
          <w:rFonts w:cs="Times New Roman"/>
          <w:szCs w:val="24"/>
        </w:rPr>
        <w:t xml:space="preserve"> </w:t>
      </w:r>
      <w:r w:rsidRPr="00512577">
        <w:rPr>
          <w:rFonts w:cs="Times New Roman"/>
          <w:szCs w:val="24"/>
        </w:rPr>
        <w:t>A company was included in the sample if it had at least one “basic” CSU.</w:t>
      </w:r>
      <w:r>
        <w:rPr>
          <w:rFonts w:cs="Times New Roman"/>
          <w:szCs w:val="24"/>
        </w:rPr>
        <w:t xml:space="preserve"> </w:t>
      </w:r>
      <w:r w:rsidRPr="00512577">
        <w:rPr>
          <w:rFonts w:cs="Times New Roman"/>
          <w:szCs w:val="24"/>
        </w:rPr>
        <w:t>All non-“basic” CSUs of a sampled company were referred as “volunteer” CSUs.</w:t>
      </w:r>
    </w:p>
    <w:p w14:paraId="1A874F4A" w14:textId="77777777" w:rsidR="0079037F" w:rsidRPr="00512577" w:rsidRDefault="0079037F" w:rsidP="003A06C9">
      <w:pPr>
        <w:tabs>
          <w:tab w:val="num" w:pos="1260"/>
        </w:tabs>
        <w:spacing w:after="0" w:line="360" w:lineRule="auto"/>
        <w:rPr>
          <w:rFonts w:cs="Times New Roman"/>
          <w:szCs w:val="24"/>
        </w:rPr>
      </w:pPr>
      <w:r w:rsidRPr="00512577">
        <w:rPr>
          <w:rFonts w:cs="Times New Roman"/>
          <w:szCs w:val="24"/>
        </w:rPr>
        <w:t xml:space="preserve"> </w:t>
      </w:r>
    </w:p>
    <w:p w14:paraId="53F98A18" w14:textId="77777777" w:rsidR="0079037F" w:rsidRDefault="0079037F" w:rsidP="00BB5A69">
      <w:pPr>
        <w:spacing w:line="360" w:lineRule="auto"/>
        <w:ind w:left="360"/>
        <w:rPr>
          <w:rFonts w:cs="Times New Roman"/>
          <w:szCs w:val="24"/>
        </w:rPr>
      </w:pPr>
      <w:r w:rsidRPr="00340F80">
        <w:rPr>
          <w:rFonts w:cs="Times New Roman"/>
          <w:szCs w:val="24"/>
        </w:rPr>
        <w:t xml:space="preserve">In each </w:t>
      </w:r>
      <w:r>
        <w:rPr>
          <w:rFonts w:cs="Times New Roman"/>
          <w:szCs w:val="24"/>
        </w:rPr>
        <w:t>s</w:t>
      </w:r>
      <w:r w:rsidRPr="00340F80">
        <w:rPr>
          <w:rFonts w:cs="Times New Roman"/>
          <w:szCs w:val="24"/>
        </w:rPr>
        <w:t>tate, the Dalenius-Hodges procedure was used to stratify CSUs, with each of the four target distillate variables, into zero, low, medium, and high volume four strata.</w:t>
      </w:r>
      <w:r>
        <w:rPr>
          <w:rFonts w:cs="Times New Roman"/>
          <w:szCs w:val="24"/>
        </w:rPr>
        <w:t xml:space="preserve"> </w:t>
      </w:r>
      <w:r w:rsidRPr="00340F80">
        <w:rPr>
          <w:rFonts w:cs="Times New Roman"/>
          <w:szCs w:val="24"/>
        </w:rPr>
        <w:t>Neyman allocation was used to obtain the sample size for each stratum to meet target coefficient of variation of five percent.</w:t>
      </w:r>
      <w:r>
        <w:rPr>
          <w:rFonts w:cs="Times New Roman"/>
          <w:szCs w:val="24"/>
        </w:rPr>
        <w:t xml:space="preserve"> </w:t>
      </w:r>
      <w:r w:rsidRPr="00340F80">
        <w:rPr>
          <w:rFonts w:cs="Times New Roman"/>
          <w:szCs w:val="24"/>
        </w:rPr>
        <w:t>The population of CSUs was divided into mutually exclusive cells by crossing the four stratifications such that every CSU in a particular cell was in the same stratum for each of the four stratifications.</w:t>
      </w:r>
      <w:r>
        <w:rPr>
          <w:rFonts w:cs="Times New Roman"/>
          <w:szCs w:val="24"/>
        </w:rPr>
        <w:t xml:space="preserve"> </w:t>
      </w:r>
      <w:r w:rsidRPr="00340F80">
        <w:rPr>
          <w:rFonts w:cs="Times New Roman"/>
          <w:szCs w:val="24"/>
        </w:rPr>
        <w:t>Each CSU was assigned a probability of selection, which was the largest sample proportion across all four stratifications.</w:t>
      </w:r>
      <w:r>
        <w:rPr>
          <w:rFonts w:cs="Times New Roman"/>
          <w:szCs w:val="24"/>
        </w:rPr>
        <w:t xml:space="preserve"> </w:t>
      </w:r>
      <w:r w:rsidRPr="00340F80">
        <w:rPr>
          <w:rFonts w:cs="Times New Roman"/>
          <w:szCs w:val="24"/>
        </w:rPr>
        <w:t>All CSUs within a cell had the same probability of selection.</w:t>
      </w:r>
      <w:r>
        <w:rPr>
          <w:rFonts w:cs="Times New Roman"/>
          <w:szCs w:val="24"/>
        </w:rPr>
        <w:t xml:space="preserve"> </w:t>
      </w:r>
      <w:r w:rsidRPr="00340F80">
        <w:rPr>
          <w:rFonts w:cs="Times New Roman"/>
          <w:szCs w:val="24"/>
        </w:rPr>
        <w:t xml:space="preserve">A systematic PPS sample of CSUs was then drawn for the </w:t>
      </w:r>
      <w:r>
        <w:rPr>
          <w:rFonts w:cs="Times New Roman"/>
          <w:szCs w:val="24"/>
        </w:rPr>
        <w:t>s</w:t>
      </w:r>
      <w:r w:rsidRPr="00340F80">
        <w:rPr>
          <w:rFonts w:cs="Times New Roman"/>
          <w:szCs w:val="24"/>
        </w:rPr>
        <w:t>tate.</w:t>
      </w:r>
    </w:p>
    <w:p w14:paraId="04AB3786" w14:textId="77777777" w:rsidR="0079037F" w:rsidRPr="00340F80" w:rsidRDefault="0079037F" w:rsidP="00BB5A69">
      <w:pPr>
        <w:spacing w:line="360" w:lineRule="auto"/>
        <w:ind w:left="360"/>
        <w:rPr>
          <w:rFonts w:cs="Times New Roman"/>
          <w:szCs w:val="24"/>
        </w:rPr>
      </w:pPr>
      <w:r w:rsidRPr="00340F80">
        <w:rPr>
          <w:rFonts w:cs="Times New Roman"/>
          <w:szCs w:val="24"/>
        </w:rPr>
        <w:t>This design produced a final sample of approximately 4,000 companies.</w:t>
      </w:r>
      <w:r>
        <w:rPr>
          <w:rFonts w:cs="Times New Roman"/>
          <w:szCs w:val="24"/>
        </w:rPr>
        <w:t xml:space="preserve"> </w:t>
      </w:r>
      <w:r w:rsidRPr="00340F80">
        <w:rPr>
          <w:rFonts w:cs="Times New Roman"/>
          <w:szCs w:val="24"/>
        </w:rPr>
        <w:t>Selected companies were asked to report sales by end-use categories for distillate fuel, residual fuel oil, and kerosene.</w:t>
      </w:r>
    </w:p>
    <w:p w14:paraId="377DD0DE" w14:textId="77777777" w:rsidR="0079037F" w:rsidRPr="00E26412" w:rsidRDefault="0079037F" w:rsidP="007C1F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hanging="1440"/>
        <w:rPr>
          <w:rFonts w:cs="Times New Roman"/>
          <w:color w:val="000000"/>
          <w:szCs w:val="24"/>
        </w:rPr>
      </w:pPr>
      <w:r>
        <w:rPr>
          <w:rFonts w:ascii="Times New Roman" w:hAnsi="Times New Roman" w:cs="Times New Roman"/>
          <w:color w:val="000000"/>
          <w:sz w:val="24"/>
          <w:szCs w:val="24"/>
        </w:rPr>
        <w:t xml:space="preserve"> </w:t>
      </w:r>
      <w:r w:rsidRPr="00D735D2">
        <w:rPr>
          <w:rFonts w:ascii="Times New Roman" w:hAnsi="Times New Roman" w:cs="Times New Roman"/>
          <w:color w:val="000000"/>
          <w:sz w:val="24"/>
          <w:szCs w:val="24"/>
        </w:rPr>
        <w:t xml:space="preserve"> </w:t>
      </w:r>
      <w:r w:rsidRPr="00D735D2">
        <w:rPr>
          <w:rFonts w:ascii="Times New Roman" w:hAnsi="Times New Roman" w:cs="Times New Roman"/>
          <w:color w:val="000000"/>
          <w:sz w:val="24"/>
          <w:szCs w:val="24"/>
        </w:rPr>
        <w:tab/>
      </w:r>
      <w:r w:rsidR="007C1F59" w:rsidRPr="00C722B2">
        <w:rPr>
          <w:rFonts w:cs="Times New Roman"/>
          <w:b/>
          <w:i/>
          <w:color w:val="000000"/>
        </w:rPr>
        <w:t xml:space="preserve">Form </w:t>
      </w:r>
      <w:r w:rsidRPr="00063077">
        <w:rPr>
          <w:rFonts w:cs="Times New Roman"/>
          <w:b/>
          <w:i/>
          <w:color w:val="000000"/>
          <w:szCs w:val="24"/>
        </w:rPr>
        <w:t>EIA-821</w:t>
      </w:r>
      <w:r w:rsidRPr="00063077">
        <w:rPr>
          <w:rFonts w:cs="Times New Roman"/>
          <w:b/>
          <w:color w:val="000000"/>
          <w:szCs w:val="24"/>
        </w:rPr>
        <w:t xml:space="preserve"> </w:t>
      </w:r>
      <w:r w:rsidRPr="00063077">
        <w:rPr>
          <w:rFonts w:cs="Times New Roman"/>
          <w:b/>
          <w:i/>
          <w:color w:val="000000"/>
          <w:szCs w:val="24"/>
        </w:rPr>
        <w:t>Estimation:</w:t>
      </w:r>
      <w:r>
        <w:rPr>
          <w:rFonts w:cs="Times New Roman"/>
          <w:color w:val="000000"/>
          <w:szCs w:val="24"/>
        </w:rPr>
        <w:t xml:space="preserve"> </w:t>
      </w:r>
      <w:r w:rsidRPr="00E26412">
        <w:rPr>
          <w:rFonts w:cs="Times New Roman"/>
          <w:color w:val="000000"/>
          <w:szCs w:val="24"/>
        </w:rPr>
        <w:t>For obtaining total estimates of volume, the adjusted probability estimator is used.</w:t>
      </w:r>
      <w:r>
        <w:rPr>
          <w:rFonts w:cs="Times New Roman"/>
          <w:color w:val="000000"/>
          <w:szCs w:val="24"/>
        </w:rPr>
        <w:t xml:space="preserve"> </w:t>
      </w:r>
      <w:r w:rsidRPr="00E26412">
        <w:rPr>
          <w:rFonts w:cs="Times New Roman"/>
          <w:color w:val="000000"/>
          <w:szCs w:val="24"/>
        </w:rPr>
        <w:t>This estimator, the sum of the weighted volumes, is defined as follows:</w:t>
      </w:r>
    </w:p>
    <w:p w14:paraId="70C2AF89" w14:textId="77777777" w:rsidR="0079037F" w:rsidRPr="00637328" w:rsidRDefault="0079037F" w:rsidP="0079037F">
      <w:pPr>
        <w:ind w:firstLine="576"/>
        <w:rPr>
          <w:rFonts w:cs="Times New Roman"/>
          <w:color w:val="000000"/>
        </w:rPr>
      </w:pPr>
      <w:r w:rsidRPr="009A7BF4">
        <w:rPr>
          <w:rFonts w:ascii="Cambria Math" w:hAnsi="Cambria Math" w:cs="Times New Roman"/>
          <w:color w:val="000000"/>
          <w:sz w:val="24"/>
          <w:szCs w:val="24"/>
        </w:rPr>
        <w:t>V</w:t>
      </w:r>
      <w:r>
        <w:rPr>
          <w:rFonts w:ascii="Cambria Math" w:hAnsi="Cambria Math" w:cs="Times New Roman"/>
          <w:color w:val="000000"/>
          <w:sz w:val="24"/>
          <w:szCs w:val="24"/>
        </w:rPr>
        <w:t xml:space="preserve">  </w:t>
      </w:r>
      <w:r w:rsidRPr="009A7BF4">
        <w:rPr>
          <w:rFonts w:ascii="Cambria Math" w:hAnsi="Cambria Math" w:cs="Times New Roman"/>
          <w:color w:val="000000"/>
          <w:sz w:val="24"/>
          <w:szCs w:val="24"/>
        </w:rPr>
        <w:t xml:space="preserve"> =</w:t>
      </w:r>
      <w:r>
        <w:rPr>
          <w:rFonts w:ascii="Cambria Math" w:hAnsi="Cambria Math" w:cs="Times New Roman"/>
          <w:color w:val="000000"/>
          <w:sz w:val="24"/>
          <w:szCs w:val="24"/>
        </w:rPr>
        <w:t xml:space="preserve"> </w:t>
      </w:r>
      <w:r w:rsidRPr="009A7BF4">
        <w:rPr>
          <w:rFonts w:ascii="Cambria Math" w:hAnsi="Cambria Math" w:cs="Times New Roman"/>
          <w:color w:val="000000"/>
          <w:sz w:val="24"/>
          <w:szCs w:val="24"/>
        </w:rPr>
        <w:t>Σ</w:t>
      </w:r>
      <w:r w:rsidRPr="009A7BF4">
        <w:rPr>
          <w:rFonts w:ascii="Cambria Math" w:hAnsi="Cambria Math" w:cs="Times New Roman"/>
          <w:color w:val="000000"/>
          <w:sz w:val="24"/>
          <w:szCs w:val="24"/>
          <w:vertAlign w:val="subscript"/>
        </w:rPr>
        <w:t>h</w:t>
      </w:r>
      <w:r w:rsidRPr="009A7BF4">
        <w:rPr>
          <w:rFonts w:ascii="Cambria Math" w:hAnsi="Cambria Math" w:cs="Times New Roman"/>
          <w:color w:val="000000"/>
          <w:sz w:val="24"/>
          <w:szCs w:val="24"/>
        </w:rPr>
        <w:t xml:space="preserve"> (Σ</w:t>
      </w:r>
      <w:r w:rsidRPr="009A7BF4">
        <w:rPr>
          <w:rFonts w:ascii="Cambria Math" w:hAnsi="Cambria Math" w:cs="Times New Roman"/>
          <w:color w:val="000000"/>
          <w:sz w:val="24"/>
          <w:szCs w:val="24"/>
          <w:vertAlign w:val="subscript"/>
        </w:rPr>
        <w:t>i</w:t>
      </w:r>
      <w:r w:rsidRPr="009A7BF4">
        <w:rPr>
          <w:rFonts w:ascii="Cambria Math" w:hAnsi="Cambria Math" w:cs="Times New Roman"/>
          <w:color w:val="000000"/>
          <w:sz w:val="24"/>
          <w:szCs w:val="24"/>
        </w:rPr>
        <w:t>W</w:t>
      </w:r>
      <w:r w:rsidRPr="009A7BF4">
        <w:rPr>
          <w:rFonts w:ascii="Cambria Math" w:hAnsi="Cambria Math" w:cs="Times New Roman"/>
          <w:color w:val="000000"/>
          <w:sz w:val="24"/>
          <w:szCs w:val="24"/>
          <w:vertAlign w:val="subscript"/>
        </w:rPr>
        <w:t>ih</w:t>
      </w:r>
      <w:r w:rsidRPr="009A7BF4">
        <w:rPr>
          <w:rFonts w:ascii="Cambria Math" w:hAnsi="Cambria Math" w:cs="Times New Roman"/>
          <w:color w:val="000000"/>
          <w:sz w:val="24"/>
          <w:szCs w:val="24"/>
        </w:rPr>
        <w:t>V</w:t>
      </w:r>
      <w:r w:rsidRPr="009A7BF4">
        <w:rPr>
          <w:rFonts w:ascii="Cambria Math" w:hAnsi="Cambria Math" w:cs="Times New Roman"/>
          <w:color w:val="000000"/>
          <w:sz w:val="24"/>
          <w:szCs w:val="24"/>
          <w:vertAlign w:val="subscript"/>
        </w:rPr>
        <w:t>ih</w:t>
      </w:r>
      <w:r w:rsidRPr="009A7BF4">
        <w:rPr>
          <w:rFonts w:ascii="Cambria Math" w:hAnsi="Cambria Math" w:cs="Times New Roman"/>
          <w:color w:val="000000"/>
          <w:sz w:val="24"/>
          <w:szCs w:val="24"/>
        </w:rPr>
        <w:t>),</w:t>
      </w:r>
      <w:r w:rsidRPr="00637328">
        <w:rPr>
          <w:rFonts w:cs="Times New Roman"/>
          <w:color w:val="000000"/>
        </w:rPr>
        <w:t xml:space="preserve"> where:</w:t>
      </w:r>
    </w:p>
    <w:p w14:paraId="77D50145" w14:textId="77777777" w:rsidR="0079037F" w:rsidRPr="00E26412"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9A7BF4">
        <w:rPr>
          <w:rFonts w:ascii="Cambria Math" w:hAnsi="Cambria Math" w:cs="Times New Roman"/>
          <w:color w:val="000000"/>
          <w:sz w:val="24"/>
          <w:szCs w:val="24"/>
        </w:rPr>
        <w:t>V</w:t>
      </w:r>
      <w:r>
        <w:rPr>
          <w:rFonts w:cs="Times New Roman"/>
          <w:color w:val="000000"/>
          <w:szCs w:val="24"/>
        </w:rPr>
        <w:t xml:space="preserve">  </w:t>
      </w:r>
      <w:r w:rsidRPr="00E26412">
        <w:rPr>
          <w:rFonts w:cs="Times New Roman"/>
          <w:color w:val="000000"/>
          <w:szCs w:val="24"/>
        </w:rPr>
        <w:t xml:space="preserve"> =</w:t>
      </w:r>
      <w:r>
        <w:rPr>
          <w:rFonts w:cs="Times New Roman"/>
          <w:color w:val="000000"/>
          <w:szCs w:val="24"/>
        </w:rPr>
        <w:t xml:space="preserve"> </w:t>
      </w:r>
      <w:r w:rsidRPr="00E26412">
        <w:rPr>
          <w:rFonts w:cs="Times New Roman"/>
          <w:color w:val="000000"/>
          <w:szCs w:val="24"/>
        </w:rPr>
        <w:t>total estimated volume,</w:t>
      </w:r>
    </w:p>
    <w:p w14:paraId="419EA07D" w14:textId="77777777" w:rsidR="0079037F" w:rsidRPr="00E26412"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9A7BF4">
        <w:rPr>
          <w:rFonts w:ascii="Cambria Math" w:hAnsi="Cambria Math" w:cs="Times New Roman"/>
          <w:color w:val="000000"/>
          <w:sz w:val="24"/>
          <w:szCs w:val="24"/>
        </w:rPr>
        <w:t>Σ</w:t>
      </w:r>
      <w:r w:rsidRPr="009A7BF4">
        <w:rPr>
          <w:rFonts w:ascii="Cambria Math" w:hAnsi="Cambria Math" w:cs="Times New Roman"/>
          <w:color w:val="000000"/>
          <w:sz w:val="24"/>
          <w:szCs w:val="24"/>
          <w:vertAlign w:val="subscript"/>
        </w:rPr>
        <w:t>h</w:t>
      </w:r>
      <w:r>
        <w:rPr>
          <w:rFonts w:cs="Times New Roman"/>
          <w:color w:val="000000"/>
          <w:szCs w:val="24"/>
        </w:rPr>
        <w:t xml:space="preserve">  </w:t>
      </w:r>
      <w:r w:rsidRPr="00E26412">
        <w:rPr>
          <w:rFonts w:cs="Times New Roman"/>
          <w:color w:val="000000"/>
          <w:szCs w:val="24"/>
        </w:rPr>
        <w:t>=</w:t>
      </w:r>
      <w:r>
        <w:rPr>
          <w:rFonts w:cs="Times New Roman"/>
          <w:color w:val="000000"/>
          <w:szCs w:val="24"/>
        </w:rPr>
        <w:t xml:space="preserve"> </w:t>
      </w:r>
      <w:r w:rsidRPr="00E26412">
        <w:rPr>
          <w:rFonts w:cs="Times New Roman"/>
          <w:color w:val="000000"/>
          <w:szCs w:val="24"/>
        </w:rPr>
        <w:t>summation over strata,</w:t>
      </w:r>
    </w:p>
    <w:p w14:paraId="7D7FAEF4" w14:textId="77777777" w:rsidR="0079037F" w:rsidRPr="00E26412"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9A7BF4">
        <w:rPr>
          <w:rFonts w:ascii="Cambria Math" w:hAnsi="Cambria Math" w:cs="Times New Roman"/>
          <w:color w:val="000000"/>
          <w:sz w:val="24"/>
          <w:szCs w:val="24"/>
        </w:rPr>
        <w:t>Σ</w:t>
      </w:r>
      <w:r w:rsidRPr="009A7BF4">
        <w:rPr>
          <w:rFonts w:ascii="Cambria Math" w:hAnsi="Cambria Math" w:cs="Times New Roman"/>
          <w:color w:val="000000"/>
          <w:sz w:val="24"/>
          <w:szCs w:val="24"/>
          <w:vertAlign w:val="subscript"/>
        </w:rPr>
        <w:t>i</w:t>
      </w:r>
      <w:r>
        <w:rPr>
          <w:rFonts w:cs="Times New Roman"/>
          <w:color w:val="000000"/>
          <w:szCs w:val="24"/>
        </w:rPr>
        <w:t xml:space="preserve">  </w:t>
      </w:r>
      <w:r w:rsidRPr="00E26412">
        <w:rPr>
          <w:rFonts w:cs="Times New Roman"/>
          <w:color w:val="000000"/>
          <w:szCs w:val="24"/>
        </w:rPr>
        <w:t xml:space="preserve"> =</w:t>
      </w:r>
      <w:r>
        <w:rPr>
          <w:rFonts w:cs="Times New Roman"/>
          <w:color w:val="000000"/>
          <w:szCs w:val="24"/>
        </w:rPr>
        <w:t xml:space="preserve"> </w:t>
      </w:r>
      <w:r w:rsidRPr="00E26412">
        <w:rPr>
          <w:rFonts w:cs="Times New Roman"/>
          <w:color w:val="000000"/>
          <w:szCs w:val="24"/>
        </w:rPr>
        <w:t>summation over units within stratum h,</w:t>
      </w:r>
    </w:p>
    <w:p w14:paraId="2667B4CA" w14:textId="77777777" w:rsidR="0079037F" w:rsidRPr="00E26412"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9A7BF4">
        <w:rPr>
          <w:rFonts w:ascii="Cambria Math" w:hAnsi="Cambria Math" w:cs="Times New Roman"/>
          <w:color w:val="000000"/>
          <w:sz w:val="24"/>
          <w:szCs w:val="24"/>
        </w:rPr>
        <w:t>W</w:t>
      </w:r>
      <w:r w:rsidRPr="009A7BF4">
        <w:rPr>
          <w:rFonts w:ascii="Cambria Math" w:hAnsi="Cambria Math" w:cs="Times New Roman"/>
          <w:color w:val="000000"/>
          <w:sz w:val="24"/>
          <w:szCs w:val="24"/>
          <w:vertAlign w:val="subscript"/>
        </w:rPr>
        <w:t>ih</w:t>
      </w:r>
      <w:r>
        <w:rPr>
          <w:rFonts w:cs="Times New Roman"/>
          <w:color w:val="000000"/>
          <w:szCs w:val="24"/>
        </w:rPr>
        <w:t xml:space="preserve"> </w:t>
      </w:r>
      <w:r w:rsidRPr="00E26412">
        <w:rPr>
          <w:rFonts w:cs="Times New Roman"/>
          <w:color w:val="000000"/>
          <w:szCs w:val="24"/>
        </w:rPr>
        <w:t>=</w:t>
      </w:r>
      <w:r>
        <w:rPr>
          <w:rFonts w:cs="Times New Roman"/>
          <w:color w:val="000000"/>
          <w:szCs w:val="24"/>
        </w:rPr>
        <w:t xml:space="preserve"> </w:t>
      </w:r>
      <w:r w:rsidRPr="00E26412">
        <w:rPr>
          <w:rFonts w:cs="Times New Roman"/>
          <w:color w:val="000000"/>
          <w:szCs w:val="24"/>
        </w:rPr>
        <w:t>weight attached to unit i in stratum h</w:t>
      </w:r>
      <w:r>
        <w:rPr>
          <w:rFonts w:cs="Times New Roman"/>
          <w:color w:val="000000"/>
          <w:szCs w:val="24"/>
        </w:rPr>
        <w:t xml:space="preserve"> </w:t>
      </w:r>
    </w:p>
    <w:p w14:paraId="738F5D75" w14:textId="77777777" w:rsidR="0079037F" w:rsidRPr="00E26412" w:rsidRDefault="0079037F" w:rsidP="000355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E26412">
        <w:rPr>
          <w:rFonts w:cs="Times New Roman"/>
          <w:color w:val="000000"/>
          <w:szCs w:val="24"/>
        </w:rPr>
        <w:t>(the reciprocal of the probability of selection, P</w:t>
      </w:r>
      <w:r w:rsidRPr="00E26412">
        <w:rPr>
          <w:rFonts w:cs="Times New Roman"/>
          <w:color w:val="000000"/>
          <w:szCs w:val="24"/>
          <w:vertAlign w:val="subscript"/>
        </w:rPr>
        <w:t>ih</w:t>
      </w:r>
      <w:r w:rsidRPr="00E26412">
        <w:rPr>
          <w:rFonts w:cs="Times New Roman"/>
          <w:color w:val="000000"/>
          <w:szCs w:val="24"/>
        </w:rPr>
        <w:t>, for that unit), and</w:t>
      </w:r>
    </w:p>
    <w:p w14:paraId="5E01348F" w14:textId="77777777" w:rsidR="0079037F" w:rsidRPr="00E26412"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Cs w:val="24"/>
        </w:rPr>
      </w:pPr>
      <w:r w:rsidRPr="009A7BF4">
        <w:rPr>
          <w:rFonts w:ascii="Cambria Math" w:hAnsi="Cambria Math" w:cs="Times New Roman"/>
          <w:color w:val="000000"/>
          <w:sz w:val="24"/>
          <w:szCs w:val="24"/>
        </w:rPr>
        <w:t>V</w:t>
      </w:r>
      <w:r w:rsidRPr="009A7BF4">
        <w:rPr>
          <w:rFonts w:ascii="Cambria Math" w:hAnsi="Cambria Math" w:cs="Times New Roman"/>
          <w:color w:val="000000"/>
          <w:sz w:val="24"/>
          <w:szCs w:val="24"/>
          <w:vertAlign w:val="subscript"/>
        </w:rPr>
        <w:t>ih</w:t>
      </w:r>
      <w:r>
        <w:rPr>
          <w:rFonts w:cs="Times New Roman"/>
          <w:color w:val="000000"/>
          <w:szCs w:val="24"/>
        </w:rPr>
        <w:t xml:space="preserve"> </w:t>
      </w:r>
      <w:r w:rsidRPr="00E26412">
        <w:rPr>
          <w:rFonts w:cs="Times New Roman"/>
          <w:color w:val="000000"/>
          <w:szCs w:val="24"/>
        </w:rPr>
        <w:t xml:space="preserve"> =</w:t>
      </w:r>
      <w:r>
        <w:rPr>
          <w:rFonts w:cs="Times New Roman"/>
          <w:color w:val="000000"/>
          <w:szCs w:val="24"/>
        </w:rPr>
        <w:t xml:space="preserve"> </w:t>
      </w:r>
      <w:r w:rsidRPr="00E26412">
        <w:rPr>
          <w:rFonts w:cs="Times New Roman"/>
          <w:color w:val="000000"/>
          <w:szCs w:val="24"/>
        </w:rPr>
        <w:t>volume reported or imputed for units i in stratum h.</w:t>
      </w:r>
    </w:p>
    <w:p w14:paraId="6F4A30E1" w14:textId="77777777" w:rsidR="0079037F" w:rsidRDefault="0079037F" w:rsidP="00790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color w:val="000000"/>
          <w:szCs w:val="24"/>
        </w:rPr>
      </w:pPr>
      <w:r w:rsidRPr="00E26412">
        <w:rPr>
          <w:rFonts w:cs="Times New Roman"/>
          <w:color w:val="000000"/>
          <w:szCs w:val="24"/>
        </w:rPr>
        <w:t>Survey nonrespondent volumes are also imputed as the mean of their strata.</w:t>
      </w:r>
    </w:p>
    <w:p w14:paraId="0C422D44" w14:textId="77777777" w:rsidR="007E53C4" w:rsidRDefault="00844524" w:rsidP="00BB5A69">
      <w:pPr>
        <w:pStyle w:val="Heading2"/>
      </w:pPr>
      <w:bookmarkStart w:id="7" w:name="_Toc466046936"/>
      <w:bookmarkEnd w:id="5"/>
      <w:bookmarkEnd w:id="6"/>
      <w:r>
        <w:t>B.</w:t>
      </w:r>
      <w:r w:rsidR="00A41763" w:rsidRPr="00A41763">
        <w:t xml:space="preserve">3. </w:t>
      </w:r>
      <w:r w:rsidR="007E53C4">
        <w:t>Maximizing Response Rates</w:t>
      </w:r>
      <w:bookmarkEnd w:id="7"/>
    </w:p>
    <w:p w14:paraId="61CF3130" w14:textId="77777777" w:rsidR="00C74606" w:rsidRPr="00C74606" w:rsidRDefault="00C74606" w:rsidP="00C74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Calibri" w:eastAsia="Times New Roman" w:hAnsi="Calibri" w:cs="Times New Roman"/>
          <w:szCs w:val="24"/>
          <w:lang w:bidi="en-US"/>
        </w:rPr>
      </w:pPr>
      <w:r w:rsidRPr="00C74606">
        <w:rPr>
          <w:rFonts w:ascii="Calibri" w:eastAsia="Times New Roman" w:hAnsi="Calibri" w:cs="Times New Roman"/>
          <w:lang w:bidi="en-US"/>
        </w:rPr>
        <w:t xml:space="preserve">All the units that are surveyed may not respond (unit non-response) or may not provide all the information requested (item non-response). </w:t>
      </w:r>
      <w:r w:rsidRPr="00C74606">
        <w:rPr>
          <w:rFonts w:ascii="Calibri" w:eastAsia="Times New Roman" w:hAnsi="Calibri" w:cs="Times New Roman"/>
          <w:color w:val="000000"/>
          <w:szCs w:val="24"/>
          <w:lang w:bidi="en-US"/>
        </w:rPr>
        <w:t xml:space="preserve">Alternative modes of data collection and follow-up are </w:t>
      </w:r>
      <w:r w:rsidRPr="00C74606">
        <w:rPr>
          <w:rFonts w:ascii="Calibri" w:eastAsia="Times New Roman" w:hAnsi="Calibri" w:cs="Times New Roman"/>
          <w:szCs w:val="24"/>
          <w:lang w:bidi="en-US"/>
        </w:rPr>
        <w:t xml:space="preserve">employed to encourage maximum response to the surveys in the Petroleum Marketing Program (PMP). Respondents are allowed to report by mail, fax, phone, or electronically using Excel forms or a fillable PDF available from the </w:t>
      </w:r>
      <w:hyperlink r:id="rId45" w:history="1">
        <w:r w:rsidRPr="00C74606">
          <w:rPr>
            <w:rFonts w:ascii="Calibri" w:eastAsia="Times New Roman" w:hAnsi="Calibri" w:cs="Times New Roman"/>
            <w:szCs w:val="24"/>
            <w:u w:val="single"/>
            <w:lang w:bidi="en-US"/>
          </w:rPr>
          <w:t>survey directory</w:t>
        </w:r>
      </w:hyperlink>
      <w:r w:rsidRPr="00C74606">
        <w:rPr>
          <w:rFonts w:ascii="Calibri" w:eastAsia="Times New Roman" w:hAnsi="Calibri" w:cs="Times New Roman"/>
          <w:szCs w:val="24"/>
          <w:lang w:bidi="en-US"/>
        </w:rPr>
        <w:t xml:space="preserve"> on EIA’s website. </w:t>
      </w:r>
    </w:p>
    <w:p w14:paraId="649EF413" w14:textId="77777777" w:rsidR="00063077" w:rsidRDefault="00063077" w:rsidP="00C74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Calibri" w:eastAsia="Times New Roman" w:hAnsi="Calibri" w:cs="Times New Roman"/>
          <w:szCs w:val="24"/>
          <w:lang w:bidi="en-US"/>
        </w:rPr>
      </w:pPr>
    </w:p>
    <w:p w14:paraId="41065D7C" w14:textId="731DCAFA" w:rsidR="00C74606" w:rsidRDefault="00C74606" w:rsidP="00C74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Calibri" w:eastAsia="Times New Roman" w:hAnsi="Calibri" w:cs="Times New Roman"/>
          <w:sz w:val="20"/>
          <w:szCs w:val="20"/>
          <w:lang w:bidi="en-US"/>
        </w:rPr>
      </w:pPr>
      <w:r w:rsidRPr="00C74606">
        <w:rPr>
          <w:rFonts w:ascii="Calibri" w:eastAsia="Times New Roman" w:hAnsi="Calibri" w:cs="Times New Roman"/>
          <w:szCs w:val="24"/>
          <w:lang w:bidi="en-US"/>
        </w:rPr>
        <w:t xml:space="preserve">The nonresponse strategy for each of the monthly surveys is to generate a follow-up email or phone call within five days of the reporting deadline. Late respondents on both the weekly and monthly </w:t>
      </w:r>
      <w:r w:rsidRPr="00C74606">
        <w:rPr>
          <w:rFonts w:ascii="Calibri" w:eastAsia="Times New Roman" w:hAnsi="Calibri" w:cs="Times New Roman"/>
          <w:lang w:bidi="en-US"/>
        </w:rPr>
        <w:t>surveys are emailed or called and asked to submit data. If a weekly respondent still fails to respond after our initial reminder during data collection, secondary contacts are emailed or called for data. If a firm repeatedly fails to respond, a noncompliance letter requesting submission by a specific date is sent. The strategy for the annual survey is to generate a follow-up email or phone call within two weeks of the reporting deadline and on a monthly basis thereafter. Five months after the reporting deadline, a noncompliance letter requesting submission by a specific date is mailed. Table B2 contains the average annual response rate for the weekly, monthly, and annual surveys from January 201</w:t>
      </w:r>
      <w:r w:rsidR="007C24DA">
        <w:rPr>
          <w:rFonts w:ascii="Calibri" w:eastAsia="Times New Roman" w:hAnsi="Calibri" w:cs="Times New Roman"/>
          <w:lang w:bidi="en-US"/>
        </w:rPr>
        <w:t>6</w:t>
      </w:r>
      <w:r w:rsidRPr="00C74606">
        <w:rPr>
          <w:rFonts w:ascii="Calibri" w:eastAsia="Times New Roman" w:hAnsi="Calibri" w:cs="Times New Roman"/>
          <w:lang w:bidi="en-US"/>
        </w:rPr>
        <w:t xml:space="preserve"> to December 201</w:t>
      </w:r>
      <w:r w:rsidR="000355BD">
        <w:rPr>
          <w:rFonts w:ascii="Calibri" w:eastAsia="Times New Roman" w:hAnsi="Calibri" w:cs="Times New Roman"/>
          <w:lang w:bidi="en-US"/>
        </w:rPr>
        <w:t>6</w:t>
      </w:r>
      <w:r w:rsidRPr="00C74606">
        <w:rPr>
          <w:rFonts w:ascii="Calibri" w:eastAsia="Times New Roman" w:hAnsi="Calibri" w:cs="Times New Roman"/>
          <w:lang w:bidi="en-US"/>
        </w:rPr>
        <w:t>.</w:t>
      </w:r>
      <w:r w:rsidR="00BB5A69">
        <w:rPr>
          <w:rFonts w:ascii="Calibri" w:eastAsia="Times New Roman" w:hAnsi="Calibri" w:cs="Times New Roman"/>
          <w:lang w:bidi="en-US"/>
        </w:rPr>
        <w:t xml:space="preserve"> The EIA-821 has not finalized data collection for 2016 data.</w:t>
      </w:r>
      <w:r w:rsidRPr="00C74606">
        <w:rPr>
          <w:rFonts w:ascii="Calibri" w:eastAsia="Times New Roman" w:hAnsi="Calibri" w:cs="Times New Roman"/>
          <w:sz w:val="20"/>
          <w:szCs w:val="20"/>
          <w:lang w:bidi="en-US"/>
        </w:rPr>
        <w:t xml:space="preserve"> </w:t>
      </w:r>
    </w:p>
    <w:p w14:paraId="1E7F8F90" w14:textId="77777777" w:rsidR="00C74606" w:rsidRPr="00C74606" w:rsidRDefault="00C74606" w:rsidP="00C74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line="276" w:lineRule="auto"/>
        <w:jc w:val="both"/>
        <w:rPr>
          <w:rFonts w:ascii="Times New Roman" w:eastAsia="Times New Roman" w:hAnsi="Times New Roman" w:cs="Times New Roman"/>
          <w:b/>
          <w:sz w:val="24"/>
          <w:szCs w:val="24"/>
          <w:lang w:bidi="en-US"/>
        </w:rPr>
      </w:pPr>
      <w:r w:rsidRPr="00C74606">
        <w:rPr>
          <w:rFonts w:ascii="Times New Roman" w:eastAsia="Times New Roman" w:hAnsi="Times New Roman" w:cs="Times New Roman"/>
          <w:b/>
          <w:sz w:val="24"/>
          <w:szCs w:val="24"/>
          <w:lang w:bidi="en-US"/>
        </w:rPr>
        <w:t>Table B2: 201</w:t>
      </w:r>
      <w:r w:rsidR="000355BD">
        <w:rPr>
          <w:rFonts w:ascii="Times New Roman" w:eastAsia="Times New Roman" w:hAnsi="Times New Roman" w:cs="Times New Roman"/>
          <w:b/>
          <w:sz w:val="24"/>
          <w:szCs w:val="24"/>
          <w:lang w:bidi="en-US"/>
        </w:rPr>
        <w:t>6</w:t>
      </w:r>
      <w:r w:rsidRPr="00C74606">
        <w:rPr>
          <w:rFonts w:ascii="Times New Roman" w:eastAsia="Times New Roman" w:hAnsi="Times New Roman" w:cs="Times New Roman"/>
          <w:b/>
          <w:sz w:val="24"/>
          <w:szCs w:val="24"/>
          <w:lang w:bidi="en-US"/>
        </w:rPr>
        <w:t xml:space="preserve"> Average Annual Response Rates for PMP Surveys </w:t>
      </w:r>
    </w:p>
    <w:tbl>
      <w:tblPr>
        <w:tblStyle w:val="TableGrid4"/>
        <w:tblW w:w="5000" w:type="pct"/>
        <w:tblLook w:val="04A0" w:firstRow="1" w:lastRow="0" w:firstColumn="1" w:lastColumn="0" w:noHBand="0" w:noVBand="1"/>
      </w:tblPr>
      <w:tblGrid>
        <w:gridCol w:w="1353"/>
        <w:gridCol w:w="897"/>
        <w:gridCol w:w="882"/>
        <w:gridCol w:w="1026"/>
        <w:gridCol w:w="1013"/>
        <w:gridCol w:w="881"/>
        <w:gridCol w:w="881"/>
        <w:gridCol w:w="881"/>
        <w:gridCol w:w="881"/>
        <w:gridCol w:w="881"/>
      </w:tblGrid>
      <w:tr w:rsidR="001B0EC4" w:rsidRPr="003C2B3D" w14:paraId="7B0034DA" w14:textId="77777777" w:rsidTr="001B0EC4">
        <w:trPr>
          <w:trHeight w:val="221"/>
        </w:trPr>
        <w:tc>
          <w:tcPr>
            <w:tcW w:w="706" w:type="pct"/>
          </w:tcPr>
          <w:p w14:paraId="1EB34907"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imes New Roman"/>
              </w:rPr>
            </w:pPr>
            <w:r w:rsidRPr="003C2B3D">
              <w:rPr>
                <w:rFonts w:ascii="Calibri" w:hAnsi="Calibri" w:cs="Times New Roman"/>
              </w:rPr>
              <w:t>Survey</w:t>
            </w:r>
          </w:p>
        </w:tc>
        <w:tc>
          <w:tcPr>
            <w:tcW w:w="468" w:type="pct"/>
          </w:tcPr>
          <w:p w14:paraId="5F05507B"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  14</w:t>
            </w:r>
          </w:p>
        </w:tc>
        <w:tc>
          <w:tcPr>
            <w:tcW w:w="460" w:type="pct"/>
          </w:tcPr>
          <w:p w14:paraId="69ED6EB3"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EIA-182</w:t>
            </w:r>
          </w:p>
        </w:tc>
        <w:tc>
          <w:tcPr>
            <w:tcW w:w="535" w:type="pct"/>
          </w:tcPr>
          <w:p w14:paraId="54BCB812"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EIA-782A</w:t>
            </w:r>
          </w:p>
        </w:tc>
        <w:tc>
          <w:tcPr>
            <w:tcW w:w="529" w:type="pct"/>
          </w:tcPr>
          <w:p w14:paraId="66EE6BB8"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EIA-782C</w:t>
            </w:r>
          </w:p>
        </w:tc>
        <w:tc>
          <w:tcPr>
            <w:tcW w:w="460" w:type="pct"/>
          </w:tcPr>
          <w:p w14:paraId="63A7623C"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EIA-821</w:t>
            </w:r>
          </w:p>
        </w:tc>
        <w:tc>
          <w:tcPr>
            <w:tcW w:w="460" w:type="pct"/>
          </w:tcPr>
          <w:p w14:paraId="27708352"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EIA-856</w:t>
            </w:r>
          </w:p>
        </w:tc>
        <w:tc>
          <w:tcPr>
            <w:tcW w:w="460" w:type="pct"/>
          </w:tcPr>
          <w:p w14:paraId="226AAD5E"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EIA-877</w:t>
            </w:r>
          </w:p>
        </w:tc>
        <w:tc>
          <w:tcPr>
            <w:tcW w:w="460" w:type="pct"/>
          </w:tcPr>
          <w:p w14:paraId="7189BB0C"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EIA-878</w:t>
            </w:r>
          </w:p>
        </w:tc>
        <w:tc>
          <w:tcPr>
            <w:tcW w:w="460" w:type="pct"/>
          </w:tcPr>
          <w:p w14:paraId="4BD9BBA3"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EIA-888</w:t>
            </w:r>
          </w:p>
        </w:tc>
      </w:tr>
      <w:tr w:rsidR="001B0EC4" w:rsidRPr="003C2B3D" w14:paraId="7157F1A7" w14:textId="77777777" w:rsidTr="001B0EC4">
        <w:trPr>
          <w:trHeight w:val="221"/>
        </w:trPr>
        <w:tc>
          <w:tcPr>
            <w:tcW w:w="706" w:type="pct"/>
          </w:tcPr>
          <w:p w14:paraId="51F88AD4"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imes New Roman"/>
              </w:rPr>
            </w:pPr>
            <w:r w:rsidRPr="003C2B3D">
              <w:rPr>
                <w:rFonts w:ascii="Calibri" w:hAnsi="Calibri" w:cs="Times New Roman"/>
              </w:rPr>
              <w:t>Response Rate</w:t>
            </w:r>
          </w:p>
        </w:tc>
        <w:tc>
          <w:tcPr>
            <w:tcW w:w="468" w:type="pct"/>
          </w:tcPr>
          <w:p w14:paraId="46F2B5C4"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100%</w:t>
            </w:r>
          </w:p>
        </w:tc>
        <w:tc>
          <w:tcPr>
            <w:tcW w:w="460" w:type="pct"/>
          </w:tcPr>
          <w:p w14:paraId="6833F65E"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100%</w:t>
            </w:r>
          </w:p>
        </w:tc>
        <w:tc>
          <w:tcPr>
            <w:tcW w:w="535" w:type="pct"/>
          </w:tcPr>
          <w:p w14:paraId="2C7F7002"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100%</w:t>
            </w:r>
          </w:p>
        </w:tc>
        <w:tc>
          <w:tcPr>
            <w:tcW w:w="529" w:type="pct"/>
          </w:tcPr>
          <w:p w14:paraId="2FF8B9DF"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100%</w:t>
            </w:r>
          </w:p>
        </w:tc>
        <w:tc>
          <w:tcPr>
            <w:tcW w:w="460" w:type="pct"/>
          </w:tcPr>
          <w:p w14:paraId="73FF5BE0" w14:textId="77777777" w:rsidR="001B0EC4" w:rsidRPr="003C2B3D" w:rsidRDefault="000466C0"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Pr>
                <w:rFonts w:ascii="Calibri" w:hAnsi="Calibri" w:cs="Times New Roman"/>
              </w:rPr>
              <w:t>*</w:t>
            </w:r>
            <w:r w:rsidR="001B0EC4" w:rsidRPr="003C2B3D">
              <w:rPr>
                <w:rFonts w:ascii="Calibri" w:hAnsi="Calibri" w:cs="Times New Roman"/>
              </w:rPr>
              <w:t>92.7%</w:t>
            </w:r>
          </w:p>
        </w:tc>
        <w:tc>
          <w:tcPr>
            <w:tcW w:w="460" w:type="pct"/>
          </w:tcPr>
          <w:p w14:paraId="2674A599" w14:textId="77777777" w:rsidR="001B0EC4" w:rsidRPr="003C2B3D" w:rsidRDefault="001B0EC4" w:rsidP="000466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100%</w:t>
            </w:r>
          </w:p>
        </w:tc>
        <w:tc>
          <w:tcPr>
            <w:tcW w:w="460" w:type="pct"/>
          </w:tcPr>
          <w:p w14:paraId="6401B6EC" w14:textId="77777777" w:rsidR="001B0EC4" w:rsidRPr="003C2B3D" w:rsidRDefault="001B0EC4" w:rsidP="000355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98.</w:t>
            </w:r>
            <w:r w:rsidR="000355BD">
              <w:rPr>
                <w:rFonts w:ascii="Calibri" w:hAnsi="Calibri" w:cs="Times New Roman"/>
              </w:rPr>
              <w:t>6</w:t>
            </w:r>
            <w:r w:rsidRPr="003C2B3D">
              <w:rPr>
                <w:rFonts w:ascii="Calibri" w:hAnsi="Calibri" w:cs="Times New Roman"/>
              </w:rPr>
              <w:t>%</w:t>
            </w:r>
          </w:p>
        </w:tc>
        <w:tc>
          <w:tcPr>
            <w:tcW w:w="460" w:type="pct"/>
          </w:tcPr>
          <w:p w14:paraId="30D35B7E" w14:textId="77777777" w:rsidR="001B0EC4" w:rsidRPr="003C2B3D" w:rsidRDefault="001B0EC4" w:rsidP="000355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99.</w:t>
            </w:r>
            <w:r w:rsidR="000355BD">
              <w:rPr>
                <w:rFonts w:ascii="Calibri" w:hAnsi="Calibri" w:cs="Times New Roman"/>
              </w:rPr>
              <w:t>3</w:t>
            </w:r>
            <w:r w:rsidRPr="003C2B3D">
              <w:rPr>
                <w:rFonts w:ascii="Calibri" w:hAnsi="Calibri" w:cs="Times New Roman"/>
              </w:rPr>
              <w:t>%</w:t>
            </w:r>
          </w:p>
        </w:tc>
        <w:tc>
          <w:tcPr>
            <w:tcW w:w="460" w:type="pct"/>
          </w:tcPr>
          <w:p w14:paraId="3769CFDC" w14:textId="77777777" w:rsidR="001B0EC4" w:rsidRPr="003C2B3D" w:rsidRDefault="001B0EC4" w:rsidP="000355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Times New Roman"/>
              </w:rPr>
            </w:pPr>
            <w:r w:rsidRPr="003C2B3D">
              <w:rPr>
                <w:rFonts w:ascii="Calibri" w:hAnsi="Calibri" w:cs="Times New Roman"/>
              </w:rPr>
              <w:t>99.</w:t>
            </w:r>
            <w:r w:rsidR="000355BD">
              <w:rPr>
                <w:rFonts w:ascii="Calibri" w:hAnsi="Calibri" w:cs="Times New Roman"/>
              </w:rPr>
              <w:t>7</w:t>
            </w:r>
            <w:r w:rsidRPr="003C2B3D">
              <w:rPr>
                <w:rFonts w:ascii="Calibri" w:hAnsi="Calibri" w:cs="Times New Roman"/>
              </w:rPr>
              <w:t>%</w:t>
            </w:r>
          </w:p>
        </w:tc>
      </w:tr>
    </w:tbl>
    <w:p w14:paraId="55DE7F7D" w14:textId="77777777" w:rsidR="007E53C4" w:rsidRDefault="000466C0" w:rsidP="00A41763">
      <w:pPr>
        <w:rPr>
          <w:iCs/>
        </w:rPr>
      </w:pPr>
      <w:r>
        <w:rPr>
          <w:i/>
          <w:iCs/>
        </w:rPr>
        <w:t>*</w:t>
      </w:r>
      <w:r w:rsidRPr="000466C0">
        <w:rPr>
          <w:iCs/>
        </w:rPr>
        <w:t>Response</w:t>
      </w:r>
      <w:r w:rsidR="00063077">
        <w:rPr>
          <w:iCs/>
        </w:rPr>
        <w:t xml:space="preserve"> rate</w:t>
      </w:r>
      <w:r w:rsidRPr="000466C0">
        <w:rPr>
          <w:iCs/>
        </w:rPr>
        <w:t xml:space="preserve"> </w:t>
      </w:r>
      <w:r w:rsidR="00063077">
        <w:rPr>
          <w:iCs/>
        </w:rPr>
        <w:t>based on</w:t>
      </w:r>
      <w:r w:rsidRPr="000466C0">
        <w:rPr>
          <w:iCs/>
        </w:rPr>
        <w:t xml:space="preserve"> 2015</w:t>
      </w:r>
      <w:r w:rsidR="00063077">
        <w:rPr>
          <w:iCs/>
        </w:rPr>
        <w:t xml:space="preserve"> data.</w:t>
      </w:r>
    </w:p>
    <w:p w14:paraId="53CDC6EF" w14:textId="77777777" w:rsidR="007E53C4" w:rsidRDefault="00844524" w:rsidP="00BB5A69">
      <w:pPr>
        <w:pStyle w:val="Heading2"/>
      </w:pPr>
      <w:bookmarkStart w:id="8" w:name="_Toc466046937"/>
      <w:r>
        <w:t>B.</w:t>
      </w:r>
      <w:r w:rsidR="00A41763" w:rsidRPr="00A41763">
        <w:t xml:space="preserve">4. </w:t>
      </w:r>
      <w:r w:rsidR="007E53C4">
        <w:t>Test Procedures and Form Consultations</w:t>
      </w:r>
      <w:bookmarkEnd w:id="8"/>
    </w:p>
    <w:p w14:paraId="1855A794" w14:textId="77777777" w:rsidR="00C74606" w:rsidRPr="00C74606" w:rsidRDefault="00C74606" w:rsidP="00C74606">
      <w:pPr>
        <w:spacing w:after="100" w:afterAutospacing="1" w:line="360" w:lineRule="auto"/>
        <w:rPr>
          <w:rFonts w:ascii="Calibri" w:eastAsia="Times New Roman" w:hAnsi="Calibri" w:cs="Times New Roman"/>
          <w:szCs w:val="24"/>
          <w:lang w:bidi="en-US"/>
        </w:rPr>
      </w:pPr>
      <w:r w:rsidRPr="00C74606">
        <w:rPr>
          <w:rFonts w:ascii="Calibri" w:eastAsia="Times New Roman" w:hAnsi="Calibri" w:cs="Times New Roman"/>
          <w:szCs w:val="24"/>
          <w:lang w:bidi="en-US"/>
        </w:rPr>
        <w:t>In preparation for clearance of the 2017 Petroleum Marketing Program by the Office of Management and Budget (OMB), EIA’s Survey Development Team (SDT) received approval from OMB to conduct cognitive testing in 2016 on several of the surveys to assess the impact of potential changes for future iterations of the surveys. The evaluation focused principally on: respondent understanding of various definitions</w:t>
      </w:r>
      <w:r w:rsidR="007C24DA">
        <w:rPr>
          <w:rFonts w:ascii="Calibri" w:eastAsia="Times New Roman" w:hAnsi="Calibri" w:cs="Times New Roman"/>
          <w:szCs w:val="24"/>
          <w:lang w:bidi="en-US"/>
        </w:rPr>
        <w:t>,</w:t>
      </w:r>
      <w:r w:rsidRPr="00C74606">
        <w:rPr>
          <w:rFonts w:ascii="Calibri" w:eastAsia="Times New Roman" w:hAnsi="Calibri" w:cs="Times New Roman"/>
          <w:szCs w:val="24"/>
          <w:lang w:bidi="en-US"/>
        </w:rPr>
        <w:t xml:space="preserve"> how data is being reported</w:t>
      </w:r>
      <w:r w:rsidR="007C24DA">
        <w:rPr>
          <w:rFonts w:ascii="Calibri" w:eastAsia="Times New Roman" w:hAnsi="Calibri" w:cs="Times New Roman"/>
          <w:szCs w:val="24"/>
          <w:lang w:bidi="en-US"/>
        </w:rPr>
        <w:t>,</w:t>
      </w:r>
      <w:r w:rsidRPr="00C74606">
        <w:rPr>
          <w:rFonts w:ascii="Calibri" w:eastAsia="Times New Roman" w:hAnsi="Calibri" w:cs="Times New Roman"/>
          <w:szCs w:val="24"/>
          <w:lang w:bidi="en-US"/>
        </w:rPr>
        <w:t xml:space="preserve"> the ability to report other data items</w:t>
      </w:r>
      <w:r w:rsidR="007C24DA">
        <w:rPr>
          <w:rFonts w:ascii="Calibri" w:eastAsia="Times New Roman" w:hAnsi="Calibri" w:cs="Times New Roman"/>
          <w:szCs w:val="24"/>
          <w:lang w:bidi="en-US"/>
        </w:rPr>
        <w:t>,</w:t>
      </w:r>
      <w:r w:rsidRPr="00C74606">
        <w:rPr>
          <w:rFonts w:ascii="Calibri" w:eastAsia="Times New Roman" w:hAnsi="Calibri" w:cs="Times New Roman"/>
          <w:szCs w:val="24"/>
          <w:lang w:bidi="en-US"/>
        </w:rPr>
        <w:t xml:space="preserve"> and to update survey burden estimates. The ultimate goal of this process was to improve data quality.</w:t>
      </w:r>
    </w:p>
    <w:p w14:paraId="290A89B2" w14:textId="6983FF79" w:rsidR="00C74606" w:rsidRPr="00C74606" w:rsidRDefault="00C74606" w:rsidP="00C74606">
      <w:pPr>
        <w:spacing w:after="100" w:afterAutospacing="1" w:line="360" w:lineRule="auto"/>
        <w:rPr>
          <w:rFonts w:ascii="Calibri" w:eastAsia="Times New Roman" w:hAnsi="Calibri" w:cs="Times New Roman"/>
          <w:szCs w:val="24"/>
          <w:lang w:bidi="en-US"/>
        </w:rPr>
      </w:pPr>
      <w:r w:rsidRPr="00C74606">
        <w:rPr>
          <w:rFonts w:ascii="Calibri" w:eastAsia="Times New Roman" w:hAnsi="Calibri" w:cs="Times New Roman"/>
          <w:szCs w:val="24"/>
          <w:lang w:bidi="en-US"/>
        </w:rPr>
        <w:t xml:space="preserve">The first step of the process was for SDT to meet with PBS managers to determine material issues for each survey and formulate the research objectives of the testing. SDT then developed draft cognitive interview protocols for PBS to </w:t>
      </w:r>
      <w:r w:rsidR="009B4E57">
        <w:rPr>
          <w:rFonts w:ascii="Calibri" w:eastAsia="Times New Roman" w:hAnsi="Calibri" w:cs="Times New Roman"/>
          <w:szCs w:val="24"/>
          <w:lang w:bidi="en-US"/>
        </w:rPr>
        <w:t>assess respondent’s ability to report new information, clarify areas of confusion or misreporting of data elements, possible deletion or collapsing of data categories, and verifying reporting burden</w:t>
      </w:r>
      <w:r w:rsidRPr="00C74606">
        <w:rPr>
          <w:rFonts w:ascii="Calibri" w:eastAsia="Times New Roman" w:hAnsi="Calibri" w:cs="Times New Roman"/>
          <w:szCs w:val="24"/>
          <w:lang w:bidi="en-US"/>
        </w:rPr>
        <w:t xml:space="preserve">. After the protocols were reviewed and accepted, a </w:t>
      </w:r>
      <w:r w:rsidR="009B4E57">
        <w:rPr>
          <w:rFonts w:ascii="Calibri" w:eastAsia="Times New Roman" w:hAnsi="Calibri" w:cs="Times New Roman"/>
          <w:szCs w:val="24"/>
          <w:lang w:bidi="en-US"/>
        </w:rPr>
        <w:t xml:space="preserve">generic clearance </w:t>
      </w:r>
      <w:r w:rsidRPr="00C74606">
        <w:rPr>
          <w:rFonts w:ascii="Calibri" w:eastAsia="Times New Roman" w:hAnsi="Calibri" w:cs="Times New Roman"/>
          <w:szCs w:val="24"/>
          <w:lang w:bidi="en-US"/>
        </w:rPr>
        <w:t xml:space="preserve">request for clearance was </w:t>
      </w:r>
      <w:r w:rsidR="009B4E57">
        <w:rPr>
          <w:rFonts w:ascii="Calibri" w:eastAsia="Times New Roman" w:hAnsi="Calibri" w:cs="Times New Roman"/>
          <w:szCs w:val="24"/>
          <w:lang w:bidi="en-US"/>
        </w:rPr>
        <w:t>submitted</w:t>
      </w:r>
      <w:r w:rsidRPr="00C74606">
        <w:rPr>
          <w:rFonts w:ascii="Calibri" w:eastAsia="Times New Roman" w:hAnsi="Calibri" w:cs="Times New Roman"/>
          <w:szCs w:val="24"/>
          <w:lang w:bidi="en-US"/>
        </w:rPr>
        <w:t xml:space="preserve"> to OMB </w:t>
      </w:r>
      <w:r w:rsidR="009B4E57">
        <w:rPr>
          <w:rFonts w:ascii="Calibri" w:eastAsia="Times New Roman" w:hAnsi="Calibri" w:cs="Times New Roman"/>
          <w:szCs w:val="24"/>
          <w:lang w:bidi="en-US"/>
        </w:rPr>
        <w:t xml:space="preserve">and approved for research on Forms EIA-182, 856, 782A, 782C, and 821. </w:t>
      </w:r>
      <w:r w:rsidRPr="00C74606">
        <w:rPr>
          <w:rFonts w:ascii="Calibri" w:eastAsia="Times New Roman" w:hAnsi="Calibri" w:cs="Times New Roman"/>
          <w:szCs w:val="24"/>
          <w:lang w:bidi="en-US"/>
        </w:rPr>
        <w:t xml:space="preserve"> SDT contacted potential respondents based on recommendations from PBS. Since this testing was voluntary, several phone calls were made to identify participants for the study. The confidential interviews lasted between 15 to 30 minutes, depending on the survey. The interviews consisted of an introduction of the interviewers, the purpose of the call, background information on reporting practices, survey-specific questions, and a final opportunity for respondents to comment on any matter they wished to mention. Final reports were d</w:t>
      </w:r>
      <w:r w:rsidR="009B4E57">
        <w:rPr>
          <w:rFonts w:ascii="Calibri" w:eastAsia="Times New Roman" w:hAnsi="Calibri" w:cs="Times New Roman"/>
          <w:szCs w:val="24"/>
          <w:lang w:bidi="en-US"/>
        </w:rPr>
        <w:t>rafted</w:t>
      </w:r>
      <w:r w:rsidRPr="00C74606">
        <w:rPr>
          <w:rFonts w:ascii="Calibri" w:eastAsia="Times New Roman" w:hAnsi="Calibri" w:cs="Times New Roman"/>
          <w:szCs w:val="24"/>
          <w:lang w:bidi="en-US"/>
        </w:rPr>
        <w:t xml:space="preserve"> for each survey summarizing the objectives, methodology, and specific findings and provided to PBS for consideration.</w:t>
      </w:r>
    </w:p>
    <w:p w14:paraId="0B8E5F46" w14:textId="77777777" w:rsidR="007E53C4" w:rsidRDefault="00844524" w:rsidP="00A81330">
      <w:pPr>
        <w:pStyle w:val="Heading2"/>
      </w:pPr>
      <w:bookmarkStart w:id="9" w:name="_Toc466046938"/>
      <w:r>
        <w:t>B.</w:t>
      </w:r>
      <w:r w:rsidR="00A41763" w:rsidRPr="00A41763">
        <w:t xml:space="preserve">5. </w:t>
      </w:r>
      <w:r w:rsidR="007E53C4">
        <w:t>Statistical Consultations</w:t>
      </w:r>
      <w:bookmarkEnd w:id="9"/>
    </w:p>
    <w:p w14:paraId="6FE9C1EA" w14:textId="54FD75AA" w:rsidR="00C74606" w:rsidRPr="00C74606" w:rsidRDefault="00C74606" w:rsidP="005B4D4E">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Publically available studies and research papers prepared by EIA statisticians and contractors regarding surveys in the </w:t>
      </w:r>
      <w:r w:rsidR="002D767D">
        <w:rPr>
          <w:rFonts w:ascii="Calibri" w:eastAsia="Times New Roman" w:hAnsi="Calibri" w:cs="Times New Roman"/>
          <w:lang w:bidi="en-US"/>
        </w:rPr>
        <w:t>PMP</w:t>
      </w:r>
      <w:r w:rsidRPr="00C74606">
        <w:rPr>
          <w:rFonts w:ascii="Calibri" w:eastAsia="Times New Roman" w:hAnsi="Calibri" w:cs="Times New Roman"/>
          <w:lang w:bidi="en-US"/>
        </w:rPr>
        <w:t xml:space="preserve"> are available upon request. This list includes only publically available reports. In addition, staff worked with contractor Z, Inc. to conduct a quality assessment in FY2011 which serves as a basis for future survey changes and with staff from the Office of Survey Development and Statistical Integration (SDSI) on cognitive testing of the surveys in the PMP.</w:t>
      </w:r>
    </w:p>
    <w:p w14:paraId="75C124C4" w14:textId="77777777" w:rsidR="00C74606" w:rsidRPr="00C74606" w:rsidRDefault="00C74606" w:rsidP="005B4D4E">
      <w:pPr>
        <w:spacing w:after="0" w:line="360" w:lineRule="auto"/>
        <w:rPr>
          <w:rFonts w:ascii="Calibri" w:eastAsia="Times New Roman" w:hAnsi="Calibri" w:cs="Times New Roman"/>
          <w:lang w:bidi="en-US"/>
        </w:rPr>
      </w:pPr>
    </w:p>
    <w:p w14:paraId="0DAC6FAA" w14:textId="77777777" w:rsidR="00C74606" w:rsidRPr="00C74606" w:rsidRDefault="00C74606" w:rsidP="005B4D4E">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PMP staff met with numerous internal data users –</w:t>
      </w:r>
      <w:r w:rsidR="007C24DA">
        <w:rPr>
          <w:rFonts w:ascii="Calibri" w:eastAsia="Times New Roman" w:hAnsi="Calibri" w:cs="Times New Roman"/>
          <w:lang w:bidi="en-US"/>
        </w:rPr>
        <w:t xml:space="preserve"> </w:t>
      </w:r>
      <w:r w:rsidRPr="00C74606">
        <w:rPr>
          <w:rFonts w:ascii="Calibri" w:eastAsia="Times New Roman" w:hAnsi="Calibri" w:cs="Times New Roman"/>
          <w:lang w:bidi="en-US"/>
        </w:rPr>
        <w:t xml:space="preserve">AEO, IEO, SEDS, and STEO - to consider their needs. In addition, staff also gave presentations at the following conferences to obtain feedback from data users: </w:t>
      </w:r>
    </w:p>
    <w:p w14:paraId="2B4474FF"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American Statistical Association (ASA) Conference (2009 and 2010)</w:t>
      </w:r>
    </w:p>
    <w:p w14:paraId="7C4922DD"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State Energy Data Needs Workshop (2009)</w:t>
      </w:r>
    </w:p>
    <w:p w14:paraId="1CCB7C63"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Energy Markets and Financial Initiative (2010)</w:t>
      </w:r>
    </w:p>
    <w:p w14:paraId="456F9E6F"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 xml:space="preserve">EIA’s Annual Energy Conference (2011) </w:t>
      </w:r>
    </w:p>
    <w:p w14:paraId="661DD234"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Kauffman Foundation Forum on Establishment Surveys (2011)</w:t>
      </w:r>
    </w:p>
    <w:p w14:paraId="2115F27A"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Federal Committee for Statistics and Methodology - FCSM (2012)</w:t>
      </w:r>
    </w:p>
    <w:p w14:paraId="62040723" w14:textId="77777777" w:rsidR="00C74606" w:rsidRPr="00C74606" w:rsidRDefault="00C74606" w:rsidP="005B4D4E">
      <w:pPr>
        <w:numPr>
          <w:ilvl w:val="0"/>
          <w:numId w:val="10"/>
        </w:numPr>
        <w:spacing w:before="200" w:after="0" w:line="360" w:lineRule="auto"/>
        <w:ind w:left="720"/>
        <w:contextualSpacing/>
        <w:rPr>
          <w:rFonts w:ascii="Calibri" w:eastAsia="Times New Roman" w:hAnsi="Calibri" w:cs="Times New Roman"/>
          <w:lang w:bidi="en-US"/>
        </w:rPr>
      </w:pPr>
      <w:r w:rsidRPr="00C74606">
        <w:rPr>
          <w:rFonts w:ascii="Calibri" w:eastAsia="Times New Roman" w:hAnsi="Calibri" w:cs="Times New Roman"/>
          <w:lang w:bidi="en-US"/>
        </w:rPr>
        <w:t>FCSM Statistical Policy Conference (2016)</w:t>
      </w:r>
    </w:p>
    <w:p w14:paraId="4F92BB3B" w14:textId="77777777" w:rsidR="00C74606" w:rsidRPr="00C74606" w:rsidRDefault="00C74606" w:rsidP="00C74606">
      <w:pPr>
        <w:spacing w:after="0" w:line="360" w:lineRule="auto"/>
        <w:rPr>
          <w:rFonts w:ascii="Calibri" w:eastAsia="Times New Roman" w:hAnsi="Calibri" w:cs="Times New Roman"/>
          <w:lang w:bidi="en-US"/>
        </w:rPr>
      </w:pPr>
    </w:p>
    <w:p w14:paraId="4B25A764" w14:textId="77777777" w:rsidR="00C74606" w:rsidRDefault="00C74606" w:rsidP="005B4D4E">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Contact for the Petroleum Marketing Program: Ms. Tammy Heppner, Supervisory Statistician, Office of Petroleum and Biofuels Statistics (PBS),</w:t>
      </w:r>
      <w:r w:rsidRPr="00C74606" w:rsidDel="009A6B52">
        <w:rPr>
          <w:rFonts w:ascii="Calibri" w:eastAsia="Times New Roman" w:hAnsi="Calibri" w:cs="Times New Roman"/>
          <w:lang w:bidi="en-US"/>
        </w:rPr>
        <w:t xml:space="preserve"> </w:t>
      </w:r>
      <w:r w:rsidRPr="00C74606">
        <w:rPr>
          <w:rFonts w:ascii="Calibri" w:eastAsia="Times New Roman" w:hAnsi="Calibri" w:cs="Times New Roman"/>
          <w:lang w:bidi="en-US"/>
        </w:rPr>
        <w:t>202-586-4748.</w:t>
      </w:r>
    </w:p>
    <w:p w14:paraId="7E9382D0" w14:textId="77777777" w:rsidR="00AA368F" w:rsidRPr="00C74606" w:rsidRDefault="00AA368F" w:rsidP="005B4D4E">
      <w:pPr>
        <w:spacing w:after="0" w:line="360" w:lineRule="auto"/>
        <w:rPr>
          <w:rFonts w:ascii="Calibri" w:eastAsia="Times New Roman" w:hAnsi="Calibri" w:cs="Times New Roman"/>
          <w:lang w:bidi="en-US"/>
        </w:rPr>
      </w:pPr>
    </w:p>
    <w:p w14:paraId="7C0E5D72" w14:textId="77777777" w:rsidR="00C74606" w:rsidRPr="00C74606" w:rsidRDefault="00C74606" w:rsidP="005B4D4E">
      <w:pPr>
        <w:spacing w:after="0" w:line="360" w:lineRule="auto"/>
        <w:rPr>
          <w:rFonts w:ascii="Calibri" w:eastAsia="Times New Roman" w:hAnsi="Calibri" w:cs="Times New Roman"/>
          <w:lang w:bidi="en-US"/>
        </w:rPr>
      </w:pPr>
      <w:r w:rsidRPr="00C74606">
        <w:rPr>
          <w:rFonts w:ascii="Calibri" w:eastAsia="Times New Roman" w:hAnsi="Calibri" w:cs="Times New Roman"/>
          <w:lang w:bidi="en-US"/>
        </w:rPr>
        <w:t xml:space="preserve">For information concerning this request for OMB approval, please contact the agency Forms Clearance Officer Lawrence Stroud, at 202-586-6242, or </w:t>
      </w:r>
      <w:hyperlink r:id="rId46" w:history="1">
        <w:r w:rsidRPr="00C74606">
          <w:rPr>
            <w:rFonts w:ascii="Calibri" w:eastAsia="Times New Roman" w:hAnsi="Calibri" w:cs="Times New Roman"/>
            <w:color w:val="0000FF"/>
            <w:u w:val="single"/>
            <w:lang w:bidi="en-US"/>
          </w:rPr>
          <w:t>lawrence.stroud@eia.gov</w:t>
        </w:r>
      </w:hyperlink>
      <w:r w:rsidRPr="00C74606">
        <w:rPr>
          <w:rFonts w:ascii="Calibri" w:eastAsia="Times New Roman" w:hAnsi="Calibri" w:cs="Times New Roman"/>
          <w:lang w:bidi="en-US"/>
        </w:rPr>
        <w:t>.</w:t>
      </w:r>
    </w:p>
    <w:p w14:paraId="4E23D03B" w14:textId="77777777" w:rsidR="00980B6A" w:rsidRDefault="00980B6A" w:rsidP="00C74606"/>
    <w:sectPr w:rsidR="00980B6A" w:rsidSect="008F4CBD">
      <w:headerReference w:type="even" r:id="rId47"/>
      <w:headerReference w:type="default" r:id="rId48"/>
      <w:footerReference w:type="even" r:id="rId49"/>
      <w:headerReference w:type="first" r:id="rId50"/>
      <w:footerReference w:type="first" r:id="rId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EC75E" w14:textId="77777777" w:rsidR="00C86514" w:rsidRDefault="00C86514" w:rsidP="00536CE1">
      <w:pPr>
        <w:spacing w:after="0" w:line="240" w:lineRule="auto"/>
      </w:pPr>
      <w:r>
        <w:separator/>
      </w:r>
    </w:p>
  </w:endnote>
  <w:endnote w:type="continuationSeparator" w:id="0">
    <w:p w14:paraId="15961568" w14:textId="77777777" w:rsidR="00C86514" w:rsidRDefault="00C86514"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6C37A" w14:textId="77777777" w:rsidR="00C86514" w:rsidRPr="001F3A8F" w:rsidRDefault="00C86514" w:rsidP="00616E46">
    <w:pPr>
      <w:pStyle w:val="Footer"/>
      <w:tabs>
        <w:tab w:val="clear" w:pos="9720"/>
        <w:tab w:val="left" w:pos="8655"/>
      </w:tabs>
    </w:pPr>
    <w:r w:rsidRPr="00CB180D">
      <w:t>U.S. Energy Information Administration   |</w:t>
    </w:r>
    <w:r>
      <w:t xml:space="preserve">   </w:t>
    </w:r>
    <w:sdt>
      <w:sdtPr>
        <w:alias w:val="Title"/>
        <w:tag w:val=""/>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Petroleum Marketing Program</w:t>
        </w:r>
      </w:sdtContent>
    </w:sdt>
    <w:r>
      <w:t xml:space="preserve"> </w:t>
    </w:r>
    <w:r>
      <w:tab/>
      <w:t xml:space="preserve"> </w:t>
    </w:r>
    <w:r>
      <w:fldChar w:fldCharType="begin"/>
    </w:r>
    <w:r>
      <w:instrText xml:space="preserve"> PAGE   \* MERGEFORMAT </w:instrText>
    </w:r>
    <w:r>
      <w:fldChar w:fldCharType="separate"/>
    </w:r>
    <w:r w:rsidR="00DF50C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FAA0" w14:textId="77777777" w:rsidR="00C86514" w:rsidRDefault="00DF50CA" w:rsidP="00760677">
    <w:pPr>
      <w:pStyle w:val="Footer"/>
    </w:pPr>
    <w:sdt>
      <w:sdtPr>
        <w:id w:val="37707256"/>
        <w:docPartObj>
          <w:docPartGallery w:val="Page Numbers (Bottom of Page)"/>
          <w:docPartUnique/>
        </w:docPartObj>
      </w:sdtPr>
      <w:sdtEndPr/>
      <w:sdtContent>
        <w:r w:rsidR="00C86514"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C86514">
              <w:t>Improving the Quality and Scope of EIA Data</w:t>
            </w:r>
          </w:sdtContent>
        </w:sdt>
        <w:r w:rsidR="00C86514" w:rsidRPr="00CB180D">
          <w:tab/>
        </w:r>
      </w:sdtContent>
    </w:sdt>
    <w:r w:rsidR="00C86514" w:rsidRPr="00760677">
      <w:t xml:space="preserve"> </w:t>
    </w:r>
    <w:r w:rsidR="00C86514">
      <w:fldChar w:fldCharType="begin"/>
    </w:r>
    <w:r w:rsidR="00C86514">
      <w:instrText xml:space="preserve"> PAGE   \* MERGEFORMAT </w:instrText>
    </w:r>
    <w:r w:rsidR="00C86514">
      <w:fldChar w:fldCharType="separate"/>
    </w:r>
    <w:r w:rsidR="00C86514">
      <w:rPr>
        <w:noProof/>
      </w:rPr>
      <w:t>i</w:t>
    </w:r>
    <w:r w:rsidR="00C86514">
      <w:rPr>
        <w:noProof/>
      </w:rPr>
      <w:fldChar w:fldCharType="end"/>
    </w:r>
  </w:p>
  <w:p w14:paraId="2157A2D2" w14:textId="77777777" w:rsidR="00C86514" w:rsidRDefault="00C86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D766" w14:textId="77777777" w:rsidR="00C86514" w:rsidRDefault="00DF50CA" w:rsidP="00760677">
    <w:pPr>
      <w:pStyle w:val="Footer"/>
    </w:pPr>
    <w:sdt>
      <w:sdtPr>
        <w:id w:val="1300337987"/>
        <w:docPartObj>
          <w:docPartGallery w:val="Page Numbers (Bottom of Page)"/>
          <w:docPartUnique/>
        </w:docPartObj>
      </w:sdtPr>
      <w:sdtEndPr/>
      <w:sdtContent>
        <w:r w:rsidR="00C86514"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C86514">
              <w:t>Improving the Quality and Scope of EIA Data</w:t>
            </w:r>
          </w:sdtContent>
        </w:sdt>
        <w:r w:rsidR="00C86514" w:rsidRPr="00CB180D">
          <w:tab/>
        </w:r>
      </w:sdtContent>
    </w:sdt>
    <w:r w:rsidR="00C86514" w:rsidRPr="00760677">
      <w:t xml:space="preserve"> </w:t>
    </w:r>
    <w:r w:rsidR="00C86514">
      <w:fldChar w:fldCharType="begin"/>
    </w:r>
    <w:r w:rsidR="00C86514">
      <w:instrText xml:space="preserve"> PAGE   \* MERGEFORMAT </w:instrText>
    </w:r>
    <w:r w:rsidR="00C86514">
      <w:fldChar w:fldCharType="separate"/>
    </w:r>
    <w:r w:rsidR="00C86514">
      <w:rPr>
        <w:noProof/>
      </w:rPr>
      <w:t>ii</w:t>
    </w:r>
    <w:r w:rsidR="00C86514">
      <w:rPr>
        <w:noProof/>
      </w:rPr>
      <w:fldChar w:fldCharType="end"/>
    </w:r>
  </w:p>
  <w:p w14:paraId="4A9C48E8" w14:textId="77777777" w:rsidR="00C86514" w:rsidRDefault="00C86514"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557895"/>
      <w:docPartObj>
        <w:docPartGallery w:val="Page Numbers (Bottom of Page)"/>
        <w:docPartUnique/>
      </w:docPartObj>
    </w:sdtPr>
    <w:sdtEndPr/>
    <w:sdtContent>
      <w:p w14:paraId="384288B3" w14:textId="77777777" w:rsidR="00C86514" w:rsidRDefault="00C86514"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6F41" w14:textId="77777777" w:rsidR="00C86514" w:rsidRDefault="00DF50CA" w:rsidP="00760677">
    <w:pPr>
      <w:pStyle w:val="Footer"/>
    </w:pPr>
    <w:sdt>
      <w:sdtPr>
        <w:id w:val="1705557553"/>
        <w:docPartObj>
          <w:docPartGallery w:val="Page Numbers (Bottom of Page)"/>
          <w:docPartUnique/>
        </w:docPartObj>
      </w:sdtPr>
      <w:sdtEndPr/>
      <w:sdtContent>
        <w:r w:rsidR="00C86514"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C86514">
              <w:t>Improving the Quality and Scope of EIA Data</w:t>
            </w:r>
          </w:sdtContent>
        </w:sdt>
        <w:r w:rsidR="00C86514" w:rsidRPr="00CB180D">
          <w:tab/>
        </w:r>
      </w:sdtContent>
    </w:sdt>
    <w:r w:rsidR="00C86514" w:rsidRPr="00760677">
      <w:t xml:space="preserve"> </w:t>
    </w:r>
    <w:r w:rsidR="00C86514">
      <w:fldChar w:fldCharType="begin"/>
    </w:r>
    <w:r w:rsidR="00C86514">
      <w:instrText xml:space="preserve"> PAGE   \* MERGEFORMAT </w:instrText>
    </w:r>
    <w:r w:rsidR="00C86514">
      <w:fldChar w:fldCharType="separate"/>
    </w:r>
    <w:r w:rsidR="00C86514">
      <w:rPr>
        <w:noProof/>
      </w:rPr>
      <w:t>1</w:t>
    </w:r>
    <w:r w:rsidR="00C86514">
      <w:rPr>
        <w:noProof/>
      </w:rPr>
      <w:fldChar w:fldCharType="end"/>
    </w:r>
  </w:p>
  <w:p w14:paraId="607CE7E8" w14:textId="77777777" w:rsidR="00C86514" w:rsidRDefault="00C86514"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D360" w14:textId="77777777" w:rsidR="00C86514" w:rsidRDefault="00C86514" w:rsidP="00536CE1">
      <w:pPr>
        <w:spacing w:after="0" w:line="240" w:lineRule="auto"/>
      </w:pPr>
      <w:r>
        <w:separator/>
      </w:r>
    </w:p>
  </w:footnote>
  <w:footnote w:type="continuationSeparator" w:id="0">
    <w:p w14:paraId="660EDE97" w14:textId="77777777" w:rsidR="00C86514" w:rsidRDefault="00C86514"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DFF2" w14:textId="77777777" w:rsidR="00C86514" w:rsidRDefault="00C86514"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049A" w14:textId="77777777" w:rsidR="00C86514" w:rsidRPr="00373208" w:rsidRDefault="00C86514"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5A4E5" w14:textId="77777777" w:rsidR="00C86514" w:rsidRPr="00F8298C" w:rsidRDefault="00C86514" w:rsidP="00041909">
    <w:pPr>
      <w:pStyle w:val="Header"/>
    </w:pPr>
    <w:r>
      <w:t>July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48BC" w14:textId="77777777" w:rsidR="00C86514" w:rsidRDefault="00C86514"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21CB28AC"/>
    <w:multiLevelType w:val="hybridMultilevel"/>
    <w:tmpl w:val="00FAD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2E08AD"/>
    <w:multiLevelType w:val="hybridMultilevel"/>
    <w:tmpl w:val="ABD82CA6"/>
    <w:lvl w:ilvl="0" w:tplc="61EC124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D031F"/>
    <w:multiLevelType w:val="hybridMultilevel"/>
    <w:tmpl w:val="B3962F28"/>
    <w:lvl w:ilvl="0" w:tplc="04090011">
      <w:start w:val="1"/>
      <w:numFmt w:val="decimal"/>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9203D"/>
    <w:multiLevelType w:val="hybridMultilevel"/>
    <w:tmpl w:val="07D4C530"/>
    <w:lvl w:ilvl="0" w:tplc="04090015">
      <w:start w:val="1"/>
      <w:numFmt w:val="upperLetter"/>
      <w:lvlText w:val="%1."/>
      <w:lvlJc w:val="left"/>
      <w:pPr>
        <w:ind w:left="360" w:hanging="360"/>
      </w:pPr>
      <w:rPr>
        <w:rFonts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nsid w:val="4E5D10BB"/>
    <w:multiLevelType w:val="hybridMultilevel"/>
    <w:tmpl w:val="EE26C080"/>
    <w:lvl w:ilvl="0" w:tplc="3BE42E12">
      <w:start w:val="1"/>
      <w:numFmt w:val="bullet"/>
      <w:lvlText w:val=""/>
      <w:lvlJc w:val="left"/>
      <w:pPr>
        <w:tabs>
          <w:tab w:val="num" w:pos="720"/>
        </w:tabs>
        <w:ind w:left="720" w:hanging="360"/>
      </w:pPr>
      <w:rPr>
        <w:rFonts w:ascii="Symbol" w:hAnsi="Symbol" w:hint="default"/>
      </w:rPr>
    </w:lvl>
    <w:lvl w:ilvl="1" w:tplc="751E6B82" w:tentative="1">
      <w:start w:val="1"/>
      <w:numFmt w:val="bullet"/>
      <w:lvlText w:val="o"/>
      <w:lvlJc w:val="left"/>
      <w:pPr>
        <w:tabs>
          <w:tab w:val="num" w:pos="1440"/>
        </w:tabs>
        <w:ind w:left="1440" w:hanging="360"/>
      </w:pPr>
      <w:rPr>
        <w:rFonts w:ascii="Courier New" w:hAnsi="Courier New" w:cs="Courier New" w:hint="default"/>
      </w:rPr>
    </w:lvl>
    <w:lvl w:ilvl="2" w:tplc="04090017"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F5251AA"/>
    <w:multiLevelType w:val="hybridMultilevel"/>
    <w:tmpl w:val="A41A2750"/>
    <w:lvl w:ilvl="0" w:tplc="8D9E58E2">
      <w:start w:val="1"/>
      <w:numFmt w:val="decimal"/>
      <w:lvlText w:val="(%1)"/>
      <w:lvlJc w:val="left"/>
      <w:pPr>
        <w:ind w:left="1800" w:hanging="360"/>
      </w:pPr>
      <w:rPr>
        <w:rFonts w:asciiTheme="minorHAnsi" w:eastAsiaTheme="minorEastAsia" w:hAnsiTheme="minorHAns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B92D7F"/>
    <w:multiLevelType w:val="hybridMultilevel"/>
    <w:tmpl w:val="055A9420"/>
    <w:lvl w:ilvl="0" w:tplc="25CA3372">
      <w:start w:val="1"/>
      <w:numFmt w:val="decimal"/>
      <w:pStyle w:val="ListParagraph"/>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7B320F"/>
    <w:multiLevelType w:val="hybridMultilevel"/>
    <w:tmpl w:val="91A887F8"/>
    <w:lvl w:ilvl="0" w:tplc="ED00C66A">
      <w:start w:val="1"/>
      <w:numFmt w:val="upperLetter"/>
      <w:lvlText w:val="%1."/>
      <w:lvlJc w:val="left"/>
      <w:pPr>
        <w:ind w:left="720" w:hanging="360"/>
      </w:pPr>
      <w:rPr>
        <w:rFonts w:hint="default"/>
      </w:rPr>
    </w:lvl>
    <w:lvl w:ilvl="1" w:tplc="03BA7496">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6D8D07D1"/>
    <w:multiLevelType w:val="hybridMultilevel"/>
    <w:tmpl w:val="7576B02E"/>
    <w:lvl w:ilvl="0" w:tplc="04090011">
      <w:start w:val="1"/>
      <w:numFmt w:val="decimal"/>
      <w:lvlText w:val="%1)"/>
      <w:lvlJc w:val="left"/>
      <w:pPr>
        <w:ind w:left="360" w:hanging="360"/>
      </w:pPr>
      <w:rPr>
        <w:rFonts w:hint="default"/>
      </w:rPr>
    </w:lvl>
    <w:lvl w:ilvl="1" w:tplc="04090019">
      <w:start w:val="1"/>
      <w:numFmt w:val="bullet"/>
      <w:lvlText w:val="o"/>
      <w:lvlJc w:val="left"/>
      <w:pPr>
        <w:ind w:left="1080" w:hanging="360"/>
      </w:pPr>
      <w:rPr>
        <w:rFonts w:ascii="Courier New" w:hAnsi="Courier New" w:cs="Courier New" w:hint="default"/>
      </w:rPr>
    </w:lvl>
    <w:lvl w:ilvl="2" w:tplc="0409001B">
      <w:numFmt w:val="bullet"/>
      <w:lvlText w:val="-"/>
      <w:lvlJc w:val="left"/>
      <w:pPr>
        <w:ind w:left="2160" w:hanging="720"/>
      </w:pPr>
      <w:rPr>
        <w:rFonts w:ascii="Times New Roman" w:eastAsiaTheme="minorEastAsia" w:hAnsi="Times New Roman" w:cs="Times New Roman"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7">
    <w:nsid w:val="773A428B"/>
    <w:multiLevelType w:val="hybridMultilevel"/>
    <w:tmpl w:val="BF026634"/>
    <w:lvl w:ilvl="0" w:tplc="3A02D546">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6"/>
  </w:num>
  <w:num w:numId="9">
    <w:abstractNumId w:val="10"/>
  </w:num>
  <w:num w:numId="10">
    <w:abstractNumId w:val="7"/>
  </w:num>
  <w:num w:numId="11">
    <w:abstractNumId w:val="14"/>
  </w:num>
  <w:num w:numId="12">
    <w:abstractNumId w:val="17"/>
  </w:num>
  <w:num w:numId="13">
    <w:abstractNumId w:val="15"/>
  </w:num>
  <w:num w:numId="14">
    <w:abstractNumId w:val="11"/>
  </w:num>
  <w:num w:numId="15">
    <w:abstractNumId w:val="9"/>
  </w:num>
  <w:num w:numId="16">
    <w:abstractNumId w:val="13"/>
  </w:num>
  <w:num w:numId="17">
    <w:abstractNumId w:val="12"/>
  </w:num>
  <w:num w:numId="18">
    <w:abstractNumId w:val="8"/>
  </w:num>
  <w:num w:numId="19">
    <w:abstractNumId w:val="1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cumentProtection w:formatting="1" w:enforcement="0"/>
  <w:styleLockTheme/>
  <w:styleLockQFSet/>
  <w:defaultTabStop w:val="720"/>
  <w:drawingGridHorizontalSpacing w:val="110"/>
  <w:displayHorizontalDrawingGridEvery w:val="2"/>
  <w:characterSpacingControl w:val="doNotCompress"/>
  <w:hdrShapeDefaults>
    <o:shapedefaults v:ext="edit" spidmax="2048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364C"/>
    <w:rsid w:val="00004135"/>
    <w:rsid w:val="000041A1"/>
    <w:rsid w:val="000053BB"/>
    <w:rsid w:val="00011B3F"/>
    <w:rsid w:val="00012113"/>
    <w:rsid w:val="00013373"/>
    <w:rsid w:val="000142E5"/>
    <w:rsid w:val="00015DA7"/>
    <w:rsid w:val="000248CE"/>
    <w:rsid w:val="00024E1E"/>
    <w:rsid w:val="00034A4B"/>
    <w:rsid w:val="000355BD"/>
    <w:rsid w:val="00041909"/>
    <w:rsid w:val="00046593"/>
    <w:rsid w:val="000466C0"/>
    <w:rsid w:val="00047C08"/>
    <w:rsid w:val="0005401F"/>
    <w:rsid w:val="00055769"/>
    <w:rsid w:val="00056EC3"/>
    <w:rsid w:val="00062CFE"/>
    <w:rsid w:val="00063077"/>
    <w:rsid w:val="0007129A"/>
    <w:rsid w:val="00076175"/>
    <w:rsid w:val="000831C4"/>
    <w:rsid w:val="000844CA"/>
    <w:rsid w:val="00091FF1"/>
    <w:rsid w:val="000B3FBE"/>
    <w:rsid w:val="000C28E1"/>
    <w:rsid w:val="000C5311"/>
    <w:rsid w:val="000F040A"/>
    <w:rsid w:val="000F2383"/>
    <w:rsid w:val="001034E8"/>
    <w:rsid w:val="00103F56"/>
    <w:rsid w:val="00112A69"/>
    <w:rsid w:val="0011541D"/>
    <w:rsid w:val="00132F4A"/>
    <w:rsid w:val="00137342"/>
    <w:rsid w:val="00154192"/>
    <w:rsid w:val="00160BC8"/>
    <w:rsid w:val="00167425"/>
    <w:rsid w:val="00176646"/>
    <w:rsid w:val="001807A3"/>
    <w:rsid w:val="001947D5"/>
    <w:rsid w:val="0019709C"/>
    <w:rsid w:val="001A6E1E"/>
    <w:rsid w:val="001B0E69"/>
    <w:rsid w:val="001B0EC4"/>
    <w:rsid w:val="001B6585"/>
    <w:rsid w:val="001C51EA"/>
    <w:rsid w:val="001D03A8"/>
    <w:rsid w:val="001F2862"/>
    <w:rsid w:val="001F3A8F"/>
    <w:rsid w:val="002008B4"/>
    <w:rsid w:val="00201F24"/>
    <w:rsid w:val="002127CE"/>
    <w:rsid w:val="00215842"/>
    <w:rsid w:val="002207DF"/>
    <w:rsid w:val="00221AC2"/>
    <w:rsid w:val="00227E4B"/>
    <w:rsid w:val="0023015A"/>
    <w:rsid w:val="002327D1"/>
    <w:rsid w:val="0023708A"/>
    <w:rsid w:val="0025022D"/>
    <w:rsid w:val="002530BB"/>
    <w:rsid w:val="002556F3"/>
    <w:rsid w:val="00260EDF"/>
    <w:rsid w:val="00264148"/>
    <w:rsid w:val="00274179"/>
    <w:rsid w:val="002757E8"/>
    <w:rsid w:val="00286604"/>
    <w:rsid w:val="002A08BC"/>
    <w:rsid w:val="002B0FD2"/>
    <w:rsid w:val="002B5DA7"/>
    <w:rsid w:val="002C378C"/>
    <w:rsid w:val="002D767D"/>
    <w:rsid w:val="002E3FD5"/>
    <w:rsid w:val="002E7A38"/>
    <w:rsid w:val="00306516"/>
    <w:rsid w:val="003469CB"/>
    <w:rsid w:val="00350C8B"/>
    <w:rsid w:val="00351310"/>
    <w:rsid w:val="00363331"/>
    <w:rsid w:val="00371E14"/>
    <w:rsid w:val="00373208"/>
    <w:rsid w:val="00383DB3"/>
    <w:rsid w:val="003854B2"/>
    <w:rsid w:val="00385AE6"/>
    <w:rsid w:val="00387C8D"/>
    <w:rsid w:val="00392DD0"/>
    <w:rsid w:val="00396BCB"/>
    <w:rsid w:val="00397825"/>
    <w:rsid w:val="003A06C9"/>
    <w:rsid w:val="003A1073"/>
    <w:rsid w:val="003A10F3"/>
    <w:rsid w:val="003A3906"/>
    <w:rsid w:val="003B03A4"/>
    <w:rsid w:val="003C03EA"/>
    <w:rsid w:val="003C2487"/>
    <w:rsid w:val="003C690C"/>
    <w:rsid w:val="003E40FA"/>
    <w:rsid w:val="003F24ED"/>
    <w:rsid w:val="003F46EA"/>
    <w:rsid w:val="003F529E"/>
    <w:rsid w:val="00426481"/>
    <w:rsid w:val="00432966"/>
    <w:rsid w:val="004530E7"/>
    <w:rsid w:val="0045608E"/>
    <w:rsid w:val="0045662F"/>
    <w:rsid w:val="00466959"/>
    <w:rsid w:val="0047784B"/>
    <w:rsid w:val="004946F0"/>
    <w:rsid w:val="00497C2A"/>
    <w:rsid w:val="004A0B1D"/>
    <w:rsid w:val="004B1075"/>
    <w:rsid w:val="004C277B"/>
    <w:rsid w:val="004D05FB"/>
    <w:rsid w:val="004D29C7"/>
    <w:rsid w:val="00504119"/>
    <w:rsid w:val="005065CF"/>
    <w:rsid w:val="00506BB4"/>
    <w:rsid w:val="0050705F"/>
    <w:rsid w:val="00513C3B"/>
    <w:rsid w:val="005170D3"/>
    <w:rsid w:val="0052493A"/>
    <w:rsid w:val="00531D95"/>
    <w:rsid w:val="00535CAF"/>
    <w:rsid w:val="00536054"/>
    <w:rsid w:val="0053654B"/>
    <w:rsid w:val="00536CE1"/>
    <w:rsid w:val="0054180D"/>
    <w:rsid w:val="00547B53"/>
    <w:rsid w:val="00571D8F"/>
    <w:rsid w:val="0057367D"/>
    <w:rsid w:val="00573FD7"/>
    <w:rsid w:val="00585BE3"/>
    <w:rsid w:val="0059212D"/>
    <w:rsid w:val="005B2B58"/>
    <w:rsid w:val="005B4D4E"/>
    <w:rsid w:val="005C00FA"/>
    <w:rsid w:val="005C2D89"/>
    <w:rsid w:val="005C485B"/>
    <w:rsid w:val="005D39D7"/>
    <w:rsid w:val="005D5956"/>
    <w:rsid w:val="005D6F63"/>
    <w:rsid w:val="005F4848"/>
    <w:rsid w:val="00616E46"/>
    <w:rsid w:val="0062008C"/>
    <w:rsid w:val="00620797"/>
    <w:rsid w:val="00626494"/>
    <w:rsid w:val="00641DE2"/>
    <w:rsid w:val="00643384"/>
    <w:rsid w:val="00652DB2"/>
    <w:rsid w:val="0065406F"/>
    <w:rsid w:val="00663EC4"/>
    <w:rsid w:val="00677C5F"/>
    <w:rsid w:val="0069364B"/>
    <w:rsid w:val="006A0BC7"/>
    <w:rsid w:val="006C0062"/>
    <w:rsid w:val="006C06B5"/>
    <w:rsid w:val="006C097E"/>
    <w:rsid w:val="006C2DC3"/>
    <w:rsid w:val="006D0439"/>
    <w:rsid w:val="006D42EC"/>
    <w:rsid w:val="00711414"/>
    <w:rsid w:val="00725453"/>
    <w:rsid w:val="00730DA0"/>
    <w:rsid w:val="00737591"/>
    <w:rsid w:val="007438F2"/>
    <w:rsid w:val="00755C3D"/>
    <w:rsid w:val="007576EF"/>
    <w:rsid w:val="00760677"/>
    <w:rsid w:val="00761C12"/>
    <w:rsid w:val="007658BA"/>
    <w:rsid w:val="00776CF4"/>
    <w:rsid w:val="00784F89"/>
    <w:rsid w:val="007860AC"/>
    <w:rsid w:val="00786336"/>
    <w:rsid w:val="0079037F"/>
    <w:rsid w:val="007A0E7F"/>
    <w:rsid w:val="007A4378"/>
    <w:rsid w:val="007C1F59"/>
    <w:rsid w:val="007C24DA"/>
    <w:rsid w:val="007C5CE9"/>
    <w:rsid w:val="007D39CC"/>
    <w:rsid w:val="007D6AAF"/>
    <w:rsid w:val="007E53C4"/>
    <w:rsid w:val="007E5A11"/>
    <w:rsid w:val="007E73E6"/>
    <w:rsid w:val="007F1954"/>
    <w:rsid w:val="007F21D7"/>
    <w:rsid w:val="007F2B30"/>
    <w:rsid w:val="008057F8"/>
    <w:rsid w:val="008213F9"/>
    <w:rsid w:val="008307E1"/>
    <w:rsid w:val="00836D62"/>
    <w:rsid w:val="00844524"/>
    <w:rsid w:val="00867160"/>
    <w:rsid w:val="0087205B"/>
    <w:rsid w:val="00873EDA"/>
    <w:rsid w:val="00874032"/>
    <w:rsid w:val="00874FB8"/>
    <w:rsid w:val="008877B9"/>
    <w:rsid w:val="00895669"/>
    <w:rsid w:val="00897946"/>
    <w:rsid w:val="008A1ACA"/>
    <w:rsid w:val="008A2788"/>
    <w:rsid w:val="008A3276"/>
    <w:rsid w:val="008A3447"/>
    <w:rsid w:val="008B667E"/>
    <w:rsid w:val="008C734C"/>
    <w:rsid w:val="008E4BF2"/>
    <w:rsid w:val="008F4CBD"/>
    <w:rsid w:val="008F60C8"/>
    <w:rsid w:val="009017AD"/>
    <w:rsid w:val="00901BED"/>
    <w:rsid w:val="00905735"/>
    <w:rsid w:val="009131B9"/>
    <w:rsid w:val="00920B50"/>
    <w:rsid w:val="00935805"/>
    <w:rsid w:val="009368F3"/>
    <w:rsid w:val="00947C42"/>
    <w:rsid w:val="00950489"/>
    <w:rsid w:val="00957DE9"/>
    <w:rsid w:val="00965A44"/>
    <w:rsid w:val="00967D7C"/>
    <w:rsid w:val="009757AD"/>
    <w:rsid w:val="00980B6A"/>
    <w:rsid w:val="009817CE"/>
    <w:rsid w:val="009818F9"/>
    <w:rsid w:val="0098618F"/>
    <w:rsid w:val="00987C32"/>
    <w:rsid w:val="00991646"/>
    <w:rsid w:val="0099448B"/>
    <w:rsid w:val="00997347"/>
    <w:rsid w:val="009A6235"/>
    <w:rsid w:val="009B19CE"/>
    <w:rsid w:val="009B4E57"/>
    <w:rsid w:val="009C202F"/>
    <w:rsid w:val="009C77F7"/>
    <w:rsid w:val="009D69E6"/>
    <w:rsid w:val="009E5ABC"/>
    <w:rsid w:val="009E5B9C"/>
    <w:rsid w:val="009F4ED1"/>
    <w:rsid w:val="00A00D71"/>
    <w:rsid w:val="00A00EDF"/>
    <w:rsid w:val="00A01C47"/>
    <w:rsid w:val="00A20831"/>
    <w:rsid w:val="00A26A17"/>
    <w:rsid w:val="00A30169"/>
    <w:rsid w:val="00A312A3"/>
    <w:rsid w:val="00A33D9F"/>
    <w:rsid w:val="00A37229"/>
    <w:rsid w:val="00A41763"/>
    <w:rsid w:val="00A418C9"/>
    <w:rsid w:val="00A54472"/>
    <w:rsid w:val="00A56637"/>
    <w:rsid w:val="00A67AE7"/>
    <w:rsid w:val="00A74C9B"/>
    <w:rsid w:val="00A81330"/>
    <w:rsid w:val="00A93478"/>
    <w:rsid w:val="00A97FE7"/>
    <w:rsid w:val="00AA368F"/>
    <w:rsid w:val="00AA46CA"/>
    <w:rsid w:val="00AA7EFA"/>
    <w:rsid w:val="00AB61B3"/>
    <w:rsid w:val="00AC323A"/>
    <w:rsid w:val="00AD6357"/>
    <w:rsid w:val="00AD7F81"/>
    <w:rsid w:val="00AE4CA9"/>
    <w:rsid w:val="00AF2B5F"/>
    <w:rsid w:val="00AF367D"/>
    <w:rsid w:val="00AF45FD"/>
    <w:rsid w:val="00B00154"/>
    <w:rsid w:val="00B35E2A"/>
    <w:rsid w:val="00B4263D"/>
    <w:rsid w:val="00B54E54"/>
    <w:rsid w:val="00B56F49"/>
    <w:rsid w:val="00B7442A"/>
    <w:rsid w:val="00B86BC5"/>
    <w:rsid w:val="00B9137D"/>
    <w:rsid w:val="00B97002"/>
    <w:rsid w:val="00BA79C2"/>
    <w:rsid w:val="00BB2F70"/>
    <w:rsid w:val="00BB5A69"/>
    <w:rsid w:val="00BB6CF4"/>
    <w:rsid w:val="00BC14C3"/>
    <w:rsid w:val="00BC1ABE"/>
    <w:rsid w:val="00BD2F20"/>
    <w:rsid w:val="00BD4F62"/>
    <w:rsid w:val="00BE3A26"/>
    <w:rsid w:val="00BE4AFD"/>
    <w:rsid w:val="00BF2CC5"/>
    <w:rsid w:val="00BF5764"/>
    <w:rsid w:val="00C00590"/>
    <w:rsid w:val="00C04647"/>
    <w:rsid w:val="00C058CF"/>
    <w:rsid w:val="00C12551"/>
    <w:rsid w:val="00C211CD"/>
    <w:rsid w:val="00C25328"/>
    <w:rsid w:val="00C3744D"/>
    <w:rsid w:val="00C43A84"/>
    <w:rsid w:val="00C64137"/>
    <w:rsid w:val="00C658E4"/>
    <w:rsid w:val="00C722B2"/>
    <w:rsid w:val="00C7266E"/>
    <w:rsid w:val="00C74606"/>
    <w:rsid w:val="00C76C66"/>
    <w:rsid w:val="00C82DF9"/>
    <w:rsid w:val="00C86514"/>
    <w:rsid w:val="00C87190"/>
    <w:rsid w:val="00CA1564"/>
    <w:rsid w:val="00CA6180"/>
    <w:rsid w:val="00CA7C8A"/>
    <w:rsid w:val="00CB44E8"/>
    <w:rsid w:val="00CB7978"/>
    <w:rsid w:val="00CC1D12"/>
    <w:rsid w:val="00CE42E9"/>
    <w:rsid w:val="00D001E4"/>
    <w:rsid w:val="00D00AA8"/>
    <w:rsid w:val="00D02778"/>
    <w:rsid w:val="00D1398E"/>
    <w:rsid w:val="00D13E84"/>
    <w:rsid w:val="00D1656B"/>
    <w:rsid w:val="00D300F4"/>
    <w:rsid w:val="00D32B94"/>
    <w:rsid w:val="00D3344B"/>
    <w:rsid w:val="00D40175"/>
    <w:rsid w:val="00D55243"/>
    <w:rsid w:val="00D62F90"/>
    <w:rsid w:val="00D63E74"/>
    <w:rsid w:val="00D715C4"/>
    <w:rsid w:val="00D766D2"/>
    <w:rsid w:val="00D928FD"/>
    <w:rsid w:val="00DB49F2"/>
    <w:rsid w:val="00DC79E3"/>
    <w:rsid w:val="00DD51E1"/>
    <w:rsid w:val="00DE2D54"/>
    <w:rsid w:val="00DF50CA"/>
    <w:rsid w:val="00E02BB0"/>
    <w:rsid w:val="00E03CE6"/>
    <w:rsid w:val="00E0419A"/>
    <w:rsid w:val="00E054AC"/>
    <w:rsid w:val="00E13716"/>
    <w:rsid w:val="00E266FF"/>
    <w:rsid w:val="00E27661"/>
    <w:rsid w:val="00E47DB3"/>
    <w:rsid w:val="00E509A9"/>
    <w:rsid w:val="00E51E43"/>
    <w:rsid w:val="00E51F8B"/>
    <w:rsid w:val="00E5242A"/>
    <w:rsid w:val="00E53398"/>
    <w:rsid w:val="00E66AE2"/>
    <w:rsid w:val="00E74DA4"/>
    <w:rsid w:val="00E81B89"/>
    <w:rsid w:val="00E91432"/>
    <w:rsid w:val="00E91B5A"/>
    <w:rsid w:val="00ED6E45"/>
    <w:rsid w:val="00EE2CAF"/>
    <w:rsid w:val="00EE43E4"/>
    <w:rsid w:val="00F001EA"/>
    <w:rsid w:val="00F056C3"/>
    <w:rsid w:val="00F1695C"/>
    <w:rsid w:val="00F16B90"/>
    <w:rsid w:val="00F34F19"/>
    <w:rsid w:val="00F44A21"/>
    <w:rsid w:val="00F575F0"/>
    <w:rsid w:val="00F57850"/>
    <w:rsid w:val="00F6664C"/>
    <w:rsid w:val="00F80AF1"/>
    <w:rsid w:val="00F8298C"/>
    <w:rsid w:val="00F90245"/>
    <w:rsid w:val="00F920D9"/>
    <w:rsid w:val="00F93737"/>
    <w:rsid w:val="00F94781"/>
    <w:rsid w:val="00FA5388"/>
    <w:rsid w:val="00FB0276"/>
    <w:rsid w:val="00FB08E3"/>
    <w:rsid w:val="00FB6BF3"/>
    <w:rsid w:val="00FD397B"/>
    <w:rsid w:val="00FD4B01"/>
    <w:rsid w:val="00FD52F2"/>
    <w:rsid w:val="00FD7CDC"/>
    <w:rsid w:val="00FE58E0"/>
    <w:rsid w:val="00FE74D0"/>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o:shapedefaults>
    <o:shapelayout v:ext="edit">
      <o:idmap v:ext="edit" data="1"/>
    </o:shapelayout>
  </w:shapeDefaults>
  <w:decimalSymbol w:val="."/>
  <w:listSeparator w:val=","/>
  <w14:docId w14:val="7AB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qFormat="1"/>
    <w:lsdException w:name="toc 4" w:locked="0" w:qFormat="1"/>
    <w:lsdException w:name="footnote text" w:locked="0" w:uiPriority="0" w:qFormat="1"/>
    <w:lsdException w:name="header" w:locked="0" w:qFormat="1"/>
    <w:lsdException w:name="footer" w:locked="0" w:qFormat="1"/>
    <w:lsdException w:name="caption" w:locked="0" w:uiPriority="35" w:qFormat="1"/>
    <w:lsdException w:name="table of figures" w:locked="0"/>
    <w:lsdException w:name="footnote reference" w:locked="0" w:uiPriority="0"/>
    <w:lsdException w:name="List Bullet" w:uiPriority="36"/>
    <w:lsdException w:name="List Bullet 2" w:uiPriority="36"/>
    <w:lsdException w:name="List Bullet 3" w:uiPriority="36"/>
    <w:lsdException w:name="List Bullet 4" w:uiPriority="36"/>
    <w:lsdException w:name="Title" w:semiHidden="0" w:uiPriority="10" w:unhideWhenUsed="0" w:qFormat="1"/>
    <w:lsdException w:name="Default Paragraph Font" w:locked="0" w:uiPriority="1"/>
    <w:lsdException w:name="Subtitle" w:uiPriority="11" w:unhideWhenUsed="0" w:qFormat="1"/>
    <w:lsdException w:name="Date" w:qFormat="1"/>
    <w:lsdException w:name="Body Text First Indent" w:qFormat="1"/>
    <w:lsdException w:name="Note Heading" w:uiPriority="13" w:qFormat="1"/>
    <w:lsdException w:name="Body Text 2" w:uiPriority="0"/>
    <w:lsdException w:name="Body Text Indent 3" w:qFormat="1"/>
    <w:lsdException w:name="Block Text" w:uiPriority="40"/>
    <w:lsdException w:name="Hyperlink" w:locked="0" w:qFormat="1"/>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1"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9"/>
    <w:qFormat/>
    <w:rsid w:val="007E53C4"/>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9"/>
    <w:qFormat/>
    <w:rsid w:val="008A2788"/>
    <w:pPr>
      <w:keepNext/>
      <w:keepLines/>
      <w:spacing w:before="200" w:after="240"/>
      <w:outlineLvl w:val="1"/>
    </w:pPr>
    <w:rPr>
      <w:rFonts w:eastAsia="Times New Roman" w:cstheme="majorBidi"/>
      <w:color w:val="1396D8"/>
      <w:sz w:val="24"/>
      <w:szCs w:val="26"/>
      <w:lang w:bidi="en-US"/>
    </w:rPr>
  </w:style>
  <w:style w:type="paragraph" w:styleId="Heading3">
    <w:name w:val="heading 3"/>
    <w:basedOn w:val="Heading2"/>
    <w:next w:val="Normal"/>
    <w:link w:val="Heading3Char"/>
    <w:autoRedefine/>
    <w:uiPriority w:val="9"/>
    <w:qFormat/>
    <w:rsid w:val="00FD7CDC"/>
    <w:pPr>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9"/>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qFormat/>
    <w:locked/>
    <w:rsid w:val="00112A69"/>
    <w:pPr>
      <w:numPr>
        <w:ilvl w:val="4"/>
      </w:numPr>
      <w:outlineLvl w:val="4"/>
    </w:pPr>
    <w:rPr>
      <w:sz w:val="20"/>
    </w:rPr>
  </w:style>
  <w:style w:type="paragraph" w:styleId="Heading6">
    <w:name w:val="heading 6"/>
    <w:basedOn w:val="Heading5"/>
    <w:next w:val="Normal"/>
    <w:link w:val="Heading6Char"/>
    <w:autoRedefine/>
    <w:uiPriority w:val="9"/>
    <w:qFormat/>
    <w:locked/>
    <w:rsid w:val="00112A69"/>
    <w:pPr>
      <w:numPr>
        <w:ilvl w:val="5"/>
      </w:numPr>
      <w:outlineLvl w:val="5"/>
    </w:pPr>
    <w:rPr>
      <w:iCs w:val="0"/>
      <w:color w:val="666666"/>
    </w:rPr>
  </w:style>
  <w:style w:type="paragraph" w:styleId="Heading7">
    <w:name w:val="heading 7"/>
    <w:basedOn w:val="Normal"/>
    <w:next w:val="Normal"/>
    <w:link w:val="Heading7Char"/>
    <w:uiPriority w:val="9"/>
    <w:qFormat/>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qFormat/>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05Indent">
    <w:name w:val="Left 0.5&quot; Indent"/>
    <w:basedOn w:val="BodyTextFirstIndent"/>
    <w:autoRedefine/>
    <w:semiHidden/>
    <w:qFormat/>
    <w:locked/>
    <w:rsid w:val="0099448B"/>
    <w:pPr>
      <w:ind w:left="360"/>
    </w:pPr>
    <w:rPr>
      <w:rFonts w:cs="Arial"/>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character" w:customStyle="1" w:styleId="Heading1Char">
    <w:name w:val="Heading 1 Char"/>
    <w:basedOn w:val="DefaultParagraphFont"/>
    <w:link w:val="Heading1"/>
    <w:uiPriority w:val="9"/>
    <w:rsid w:val="007E53C4"/>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8A2788"/>
    <w:rPr>
      <w:rFonts w:eastAsia="Times New Roman" w:cstheme="majorBidi"/>
      <w:color w:val="1396D8"/>
      <w:sz w:val="24"/>
      <w:szCs w:val="26"/>
      <w:lang w:bidi="en-US"/>
    </w:rPr>
  </w:style>
  <w:style w:type="character" w:customStyle="1" w:styleId="Heading3Char">
    <w:name w:val="Heading 3 Char"/>
    <w:basedOn w:val="DefaultParagraphFont"/>
    <w:link w:val="Heading3"/>
    <w:uiPriority w:val="9"/>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9"/>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5243"/>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112A69"/>
    <w:pPr>
      <w:spacing w:after="0"/>
      <w:jc w:val="both"/>
    </w:pPr>
  </w:style>
  <w:style w:type="character" w:customStyle="1" w:styleId="NoSpacingChar">
    <w:name w:val="No Spacing Char"/>
    <w:basedOn w:val="DefaultParagraphFont"/>
    <w:link w:val="NoSpacing"/>
    <w:uiPriority w:val="1"/>
    <w:rsid w:val="0079037F"/>
  </w:style>
  <w:style w:type="paragraph" w:styleId="Caption">
    <w:name w:val="caption"/>
    <w:basedOn w:val="Normal"/>
    <w:next w:val="Normal"/>
    <w:autoRedefine/>
    <w:uiPriority w:val="35"/>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qFormat/>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29"/>
    <w:qFormat/>
    <w:rsid w:val="00112A69"/>
    <w:pPr>
      <w:ind w:left="720" w:right="720"/>
    </w:pPr>
    <w:rPr>
      <w:iCs/>
      <w:color w:val="000000" w:themeColor="text1"/>
    </w:rPr>
  </w:style>
  <w:style w:type="character" w:customStyle="1" w:styleId="QuoteChar">
    <w:name w:val="Quote Char"/>
    <w:basedOn w:val="DefaultParagraphFont"/>
    <w:link w:val="Quote"/>
    <w:uiPriority w:val="29"/>
    <w:rsid w:val="00D55243"/>
    <w:rPr>
      <w:iCs/>
      <w:color w:val="000000" w:themeColor="text1"/>
    </w:rPr>
  </w:style>
  <w:style w:type="character" w:styleId="IntenseEmphasis">
    <w:name w:val="Intense Emphasis"/>
    <w:basedOn w:val="DefaultParagraphFont"/>
    <w:uiPriority w:val="21"/>
    <w:qFormat/>
    <w:locked/>
    <w:rsid w:val="00112A69"/>
    <w:rPr>
      <w:rFonts w:asciiTheme="minorHAnsi" w:hAnsiTheme="minorHAnsi"/>
      <w:b/>
      <w:bCs/>
      <w:i/>
      <w:iCs/>
      <w:color w:val="1396D8"/>
      <w:sz w:val="20"/>
    </w:rPr>
  </w:style>
  <w:style w:type="character" w:styleId="Emphasis">
    <w:name w:val="Emphasis"/>
    <w:basedOn w:val="DefaultParagraphFont"/>
    <w:uiPriority w:val="20"/>
    <w:qFormat/>
    <w:rsid w:val="00F80AF1"/>
    <w:rPr>
      <w:rFonts w:asciiTheme="minorHAnsi" w:hAnsiTheme="minorHAnsi"/>
      <w:b/>
      <w:iCs/>
      <w:sz w:val="22"/>
    </w:rPr>
  </w:style>
  <w:style w:type="paragraph" w:styleId="NormalWeb">
    <w:name w:val="Normal (Web)"/>
    <w:basedOn w:val="Normal"/>
    <w:uiPriority w:val="99"/>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722B2"/>
    <w:pPr>
      <w:numPr>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34" w:hanging="288"/>
      <w:contextualSpacing/>
    </w:pPr>
    <w:rPr>
      <w:sz w:val="24"/>
      <w:szCs w:val="24"/>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9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36"/>
    <w:locked/>
    <w:rsid w:val="00112A69"/>
    <w:pPr>
      <w:numPr>
        <w:numId w:val="4"/>
      </w:numPr>
      <w:contextualSpacing/>
    </w:pPr>
  </w:style>
  <w:style w:type="paragraph" w:styleId="ListBullet2">
    <w:name w:val="List Bullet 2"/>
    <w:basedOn w:val="Normal"/>
    <w:uiPriority w:val="36"/>
    <w:locked/>
    <w:rsid w:val="00112A69"/>
    <w:pPr>
      <w:numPr>
        <w:numId w:val="5"/>
      </w:numPr>
      <w:contextualSpacing/>
    </w:pPr>
  </w:style>
  <w:style w:type="paragraph" w:styleId="ListBullet3">
    <w:name w:val="List Bullet 3"/>
    <w:basedOn w:val="Normal"/>
    <w:uiPriority w:val="36"/>
    <w:locked/>
    <w:rsid w:val="00112A69"/>
    <w:pPr>
      <w:numPr>
        <w:numId w:val="6"/>
      </w:numPr>
      <w:contextualSpacing/>
    </w:pPr>
  </w:style>
  <w:style w:type="paragraph" w:styleId="ListBullet4">
    <w:name w:val="List Bullet 4"/>
    <w:basedOn w:val="Normal"/>
    <w:uiPriority w:val="36"/>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9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10"/>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10"/>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1"/>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TableGrid1">
    <w:name w:val="Table Grid1"/>
    <w:basedOn w:val="TableNormal"/>
    <w:next w:val="TableGrid"/>
    <w:uiPriority w:val="1"/>
    <w:rsid w:val="00C74606"/>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locked/>
    <w:rsid w:val="0079037F"/>
    <w:pPr>
      <w:spacing w:after="120" w:line="480" w:lineRule="auto"/>
    </w:pPr>
  </w:style>
  <w:style w:type="character" w:customStyle="1" w:styleId="BodyText2Char">
    <w:name w:val="Body Text 2 Char"/>
    <w:basedOn w:val="DefaultParagraphFont"/>
    <w:link w:val="BodyText2"/>
    <w:rsid w:val="0079037F"/>
  </w:style>
  <w:style w:type="paragraph" w:styleId="Subtitle">
    <w:name w:val="Subtitle"/>
    <w:basedOn w:val="Normal"/>
    <w:next w:val="Normal"/>
    <w:link w:val="SubtitleChar"/>
    <w:uiPriority w:val="11"/>
    <w:qFormat/>
    <w:locked/>
    <w:rsid w:val="0079037F"/>
    <w:pPr>
      <w:spacing w:before="200" w:after="1000" w:line="240" w:lineRule="auto"/>
    </w:pPr>
    <w:rPr>
      <w:rFonts w:eastAsiaTheme="minorEastAsia"/>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79037F"/>
    <w:rPr>
      <w:rFonts w:eastAsiaTheme="minorEastAsia"/>
      <w:caps/>
      <w:color w:val="595959" w:themeColor="text1" w:themeTint="A6"/>
      <w:spacing w:val="10"/>
      <w:sz w:val="24"/>
      <w:szCs w:val="24"/>
      <w:lang w:bidi="en-US"/>
    </w:rPr>
  </w:style>
  <w:style w:type="paragraph" w:styleId="BlockText">
    <w:name w:val="Block Text"/>
    <w:aliases w:val="Block Quote"/>
    <w:uiPriority w:val="40"/>
    <w:locked/>
    <w:rsid w:val="0079037F"/>
    <w:pPr>
      <w:pBdr>
        <w:top w:val="single" w:sz="2" w:space="10" w:color="4EC8FF" w:themeColor="accent1" w:themeTint="99"/>
        <w:bottom w:val="single" w:sz="24" w:space="10" w:color="4EC8FF" w:themeColor="accent1" w:themeTint="99"/>
      </w:pBdr>
      <w:spacing w:before="200"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locked/>
    <w:rsid w:val="0079037F"/>
    <w:rPr>
      <w:b/>
      <w:bCs/>
      <w:i/>
      <w:iCs/>
      <w:spacing w:val="9"/>
    </w:rPr>
  </w:style>
  <w:style w:type="paragraph" w:styleId="IntenseQuote">
    <w:name w:val="Intense Quote"/>
    <w:basedOn w:val="Normal"/>
    <w:next w:val="Normal"/>
    <w:link w:val="IntenseQuoteChar"/>
    <w:uiPriority w:val="30"/>
    <w:qFormat/>
    <w:locked/>
    <w:rsid w:val="0079037F"/>
    <w:pPr>
      <w:pBdr>
        <w:top w:val="single" w:sz="4" w:space="10" w:color="0096D7" w:themeColor="accent1"/>
        <w:left w:val="single" w:sz="4" w:space="10" w:color="0096D7" w:themeColor="accent1"/>
      </w:pBdr>
      <w:spacing w:before="200" w:after="0" w:line="276" w:lineRule="auto"/>
      <w:ind w:left="1296" w:right="1152"/>
      <w:jc w:val="both"/>
    </w:pPr>
    <w:rPr>
      <w:rFonts w:eastAsiaTheme="minorEastAsia"/>
      <w:i/>
      <w:iCs/>
      <w:color w:val="0096D7" w:themeColor="accent1"/>
      <w:sz w:val="20"/>
      <w:szCs w:val="20"/>
      <w:lang w:bidi="en-US"/>
    </w:rPr>
  </w:style>
  <w:style w:type="character" w:customStyle="1" w:styleId="IntenseQuoteChar">
    <w:name w:val="Intense Quote Char"/>
    <w:basedOn w:val="DefaultParagraphFont"/>
    <w:link w:val="IntenseQuote"/>
    <w:uiPriority w:val="30"/>
    <w:rsid w:val="0079037F"/>
    <w:rPr>
      <w:rFonts w:eastAsiaTheme="minorEastAsia"/>
      <w:i/>
      <w:iCs/>
      <w:color w:val="0096D7" w:themeColor="accent1"/>
      <w:sz w:val="20"/>
      <w:szCs w:val="20"/>
      <w:lang w:bidi="en-US"/>
    </w:rPr>
  </w:style>
  <w:style w:type="paragraph" w:styleId="ListBullet5">
    <w:name w:val="List Bullet 5"/>
    <w:basedOn w:val="Normal"/>
    <w:uiPriority w:val="99"/>
    <w:unhideWhenUsed/>
    <w:locked/>
    <w:rsid w:val="0079037F"/>
    <w:pPr>
      <w:spacing w:before="200" w:after="0" w:line="276" w:lineRule="auto"/>
      <w:ind w:left="1800" w:hanging="360"/>
    </w:pPr>
    <w:rPr>
      <w:rFonts w:eastAsiaTheme="minorEastAsia"/>
      <w:sz w:val="20"/>
      <w:szCs w:val="20"/>
      <w:lang w:bidi="en-US"/>
    </w:rPr>
  </w:style>
  <w:style w:type="character" w:styleId="SubtleEmphasis">
    <w:name w:val="Subtle Emphasis"/>
    <w:uiPriority w:val="19"/>
    <w:qFormat/>
    <w:locked/>
    <w:rsid w:val="0079037F"/>
    <w:rPr>
      <w:i/>
      <w:iCs/>
      <w:color w:val="004A6B" w:themeColor="accent1" w:themeShade="7F"/>
    </w:rPr>
  </w:style>
  <w:style w:type="character" w:styleId="SubtleReference">
    <w:name w:val="Subtle Reference"/>
    <w:uiPriority w:val="31"/>
    <w:qFormat/>
    <w:locked/>
    <w:rsid w:val="0079037F"/>
    <w:rPr>
      <w:b/>
      <w:bCs/>
      <w:color w:val="0096D7" w:themeColor="accent1"/>
    </w:rPr>
  </w:style>
  <w:style w:type="character" w:customStyle="1" w:styleId="EndnoteTextChar">
    <w:name w:val="Endnote Text Char"/>
    <w:basedOn w:val="DefaultParagraphFont"/>
    <w:link w:val="EndnoteText"/>
    <w:uiPriority w:val="99"/>
    <w:semiHidden/>
    <w:rsid w:val="0079037F"/>
    <w:rPr>
      <w:rFonts w:eastAsiaTheme="minorEastAsia"/>
      <w:sz w:val="20"/>
      <w:szCs w:val="20"/>
      <w:lang w:bidi="en-US"/>
    </w:rPr>
  </w:style>
  <w:style w:type="paragraph" w:styleId="EndnoteText">
    <w:name w:val="endnote text"/>
    <w:basedOn w:val="Normal"/>
    <w:link w:val="EndnoteTextChar"/>
    <w:uiPriority w:val="99"/>
    <w:semiHidden/>
    <w:unhideWhenUsed/>
    <w:locked/>
    <w:rsid w:val="0079037F"/>
    <w:pPr>
      <w:spacing w:after="0" w:line="240" w:lineRule="auto"/>
    </w:pPr>
    <w:rPr>
      <w:rFonts w:eastAsiaTheme="minorEastAsia"/>
      <w:sz w:val="20"/>
      <w:szCs w:val="20"/>
      <w:lang w:bidi="en-US"/>
    </w:rPr>
  </w:style>
  <w:style w:type="paragraph" w:customStyle="1" w:styleId="TEXT0">
    <w:name w:val="TEXT"/>
    <w:basedOn w:val="Normal"/>
    <w:next w:val="Normal"/>
    <w:link w:val="TEXTChar"/>
    <w:autoRedefine/>
    <w:rsid w:val="00BF5764"/>
    <w:pPr>
      <w:spacing w:after="240" w:line="360" w:lineRule="auto"/>
    </w:pPr>
    <w:rPr>
      <w:rFonts w:eastAsia="Times New Roman" w:cs="Times New Roman"/>
      <w:szCs w:val="24"/>
    </w:rPr>
  </w:style>
  <w:style w:type="character" w:customStyle="1" w:styleId="TEXTChar">
    <w:name w:val="TEXT Char"/>
    <w:basedOn w:val="DefaultParagraphFont"/>
    <w:link w:val="TEXT0"/>
    <w:rsid w:val="00BF5764"/>
    <w:rPr>
      <w:rFonts w:eastAsia="Times New Roman" w:cs="Times New Roman"/>
      <w:szCs w:val="24"/>
    </w:rPr>
  </w:style>
  <w:style w:type="paragraph" w:styleId="CommentText">
    <w:name w:val="annotation text"/>
    <w:basedOn w:val="Normal"/>
    <w:link w:val="CommentTextChar"/>
    <w:uiPriority w:val="99"/>
    <w:unhideWhenUsed/>
    <w:locked/>
    <w:rsid w:val="0079037F"/>
    <w:pPr>
      <w:spacing w:before="200" w:line="240" w:lineRule="auto"/>
    </w:pPr>
    <w:rPr>
      <w:rFonts w:eastAsiaTheme="minorEastAsia"/>
      <w:sz w:val="20"/>
      <w:szCs w:val="20"/>
      <w:lang w:bidi="en-US"/>
    </w:rPr>
  </w:style>
  <w:style w:type="character" w:customStyle="1" w:styleId="CommentTextChar">
    <w:name w:val="Comment Text Char"/>
    <w:basedOn w:val="DefaultParagraphFont"/>
    <w:link w:val="CommentText"/>
    <w:uiPriority w:val="99"/>
    <w:rsid w:val="0079037F"/>
    <w:rPr>
      <w:rFonts w:eastAsiaTheme="minorEastAsia"/>
      <w:sz w:val="20"/>
      <w:szCs w:val="20"/>
      <w:lang w:bidi="en-US"/>
    </w:rPr>
  </w:style>
  <w:style w:type="character" w:customStyle="1" w:styleId="CommentSubjectChar">
    <w:name w:val="Comment Subject Char"/>
    <w:basedOn w:val="CommentTextChar"/>
    <w:link w:val="CommentSubject"/>
    <w:uiPriority w:val="99"/>
    <w:semiHidden/>
    <w:rsid w:val="0079037F"/>
    <w:rPr>
      <w:rFonts w:eastAsiaTheme="minorEastAsia"/>
      <w:b/>
      <w:bCs/>
      <w:sz w:val="20"/>
      <w:szCs w:val="20"/>
      <w:lang w:bidi="en-US"/>
    </w:rPr>
  </w:style>
  <w:style w:type="paragraph" w:styleId="CommentSubject">
    <w:name w:val="annotation subject"/>
    <w:basedOn w:val="CommentText"/>
    <w:next w:val="CommentText"/>
    <w:link w:val="CommentSubjectChar"/>
    <w:uiPriority w:val="99"/>
    <w:semiHidden/>
    <w:unhideWhenUsed/>
    <w:locked/>
    <w:rsid w:val="0079037F"/>
    <w:rPr>
      <w:b/>
      <w:bCs/>
    </w:rPr>
  </w:style>
  <w:style w:type="paragraph" w:customStyle="1" w:styleId="Default">
    <w:name w:val="Default"/>
    <w:rsid w:val="0079037F"/>
    <w:pPr>
      <w:autoSpaceDE w:val="0"/>
      <w:autoSpaceDN w:val="0"/>
      <w:adjustRightInd w:val="0"/>
      <w:spacing w:after="0"/>
    </w:pPr>
    <w:rPr>
      <w:rFonts w:ascii="Times New Roman" w:hAnsi="Times New Roman" w:cs="Times New Roman"/>
      <w:color w:val="000000"/>
      <w:sz w:val="24"/>
      <w:szCs w:val="24"/>
    </w:rPr>
  </w:style>
  <w:style w:type="table" w:customStyle="1" w:styleId="TableGrid2">
    <w:name w:val="Table Grid2"/>
    <w:basedOn w:val="TableNormal"/>
    <w:next w:val="TableGrid"/>
    <w:uiPriority w:val="1"/>
    <w:rsid w:val="00F93737"/>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1"/>
    <w:rsid w:val="004A0B1D"/>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1"/>
    <w:rsid w:val="001B0EC4"/>
    <w:pPr>
      <w:spacing w:before="200" w:after="0"/>
    </w:pPr>
    <w:rPr>
      <w:rFonts w:eastAsiaTheme="minorEastAsia" w:cs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locked/>
    <w:rsid w:val="007F2B30"/>
    <w:rPr>
      <w:sz w:val="16"/>
      <w:szCs w:val="16"/>
    </w:rPr>
  </w:style>
  <w:style w:type="paragraph" w:styleId="Revision">
    <w:name w:val="Revision"/>
    <w:hidden/>
    <w:uiPriority w:val="99"/>
    <w:semiHidden/>
    <w:rsid w:val="0013734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qFormat="1"/>
    <w:lsdException w:name="toc 4" w:locked="0" w:qFormat="1"/>
    <w:lsdException w:name="footnote text" w:locked="0" w:uiPriority="0" w:qFormat="1"/>
    <w:lsdException w:name="header" w:locked="0" w:qFormat="1"/>
    <w:lsdException w:name="footer" w:locked="0" w:qFormat="1"/>
    <w:lsdException w:name="caption" w:locked="0" w:uiPriority="35" w:qFormat="1"/>
    <w:lsdException w:name="table of figures" w:locked="0"/>
    <w:lsdException w:name="footnote reference" w:locked="0" w:uiPriority="0"/>
    <w:lsdException w:name="List Bullet" w:uiPriority="36"/>
    <w:lsdException w:name="List Bullet 2" w:uiPriority="36"/>
    <w:lsdException w:name="List Bullet 3" w:uiPriority="36"/>
    <w:lsdException w:name="List Bullet 4" w:uiPriority="36"/>
    <w:lsdException w:name="Title" w:semiHidden="0" w:uiPriority="10" w:unhideWhenUsed="0" w:qFormat="1"/>
    <w:lsdException w:name="Default Paragraph Font" w:locked="0" w:uiPriority="1"/>
    <w:lsdException w:name="Subtitle" w:uiPriority="11" w:unhideWhenUsed="0" w:qFormat="1"/>
    <w:lsdException w:name="Date" w:qFormat="1"/>
    <w:lsdException w:name="Body Text First Indent" w:qFormat="1"/>
    <w:lsdException w:name="Note Heading" w:uiPriority="13" w:qFormat="1"/>
    <w:lsdException w:name="Body Text 2" w:uiPriority="0"/>
    <w:lsdException w:name="Body Text Indent 3" w:qFormat="1"/>
    <w:lsdException w:name="Block Text" w:uiPriority="40"/>
    <w:lsdException w:name="Hyperlink" w:locked="0" w:qFormat="1"/>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1"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9"/>
    <w:qFormat/>
    <w:rsid w:val="007E53C4"/>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9"/>
    <w:qFormat/>
    <w:rsid w:val="008A2788"/>
    <w:pPr>
      <w:keepNext/>
      <w:keepLines/>
      <w:spacing w:before="200" w:after="240"/>
      <w:outlineLvl w:val="1"/>
    </w:pPr>
    <w:rPr>
      <w:rFonts w:eastAsia="Times New Roman" w:cstheme="majorBidi"/>
      <w:color w:val="1396D8"/>
      <w:sz w:val="24"/>
      <w:szCs w:val="26"/>
      <w:lang w:bidi="en-US"/>
    </w:rPr>
  </w:style>
  <w:style w:type="paragraph" w:styleId="Heading3">
    <w:name w:val="heading 3"/>
    <w:basedOn w:val="Heading2"/>
    <w:next w:val="Normal"/>
    <w:link w:val="Heading3Char"/>
    <w:autoRedefine/>
    <w:uiPriority w:val="9"/>
    <w:qFormat/>
    <w:rsid w:val="00FD7CDC"/>
    <w:pPr>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9"/>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qFormat/>
    <w:locked/>
    <w:rsid w:val="00112A69"/>
    <w:pPr>
      <w:numPr>
        <w:ilvl w:val="4"/>
      </w:numPr>
      <w:outlineLvl w:val="4"/>
    </w:pPr>
    <w:rPr>
      <w:sz w:val="20"/>
    </w:rPr>
  </w:style>
  <w:style w:type="paragraph" w:styleId="Heading6">
    <w:name w:val="heading 6"/>
    <w:basedOn w:val="Heading5"/>
    <w:next w:val="Normal"/>
    <w:link w:val="Heading6Char"/>
    <w:autoRedefine/>
    <w:uiPriority w:val="9"/>
    <w:qFormat/>
    <w:locked/>
    <w:rsid w:val="00112A69"/>
    <w:pPr>
      <w:numPr>
        <w:ilvl w:val="5"/>
      </w:numPr>
      <w:outlineLvl w:val="5"/>
    </w:pPr>
    <w:rPr>
      <w:iCs w:val="0"/>
      <w:color w:val="666666"/>
    </w:rPr>
  </w:style>
  <w:style w:type="paragraph" w:styleId="Heading7">
    <w:name w:val="heading 7"/>
    <w:basedOn w:val="Normal"/>
    <w:next w:val="Normal"/>
    <w:link w:val="Heading7Char"/>
    <w:uiPriority w:val="9"/>
    <w:qFormat/>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qFormat/>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05Indent">
    <w:name w:val="Left 0.5&quot; Indent"/>
    <w:basedOn w:val="BodyTextFirstIndent"/>
    <w:autoRedefine/>
    <w:semiHidden/>
    <w:qFormat/>
    <w:locked/>
    <w:rsid w:val="0099448B"/>
    <w:pPr>
      <w:ind w:left="360"/>
    </w:pPr>
    <w:rPr>
      <w:rFonts w:cs="Arial"/>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character" w:customStyle="1" w:styleId="Heading1Char">
    <w:name w:val="Heading 1 Char"/>
    <w:basedOn w:val="DefaultParagraphFont"/>
    <w:link w:val="Heading1"/>
    <w:uiPriority w:val="9"/>
    <w:rsid w:val="007E53C4"/>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8A2788"/>
    <w:rPr>
      <w:rFonts w:eastAsia="Times New Roman" w:cstheme="majorBidi"/>
      <w:color w:val="1396D8"/>
      <w:sz w:val="24"/>
      <w:szCs w:val="26"/>
      <w:lang w:bidi="en-US"/>
    </w:rPr>
  </w:style>
  <w:style w:type="character" w:customStyle="1" w:styleId="Heading3Char">
    <w:name w:val="Heading 3 Char"/>
    <w:basedOn w:val="DefaultParagraphFont"/>
    <w:link w:val="Heading3"/>
    <w:uiPriority w:val="9"/>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9"/>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5243"/>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112A69"/>
    <w:pPr>
      <w:spacing w:after="0"/>
      <w:jc w:val="both"/>
    </w:pPr>
  </w:style>
  <w:style w:type="character" w:customStyle="1" w:styleId="NoSpacingChar">
    <w:name w:val="No Spacing Char"/>
    <w:basedOn w:val="DefaultParagraphFont"/>
    <w:link w:val="NoSpacing"/>
    <w:uiPriority w:val="1"/>
    <w:rsid w:val="0079037F"/>
  </w:style>
  <w:style w:type="paragraph" w:styleId="Caption">
    <w:name w:val="caption"/>
    <w:basedOn w:val="Normal"/>
    <w:next w:val="Normal"/>
    <w:autoRedefine/>
    <w:uiPriority w:val="35"/>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qFormat/>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29"/>
    <w:qFormat/>
    <w:rsid w:val="00112A69"/>
    <w:pPr>
      <w:ind w:left="720" w:right="720"/>
    </w:pPr>
    <w:rPr>
      <w:iCs/>
      <w:color w:val="000000" w:themeColor="text1"/>
    </w:rPr>
  </w:style>
  <w:style w:type="character" w:customStyle="1" w:styleId="QuoteChar">
    <w:name w:val="Quote Char"/>
    <w:basedOn w:val="DefaultParagraphFont"/>
    <w:link w:val="Quote"/>
    <w:uiPriority w:val="29"/>
    <w:rsid w:val="00D55243"/>
    <w:rPr>
      <w:iCs/>
      <w:color w:val="000000" w:themeColor="text1"/>
    </w:rPr>
  </w:style>
  <w:style w:type="character" w:styleId="IntenseEmphasis">
    <w:name w:val="Intense Emphasis"/>
    <w:basedOn w:val="DefaultParagraphFont"/>
    <w:uiPriority w:val="21"/>
    <w:qFormat/>
    <w:locked/>
    <w:rsid w:val="00112A69"/>
    <w:rPr>
      <w:rFonts w:asciiTheme="minorHAnsi" w:hAnsiTheme="minorHAnsi"/>
      <w:b/>
      <w:bCs/>
      <w:i/>
      <w:iCs/>
      <w:color w:val="1396D8"/>
      <w:sz w:val="20"/>
    </w:rPr>
  </w:style>
  <w:style w:type="character" w:styleId="Emphasis">
    <w:name w:val="Emphasis"/>
    <w:basedOn w:val="DefaultParagraphFont"/>
    <w:uiPriority w:val="20"/>
    <w:qFormat/>
    <w:rsid w:val="00F80AF1"/>
    <w:rPr>
      <w:rFonts w:asciiTheme="minorHAnsi" w:hAnsiTheme="minorHAnsi"/>
      <w:b/>
      <w:iCs/>
      <w:sz w:val="22"/>
    </w:rPr>
  </w:style>
  <w:style w:type="paragraph" w:styleId="NormalWeb">
    <w:name w:val="Normal (Web)"/>
    <w:basedOn w:val="Normal"/>
    <w:uiPriority w:val="99"/>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722B2"/>
    <w:pPr>
      <w:numPr>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34" w:hanging="288"/>
      <w:contextualSpacing/>
    </w:pPr>
    <w:rPr>
      <w:sz w:val="24"/>
      <w:szCs w:val="24"/>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9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36"/>
    <w:locked/>
    <w:rsid w:val="00112A69"/>
    <w:pPr>
      <w:numPr>
        <w:numId w:val="4"/>
      </w:numPr>
      <w:contextualSpacing/>
    </w:pPr>
  </w:style>
  <w:style w:type="paragraph" w:styleId="ListBullet2">
    <w:name w:val="List Bullet 2"/>
    <w:basedOn w:val="Normal"/>
    <w:uiPriority w:val="36"/>
    <w:locked/>
    <w:rsid w:val="00112A69"/>
    <w:pPr>
      <w:numPr>
        <w:numId w:val="5"/>
      </w:numPr>
      <w:contextualSpacing/>
    </w:pPr>
  </w:style>
  <w:style w:type="paragraph" w:styleId="ListBullet3">
    <w:name w:val="List Bullet 3"/>
    <w:basedOn w:val="Normal"/>
    <w:uiPriority w:val="36"/>
    <w:locked/>
    <w:rsid w:val="00112A69"/>
    <w:pPr>
      <w:numPr>
        <w:numId w:val="6"/>
      </w:numPr>
      <w:contextualSpacing/>
    </w:pPr>
  </w:style>
  <w:style w:type="paragraph" w:styleId="ListBullet4">
    <w:name w:val="List Bullet 4"/>
    <w:basedOn w:val="Normal"/>
    <w:uiPriority w:val="36"/>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9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10"/>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10"/>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1"/>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TableGrid1">
    <w:name w:val="Table Grid1"/>
    <w:basedOn w:val="TableNormal"/>
    <w:next w:val="TableGrid"/>
    <w:uiPriority w:val="1"/>
    <w:rsid w:val="00C74606"/>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locked/>
    <w:rsid w:val="0079037F"/>
    <w:pPr>
      <w:spacing w:after="120" w:line="480" w:lineRule="auto"/>
    </w:pPr>
  </w:style>
  <w:style w:type="character" w:customStyle="1" w:styleId="BodyText2Char">
    <w:name w:val="Body Text 2 Char"/>
    <w:basedOn w:val="DefaultParagraphFont"/>
    <w:link w:val="BodyText2"/>
    <w:rsid w:val="0079037F"/>
  </w:style>
  <w:style w:type="paragraph" w:styleId="Subtitle">
    <w:name w:val="Subtitle"/>
    <w:basedOn w:val="Normal"/>
    <w:next w:val="Normal"/>
    <w:link w:val="SubtitleChar"/>
    <w:uiPriority w:val="11"/>
    <w:qFormat/>
    <w:locked/>
    <w:rsid w:val="0079037F"/>
    <w:pPr>
      <w:spacing w:before="200" w:after="1000" w:line="240" w:lineRule="auto"/>
    </w:pPr>
    <w:rPr>
      <w:rFonts w:eastAsiaTheme="minorEastAsia"/>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79037F"/>
    <w:rPr>
      <w:rFonts w:eastAsiaTheme="minorEastAsia"/>
      <w:caps/>
      <w:color w:val="595959" w:themeColor="text1" w:themeTint="A6"/>
      <w:spacing w:val="10"/>
      <w:sz w:val="24"/>
      <w:szCs w:val="24"/>
      <w:lang w:bidi="en-US"/>
    </w:rPr>
  </w:style>
  <w:style w:type="paragraph" w:styleId="BlockText">
    <w:name w:val="Block Text"/>
    <w:aliases w:val="Block Quote"/>
    <w:uiPriority w:val="40"/>
    <w:locked/>
    <w:rsid w:val="0079037F"/>
    <w:pPr>
      <w:pBdr>
        <w:top w:val="single" w:sz="2" w:space="10" w:color="4EC8FF" w:themeColor="accent1" w:themeTint="99"/>
        <w:bottom w:val="single" w:sz="24" w:space="10" w:color="4EC8FF" w:themeColor="accent1" w:themeTint="99"/>
      </w:pBdr>
      <w:spacing w:before="200"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locked/>
    <w:rsid w:val="0079037F"/>
    <w:rPr>
      <w:b/>
      <w:bCs/>
      <w:i/>
      <w:iCs/>
      <w:spacing w:val="9"/>
    </w:rPr>
  </w:style>
  <w:style w:type="paragraph" w:styleId="IntenseQuote">
    <w:name w:val="Intense Quote"/>
    <w:basedOn w:val="Normal"/>
    <w:next w:val="Normal"/>
    <w:link w:val="IntenseQuoteChar"/>
    <w:uiPriority w:val="30"/>
    <w:qFormat/>
    <w:locked/>
    <w:rsid w:val="0079037F"/>
    <w:pPr>
      <w:pBdr>
        <w:top w:val="single" w:sz="4" w:space="10" w:color="0096D7" w:themeColor="accent1"/>
        <w:left w:val="single" w:sz="4" w:space="10" w:color="0096D7" w:themeColor="accent1"/>
      </w:pBdr>
      <w:spacing w:before="200" w:after="0" w:line="276" w:lineRule="auto"/>
      <w:ind w:left="1296" w:right="1152"/>
      <w:jc w:val="both"/>
    </w:pPr>
    <w:rPr>
      <w:rFonts w:eastAsiaTheme="minorEastAsia"/>
      <w:i/>
      <w:iCs/>
      <w:color w:val="0096D7" w:themeColor="accent1"/>
      <w:sz w:val="20"/>
      <w:szCs w:val="20"/>
      <w:lang w:bidi="en-US"/>
    </w:rPr>
  </w:style>
  <w:style w:type="character" w:customStyle="1" w:styleId="IntenseQuoteChar">
    <w:name w:val="Intense Quote Char"/>
    <w:basedOn w:val="DefaultParagraphFont"/>
    <w:link w:val="IntenseQuote"/>
    <w:uiPriority w:val="30"/>
    <w:rsid w:val="0079037F"/>
    <w:rPr>
      <w:rFonts w:eastAsiaTheme="minorEastAsia"/>
      <w:i/>
      <w:iCs/>
      <w:color w:val="0096D7" w:themeColor="accent1"/>
      <w:sz w:val="20"/>
      <w:szCs w:val="20"/>
      <w:lang w:bidi="en-US"/>
    </w:rPr>
  </w:style>
  <w:style w:type="paragraph" w:styleId="ListBullet5">
    <w:name w:val="List Bullet 5"/>
    <w:basedOn w:val="Normal"/>
    <w:uiPriority w:val="99"/>
    <w:unhideWhenUsed/>
    <w:locked/>
    <w:rsid w:val="0079037F"/>
    <w:pPr>
      <w:spacing w:before="200" w:after="0" w:line="276" w:lineRule="auto"/>
      <w:ind w:left="1800" w:hanging="360"/>
    </w:pPr>
    <w:rPr>
      <w:rFonts w:eastAsiaTheme="minorEastAsia"/>
      <w:sz w:val="20"/>
      <w:szCs w:val="20"/>
      <w:lang w:bidi="en-US"/>
    </w:rPr>
  </w:style>
  <w:style w:type="character" w:styleId="SubtleEmphasis">
    <w:name w:val="Subtle Emphasis"/>
    <w:uiPriority w:val="19"/>
    <w:qFormat/>
    <w:locked/>
    <w:rsid w:val="0079037F"/>
    <w:rPr>
      <w:i/>
      <w:iCs/>
      <w:color w:val="004A6B" w:themeColor="accent1" w:themeShade="7F"/>
    </w:rPr>
  </w:style>
  <w:style w:type="character" w:styleId="SubtleReference">
    <w:name w:val="Subtle Reference"/>
    <w:uiPriority w:val="31"/>
    <w:qFormat/>
    <w:locked/>
    <w:rsid w:val="0079037F"/>
    <w:rPr>
      <w:b/>
      <w:bCs/>
      <w:color w:val="0096D7" w:themeColor="accent1"/>
    </w:rPr>
  </w:style>
  <w:style w:type="character" w:customStyle="1" w:styleId="EndnoteTextChar">
    <w:name w:val="Endnote Text Char"/>
    <w:basedOn w:val="DefaultParagraphFont"/>
    <w:link w:val="EndnoteText"/>
    <w:uiPriority w:val="99"/>
    <w:semiHidden/>
    <w:rsid w:val="0079037F"/>
    <w:rPr>
      <w:rFonts w:eastAsiaTheme="minorEastAsia"/>
      <w:sz w:val="20"/>
      <w:szCs w:val="20"/>
      <w:lang w:bidi="en-US"/>
    </w:rPr>
  </w:style>
  <w:style w:type="paragraph" w:styleId="EndnoteText">
    <w:name w:val="endnote text"/>
    <w:basedOn w:val="Normal"/>
    <w:link w:val="EndnoteTextChar"/>
    <w:uiPriority w:val="99"/>
    <w:semiHidden/>
    <w:unhideWhenUsed/>
    <w:locked/>
    <w:rsid w:val="0079037F"/>
    <w:pPr>
      <w:spacing w:after="0" w:line="240" w:lineRule="auto"/>
    </w:pPr>
    <w:rPr>
      <w:rFonts w:eastAsiaTheme="minorEastAsia"/>
      <w:sz w:val="20"/>
      <w:szCs w:val="20"/>
      <w:lang w:bidi="en-US"/>
    </w:rPr>
  </w:style>
  <w:style w:type="paragraph" w:customStyle="1" w:styleId="TEXT0">
    <w:name w:val="TEXT"/>
    <w:basedOn w:val="Normal"/>
    <w:next w:val="Normal"/>
    <w:link w:val="TEXTChar"/>
    <w:autoRedefine/>
    <w:rsid w:val="00BF5764"/>
    <w:pPr>
      <w:spacing w:after="240" w:line="360" w:lineRule="auto"/>
    </w:pPr>
    <w:rPr>
      <w:rFonts w:eastAsia="Times New Roman" w:cs="Times New Roman"/>
      <w:szCs w:val="24"/>
    </w:rPr>
  </w:style>
  <w:style w:type="character" w:customStyle="1" w:styleId="TEXTChar">
    <w:name w:val="TEXT Char"/>
    <w:basedOn w:val="DefaultParagraphFont"/>
    <w:link w:val="TEXT0"/>
    <w:rsid w:val="00BF5764"/>
    <w:rPr>
      <w:rFonts w:eastAsia="Times New Roman" w:cs="Times New Roman"/>
      <w:szCs w:val="24"/>
    </w:rPr>
  </w:style>
  <w:style w:type="paragraph" w:styleId="CommentText">
    <w:name w:val="annotation text"/>
    <w:basedOn w:val="Normal"/>
    <w:link w:val="CommentTextChar"/>
    <w:uiPriority w:val="99"/>
    <w:unhideWhenUsed/>
    <w:locked/>
    <w:rsid w:val="0079037F"/>
    <w:pPr>
      <w:spacing w:before="200" w:line="240" w:lineRule="auto"/>
    </w:pPr>
    <w:rPr>
      <w:rFonts w:eastAsiaTheme="minorEastAsia"/>
      <w:sz w:val="20"/>
      <w:szCs w:val="20"/>
      <w:lang w:bidi="en-US"/>
    </w:rPr>
  </w:style>
  <w:style w:type="character" w:customStyle="1" w:styleId="CommentTextChar">
    <w:name w:val="Comment Text Char"/>
    <w:basedOn w:val="DefaultParagraphFont"/>
    <w:link w:val="CommentText"/>
    <w:uiPriority w:val="99"/>
    <w:rsid w:val="0079037F"/>
    <w:rPr>
      <w:rFonts w:eastAsiaTheme="minorEastAsia"/>
      <w:sz w:val="20"/>
      <w:szCs w:val="20"/>
      <w:lang w:bidi="en-US"/>
    </w:rPr>
  </w:style>
  <w:style w:type="character" w:customStyle="1" w:styleId="CommentSubjectChar">
    <w:name w:val="Comment Subject Char"/>
    <w:basedOn w:val="CommentTextChar"/>
    <w:link w:val="CommentSubject"/>
    <w:uiPriority w:val="99"/>
    <w:semiHidden/>
    <w:rsid w:val="0079037F"/>
    <w:rPr>
      <w:rFonts w:eastAsiaTheme="minorEastAsia"/>
      <w:b/>
      <w:bCs/>
      <w:sz w:val="20"/>
      <w:szCs w:val="20"/>
      <w:lang w:bidi="en-US"/>
    </w:rPr>
  </w:style>
  <w:style w:type="paragraph" w:styleId="CommentSubject">
    <w:name w:val="annotation subject"/>
    <w:basedOn w:val="CommentText"/>
    <w:next w:val="CommentText"/>
    <w:link w:val="CommentSubjectChar"/>
    <w:uiPriority w:val="99"/>
    <w:semiHidden/>
    <w:unhideWhenUsed/>
    <w:locked/>
    <w:rsid w:val="0079037F"/>
    <w:rPr>
      <w:b/>
      <w:bCs/>
    </w:rPr>
  </w:style>
  <w:style w:type="paragraph" w:customStyle="1" w:styleId="Default">
    <w:name w:val="Default"/>
    <w:rsid w:val="0079037F"/>
    <w:pPr>
      <w:autoSpaceDE w:val="0"/>
      <w:autoSpaceDN w:val="0"/>
      <w:adjustRightInd w:val="0"/>
      <w:spacing w:after="0"/>
    </w:pPr>
    <w:rPr>
      <w:rFonts w:ascii="Times New Roman" w:hAnsi="Times New Roman" w:cs="Times New Roman"/>
      <w:color w:val="000000"/>
      <w:sz w:val="24"/>
      <w:szCs w:val="24"/>
    </w:rPr>
  </w:style>
  <w:style w:type="table" w:customStyle="1" w:styleId="TableGrid2">
    <w:name w:val="Table Grid2"/>
    <w:basedOn w:val="TableNormal"/>
    <w:next w:val="TableGrid"/>
    <w:uiPriority w:val="1"/>
    <w:rsid w:val="00F93737"/>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1"/>
    <w:rsid w:val="004A0B1D"/>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1"/>
    <w:rsid w:val="001B0EC4"/>
    <w:pPr>
      <w:spacing w:before="200" w:after="0"/>
    </w:pPr>
    <w:rPr>
      <w:rFonts w:eastAsiaTheme="minorEastAsia" w:cs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locked/>
    <w:rsid w:val="007F2B30"/>
    <w:rPr>
      <w:sz w:val="16"/>
      <w:szCs w:val="16"/>
    </w:rPr>
  </w:style>
  <w:style w:type="paragraph" w:styleId="Revision">
    <w:name w:val="Revision"/>
    <w:hidden/>
    <w:uiPriority w:val="99"/>
    <w:semiHidden/>
    <w:rsid w:val="0013734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14962360">
      <w:bodyDiv w:val="1"/>
      <w:marLeft w:val="0"/>
      <w:marRight w:val="0"/>
      <w:marTop w:val="0"/>
      <w:marBottom w:val="0"/>
      <w:divBdr>
        <w:top w:val="none" w:sz="0" w:space="0" w:color="auto"/>
        <w:left w:val="none" w:sz="0" w:space="0" w:color="auto"/>
        <w:bottom w:val="none" w:sz="0" w:space="0" w:color="auto"/>
        <w:right w:val="none" w:sz="0" w:space="0" w:color="auto"/>
      </w:divBdr>
    </w:div>
    <w:div w:id="719666415">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www.eia.gov/petroleum/gasdiesel" TargetMode="Externa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hyperlink" Target="http://www.eia.gov/petroleum/gasdiesel"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yperlink" Target="mailto:lawrence.stroud@eia.gov"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hyperlink" Target="http://www.eia.gov/petroleum/weekl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hyperlink" Target="http://www.eia.gov/oil_gas/petroleum/data_publications/weekly_petroleum_status_report/wpsr.html" TargetMode="External"/><Relationship Id="rId45" Type="http://schemas.openxmlformats.org/officeDocument/2006/relationships/hyperlink" Target="http://www.eia.gov/survey/" TargetMode="External"/><Relationship Id="rId53"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www.eia.gov/petroleum/weekly/"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hyperlink" Target="http://www.eia.gov/oil_gas/petroleum/data_publications/weekly_petroleum_status_report/wpsr.html"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1D24C6"/>
    <w:rsid w:val="002B2131"/>
    <w:rsid w:val="00336AA5"/>
    <w:rsid w:val="00483A5C"/>
    <w:rsid w:val="004B29FE"/>
    <w:rsid w:val="00573F64"/>
    <w:rsid w:val="00654564"/>
    <w:rsid w:val="0097548D"/>
    <w:rsid w:val="009E75B6"/>
    <w:rsid w:val="009E7B23"/>
    <w:rsid w:val="00AF165B"/>
    <w:rsid w:val="00D023CF"/>
    <w:rsid w:val="00E738C6"/>
    <w:rsid w:val="00F9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580B9-8CD0-4167-8847-B93DF678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6061</Words>
  <Characters>34553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Supporting Statement for Petroleum Marketing Program</vt:lpstr>
    </vt:vector>
  </TitlesOfParts>
  <Company/>
  <LinksUpToDate>false</LinksUpToDate>
  <CharactersWithSpaces>40533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Petroleum Marketing Program</dc:title>
  <dc:subject>Improving the Quality and Scope of EIA Data</dc:subject>
  <dc:creator>Stroud, Lawrence</dc:creator>
  <cp:keywords/>
  <dc:description/>
  <cp:lastModifiedBy>SYSTEM</cp:lastModifiedBy>
  <cp:revision>2</cp:revision>
  <cp:lastPrinted>2017-06-07T16:07:00Z</cp:lastPrinted>
  <dcterms:created xsi:type="dcterms:W3CDTF">2017-07-25T18:21:00Z</dcterms:created>
  <dcterms:modified xsi:type="dcterms:W3CDTF">2017-07-25T18:21:00Z</dcterms:modified>
</cp:coreProperties>
</file>