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5.xml" ContentType="application/vnd.openxmlformats-officedocument.wordprocessingml.footer+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theme/themeOverride5.xml" ContentType="application/vnd.openxmlformats-officedocument.themeOverride+xml"/>
  <Override PartName="/word/charts/chart26.xml" ContentType="application/vnd.openxmlformats-officedocument.drawingml.chart+xml"/>
  <Override PartName="/word/theme/themeOverride6.xml" ContentType="application/vnd.openxmlformats-officedocument.themeOverride+xml"/>
  <Override PartName="/word/charts/chart2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noProof/>
        </w:rPr>
        <w:id w:val="37707067"/>
        <w:docPartObj>
          <w:docPartGallery w:val="Cover Pages"/>
        </w:docPartObj>
      </w:sdtPr>
      <w:sdtEndPr>
        <w:rPr>
          <w:noProof w:val="0"/>
        </w:rPr>
      </w:sdtEndPr>
      <w:sdtContent>
        <w:p w14:paraId="007DBE1D" w14:textId="77777777" w:rsidR="00D001E4" w:rsidRPr="0051180F" w:rsidRDefault="00835D8E">
          <w:pPr>
            <w:rPr>
              <w:noProof/>
            </w:rPr>
          </w:pPr>
          <w:r w:rsidRPr="0051180F">
            <w:rPr>
              <w:noProof/>
            </w:rPr>
            <mc:AlternateContent>
              <mc:Choice Requires="wps">
                <w:drawing>
                  <wp:anchor distT="0" distB="0" distL="114300" distR="114300" simplePos="0" relativeHeight="251676672" behindDoc="1" locked="0" layoutInCell="1" allowOverlap="1" wp14:anchorId="44DF7088" wp14:editId="4AECFD3A">
                    <wp:simplePos x="0" y="0"/>
                    <wp:positionH relativeFrom="column">
                      <wp:posOffset>-450850</wp:posOffset>
                    </wp:positionH>
                    <wp:positionV relativeFrom="paragraph">
                      <wp:posOffset>-285750</wp:posOffset>
                    </wp:positionV>
                    <wp:extent cx="6858000" cy="45720"/>
                    <wp:effectExtent l="0" t="0" r="3175" b="1905"/>
                    <wp:wrapThrough wrapText="bothSides">
                      <wp:wrapPolygon edited="0">
                        <wp:start x="-36" y="0"/>
                        <wp:lineTo x="-36" y="18600"/>
                        <wp:lineTo x="21600" y="18600"/>
                        <wp:lineTo x="21600" y="0"/>
                        <wp:lineTo x="-36" y="0"/>
                      </wp:wrapPolygon>
                    </wp:wrapThrough>
                    <wp:docPr id="1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
                            </a:xfrm>
                            <a:prstGeom prst="rect">
                              <a:avLst/>
                            </a:prstGeom>
                            <a:solidFill>
                              <a:srgbClr val="0C95D3"/>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22194D" id="Rectangle 27" o:spid="_x0000_s1026" style="position:absolute;margin-left:-35.5pt;margin-top:-22.5pt;width:540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" fillcolor="#0c95d3" stroked="f" strokecolor="#f2f2f2 [3041]" strokeweight="3pt">
                    <v:shadow color="#50191f [1608]" opacity=".5" offset="1pt"/>
                    <w10:wrap type="through"/>
                  </v:rect>
                </w:pict>
              </mc:Fallback>
            </mc:AlternateContent>
          </w:r>
          <w:r w:rsidR="00C00590" w:rsidRPr="0051180F">
            <w:rPr>
              <w:noProof/>
            </w:rPr>
            <w:drawing>
              <wp:anchor distT="0" distB="0" distL="114300" distR="114300" simplePos="0" relativeHeight="251675647" behindDoc="0" locked="0" layoutInCell="1" allowOverlap="1" wp14:anchorId="00BB8286" wp14:editId="348B0A19">
                <wp:simplePos x="0" y="0"/>
                <wp:positionH relativeFrom="column">
                  <wp:posOffset>6350</wp:posOffset>
                </wp:positionH>
                <wp:positionV relativeFrom="paragraph">
                  <wp:posOffset>50800</wp:posOffset>
                </wp:positionV>
                <wp:extent cx="3175000" cy="609600"/>
                <wp:effectExtent l="19050" t="0" r="6350" b="0"/>
                <wp:wrapThrough wrapText="bothSides">
                  <wp:wrapPolygon edited="0">
                    <wp:start x="-130" y="0"/>
                    <wp:lineTo x="-130" y="20925"/>
                    <wp:lineTo x="21643" y="20925"/>
                    <wp:lineTo x="21643" y="0"/>
                    <wp:lineTo x="-130" y="0"/>
                  </wp:wrapPolygon>
                </wp:wrapThrough>
                <wp:docPr id="5" name="Picture 4" descr="eia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a_logo_tagline.png"/>
                        <pic:cNvPicPr/>
                      </pic:nvPicPr>
                      <pic:blipFill>
                        <a:blip r:embed="rId10" cstate="print"/>
                        <a:stretch>
                          <a:fillRect/>
                        </a:stretch>
                      </pic:blipFill>
                      <pic:spPr>
                        <a:xfrm>
                          <a:off x="0" y="0"/>
                          <a:ext cx="3175000" cy="609600"/>
                        </a:xfrm>
                        <a:prstGeom prst="rect">
                          <a:avLst/>
                        </a:prstGeom>
                      </pic:spPr>
                    </pic:pic>
                  </a:graphicData>
                </a:graphic>
              </wp:anchor>
            </w:drawing>
          </w:r>
          <w:r w:rsidRPr="0051180F">
            <w:rPr>
              <w:noProof/>
            </w:rPr>
            <mc:AlternateContent>
              <mc:Choice Requires="wps">
                <w:drawing>
                  <wp:anchor distT="0" distB="0" distL="114300" distR="114300" simplePos="0" relativeHeight="251678720" behindDoc="0" locked="0" layoutInCell="1" allowOverlap="1" wp14:anchorId="550F3C7F" wp14:editId="4490AA31">
                    <wp:simplePos x="0" y="0"/>
                    <wp:positionH relativeFrom="margin">
                      <wp:posOffset>-450850</wp:posOffset>
                    </wp:positionH>
                    <wp:positionV relativeFrom="margin">
                      <wp:posOffset>838200</wp:posOffset>
                    </wp:positionV>
                    <wp:extent cx="6858000" cy="0"/>
                    <wp:effectExtent l="6350" t="9525" r="12700" b="9525"/>
                    <wp:wrapSquare wrapText="bothSides"/>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7E8E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8B7480" id="_x0000_t32" coordsize="21600,21600" o:spt="32" o:oned="t" path="m,l21600,21600e" filled="f">
                    <v:path arrowok="t" fillok="f" o:connecttype="none"/>
                    <o:lock v:ext="edit" shapetype="t"/>
                  </v:shapetype>
                  <v:shape id="AutoShape 28" o:spid="_x0000_s1026" type="#_x0000_t32" style="position:absolute;margin-left:-35.5pt;margin-top:66pt;width:540pt;height: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" strokecolor="#7e8e9a">
                    <w10:wrap type="square" anchorx="margin" anchory="margin"/>
                  </v:shape>
                </w:pict>
              </mc:Fallback>
            </mc:AlternateContent>
          </w:r>
        </w:p>
        <w:p w14:paraId="72F30738" w14:textId="77777777" w:rsidR="00041909" w:rsidRPr="0051180F" w:rsidRDefault="001F3A8F" w:rsidP="00D928FD">
          <w:pPr>
            <w:ind w:left="1080"/>
          </w:pPr>
          <w:r w:rsidRPr="0051180F">
            <w:rPr>
              <w:noProof/>
            </w:rPr>
            <w:softHyphen/>
          </w:r>
          <w:r w:rsidRPr="0051180F">
            <w:rPr>
              <w:noProof/>
            </w:rPr>
            <w:softHyphen/>
          </w:r>
          <w:r w:rsidRPr="0051180F">
            <w:rPr>
              <w:noProof/>
            </w:rPr>
            <w:softHyphen/>
          </w:r>
        </w:p>
      </w:sdtContent>
    </w:sdt>
    <w:p w14:paraId="7068E162" w14:textId="77777777" w:rsidR="00D928FD" w:rsidRPr="0051180F" w:rsidRDefault="00D928FD" w:rsidP="00D928FD"/>
    <w:p w14:paraId="029B6384" w14:textId="77777777" w:rsidR="00D928FD" w:rsidRPr="0051180F" w:rsidRDefault="00D928FD" w:rsidP="00D928FD"/>
    <w:p w14:paraId="1E457C9F" w14:textId="77777777" w:rsidR="00D928FD" w:rsidRPr="0051180F" w:rsidRDefault="00D928FD" w:rsidP="00D928FD"/>
    <w:p w14:paraId="6ACAA60B" w14:textId="77777777" w:rsidR="00D928FD" w:rsidRPr="0051180F" w:rsidRDefault="00835D8E" w:rsidP="00D928FD">
      <w:r w:rsidRPr="0051180F">
        <w:rPr>
          <w:noProof/>
        </w:rPr>
        <mc:AlternateContent>
          <mc:Choice Requires="wps">
            <w:drawing>
              <wp:anchor distT="0" distB="0" distL="114300" distR="114300" simplePos="0" relativeHeight="251680768" behindDoc="0" locked="0" layoutInCell="1" allowOverlap="1" wp14:anchorId="7CDDF80F" wp14:editId="6A82449E">
                <wp:simplePos x="0" y="0"/>
                <wp:positionH relativeFrom="margin">
                  <wp:posOffset>-76200</wp:posOffset>
                </wp:positionH>
                <wp:positionV relativeFrom="paragraph">
                  <wp:posOffset>285115</wp:posOffset>
                </wp:positionV>
                <wp:extent cx="4991100" cy="1748155"/>
                <wp:effectExtent l="0" t="0" r="0" b="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color w:val="139CD8"/>
                                <w:sz w:val="56"/>
                                <w:szCs w:val="52"/>
                              </w:rPr>
                              <w:alias w:val="Title"/>
                              <w:id w:val="1705557852"/>
                              <w:dataBinding w:prefixMappings="xmlns:ns0='http://purl.org/dc/elements/1.1/' xmlns:ns1='http://schemas.openxmlformats.org/package/2006/metadata/core-properties' " w:xpath="/ns1:coreProperties[1]/ns0:title[1]" w:storeItemID="{6C3C8BC8-F283-45AE-878A-BAB7291924A1}"/>
                              <w:text/>
                            </w:sdtPr>
                            <w:sdtEndPr/>
                            <w:sdtContent>
                              <w:p w14:paraId="0E06970A" w14:textId="4DF66542" w:rsidR="00A878BB" w:rsidRPr="00AA3D91" w:rsidRDefault="00A878BB" w:rsidP="00D001E4">
                                <w:pPr>
                                  <w:spacing w:line="240" w:lineRule="auto"/>
                                  <w:ind w:left="90"/>
                                  <w:rPr>
                                    <w:sz w:val="52"/>
                                    <w:szCs w:val="52"/>
                                  </w:rPr>
                                </w:pPr>
                                <w:r>
                                  <w:rPr>
                                    <w:rFonts w:ascii="Times New Roman" w:hAnsi="Times New Roman" w:cs="Times New Roman"/>
                                    <w:color w:val="139CD8"/>
                                    <w:sz w:val="56"/>
                                    <w:szCs w:val="52"/>
                                  </w:rPr>
                                  <w:t>Evaluation of Alternative Sources of Motor Gasoline Prices and Volumes</w:t>
                                </w:r>
                              </w:p>
                            </w:sdtContent>
                          </w:sdt>
                        </w:txbxContent>
                      </wps:txbx>
                      <wps:bodyPr rot="0" vert="horz" wrap="square" lIns="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6pt;margin-top:22.45pt;width:393pt;height:137.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HltgIAALg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" filled="f" stroked="f">
                <v:textbox inset="0">
                  <w:txbxContent>
                    <w:sdt>
                      <w:sdtPr>
                        <w:rPr>
                          <w:rFonts w:ascii="Times New Roman" w:hAnsi="Times New Roman" w:cs="Times New Roman"/>
                          <w:color w:val="139CD8"/>
                          <w:sz w:val="56"/>
                          <w:szCs w:val="52"/>
                        </w:rPr>
                        <w:alias w:val="Title"/>
                        <w:id w:val="1705557852"/>
                        <w:dataBinding w:prefixMappings="xmlns:ns0='http://purl.org/dc/elements/1.1/' xmlns:ns1='http://schemas.openxmlformats.org/package/2006/metadata/core-properties' " w:xpath="/ns1:coreProperties[1]/ns0:title[1]" w:storeItemID="{6C3C8BC8-F283-45AE-878A-BAB7291924A1}"/>
                        <w:text/>
                      </w:sdtPr>
                      <w:sdtEndPr/>
                      <w:sdtContent>
                        <w:p w14:paraId="0E06970A" w14:textId="4DF66542" w:rsidR="00A878BB" w:rsidRPr="00AA3D91" w:rsidRDefault="00A878BB" w:rsidP="00D001E4">
                          <w:pPr>
                            <w:spacing w:line="240" w:lineRule="auto"/>
                            <w:ind w:left="90"/>
                            <w:rPr>
                              <w:sz w:val="52"/>
                              <w:szCs w:val="52"/>
                            </w:rPr>
                          </w:pPr>
                          <w:r>
                            <w:rPr>
                              <w:rFonts w:ascii="Times New Roman" w:hAnsi="Times New Roman" w:cs="Times New Roman"/>
                              <w:color w:val="139CD8"/>
                              <w:sz w:val="56"/>
                              <w:szCs w:val="52"/>
                            </w:rPr>
                            <w:t>Evaluation of Alternative Sources of Motor Gasoline Prices and Volumes</w:t>
                          </w:r>
                        </w:p>
                      </w:sdtContent>
                    </w:sdt>
                  </w:txbxContent>
                </v:textbox>
                <w10:wrap anchorx="margin"/>
              </v:shape>
            </w:pict>
          </mc:Fallback>
        </mc:AlternateContent>
      </w:r>
    </w:p>
    <w:p w14:paraId="7B50F35F" w14:textId="77777777" w:rsidR="00D928FD" w:rsidRPr="0051180F" w:rsidRDefault="00D928FD" w:rsidP="00D928FD"/>
    <w:p w14:paraId="6B957B9F" w14:textId="77777777" w:rsidR="001F3A8F" w:rsidRPr="0051180F" w:rsidRDefault="00835D8E">
      <w:pPr>
        <w:spacing w:line="240" w:lineRule="auto"/>
      </w:pPr>
      <w:r w:rsidRPr="0051180F">
        <w:rPr>
          <w:noProof/>
        </w:rPr>
        <mc:AlternateContent>
          <mc:Choice Requires="wps">
            <w:drawing>
              <wp:anchor distT="0" distB="0" distL="114300" distR="114300" simplePos="0" relativeHeight="251681792" behindDoc="0" locked="0" layoutInCell="1" allowOverlap="1" wp14:anchorId="228F5444" wp14:editId="6FA079A2">
                <wp:simplePos x="0" y="0"/>
                <wp:positionH relativeFrom="margin">
                  <wp:posOffset>0</wp:posOffset>
                </wp:positionH>
                <wp:positionV relativeFrom="margin">
                  <wp:posOffset>4114800</wp:posOffset>
                </wp:positionV>
                <wp:extent cx="2377440" cy="497205"/>
                <wp:effectExtent l="0" t="0" r="3810" b="0"/>
                <wp:wrapSquare wrapText="bothSides"/>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9648" w14:textId="1DA63FAC" w:rsidR="00A878BB" w:rsidRPr="009818F9" w:rsidRDefault="00A878BB">
                            <w:pPr>
                              <w:rPr>
                                <w:color w:val="A6A6A6" w:themeColor="background1" w:themeShade="A6"/>
                                <w:sz w:val="36"/>
                              </w:rPr>
                            </w:pPr>
                            <w:r>
                              <w:rPr>
                                <w:color w:val="A6A6A6" w:themeColor="background1" w:themeShade="A6"/>
                                <w:sz w:val="36"/>
                              </w:rPr>
                              <w:t>October 31, 2017</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0;margin-top:324pt;width:187.2pt;height:39.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" filled="f" stroked="f">
                <v:textbox style="mso-fit-shape-to-text:t" inset="0">
                  <w:txbxContent>
                    <w:p w14:paraId="17899648" w14:textId="1DA63FAC" w:rsidR="00A878BB" w:rsidRPr="009818F9" w:rsidRDefault="00A878BB">
                      <w:pPr>
                        <w:rPr>
                          <w:color w:val="A6A6A6" w:themeColor="background1" w:themeShade="A6"/>
                          <w:sz w:val="36"/>
                        </w:rPr>
                      </w:pPr>
                      <w:r>
                        <w:rPr>
                          <w:color w:val="A6A6A6" w:themeColor="background1" w:themeShade="A6"/>
                          <w:sz w:val="36"/>
                        </w:rPr>
                        <w:t>October 31, 2017</w:t>
                      </w:r>
                    </w:p>
                  </w:txbxContent>
                </v:textbox>
                <w10:wrap type="square" anchorx="margin" anchory="margin"/>
              </v:shape>
            </w:pict>
          </mc:Fallback>
        </mc:AlternateContent>
      </w:r>
      <w:r w:rsidR="002556F3" w:rsidRPr="0051180F">
        <w:rPr>
          <w:noProof/>
        </w:rPr>
        <w:drawing>
          <wp:anchor distT="0" distB="0" distL="114300" distR="114300" simplePos="0" relativeHeight="251688960" behindDoc="0" locked="0" layoutInCell="1" allowOverlap="1" wp14:anchorId="7A67403F" wp14:editId="6618AF97">
            <wp:simplePos x="0" y="0"/>
            <wp:positionH relativeFrom="page">
              <wp:posOffset>717550</wp:posOffset>
            </wp:positionH>
            <wp:positionV relativeFrom="page">
              <wp:posOffset>7950200</wp:posOffset>
            </wp:positionV>
            <wp:extent cx="6343650" cy="647700"/>
            <wp:effectExtent l="19050" t="0" r="0" b="0"/>
            <wp:wrapThrough wrapText="bothSides">
              <wp:wrapPolygon edited="0">
                <wp:start x="-65" y="0"/>
                <wp:lineTo x="-65" y="20965"/>
                <wp:lineTo x="21600" y="20965"/>
                <wp:lineTo x="21600" y="0"/>
                <wp:lineTo x="-65" y="0"/>
              </wp:wrapPolygon>
            </wp:wrapThrough>
            <wp:docPr id="7" name="Picture 5" descr="report_title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itle_bottom.png"/>
                    <pic:cNvPicPr/>
                  </pic:nvPicPr>
                  <pic:blipFill>
                    <a:blip r:embed="rId11" cstate="print"/>
                    <a:srcRect/>
                    <a:stretch>
                      <a:fillRect/>
                    </a:stretch>
                  </pic:blipFill>
                  <pic:spPr>
                    <a:xfrm>
                      <a:off x="0" y="0"/>
                      <a:ext cx="6343650" cy="647700"/>
                    </a:xfrm>
                    <a:prstGeom prst="rect">
                      <a:avLst/>
                    </a:prstGeom>
                  </pic:spPr>
                </pic:pic>
              </a:graphicData>
            </a:graphic>
          </wp:anchor>
        </w:drawing>
      </w:r>
      <w:r w:rsidRPr="0051180F">
        <w:rPr>
          <w:noProof/>
        </w:rPr>
        <mc:AlternateContent>
          <mc:Choice Requires="wps">
            <w:drawing>
              <wp:anchor distT="0" distB="0" distL="114300" distR="114300" simplePos="0" relativeHeight="251689984" behindDoc="1" locked="0" layoutInCell="1" allowOverlap="1" wp14:anchorId="5C1513B0" wp14:editId="2FA12CFE">
                <wp:simplePos x="0" y="0"/>
                <wp:positionH relativeFrom="column">
                  <wp:posOffset>-450850</wp:posOffset>
                </wp:positionH>
                <wp:positionV relativeFrom="paragraph">
                  <wp:posOffset>5313680</wp:posOffset>
                </wp:positionV>
                <wp:extent cx="6858000" cy="62865"/>
                <wp:effectExtent l="0" t="0" r="3175" b="0"/>
                <wp:wrapThrough wrapText="bothSides">
                  <wp:wrapPolygon edited="0">
                    <wp:start x="-36" y="0"/>
                    <wp:lineTo x="-36" y="18545"/>
                    <wp:lineTo x="21600" y="18545"/>
                    <wp:lineTo x="21600" y="0"/>
                    <wp:lineTo x="-36" y="0"/>
                  </wp:wrapPolygon>
                </wp:wrapThrough>
                <wp:docPr id="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2865"/>
                        </a:xfrm>
                        <a:prstGeom prst="rect">
                          <a:avLst/>
                        </a:prstGeom>
                        <a:solidFill>
                          <a:srgbClr val="0C95D3"/>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7FAB1D" id="Rectangle 34" o:spid="_x0000_s1026" style="position:absolute;margin-left:-35.5pt;margin-top:418.4pt;width:540pt;height:4.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" fillcolor="#0c95d3" stroked="f" strokecolor="#f2f2f2 [3041]" strokeweight="3pt">
                <v:shadow color="#50191f [1608]" opacity=".5" offset="1pt"/>
                <w10:wrap type="through"/>
              </v:rect>
            </w:pict>
          </mc:Fallback>
        </mc:AlternateContent>
      </w:r>
      <w:r w:rsidRPr="0051180F">
        <w:rPr>
          <w:noProof/>
          <w:color w:val="A6A6A6" w:themeColor="background1" w:themeShade="A6"/>
        </w:rPr>
        <mc:AlternateContent>
          <mc:Choice Requires="wps">
            <w:drawing>
              <wp:anchor distT="0" distB="0" distL="114300" distR="114300" simplePos="0" relativeHeight="251691008" behindDoc="0" locked="0" layoutInCell="1" allowOverlap="1" wp14:anchorId="5547CEE2" wp14:editId="3ED8A04C">
                <wp:simplePos x="0" y="0"/>
                <wp:positionH relativeFrom="margin">
                  <wp:posOffset>0</wp:posOffset>
                </wp:positionH>
                <wp:positionV relativeFrom="margin">
                  <wp:posOffset>7975600</wp:posOffset>
                </wp:positionV>
                <wp:extent cx="2717800" cy="609600"/>
                <wp:effectExtent l="0" t="3175" r="0" b="0"/>
                <wp:wrapSquare wrapText="bothSides"/>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89E8" w14:textId="77777777" w:rsidR="00A878BB" w:rsidRPr="008F4CBD" w:rsidRDefault="00A878BB" w:rsidP="00D300F4">
                            <w:pPr>
                              <w:kinsoku w:val="0"/>
                              <w:overflowPunct w:val="0"/>
                              <w:spacing w:after="0"/>
                              <w:rPr>
                                <w:rFonts w:ascii="Times New Roman" w:eastAsia="+mn-ea" w:hAnsi="Times New Roman" w:cs="Times New Roman"/>
                                <w:i/>
                                <w:iCs/>
                                <w:color w:val="808080" w:themeColor="background1" w:themeShade="80"/>
                                <w:kern w:val="24"/>
                                <w:sz w:val="20"/>
                                <w:szCs w:val="24"/>
                              </w:rPr>
                            </w:pPr>
                            <w:r w:rsidRPr="002556F3">
                              <w:rPr>
                                <w:rFonts w:ascii="Times New Roman" w:eastAsia="+mn-ea" w:hAnsi="Times New Roman" w:cs="Times New Roman"/>
                                <w:i/>
                                <w:iCs/>
                                <w:color w:val="808080" w:themeColor="background1" w:themeShade="80"/>
                                <w:kern w:val="24"/>
                                <w:sz w:val="20"/>
                                <w:szCs w:val="24"/>
                              </w:rPr>
                              <w:t>In</w:t>
                            </w:r>
                            <w:r w:rsidRPr="008F4CBD">
                              <w:rPr>
                                <w:rFonts w:ascii="Times New Roman" w:eastAsia="+mn-ea" w:hAnsi="Times New Roman" w:cs="Times New Roman"/>
                                <w:i/>
                                <w:iCs/>
                                <w:color w:val="808080" w:themeColor="background1" w:themeShade="80"/>
                                <w:kern w:val="24"/>
                                <w:sz w:val="20"/>
                                <w:szCs w:val="24"/>
                              </w:rPr>
                              <w:t>dependent Statistics &amp; Analysis</w:t>
                            </w:r>
                          </w:p>
                          <w:p w14:paraId="12C17209" w14:textId="77777777" w:rsidR="00A878BB" w:rsidRPr="008F4CBD" w:rsidRDefault="00A878BB" w:rsidP="002556F3">
                            <w:pPr>
                              <w:spacing w:before="40" w:after="0"/>
                              <w:rPr>
                                <w:rFonts w:eastAsia="Times New Roman"/>
                                <w:color w:val="808080" w:themeColor="background1" w:themeShade="80"/>
                                <w:sz w:val="20"/>
                              </w:rPr>
                            </w:pPr>
                            <w:r w:rsidRPr="008F4CBD">
                              <w:rPr>
                                <w:color w:val="808080" w:themeColor="background1" w:themeShade="80"/>
                                <w:kern w:val="24"/>
                                <w:sz w:val="20"/>
                              </w:rPr>
                              <w:t>www.eia.gov</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margin-left:0;margin-top:628pt;width:214pt;height:4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" filled="f" stroked="f">
                <v:textbox inset="0,,0">
                  <w:txbxContent>
                    <w:p w14:paraId="6A9289E8" w14:textId="77777777" w:rsidR="00A878BB" w:rsidRPr="008F4CBD" w:rsidRDefault="00A878BB" w:rsidP="00D300F4">
                      <w:pPr>
                        <w:kinsoku w:val="0"/>
                        <w:overflowPunct w:val="0"/>
                        <w:spacing w:after="0"/>
                        <w:rPr>
                          <w:rFonts w:ascii="Times New Roman" w:eastAsia="+mn-ea" w:hAnsi="Times New Roman" w:cs="Times New Roman"/>
                          <w:i/>
                          <w:iCs/>
                          <w:color w:val="808080" w:themeColor="background1" w:themeShade="80"/>
                          <w:kern w:val="24"/>
                          <w:sz w:val="20"/>
                          <w:szCs w:val="24"/>
                        </w:rPr>
                      </w:pPr>
                      <w:r w:rsidRPr="002556F3">
                        <w:rPr>
                          <w:rFonts w:ascii="Times New Roman" w:eastAsia="+mn-ea" w:hAnsi="Times New Roman" w:cs="Times New Roman"/>
                          <w:i/>
                          <w:iCs/>
                          <w:color w:val="808080" w:themeColor="background1" w:themeShade="80"/>
                          <w:kern w:val="24"/>
                          <w:sz w:val="20"/>
                          <w:szCs w:val="24"/>
                        </w:rPr>
                        <w:t>In</w:t>
                      </w:r>
                      <w:r w:rsidRPr="008F4CBD">
                        <w:rPr>
                          <w:rFonts w:ascii="Times New Roman" w:eastAsia="+mn-ea" w:hAnsi="Times New Roman" w:cs="Times New Roman"/>
                          <w:i/>
                          <w:iCs/>
                          <w:color w:val="808080" w:themeColor="background1" w:themeShade="80"/>
                          <w:kern w:val="24"/>
                          <w:sz w:val="20"/>
                          <w:szCs w:val="24"/>
                        </w:rPr>
                        <w:t>dependent Statistics &amp; Analysis</w:t>
                      </w:r>
                    </w:p>
                    <w:p w14:paraId="12C17209" w14:textId="77777777" w:rsidR="00A878BB" w:rsidRPr="008F4CBD" w:rsidRDefault="00A878BB" w:rsidP="002556F3">
                      <w:pPr>
                        <w:spacing w:before="40" w:after="0"/>
                        <w:rPr>
                          <w:rFonts w:eastAsia="Times New Roman"/>
                          <w:color w:val="808080" w:themeColor="background1" w:themeShade="80"/>
                          <w:sz w:val="20"/>
                        </w:rPr>
                      </w:pPr>
                      <w:r w:rsidRPr="008F4CBD">
                        <w:rPr>
                          <w:color w:val="808080" w:themeColor="background1" w:themeShade="80"/>
                          <w:kern w:val="24"/>
                          <w:sz w:val="20"/>
                        </w:rPr>
                        <w:t>www.eia.gov</w:t>
                      </w:r>
                    </w:p>
                  </w:txbxContent>
                </v:textbox>
                <w10:wrap type="square" anchorx="margin" anchory="margin"/>
              </v:shape>
            </w:pict>
          </mc:Fallback>
        </mc:AlternateContent>
      </w:r>
      <w:r w:rsidRPr="0051180F">
        <w:rPr>
          <w:noProof/>
          <w:color w:val="A6A6A6" w:themeColor="background1" w:themeShade="A6"/>
        </w:rPr>
        <mc:AlternateContent>
          <mc:Choice Requires="wps">
            <w:drawing>
              <wp:anchor distT="0" distB="0" distL="114300" distR="114300" simplePos="0" relativeHeight="251692032" behindDoc="0" locked="0" layoutInCell="1" allowOverlap="1" wp14:anchorId="178A688A" wp14:editId="33D9434F">
                <wp:simplePos x="0" y="0"/>
                <wp:positionH relativeFrom="margin">
                  <wp:posOffset>3270250</wp:posOffset>
                </wp:positionH>
                <wp:positionV relativeFrom="margin">
                  <wp:posOffset>7975600</wp:posOffset>
                </wp:positionV>
                <wp:extent cx="2717800" cy="609600"/>
                <wp:effectExtent l="3175" t="3175" r="3175" b="0"/>
                <wp:wrapSquare wrapText="bothSides"/>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69375" w14:textId="77777777" w:rsidR="00A878BB" w:rsidRPr="008F4CBD" w:rsidRDefault="00A878BB" w:rsidP="002556F3">
                            <w:pPr>
                              <w:spacing w:after="0"/>
                              <w:jc w:val="right"/>
                              <w:rPr>
                                <w:color w:val="808080" w:themeColor="background1" w:themeShade="80"/>
                                <w:kern w:val="24"/>
                                <w:sz w:val="20"/>
                              </w:rPr>
                            </w:pPr>
                            <w:r w:rsidRPr="008F4CBD">
                              <w:rPr>
                                <w:color w:val="808080" w:themeColor="background1" w:themeShade="80"/>
                                <w:kern w:val="24"/>
                                <w:sz w:val="20"/>
                              </w:rPr>
                              <w:t>U.S. Department of Energy</w:t>
                            </w:r>
                          </w:p>
                          <w:p w14:paraId="0043BB8F" w14:textId="77777777" w:rsidR="00A878BB" w:rsidRPr="008F4CBD" w:rsidRDefault="00A878BB" w:rsidP="002556F3">
                            <w:pPr>
                              <w:spacing w:before="40" w:after="0"/>
                              <w:jc w:val="right"/>
                              <w:rPr>
                                <w:rFonts w:eastAsia="Times New Roman"/>
                                <w:color w:val="808080" w:themeColor="background1" w:themeShade="80"/>
                                <w:sz w:val="20"/>
                              </w:rPr>
                            </w:pPr>
                            <w:r w:rsidRPr="008F4CBD">
                              <w:rPr>
                                <w:color w:val="808080" w:themeColor="background1" w:themeShade="80"/>
                                <w:kern w:val="24"/>
                                <w:sz w:val="20"/>
                              </w:rPr>
                              <w:t>Washington, DC 20585</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257.5pt;margin-top:628pt;width:214pt;height:4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" filled="f" stroked="f">
                <v:textbox inset="0">
                  <w:txbxContent>
                    <w:p w14:paraId="1DB69375" w14:textId="77777777" w:rsidR="00A878BB" w:rsidRPr="008F4CBD" w:rsidRDefault="00A878BB" w:rsidP="002556F3">
                      <w:pPr>
                        <w:spacing w:after="0"/>
                        <w:jc w:val="right"/>
                        <w:rPr>
                          <w:color w:val="808080" w:themeColor="background1" w:themeShade="80"/>
                          <w:kern w:val="24"/>
                          <w:sz w:val="20"/>
                        </w:rPr>
                      </w:pPr>
                      <w:r w:rsidRPr="008F4CBD">
                        <w:rPr>
                          <w:color w:val="808080" w:themeColor="background1" w:themeShade="80"/>
                          <w:kern w:val="24"/>
                          <w:sz w:val="20"/>
                        </w:rPr>
                        <w:t>U.S. Department of Energy</w:t>
                      </w:r>
                    </w:p>
                    <w:p w14:paraId="0043BB8F" w14:textId="77777777" w:rsidR="00A878BB" w:rsidRPr="008F4CBD" w:rsidRDefault="00A878BB" w:rsidP="002556F3">
                      <w:pPr>
                        <w:spacing w:before="40" w:after="0"/>
                        <w:jc w:val="right"/>
                        <w:rPr>
                          <w:rFonts w:eastAsia="Times New Roman"/>
                          <w:color w:val="808080" w:themeColor="background1" w:themeShade="80"/>
                          <w:sz w:val="20"/>
                        </w:rPr>
                      </w:pPr>
                      <w:r w:rsidRPr="008F4CBD">
                        <w:rPr>
                          <w:color w:val="808080" w:themeColor="background1" w:themeShade="80"/>
                          <w:kern w:val="24"/>
                          <w:sz w:val="20"/>
                        </w:rPr>
                        <w:t>Washington, DC 20585</w:t>
                      </w:r>
                    </w:p>
                  </w:txbxContent>
                </v:textbox>
                <w10:wrap type="square" anchorx="margin" anchory="margin"/>
              </v:shape>
            </w:pict>
          </mc:Fallback>
        </mc:AlternateContent>
      </w:r>
      <w:r w:rsidR="001F3A8F" w:rsidRPr="0051180F">
        <w:br w:type="page"/>
      </w:r>
    </w:p>
    <w:p w14:paraId="60B46331" w14:textId="77777777" w:rsidR="00755C3D" w:rsidRPr="0051180F" w:rsidRDefault="00755C3D" w:rsidP="00D928FD">
      <w:pPr>
        <w:sectPr w:rsidR="00755C3D" w:rsidRPr="0051180F" w:rsidSect="001F3A8F">
          <w:headerReference w:type="default" r:id="rId12"/>
          <w:footerReference w:type="default" r:id="rId13"/>
          <w:footnotePr>
            <w:pos w:val="beneathText"/>
          </w:footnotePr>
          <w:type w:val="continuous"/>
          <w:pgSz w:w="12240" w:h="15840"/>
          <w:pgMar w:top="1440" w:right="1440" w:bottom="1440" w:left="1440" w:header="720" w:footer="720" w:gutter="0"/>
          <w:pgNumType w:fmt="lowerRoman" w:start="1"/>
          <w:cols w:space="720"/>
          <w:titlePg/>
          <w:docGrid w:linePitch="360"/>
        </w:sectPr>
      </w:pPr>
    </w:p>
    <w:p w14:paraId="034E4651" w14:textId="77777777" w:rsidR="00D928FD" w:rsidRPr="0051180F" w:rsidRDefault="00D928FD" w:rsidP="00D928FD"/>
    <w:p w14:paraId="6CEC3A09" w14:textId="77777777" w:rsidR="001F3A8F" w:rsidRPr="0051180F" w:rsidRDefault="001F3A8F" w:rsidP="00D928FD"/>
    <w:p w14:paraId="3D7B5658" w14:textId="77777777" w:rsidR="001F3A8F" w:rsidRPr="0051180F" w:rsidRDefault="001F3A8F" w:rsidP="00D928FD"/>
    <w:p w14:paraId="3FAC4E1A" w14:textId="77777777" w:rsidR="001F3A8F" w:rsidRPr="0051180F" w:rsidRDefault="001F3A8F" w:rsidP="00D928FD"/>
    <w:p w14:paraId="503D1702" w14:textId="77777777" w:rsidR="001F3A8F" w:rsidRPr="0051180F" w:rsidRDefault="001F3A8F" w:rsidP="00D928FD"/>
    <w:p w14:paraId="52A88037" w14:textId="77777777" w:rsidR="001F3A8F" w:rsidRPr="0051180F" w:rsidRDefault="001F3A8F" w:rsidP="00D928FD"/>
    <w:p w14:paraId="254BABAD" w14:textId="77777777" w:rsidR="001F3A8F" w:rsidRPr="0051180F" w:rsidRDefault="001F3A8F" w:rsidP="00D928FD"/>
    <w:p w14:paraId="6305E2B0" w14:textId="77777777" w:rsidR="001F3A8F" w:rsidRPr="0051180F" w:rsidRDefault="001F3A8F" w:rsidP="00D928FD"/>
    <w:p w14:paraId="73D667C8" w14:textId="77777777" w:rsidR="001F3A8F" w:rsidRPr="0051180F" w:rsidRDefault="001F3A8F" w:rsidP="00D928FD"/>
    <w:p w14:paraId="03584870" w14:textId="77777777" w:rsidR="001F3A8F" w:rsidRPr="0051180F" w:rsidRDefault="001F3A8F" w:rsidP="00D928FD"/>
    <w:p w14:paraId="6CDFB000" w14:textId="77777777" w:rsidR="001F3A8F" w:rsidRPr="0051180F" w:rsidRDefault="001F3A8F" w:rsidP="00D928FD"/>
    <w:p w14:paraId="5C6FDC7F" w14:textId="77777777" w:rsidR="001F3A8F" w:rsidRPr="0051180F" w:rsidRDefault="001F3A8F" w:rsidP="00D928FD"/>
    <w:p w14:paraId="4A6ACE93" w14:textId="77777777" w:rsidR="001F3A8F" w:rsidRPr="0051180F" w:rsidRDefault="001F3A8F" w:rsidP="00D928FD"/>
    <w:p w14:paraId="7E83C074" w14:textId="77777777" w:rsidR="001F3A8F" w:rsidRPr="0051180F" w:rsidRDefault="001F3A8F" w:rsidP="00D928FD"/>
    <w:p w14:paraId="1F7B274A" w14:textId="77777777" w:rsidR="001F3A8F" w:rsidRPr="0051180F" w:rsidRDefault="001F3A8F" w:rsidP="00D928FD"/>
    <w:p w14:paraId="529F132E" w14:textId="77777777" w:rsidR="001F3A8F" w:rsidRPr="0051180F" w:rsidRDefault="001F3A8F" w:rsidP="00D928FD"/>
    <w:p w14:paraId="3BAFA89F" w14:textId="77777777" w:rsidR="001F3A8F" w:rsidRPr="0051180F" w:rsidRDefault="001F3A8F" w:rsidP="00D928FD"/>
    <w:p w14:paraId="5CE4BE97" w14:textId="77777777" w:rsidR="001F3A8F" w:rsidRPr="0051180F" w:rsidRDefault="001F3A8F" w:rsidP="00D928FD"/>
    <w:p w14:paraId="4E709719" w14:textId="77777777" w:rsidR="001F3A8F" w:rsidRPr="0051180F" w:rsidRDefault="001F3A8F" w:rsidP="00D928FD"/>
    <w:p w14:paraId="506177AB" w14:textId="77777777" w:rsidR="001F3A8F" w:rsidRPr="0051180F" w:rsidRDefault="001F3A8F" w:rsidP="00D928FD"/>
    <w:p w14:paraId="4638AFF1" w14:textId="77777777" w:rsidR="001F3A8F" w:rsidRPr="0051180F" w:rsidRDefault="001F3A8F" w:rsidP="00D928FD"/>
    <w:p w14:paraId="07C27BB5" w14:textId="77777777" w:rsidR="00677C5F" w:rsidRPr="0051180F" w:rsidRDefault="00677C5F" w:rsidP="00677C5F">
      <w:pPr>
        <w:pStyle w:val="Boxtext"/>
        <w:sectPr w:rsidR="00677C5F" w:rsidRPr="0051180F" w:rsidSect="00725453">
          <w:footerReference w:type="first" r:id="rId14"/>
          <w:footnotePr>
            <w:pos w:val="beneathText"/>
          </w:footnotePr>
          <w:type w:val="continuous"/>
          <w:pgSz w:w="12240" w:h="15840"/>
          <w:pgMar w:top="1440" w:right="1440" w:bottom="1440" w:left="1440" w:header="720" w:footer="720" w:gutter="0"/>
          <w:pgNumType w:fmt="lowerRoman" w:start="1"/>
          <w:cols w:space="720"/>
          <w:docGrid w:linePitch="360"/>
        </w:sectPr>
      </w:pPr>
      <w:r w:rsidRPr="0051180F">
        <w:t>This report was prepared by the U.S. Energy Information Administration (EIA), the statistical and analytical agency within the U.S. Department of Energy. By law, EIA’s data, analyses, and forecasts are independent of approval by any other officer or employee of the United States Government. The views in this report therefore should not be construed as representing those of the</w:t>
      </w:r>
      <w:r w:rsidR="00D13E84" w:rsidRPr="0051180F">
        <w:t xml:space="preserve"> U.S. Department of Energy or other f</w:t>
      </w:r>
      <w:r w:rsidRPr="0051180F">
        <w:t>ederal agencies.</w:t>
      </w:r>
    </w:p>
    <w:p w14:paraId="4B108959" w14:textId="77777777" w:rsidR="00D928FD" w:rsidRPr="0051180F" w:rsidRDefault="00D928FD" w:rsidP="00D928FD">
      <w:pPr>
        <w:sectPr w:rsidR="00D928FD" w:rsidRPr="0051180F" w:rsidSect="00725453">
          <w:footerReference w:type="first" r:id="rId15"/>
          <w:footnotePr>
            <w:pos w:val="beneathText"/>
          </w:footnotePr>
          <w:type w:val="continuous"/>
          <w:pgSz w:w="12240" w:h="15840"/>
          <w:pgMar w:top="1440" w:right="1440" w:bottom="1440" w:left="1440" w:header="720" w:footer="720" w:gutter="0"/>
          <w:pgNumType w:fmt="lowerRoman" w:start="1"/>
          <w:cols w:space="720"/>
          <w:docGrid w:linePitch="360"/>
        </w:sectPr>
      </w:pPr>
    </w:p>
    <w:p w14:paraId="5471F6D2" w14:textId="77777777" w:rsidR="00041909" w:rsidRPr="0051180F" w:rsidRDefault="00041909" w:rsidP="00836D62">
      <w:pPr>
        <w:spacing w:line="240" w:lineRule="auto"/>
        <w:sectPr w:rsidR="00041909" w:rsidRPr="0051180F" w:rsidSect="00725453">
          <w:footerReference w:type="first" r:id="rId16"/>
          <w:footnotePr>
            <w:pos w:val="beneathText"/>
          </w:footnotePr>
          <w:type w:val="continuous"/>
          <w:pgSz w:w="12240" w:h="15840"/>
          <w:pgMar w:top="1440" w:right="1440" w:bottom="1440" w:left="1440" w:header="720" w:footer="720" w:gutter="0"/>
          <w:pgNumType w:fmt="lowerRoman"/>
          <w:cols w:space="720"/>
          <w:docGrid w:linePitch="360"/>
        </w:sectPr>
      </w:pPr>
    </w:p>
    <w:sdt>
      <w:sdtPr>
        <w:rPr>
          <w:rFonts w:asciiTheme="minorHAnsi" w:eastAsiaTheme="minorHAnsi" w:hAnsiTheme="minorHAnsi" w:cstheme="minorBidi"/>
          <w:b w:val="0"/>
          <w:bCs w:val="0"/>
          <w:color w:val="auto"/>
          <w:sz w:val="22"/>
          <w:szCs w:val="22"/>
        </w:rPr>
        <w:id w:val="982736139"/>
        <w:docPartObj>
          <w:docPartGallery w:val="Table of Contents"/>
          <w:docPartUnique/>
        </w:docPartObj>
      </w:sdtPr>
      <w:sdtEndPr/>
      <w:sdtContent>
        <w:p w14:paraId="3316A7D0" w14:textId="77777777" w:rsidR="000E683D" w:rsidRPr="0051180F" w:rsidRDefault="000E683D" w:rsidP="007832EC">
          <w:pPr>
            <w:pStyle w:val="TOCHeading"/>
          </w:pPr>
          <w:r w:rsidRPr="0051180F">
            <w:t>Table of Contents</w:t>
          </w:r>
        </w:p>
        <w:p w14:paraId="3EE4108C" w14:textId="77777777" w:rsidR="00C50AD4" w:rsidRDefault="000E683D">
          <w:pPr>
            <w:pStyle w:val="TOC1"/>
            <w:rPr>
              <w:rFonts w:eastAsiaTheme="minorEastAsia"/>
              <w:noProof/>
              <w:color w:val="auto"/>
            </w:rPr>
          </w:pPr>
          <w:r w:rsidRPr="0051180F">
            <w:fldChar w:fldCharType="begin"/>
          </w:r>
          <w:r w:rsidRPr="0051180F">
            <w:instrText xml:space="preserve"> TOC \o "1-3" \h \z \u </w:instrText>
          </w:r>
          <w:r w:rsidRPr="0051180F">
            <w:fldChar w:fldCharType="separate"/>
          </w:r>
          <w:hyperlink w:anchor="_Toc497202505" w:history="1">
            <w:r w:rsidR="00C50AD4" w:rsidRPr="008167CB">
              <w:rPr>
                <w:rStyle w:val="Hyperlink"/>
                <w:noProof/>
              </w:rPr>
              <w:t>Executive Summary</w:t>
            </w:r>
            <w:r w:rsidR="00C50AD4">
              <w:rPr>
                <w:noProof/>
                <w:webHidden/>
              </w:rPr>
              <w:tab/>
            </w:r>
            <w:r w:rsidR="00C50AD4">
              <w:rPr>
                <w:noProof/>
                <w:webHidden/>
              </w:rPr>
              <w:fldChar w:fldCharType="begin"/>
            </w:r>
            <w:r w:rsidR="00C50AD4">
              <w:rPr>
                <w:noProof/>
                <w:webHidden/>
              </w:rPr>
              <w:instrText xml:space="preserve"> PAGEREF _Toc497202505 \h </w:instrText>
            </w:r>
            <w:r w:rsidR="00C50AD4">
              <w:rPr>
                <w:noProof/>
                <w:webHidden/>
              </w:rPr>
            </w:r>
            <w:r w:rsidR="00C50AD4">
              <w:rPr>
                <w:noProof/>
                <w:webHidden/>
              </w:rPr>
              <w:fldChar w:fldCharType="separate"/>
            </w:r>
            <w:r w:rsidR="00C50AD4">
              <w:rPr>
                <w:noProof/>
                <w:webHidden/>
              </w:rPr>
              <w:t>4</w:t>
            </w:r>
            <w:r w:rsidR="00C50AD4">
              <w:rPr>
                <w:noProof/>
                <w:webHidden/>
              </w:rPr>
              <w:fldChar w:fldCharType="end"/>
            </w:r>
          </w:hyperlink>
        </w:p>
        <w:p w14:paraId="4E5B9A6F" w14:textId="77777777" w:rsidR="00C50AD4" w:rsidRDefault="00757009">
          <w:pPr>
            <w:pStyle w:val="TOC1"/>
            <w:rPr>
              <w:rFonts w:eastAsiaTheme="minorEastAsia"/>
              <w:noProof/>
              <w:color w:val="auto"/>
            </w:rPr>
          </w:pPr>
          <w:hyperlink w:anchor="_Toc497202506" w:history="1">
            <w:r w:rsidR="00C50AD4" w:rsidRPr="008167CB">
              <w:rPr>
                <w:rStyle w:val="Hyperlink"/>
                <w:noProof/>
              </w:rPr>
              <w:t>Introduction</w:t>
            </w:r>
            <w:r w:rsidR="00C50AD4">
              <w:rPr>
                <w:noProof/>
                <w:webHidden/>
              </w:rPr>
              <w:tab/>
            </w:r>
            <w:r w:rsidR="00C50AD4">
              <w:rPr>
                <w:noProof/>
                <w:webHidden/>
              </w:rPr>
              <w:fldChar w:fldCharType="begin"/>
            </w:r>
            <w:r w:rsidR="00C50AD4">
              <w:rPr>
                <w:noProof/>
                <w:webHidden/>
              </w:rPr>
              <w:instrText xml:space="preserve"> PAGEREF _Toc497202506 \h </w:instrText>
            </w:r>
            <w:r w:rsidR="00C50AD4">
              <w:rPr>
                <w:noProof/>
                <w:webHidden/>
              </w:rPr>
            </w:r>
            <w:r w:rsidR="00C50AD4">
              <w:rPr>
                <w:noProof/>
                <w:webHidden/>
              </w:rPr>
              <w:fldChar w:fldCharType="separate"/>
            </w:r>
            <w:r w:rsidR="00C50AD4">
              <w:rPr>
                <w:noProof/>
                <w:webHidden/>
              </w:rPr>
              <w:t>6</w:t>
            </w:r>
            <w:r w:rsidR="00C50AD4">
              <w:rPr>
                <w:noProof/>
                <w:webHidden/>
              </w:rPr>
              <w:fldChar w:fldCharType="end"/>
            </w:r>
          </w:hyperlink>
        </w:p>
        <w:p w14:paraId="2B40816C" w14:textId="77777777" w:rsidR="00C50AD4" w:rsidRDefault="00757009">
          <w:pPr>
            <w:pStyle w:val="TOC1"/>
            <w:rPr>
              <w:rFonts w:eastAsiaTheme="minorEastAsia"/>
              <w:noProof/>
              <w:color w:val="auto"/>
            </w:rPr>
          </w:pPr>
          <w:hyperlink w:anchor="_Toc497202507" w:history="1">
            <w:r w:rsidR="00C50AD4" w:rsidRPr="008167CB">
              <w:rPr>
                <w:rStyle w:val="Hyperlink"/>
                <w:noProof/>
              </w:rPr>
              <w:t>Data</w:t>
            </w:r>
            <w:r w:rsidR="00C50AD4">
              <w:rPr>
                <w:noProof/>
                <w:webHidden/>
              </w:rPr>
              <w:tab/>
            </w:r>
            <w:r w:rsidR="00C50AD4">
              <w:rPr>
                <w:noProof/>
                <w:webHidden/>
              </w:rPr>
              <w:fldChar w:fldCharType="begin"/>
            </w:r>
            <w:r w:rsidR="00C50AD4">
              <w:rPr>
                <w:noProof/>
                <w:webHidden/>
              </w:rPr>
              <w:instrText xml:space="preserve"> PAGEREF _Toc497202507 \h </w:instrText>
            </w:r>
            <w:r w:rsidR="00C50AD4">
              <w:rPr>
                <w:noProof/>
                <w:webHidden/>
              </w:rPr>
            </w:r>
            <w:r w:rsidR="00C50AD4">
              <w:rPr>
                <w:noProof/>
                <w:webHidden/>
              </w:rPr>
              <w:fldChar w:fldCharType="separate"/>
            </w:r>
            <w:r w:rsidR="00C50AD4">
              <w:rPr>
                <w:noProof/>
                <w:webHidden/>
              </w:rPr>
              <w:t>7</w:t>
            </w:r>
            <w:r w:rsidR="00C50AD4">
              <w:rPr>
                <w:noProof/>
                <w:webHidden/>
              </w:rPr>
              <w:fldChar w:fldCharType="end"/>
            </w:r>
          </w:hyperlink>
        </w:p>
        <w:p w14:paraId="64B1D1B1" w14:textId="77777777" w:rsidR="00C50AD4" w:rsidRDefault="00757009">
          <w:pPr>
            <w:pStyle w:val="TOC2"/>
            <w:rPr>
              <w:rFonts w:eastAsiaTheme="minorEastAsia"/>
              <w:noProof/>
              <w:color w:val="auto"/>
            </w:rPr>
          </w:pPr>
          <w:hyperlink w:anchor="_Toc497202508" w:history="1">
            <w:r w:rsidR="00C50AD4" w:rsidRPr="008167CB">
              <w:rPr>
                <w:rStyle w:val="Hyperlink"/>
                <w:noProof/>
              </w:rPr>
              <w:t>Description of station-level gasoline price data</w:t>
            </w:r>
            <w:r w:rsidR="00C50AD4">
              <w:rPr>
                <w:noProof/>
                <w:webHidden/>
              </w:rPr>
              <w:tab/>
            </w:r>
            <w:r w:rsidR="00C50AD4">
              <w:rPr>
                <w:noProof/>
                <w:webHidden/>
              </w:rPr>
              <w:fldChar w:fldCharType="begin"/>
            </w:r>
            <w:r w:rsidR="00C50AD4">
              <w:rPr>
                <w:noProof/>
                <w:webHidden/>
              </w:rPr>
              <w:instrText xml:space="preserve"> PAGEREF _Toc497202508 \h </w:instrText>
            </w:r>
            <w:r w:rsidR="00C50AD4">
              <w:rPr>
                <w:noProof/>
                <w:webHidden/>
              </w:rPr>
            </w:r>
            <w:r w:rsidR="00C50AD4">
              <w:rPr>
                <w:noProof/>
                <w:webHidden/>
              </w:rPr>
              <w:fldChar w:fldCharType="separate"/>
            </w:r>
            <w:r w:rsidR="00C50AD4">
              <w:rPr>
                <w:noProof/>
                <w:webHidden/>
              </w:rPr>
              <w:t>7</w:t>
            </w:r>
            <w:r w:rsidR="00C50AD4">
              <w:rPr>
                <w:noProof/>
                <w:webHidden/>
              </w:rPr>
              <w:fldChar w:fldCharType="end"/>
            </w:r>
          </w:hyperlink>
        </w:p>
        <w:p w14:paraId="14C65BC1" w14:textId="77777777" w:rsidR="00C50AD4" w:rsidRDefault="00757009">
          <w:pPr>
            <w:pStyle w:val="TOC3"/>
            <w:rPr>
              <w:rFonts w:eastAsiaTheme="minorEastAsia"/>
              <w:noProof/>
              <w:color w:val="auto"/>
            </w:rPr>
          </w:pPr>
          <w:hyperlink w:anchor="_Toc497202509" w:history="1">
            <w:r w:rsidR="00C50AD4" w:rsidRPr="008167CB">
              <w:rPr>
                <w:rStyle w:val="Hyperlink"/>
                <w:noProof/>
              </w:rPr>
              <w:t>EIA-878</w:t>
            </w:r>
            <w:r w:rsidR="00C50AD4">
              <w:rPr>
                <w:noProof/>
                <w:webHidden/>
              </w:rPr>
              <w:tab/>
            </w:r>
            <w:r w:rsidR="00C50AD4">
              <w:rPr>
                <w:noProof/>
                <w:webHidden/>
              </w:rPr>
              <w:fldChar w:fldCharType="begin"/>
            </w:r>
            <w:r w:rsidR="00C50AD4">
              <w:rPr>
                <w:noProof/>
                <w:webHidden/>
              </w:rPr>
              <w:instrText xml:space="preserve"> PAGEREF _Toc497202509 \h </w:instrText>
            </w:r>
            <w:r w:rsidR="00C50AD4">
              <w:rPr>
                <w:noProof/>
                <w:webHidden/>
              </w:rPr>
            </w:r>
            <w:r w:rsidR="00C50AD4">
              <w:rPr>
                <w:noProof/>
                <w:webHidden/>
              </w:rPr>
              <w:fldChar w:fldCharType="separate"/>
            </w:r>
            <w:r w:rsidR="00C50AD4">
              <w:rPr>
                <w:noProof/>
                <w:webHidden/>
              </w:rPr>
              <w:t>7</w:t>
            </w:r>
            <w:r w:rsidR="00C50AD4">
              <w:rPr>
                <w:noProof/>
                <w:webHidden/>
              </w:rPr>
              <w:fldChar w:fldCharType="end"/>
            </w:r>
          </w:hyperlink>
        </w:p>
        <w:p w14:paraId="18BAB689" w14:textId="77777777" w:rsidR="00C50AD4" w:rsidRDefault="00757009">
          <w:pPr>
            <w:pStyle w:val="TOC3"/>
            <w:rPr>
              <w:rFonts w:eastAsiaTheme="minorEastAsia"/>
              <w:noProof/>
              <w:color w:val="auto"/>
            </w:rPr>
          </w:pPr>
          <w:hyperlink w:anchor="_Toc497202510" w:history="1">
            <w:r w:rsidR="00C50AD4" w:rsidRPr="008167CB">
              <w:rPr>
                <w:rStyle w:val="Hyperlink"/>
                <w:noProof/>
              </w:rPr>
              <w:t>Oil Price Information Service</w:t>
            </w:r>
            <w:r w:rsidR="00C50AD4">
              <w:rPr>
                <w:noProof/>
                <w:webHidden/>
              </w:rPr>
              <w:tab/>
            </w:r>
            <w:r w:rsidR="00C50AD4">
              <w:rPr>
                <w:noProof/>
                <w:webHidden/>
              </w:rPr>
              <w:fldChar w:fldCharType="begin"/>
            </w:r>
            <w:r w:rsidR="00C50AD4">
              <w:rPr>
                <w:noProof/>
                <w:webHidden/>
              </w:rPr>
              <w:instrText xml:space="preserve"> PAGEREF _Toc497202510 \h </w:instrText>
            </w:r>
            <w:r w:rsidR="00C50AD4">
              <w:rPr>
                <w:noProof/>
                <w:webHidden/>
              </w:rPr>
            </w:r>
            <w:r w:rsidR="00C50AD4">
              <w:rPr>
                <w:noProof/>
                <w:webHidden/>
              </w:rPr>
              <w:fldChar w:fldCharType="separate"/>
            </w:r>
            <w:r w:rsidR="00C50AD4">
              <w:rPr>
                <w:noProof/>
                <w:webHidden/>
              </w:rPr>
              <w:t>7</w:t>
            </w:r>
            <w:r w:rsidR="00C50AD4">
              <w:rPr>
                <w:noProof/>
                <w:webHidden/>
              </w:rPr>
              <w:fldChar w:fldCharType="end"/>
            </w:r>
          </w:hyperlink>
        </w:p>
        <w:p w14:paraId="4DF95AD1" w14:textId="77777777" w:rsidR="00C50AD4" w:rsidRDefault="00757009">
          <w:pPr>
            <w:pStyle w:val="TOC3"/>
            <w:rPr>
              <w:rFonts w:eastAsiaTheme="minorEastAsia"/>
              <w:noProof/>
              <w:color w:val="auto"/>
            </w:rPr>
          </w:pPr>
          <w:hyperlink w:anchor="_Toc497202511" w:history="1">
            <w:r w:rsidR="00C50AD4" w:rsidRPr="008167CB">
              <w:rPr>
                <w:rStyle w:val="Hyperlink"/>
                <w:noProof/>
              </w:rPr>
              <w:t>GasBuddy.com</w:t>
            </w:r>
            <w:r w:rsidR="00C50AD4">
              <w:rPr>
                <w:noProof/>
                <w:webHidden/>
              </w:rPr>
              <w:tab/>
            </w:r>
            <w:r w:rsidR="00C50AD4">
              <w:rPr>
                <w:noProof/>
                <w:webHidden/>
              </w:rPr>
              <w:fldChar w:fldCharType="begin"/>
            </w:r>
            <w:r w:rsidR="00C50AD4">
              <w:rPr>
                <w:noProof/>
                <w:webHidden/>
              </w:rPr>
              <w:instrText xml:space="preserve"> PAGEREF _Toc497202511 \h </w:instrText>
            </w:r>
            <w:r w:rsidR="00C50AD4">
              <w:rPr>
                <w:noProof/>
                <w:webHidden/>
              </w:rPr>
            </w:r>
            <w:r w:rsidR="00C50AD4">
              <w:rPr>
                <w:noProof/>
                <w:webHidden/>
              </w:rPr>
              <w:fldChar w:fldCharType="separate"/>
            </w:r>
            <w:r w:rsidR="00C50AD4">
              <w:rPr>
                <w:noProof/>
                <w:webHidden/>
              </w:rPr>
              <w:t>8</w:t>
            </w:r>
            <w:r w:rsidR="00C50AD4">
              <w:rPr>
                <w:noProof/>
                <w:webHidden/>
              </w:rPr>
              <w:fldChar w:fldCharType="end"/>
            </w:r>
          </w:hyperlink>
        </w:p>
        <w:p w14:paraId="721DF4D7" w14:textId="77777777" w:rsidR="00C50AD4" w:rsidRDefault="00757009">
          <w:pPr>
            <w:pStyle w:val="TOC2"/>
            <w:rPr>
              <w:rFonts w:eastAsiaTheme="minorEastAsia"/>
              <w:noProof/>
              <w:color w:val="auto"/>
            </w:rPr>
          </w:pPr>
          <w:hyperlink w:anchor="_Toc497202512" w:history="1">
            <w:r w:rsidR="00C50AD4" w:rsidRPr="008167CB">
              <w:rPr>
                <w:rStyle w:val="Hyperlink"/>
                <w:noProof/>
              </w:rPr>
              <w:t>Results from comparison of data sources on key dimensions</w:t>
            </w:r>
            <w:r w:rsidR="00C50AD4">
              <w:rPr>
                <w:noProof/>
                <w:webHidden/>
              </w:rPr>
              <w:tab/>
            </w:r>
            <w:r w:rsidR="00C50AD4">
              <w:rPr>
                <w:noProof/>
                <w:webHidden/>
              </w:rPr>
              <w:fldChar w:fldCharType="begin"/>
            </w:r>
            <w:r w:rsidR="00C50AD4">
              <w:rPr>
                <w:noProof/>
                <w:webHidden/>
              </w:rPr>
              <w:instrText xml:space="preserve"> PAGEREF _Toc497202512 \h </w:instrText>
            </w:r>
            <w:r w:rsidR="00C50AD4">
              <w:rPr>
                <w:noProof/>
                <w:webHidden/>
              </w:rPr>
            </w:r>
            <w:r w:rsidR="00C50AD4">
              <w:rPr>
                <w:noProof/>
                <w:webHidden/>
              </w:rPr>
              <w:fldChar w:fldCharType="separate"/>
            </w:r>
            <w:r w:rsidR="00C50AD4">
              <w:rPr>
                <w:noProof/>
                <w:webHidden/>
              </w:rPr>
              <w:t>9</w:t>
            </w:r>
            <w:r w:rsidR="00C50AD4">
              <w:rPr>
                <w:noProof/>
                <w:webHidden/>
              </w:rPr>
              <w:fldChar w:fldCharType="end"/>
            </w:r>
          </w:hyperlink>
        </w:p>
        <w:p w14:paraId="0246D20C" w14:textId="77777777" w:rsidR="00C50AD4" w:rsidRDefault="00757009">
          <w:pPr>
            <w:pStyle w:val="TOC2"/>
            <w:rPr>
              <w:rFonts w:eastAsiaTheme="minorEastAsia"/>
              <w:noProof/>
              <w:color w:val="auto"/>
            </w:rPr>
          </w:pPr>
          <w:hyperlink w:anchor="_Toc497202513" w:history="1">
            <w:r w:rsidR="00C50AD4" w:rsidRPr="008167CB">
              <w:rPr>
                <w:rStyle w:val="Hyperlink"/>
                <w:noProof/>
              </w:rPr>
              <w:t>Data linkage methods</w:t>
            </w:r>
            <w:r w:rsidR="00C50AD4">
              <w:rPr>
                <w:noProof/>
                <w:webHidden/>
              </w:rPr>
              <w:tab/>
            </w:r>
            <w:r w:rsidR="00C50AD4">
              <w:rPr>
                <w:noProof/>
                <w:webHidden/>
              </w:rPr>
              <w:fldChar w:fldCharType="begin"/>
            </w:r>
            <w:r w:rsidR="00C50AD4">
              <w:rPr>
                <w:noProof/>
                <w:webHidden/>
              </w:rPr>
              <w:instrText xml:space="preserve"> PAGEREF _Toc497202513 \h </w:instrText>
            </w:r>
            <w:r w:rsidR="00C50AD4">
              <w:rPr>
                <w:noProof/>
                <w:webHidden/>
              </w:rPr>
            </w:r>
            <w:r w:rsidR="00C50AD4">
              <w:rPr>
                <w:noProof/>
                <w:webHidden/>
              </w:rPr>
              <w:fldChar w:fldCharType="separate"/>
            </w:r>
            <w:r w:rsidR="00C50AD4">
              <w:rPr>
                <w:noProof/>
                <w:webHidden/>
              </w:rPr>
              <w:t>13</w:t>
            </w:r>
            <w:r w:rsidR="00C50AD4">
              <w:rPr>
                <w:noProof/>
                <w:webHidden/>
              </w:rPr>
              <w:fldChar w:fldCharType="end"/>
            </w:r>
          </w:hyperlink>
        </w:p>
        <w:p w14:paraId="71F4C63C" w14:textId="77777777" w:rsidR="00C50AD4" w:rsidRDefault="00757009">
          <w:pPr>
            <w:pStyle w:val="TOC1"/>
            <w:rPr>
              <w:rFonts w:eastAsiaTheme="minorEastAsia"/>
              <w:noProof/>
              <w:color w:val="auto"/>
            </w:rPr>
          </w:pPr>
          <w:hyperlink w:anchor="_Toc497202514" w:history="1">
            <w:r w:rsidR="00C50AD4" w:rsidRPr="008167CB">
              <w:rPr>
                <w:rStyle w:val="Hyperlink"/>
                <w:noProof/>
              </w:rPr>
              <w:t>Findings</w:t>
            </w:r>
            <w:r w:rsidR="00C50AD4">
              <w:rPr>
                <w:noProof/>
                <w:webHidden/>
              </w:rPr>
              <w:tab/>
            </w:r>
            <w:r w:rsidR="00C50AD4">
              <w:rPr>
                <w:noProof/>
                <w:webHidden/>
              </w:rPr>
              <w:fldChar w:fldCharType="begin"/>
            </w:r>
            <w:r w:rsidR="00C50AD4">
              <w:rPr>
                <w:noProof/>
                <w:webHidden/>
              </w:rPr>
              <w:instrText xml:space="preserve"> PAGEREF _Toc497202514 \h </w:instrText>
            </w:r>
            <w:r w:rsidR="00C50AD4">
              <w:rPr>
                <w:noProof/>
                <w:webHidden/>
              </w:rPr>
            </w:r>
            <w:r w:rsidR="00C50AD4">
              <w:rPr>
                <w:noProof/>
                <w:webHidden/>
              </w:rPr>
              <w:fldChar w:fldCharType="separate"/>
            </w:r>
            <w:r w:rsidR="00C50AD4">
              <w:rPr>
                <w:noProof/>
                <w:webHidden/>
              </w:rPr>
              <w:t>15</w:t>
            </w:r>
            <w:r w:rsidR="00C50AD4">
              <w:rPr>
                <w:noProof/>
                <w:webHidden/>
              </w:rPr>
              <w:fldChar w:fldCharType="end"/>
            </w:r>
          </w:hyperlink>
        </w:p>
        <w:p w14:paraId="5665EE9F" w14:textId="77777777" w:rsidR="00C50AD4" w:rsidRDefault="00757009">
          <w:pPr>
            <w:pStyle w:val="TOC2"/>
            <w:rPr>
              <w:rFonts w:eastAsiaTheme="minorEastAsia"/>
              <w:noProof/>
              <w:color w:val="auto"/>
            </w:rPr>
          </w:pPr>
          <w:hyperlink w:anchor="_Toc497202515" w:history="1">
            <w:r w:rsidR="00C50AD4" w:rsidRPr="008167CB">
              <w:rPr>
                <w:rStyle w:val="Hyperlink"/>
                <w:noProof/>
              </w:rPr>
              <w:t>Evaluation of internal consistency of the OPIS data feed</w:t>
            </w:r>
            <w:r w:rsidR="00C50AD4">
              <w:rPr>
                <w:noProof/>
                <w:webHidden/>
              </w:rPr>
              <w:tab/>
            </w:r>
            <w:r w:rsidR="00C50AD4">
              <w:rPr>
                <w:noProof/>
                <w:webHidden/>
              </w:rPr>
              <w:fldChar w:fldCharType="begin"/>
            </w:r>
            <w:r w:rsidR="00C50AD4">
              <w:rPr>
                <w:noProof/>
                <w:webHidden/>
              </w:rPr>
              <w:instrText xml:space="preserve"> PAGEREF _Toc497202515 \h </w:instrText>
            </w:r>
            <w:r w:rsidR="00C50AD4">
              <w:rPr>
                <w:noProof/>
                <w:webHidden/>
              </w:rPr>
            </w:r>
            <w:r w:rsidR="00C50AD4">
              <w:rPr>
                <w:noProof/>
                <w:webHidden/>
              </w:rPr>
              <w:fldChar w:fldCharType="separate"/>
            </w:r>
            <w:r w:rsidR="00C50AD4">
              <w:rPr>
                <w:noProof/>
                <w:webHidden/>
              </w:rPr>
              <w:t>15</w:t>
            </w:r>
            <w:r w:rsidR="00C50AD4">
              <w:rPr>
                <w:noProof/>
                <w:webHidden/>
              </w:rPr>
              <w:fldChar w:fldCharType="end"/>
            </w:r>
          </w:hyperlink>
        </w:p>
        <w:p w14:paraId="1F80403A" w14:textId="77777777" w:rsidR="00C50AD4" w:rsidRDefault="00757009">
          <w:pPr>
            <w:pStyle w:val="TOC3"/>
            <w:rPr>
              <w:rFonts w:eastAsiaTheme="minorEastAsia"/>
              <w:noProof/>
              <w:color w:val="auto"/>
            </w:rPr>
          </w:pPr>
          <w:hyperlink w:anchor="_Toc497202516" w:history="1">
            <w:r w:rsidR="00C50AD4" w:rsidRPr="008167CB">
              <w:rPr>
                <w:rStyle w:val="Hyperlink"/>
                <w:noProof/>
              </w:rPr>
              <w:t>Key findings from comparing OPIS daily data feeds</w:t>
            </w:r>
            <w:r w:rsidR="00C50AD4">
              <w:rPr>
                <w:noProof/>
                <w:webHidden/>
              </w:rPr>
              <w:tab/>
            </w:r>
            <w:r w:rsidR="00C50AD4">
              <w:rPr>
                <w:noProof/>
                <w:webHidden/>
              </w:rPr>
              <w:fldChar w:fldCharType="begin"/>
            </w:r>
            <w:r w:rsidR="00C50AD4">
              <w:rPr>
                <w:noProof/>
                <w:webHidden/>
              </w:rPr>
              <w:instrText xml:space="preserve"> PAGEREF _Toc497202516 \h </w:instrText>
            </w:r>
            <w:r w:rsidR="00C50AD4">
              <w:rPr>
                <w:noProof/>
                <w:webHidden/>
              </w:rPr>
            </w:r>
            <w:r w:rsidR="00C50AD4">
              <w:rPr>
                <w:noProof/>
                <w:webHidden/>
              </w:rPr>
              <w:fldChar w:fldCharType="separate"/>
            </w:r>
            <w:r w:rsidR="00C50AD4">
              <w:rPr>
                <w:noProof/>
                <w:webHidden/>
              </w:rPr>
              <w:t>15</w:t>
            </w:r>
            <w:r w:rsidR="00C50AD4">
              <w:rPr>
                <w:noProof/>
                <w:webHidden/>
              </w:rPr>
              <w:fldChar w:fldCharType="end"/>
            </w:r>
          </w:hyperlink>
        </w:p>
        <w:p w14:paraId="162CAB38" w14:textId="77777777" w:rsidR="00C50AD4" w:rsidRDefault="00757009">
          <w:pPr>
            <w:pStyle w:val="TOC3"/>
            <w:rPr>
              <w:rFonts w:eastAsiaTheme="minorEastAsia"/>
              <w:noProof/>
              <w:color w:val="auto"/>
            </w:rPr>
          </w:pPr>
          <w:hyperlink w:anchor="_Toc497202517" w:history="1">
            <w:r w:rsidR="00C50AD4" w:rsidRPr="008167CB">
              <w:rPr>
                <w:rStyle w:val="Hyperlink"/>
                <w:noProof/>
              </w:rPr>
              <w:t>Key findings from matched comparisons of prices between timed daily feeds</w:t>
            </w:r>
            <w:r w:rsidR="00C50AD4">
              <w:rPr>
                <w:noProof/>
                <w:webHidden/>
              </w:rPr>
              <w:tab/>
            </w:r>
            <w:r w:rsidR="00C50AD4">
              <w:rPr>
                <w:noProof/>
                <w:webHidden/>
              </w:rPr>
              <w:fldChar w:fldCharType="begin"/>
            </w:r>
            <w:r w:rsidR="00C50AD4">
              <w:rPr>
                <w:noProof/>
                <w:webHidden/>
              </w:rPr>
              <w:instrText xml:space="preserve"> PAGEREF _Toc497202517 \h </w:instrText>
            </w:r>
            <w:r w:rsidR="00C50AD4">
              <w:rPr>
                <w:noProof/>
                <w:webHidden/>
              </w:rPr>
            </w:r>
            <w:r w:rsidR="00C50AD4">
              <w:rPr>
                <w:noProof/>
                <w:webHidden/>
              </w:rPr>
              <w:fldChar w:fldCharType="separate"/>
            </w:r>
            <w:r w:rsidR="00C50AD4">
              <w:rPr>
                <w:noProof/>
                <w:webHidden/>
              </w:rPr>
              <w:t>15</w:t>
            </w:r>
            <w:r w:rsidR="00C50AD4">
              <w:rPr>
                <w:noProof/>
                <w:webHidden/>
              </w:rPr>
              <w:fldChar w:fldCharType="end"/>
            </w:r>
          </w:hyperlink>
        </w:p>
        <w:p w14:paraId="4AB13505" w14:textId="77777777" w:rsidR="00C50AD4" w:rsidRDefault="00757009">
          <w:pPr>
            <w:pStyle w:val="TOC3"/>
            <w:rPr>
              <w:rFonts w:eastAsiaTheme="minorEastAsia"/>
              <w:noProof/>
              <w:color w:val="auto"/>
            </w:rPr>
          </w:pPr>
          <w:hyperlink w:anchor="_Toc497202518" w:history="1">
            <w:r w:rsidR="00C50AD4" w:rsidRPr="008167CB">
              <w:rPr>
                <w:rStyle w:val="Hyperlink"/>
                <w:noProof/>
              </w:rPr>
              <w:t>Key findings from investigating instances of largest price differences by pairwise comparison</w:t>
            </w:r>
            <w:r w:rsidR="00C50AD4">
              <w:rPr>
                <w:noProof/>
                <w:webHidden/>
              </w:rPr>
              <w:tab/>
            </w:r>
            <w:r w:rsidR="00C50AD4">
              <w:rPr>
                <w:noProof/>
                <w:webHidden/>
              </w:rPr>
              <w:fldChar w:fldCharType="begin"/>
            </w:r>
            <w:r w:rsidR="00C50AD4">
              <w:rPr>
                <w:noProof/>
                <w:webHidden/>
              </w:rPr>
              <w:instrText xml:space="preserve"> PAGEREF _Toc497202518 \h </w:instrText>
            </w:r>
            <w:r w:rsidR="00C50AD4">
              <w:rPr>
                <w:noProof/>
                <w:webHidden/>
              </w:rPr>
            </w:r>
            <w:r w:rsidR="00C50AD4">
              <w:rPr>
                <w:noProof/>
                <w:webHidden/>
              </w:rPr>
              <w:fldChar w:fldCharType="separate"/>
            </w:r>
            <w:r w:rsidR="00C50AD4">
              <w:rPr>
                <w:noProof/>
                <w:webHidden/>
              </w:rPr>
              <w:t>21</w:t>
            </w:r>
            <w:r w:rsidR="00C50AD4">
              <w:rPr>
                <w:noProof/>
                <w:webHidden/>
              </w:rPr>
              <w:fldChar w:fldCharType="end"/>
            </w:r>
          </w:hyperlink>
        </w:p>
        <w:p w14:paraId="0B4BEB11" w14:textId="77777777" w:rsidR="00C50AD4" w:rsidRDefault="00757009">
          <w:pPr>
            <w:pStyle w:val="TOC2"/>
            <w:rPr>
              <w:rFonts w:eastAsiaTheme="minorEastAsia"/>
              <w:noProof/>
              <w:color w:val="auto"/>
            </w:rPr>
          </w:pPr>
          <w:hyperlink w:anchor="_Toc497202519" w:history="1">
            <w:r w:rsidR="00C50AD4" w:rsidRPr="008167CB">
              <w:rPr>
                <w:rStyle w:val="Hyperlink"/>
                <w:noProof/>
              </w:rPr>
              <w:t>Comparison of survey and alternative price data at the station level</w:t>
            </w:r>
            <w:r w:rsidR="00C50AD4">
              <w:rPr>
                <w:noProof/>
                <w:webHidden/>
              </w:rPr>
              <w:tab/>
            </w:r>
            <w:r w:rsidR="00C50AD4">
              <w:rPr>
                <w:noProof/>
                <w:webHidden/>
              </w:rPr>
              <w:fldChar w:fldCharType="begin"/>
            </w:r>
            <w:r w:rsidR="00C50AD4">
              <w:rPr>
                <w:noProof/>
                <w:webHidden/>
              </w:rPr>
              <w:instrText xml:space="preserve"> PAGEREF _Toc497202519 \h </w:instrText>
            </w:r>
            <w:r w:rsidR="00C50AD4">
              <w:rPr>
                <w:noProof/>
                <w:webHidden/>
              </w:rPr>
            </w:r>
            <w:r w:rsidR="00C50AD4">
              <w:rPr>
                <w:noProof/>
                <w:webHidden/>
              </w:rPr>
              <w:fldChar w:fldCharType="separate"/>
            </w:r>
            <w:r w:rsidR="00C50AD4">
              <w:rPr>
                <w:noProof/>
                <w:webHidden/>
              </w:rPr>
              <w:t>22</w:t>
            </w:r>
            <w:r w:rsidR="00C50AD4">
              <w:rPr>
                <w:noProof/>
                <w:webHidden/>
              </w:rPr>
              <w:fldChar w:fldCharType="end"/>
            </w:r>
          </w:hyperlink>
        </w:p>
        <w:p w14:paraId="7A85B461" w14:textId="77777777" w:rsidR="00C50AD4" w:rsidRDefault="00757009">
          <w:pPr>
            <w:pStyle w:val="TOC3"/>
            <w:rPr>
              <w:rFonts w:eastAsiaTheme="minorEastAsia"/>
              <w:noProof/>
              <w:color w:val="auto"/>
            </w:rPr>
          </w:pPr>
          <w:hyperlink w:anchor="_Toc497202520" w:history="1">
            <w:r w:rsidR="00C50AD4" w:rsidRPr="008167CB">
              <w:rPr>
                <w:rStyle w:val="Hyperlink"/>
                <w:noProof/>
              </w:rPr>
              <w:t>Key findings from comparison of EIA-878 and OPIS price data over 12 weeks</w:t>
            </w:r>
            <w:r w:rsidR="00C50AD4">
              <w:rPr>
                <w:noProof/>
                <w:webHidden/>
              </w:rPr>
              <w:tab/>
            </w:r>
            <w:r w:rsidR="00C50AD4">
              <w:rPr>
                <w:noProof/>
                <w:webHidden/>
              </w:rPr>
              <w:fldChar w:fldCharType="begin"/>
            </w:r>
            <w:r w:rsidR="00C50AD4">
              <w:rPr>
                <w:noProof/>
                <w:webHidden/>
              </w:rPr>
              <w:instrText xml:space="preserve"> PAGEREF _Toc497202520 \h </w:instrText>
            </w:r>
            <w:r w:rsidR="00C50AD4">
              <w:rPr>
                <w:noProof/>
                <w:webHidden/>
              </w:rPr>
            </w:r>
            <w:r w:rsidR="00C50AD4">
              <w:rPr>
                <w:noProof/>
                <w:webHidden/>
              </w:rPr>
              <w:fldChar w:fldCharType="separate"/>
            </w:r>
            <w:r w:rsidR="00C50AD4">
              <w:rPr>
                <w:noProof/>
                <w:webHidden/>
              </w:rPr>
              <w:t>22</w:t>
            </w:r>
            <w:r w:rsidR="00C50AD4">
              <w:rPr>
                <w:noProof/>
                <w:webHidden/>
              </w:rPr>
              <w:fldChar w:fldCharType="end"/>
            </w:r>
          </w:hyperlink>
        </w:p>
        <w:p w14:paraId="7665D8D5" w14:textId="77777777" w:rsidR="00C50AD4" w:rsidRDefault="00757009">
          <w:pPr>
            <w:pStyle w:val="TOC3"/>
            <w:rPr>
              <w:rFonts w:eastAsiaTheme="minorEastAsia"/>
              <w:noProof/>
              <w:color w:val="auto"/>
            </w:rPr>
          </w:pPr>
          <w:hyperlink w:anchor="_Toc497202521" w:history="1">
            <w:r w:rsidR="00C50AD4" w:rsidRPr="008167CB">
              <w:rPr>
                <w:rStyle w:val="Hyperlink"/>
                <w:noProof/>
              </w:rPr>
              <w:t>EIA-878 and OPIS price estimates for publication cells over 12 weeks</w:t>
            </w:r>
            <w:r w:rsidR="00C50AD4">
              <w:rPr>
                <w:noProof/>
                <w:webHidden/>
              </w:rPr>
              <w:tab/>
            </w:r>
            <w:r w:rsidR="00C50AD4">
              <w:rPr>
                <w:noProof/>
                <w:webHidden/>
              </w:rPr>
              <w:fldChar w:fldCharType="begin"/>
            </w:r>
            <w:r w:rsidR="00C50AD4">
              <w:rPr>
                <w:noProof/>
                <w:webHidden/>
              </w:rPr>
              <w:instrText xml:space="preserve"> PAGEREF _Toc497202521 \h </w:instrText>
            </w:r>
            <w:r w:rsidR="00C50AD4">
              <w:rPr>
                <w:noProof/>
                <w:webHidden/>
              </w:rPr>
            </w:r>
            <w:r w:rsidR="00C50AD4">
              <w:rPr>
                <w:noProof/>
                <w:webHidden/>
              </w:rPr>
              <w:fldChar w:fldCharType="separate"/>
            </w:r>
            <w:r w:rsidR="00C50AD4">
              <w:rPr>
                <w:noProof/>
                <w:webHidden/>
              </w:rPr>
              <w:t>25</w:t>
            </w:r>
            <w:r w:rsidR="00C50AD4">
              <w:rPr>
                <w:noProof/>
                <w:webHidden/>
              </w:rPr>
              <w:fldChar w:fldCharType="end"/>
            </w:r>
          </w:hyperlink>
        </w:p>
        <w:p w14:paraId="3C3C5D4A" w14:textId="77777777" w:rsidR="00C50AD4" w:rsidRDefault="00757009">
          <w:pPr>
            <w:pStyle w:val="TOC3"/>
            <w:rPr>
              <w:rFonts w:eastAsiaTheme="minorEastAsia"/>
              <w:noProof/>
              <w:color w:val="auto"/>
            </w:rPr>
          </w:pPr>
          <w:hyperlink w:anchor="_Toc497202522" w:history="1">
            <w:r w:rsidR="00C50AD4" w:rsidRPr="008167CB">
              <w:rPr>
                <w:rStyle w:val="Hyperlink"/>
                <w:noProof/>
              </w:rPr>
              <w:t>Point-in-Time comparison of EIA-878 price data with OPIS and GasBuddy price data</w:t>
            </w:r>
            <w:r w:rsidR="00C50AD4">
              <w:rPr>
                <w:noProof/>
                <w:webHidden/>
              </w:rPr>
              <w:tab/>
            </w:r>
            <w:r w:rsidR="00C50AD4">
              <w:rPr>
                <w:noProof/>
                <w:webHidden/>
              </w:rPr>
              <w:fldChar w:fldCharType="begin"/>
            </w:r>
            <w:r w:rsidR="00C50AD4">
              <w:rPr>
                <w:noProof/>
                <w:webHidden/>
              </w:rPr>
              <w:instrText xml:space="preserve"> PAGEREF _Toc497202522 \h </w:instrText>
            </w:r>
            <w:r w:rsidR="00C50AD4">
              <w:rPr>
                <w:noProof/>
                <w:webHidden/>
              </w:rPr>
            </w:r>
            <w:r w:rsidR="00C50AD4">
              <w:rPr>
                <w:noProof/>
                <w:webHidden/>
              </w:rPr>
              <w:fldChar w:fldCharType="separate"/>
            </w:r>
            <w:r w:rsidR="00C50AD4">
              <w:rPr>
                <w:noProof/>
                <w:webHidden/>
              </w:rPr>
              <w:t>28</w:t>
            </w:r>
            <w:r w:rsidR="00C50AD4">
              <w:rPr>
                <w:noProof/>
                <w:webHidden/>
              </w:rPr>
              <w:fldChar w:fldCharType="end"/>
            </w:r>
          </w:hyperlink>
        </w:p>
        <w:p w14:paraId="72D3A7BC" w14:textId="77777777" w:rsidR="00C50AD4" w:rsidRDefault="00757009">
          <w:pPr>
            <w:pStyle w:val="TOC2"/>
            <w:rPr>
              <w:rFonts w:eastAsiaTheme="minorEastAsia"/>
              <w:noProof/>
              <w:color w:val="auto"/>
            </w:rPr>
          </w:pPr>
          <w:hyperlink w:anchor="_Toc497202523" w:history="1">
            <w:r w:rsidR="00C50AD4" w:rsidRPr="008167CB">
              <w:rPr>
                <w:rStyle w:val="Hyperlink"/>
                <w:noProof/>
              </w:rPr>
              <w:t>Comparing EIA and AAA city definitions</w:t>
            </w:r>
            <w:r w:rsidR="00C50AD4">
              <w:rPr>
                <w:noProof/>
                <w:webHidden/>
              </w:rPr>
              <w:tab/>
            </w:r>
            <w:r w:rsidR="00C50AD4">
              <w:rPr>
                <w:noProof/>
                <w:webHidden/>
              </w:rPr>
              <w:fldChar w:fldCharType="begin"/>
            </w:r>
            <w:r w:rsidR="00C50AD4">
              <w:rPr>
                <w:noProof/>
                <w:webHidden/>
              </w:rPr>
              <w:instrText xml:space="preserve"> PAGEREF _Toc497202523 \h </w:instrText>
            </w:r>
            <w:r w:rsidR="00C50AD4">
              <w:rPr>
                <w:noProof/>
                <w:webHidden/>
              </w:rPr>
            </w:r>
            <w:r w:rsidR="00C50AD4">
              <w:rPr>
                <w:noProof/>
                <w:webHidden/>
              </w:rPr>
              <w:fldChar w:fldCharType="separate"/>
            </w:r>
            <w:r w:rsidR="00C50AD4">
              <w:rPr>
                <w:noProof/>
                <w:webHidden/>
              </w:rPr>
              <w:t>30</w:t>
            </w:r>
            <w:r w:rsidR="00C50AD4">
              <w:rPr>
                <w:noProof/>
                <w:webHidden/>
              </w:rPr>
              <w:fldChar w:fldCharType="end"/>
            </w:r>
          </w:hyperlink>
        </w:p>
        <w:p w14:paraId="3CD6DEEB" w14:textId="77777777" w:rsidR="00C50AD4" w:rsidRDefault="00757009">
          <w:pPr>
            <w:pStyle w:val="TOC3"/>
            <w:rPr>
              <w:rFonts w:eastAsiaTheme="minorEastAsia"/>
              <w:noProof/>
              <w:color w:val="auto"/>
            </w:rPr>
          </w:pPr>
          <w:hyperlink w:anchor="_Toc497202524" w:history="1">
            <w:r w:rsidR="00C50AD4" w:rsidRPr="008167CB">
              <w:rPr>
                <w:rStyle w:val="Hyperlink"/>
                <w:noProof/>
              </w:rPr>
              <w:t>New York City</w:t>
            </w:r>
            <w:r w:rsidR="00C50AD4">
              <w:rPr>
                <w:noProof/>
                <w:webHidden/>
              </w:rPr>
              <w:tab/>
            </w:r>
            <w:r w:rsidR="00C50AD4">
              <w:rPr>
                <w:noProof/>
                <w:webHidden/>
              </w:rPr>
              <w:fldChar w:fldCharType="begin"/>
            </w:r>
            <w:r w:rsidR="00C50AD4">
              <w:rPr>
                <w:noProof/>
                <w:webHidden/>
              </w:rPr>
              <w:instrText xml:space="preserve"> PAGEREF _Toc497202524 \h </w:instrText>
            </w:r>
            <w:r w:rsidR="00C50AD4">
              <w:rPr>
                <w:noProof/>
                <w:webHidden/>
              </w:rPr>
            </w:r>
            <w:r w:rsidR="00C50AD4">
              <w:rPr>
                <w:noProof/>
                <w:webHidden/>
              </w:rPr>
              <w:fldChar w:fldCharType="separate"/>
            </w:r>
            <w:r w:rsidR="00C50AD4">
              <w:rPr>
                <w:noProof/>
                <w:webHidden/>
              </w:rPr>
              <w:t>31</w:t>
            </w:r>
            <w:r w:rsidR="00C50AD4">
              <w:rPr>
                <w:noProof/>
                <w:webHidden/>
              </w:rPr>
              <w:fldChar w:fldCharType="end"/>
            </w:r>
          </w:hyperlink>
        </w:p>
        <w:p w14:paraId="1A32AE85" w14:textId="77777777" w:rsidR="00C50AD4" w:rsidRDefault="00757009">
          <w:pPr>
            <w:pStyle w:val="TOC3"/>
            <w:rPr>
              <w:rFonts w:eastAsiaTheme="minorEastAsia"/>
              <w:noProof/>
              <w:color w:val="auto"/>
            </w:rPr>
          </w:pPr>
          <w:hyperlink w:anchor="_Toc497202525" w:history="1">
            <w:r w:rsidR="00C50AD4" w:rsidRPr="008167CB">
              <w:rPr>
                <w:rStyle w:val="Hyperlink"/>
                <w:noProof/>
              </w:rPr>
              <w:t>Chicago</w:t>
            </w:r>
            <w:r w:rsidR="00C50AD4">
              <w:rPr>
                <w:noProof/>
                <w:webHidden/>
              </w:rPr>
              <w:tab/>
            </w:r>
            <w:r w:rsidR="00C50AD4">
              <w:rPr>
                <w:noProof/>
                <w:webHidden/>
              </w:rPr>
              <w:fldChar w:fldCharType="begin"/>
            </w:r>
            <w:r w:rsidR="00C50AD4">
              <w:rPr>
                <w:noProof/>
                <w:webHidden/>
              </w:rPr>
              <w:instrText xml:space="preserve"> PAGEREF _Toc497202525 \h </w:instrText>
            </w:r>
            <w:r w:rsidR="00C50AD4">
              <w:rPr>
                <w:noProof/>
                <w:webHidden/>
              </w:rPr>
            </w:r>
            <w:r w:rsidR="00C50AD4">
              <w:rPr>
                <w:noProof/>
                <w:webHidden/>
              </w:rPr>
              <w:fldChar w:fldCharType="separate"/>
            </w:r>
            <w:r w:rsidR="00C50AD4">
              <w:rPr>
                <w:noProof/>
                <w:webHidden/>
              </w:rPr>
              <w:t>31</w:t>
            </w:r>
            <w:r w:rsidR="00C50AD4">
              <w:rPr>
                <w:noProof/>
                <w:webHidden/>
              </w:rPr>
              <w:fldChar w:fldCharType="end"/>
            </w:r>
          </w:hyperlink>
        </w:p>
        <w:p w14:paraId="255DF34B" w14:textId="77777777" w:rsidR="00C50AD4" w:rsidRDefault="00757009">
          <w:pPr>
            <w:pStyle w:val="TOC1"/>
            <w:rPr>
              <w:rFonts w:eastAsiaTheme="minorEastAsia"/>
              <w:noProof/>
              <w:color w:val="auto"/>
            </w:rPr>
          </w:pPr>
          <w:hyperlink w:anchor="_Toc497202526" w:history="1">
            <w:r w:rsidR="00C50AD4" w:rsidRPr="008167CB">
              <w:rPr>
                <w:rStyle w:val="Hyperlink"/>
                <w:noProof/>
              </w:rPr>
              <w:t>Predicting Midgrade and Premium Motor Gasoline Prices at the Aggregate Level</w:t>
            </w:r>
            <w:r w:rsidR="00C50AD4">
              <w:rPr>
                <w:noProof/>
                <w:webHidden/>
              </w:rPr>
              <w:tab/>
            </w:r>
            <w:r w:rsidR="00C50AD4">
              <w:rPr>
                <w:noProof/>
                <w:webHidden/>
              </w:rPr>
              <w:fldChar w:fldCharType="begin"/>
            </w:r>
            <w:r w:rsidR="00C50AD4">
              <w:rPr>
                <w:noProof/>
                <w:webHidden/>
              </w:rPr>
              <w:instrText xml:space="preserve"> PAGEREF _Toc497202526 \h </w:instrText>
            </w:r>
            <w:r w:rsidR="00C50AD4">
              <w:rPr>
                <w:noProof/>
                <w:webHidden/>
              </w:rPr>
            </w:r>
            <w:r w:rsidR="00C50AD4">
              <w:rPr>
                <w:noProof/>
                <w:webHidden/>
              </w:rPr>
              <w:fldChar w:fldCharType="separate"/>
            </w:r>
            <w:r w:rsidR="00C50AD4">
              <w:rPr>
                <w:noProof/>
                <w:webHidden/>
              </w:rPr>
              <w:t>33</w:t>
            </w:r>
            <w:r w:rsidR="00C50AD4">
              <w:rPr>
                <w:noProof/>
                <w:webHidden/>
              </w:rPr>
              <w:fldChar w:fldCharType="end"/>
            </w:r>
          </w:hyperlink>
        </w:p>
        <w:p w14:paraId="204B48F5" w14:textId="77777777" w:rsidR="00C50AD4" w:rsidRDefault="00757009">
          <w:pPr>
            <w:pStyle w:val="TOC2"/>
            <w:rPr>
              <w:rFonts w:eastAsiaTheme="minorEastAsia"/>
              <w:noProof/>
              <w:color w:val="auto"/>
            </w:rPr>
          </w:pPr>
          <w:hyperlink w:anchor="_Toc497202527" w:history="1">
            <w:r w:rsidR="00C50AD4" w:rsidRPr="008167CB">
              <w:rPr>
                <w:rStyle w:val="Hyperlink"/>
                <w:noProof/>
              </w:rPr>
              <w:t>Background and rationale</w:t>
            </w:r>
            <w:r w:rsidR="00C50AD4">
              <w:rPr>
                <w:noProof/>
                <w:webHidden/>
              </w:rPr>
              <w:tab/>
            </w:r>
            <w:r w:rsidR="00C50AD4">
              <w:rPr>
                <w:noProof/>
                <w:webHidden/>
              </w:rPr>
              <w:fldChar w:fldCharType="begin"/>
            </w:r>
            <w:r w:rsidR="00C50AD4">
              <w:rPr>
                <w:noProof/>
                <w:webHidden/>
              </w:rPr>
              <w:instrText xml:space="preserve"> PAGEREF _Toc497202527 \h </w:instrText>
            </w:r>
            <w:r w:rsidR="00C50AD4">
              <w:rPr>
                <w:noProof/>
                <w:webHidden/>
              </w:rPr>
            </w:r>
            <w:r w:rsidR="00C50AD4">
              <w:rPr>
                <w:noProof/>
                <w:webHidden/>
              </w:rPr>
              <w:fldChar w:fldCharType="separate"/>
            </w:r>
            <w:r w:rsidR="00C50AD4">
              <w:rPr>
                <w:noProof/>
                <w:webHidden/>
              </w:rPr>
              <w:t>33</w:t>
            </w:r>
            <w:r w:rsidR="00C50AD4">
              <w:rPr>
                <w:noProof/>
                <w:webHidden/>
              </w:rPr>
              <w:fldChar w:fldCharType="end"/>
            </w:r>
          </w:hyperlink>
        </w:p>
        <w:p w14:paraId="033AA823" w14:textId="77777777" w:rsidR="00C50AD4" w:rsidRDefault="00757009">
          <w:pPr>
            <w:pStyle w:val="TOC2"/>
            <w:rPr>
              <w:rFonts w:eastAsiaTheme="minorEastAsia"/>
              <w:noProof/>
              <w:color w:val="auto"/>
            </w:rPr>
          </w:pPr>
          <w:hyperlink w:anchor="_Toc497202528" w:history="1">
            <w:r w:rsidR="00C50AD4" w:rsidRPr="008167CB">
              <w:rPr>
                <w:rStyle w:val="Hyperlink"/>
                <w:noProof/>
              </w:rPr>
              <w:t>Predicting midgrade and premium prices with EIA-878 data</w:t>
            </w:r>
            <w:r w:rsidR="00C50AD4">
              <w:rPr>
                <w:noProof/>
                <w:webHidden/>
              </w:rPr>
              <w:tab/>
            </w:r>
            <w:r w:rsidR="00C50AD4">
              <w:rPr>
                <w:noProof/>
                <w:webHidden/>
              </w:rPr>
              <w:fldChar w:fldCharType="begin"/>
            </w:r>
            <w:r w:rsidR="00C50AD4">
              <w:rPr>
                <w:noProof/>
                <w:webHidden/>
              </w:rPr>
              <w:instrText xml:space="preserve"> PAGEREF _Toc497202528 \h </w:instrText>
            </w:r>
            <w:r w:rsidR="00C50AD4">
              <w:rPr>
                <w:noProof/>
                <w:webHidden/>
              </w:rPr>
            </w:r>
            <w:r w:rsidR="00C50AD4">
              <w:rPr>
                <w:noProof/>
                <w:webHidden/>
              </w:rPr>
              <w:fldChar w:fldCharType="separate"/>
            </w:r>
            <w:r w:rsidR="00C50AD4">
              <w:rPr>
                <w:noProof/>
                <w:webHidden/>
              </w:rPr>
              <w:t>33</w:t>
            </w:r>
            <w:r w:rsidR="00C50AD4">
              <w:rPr>
                <w:noProof/>
                <w:webHidden/>
              </w:rPr>
              <w:fldChar w:fldCharType="end"/>
            </w:r>
          </w:hyperlink>
        </w:p>
        <w:p w14:paraId="7C5104FA" w14:textId="77777777" w:rsidR="00C50AD4" w:rsidRDefault="00757009">
          <w:pPr>
            <w:pStyle w:val="TOC2"/>
            <w:rPr>
              <w:rFonts w:eastAsiaTheme="minorEastAsia"/>
              <w:noProof/>
              <w:color w:val="auto"/>
            </w:rPr>
          </w:pPr>
          <w:hyperlink w:anchor="_Toc497202529" w:history="1">
            <w:r w:rsidR="00C50AD4" w:rsidRPr="008167CB">
              <w:rPr>
                <w:rStyle w:val="Hyperlink"/>
                <w:noProof/>
              </w:rPr>
              <w:t>Predicting midgrade and premium prices with AAA data</w:t>
            </w:r>
            <w:r w:rsidR="00C50AD4">
              <w:rPr>
                <w:noProof/>
                <w:webHidden/>
              </w:rPr>
              <w:tab/>
            </w:r>
            <w:r w:rsidR="00C50AD4">
              <w:rPr>
                <w:noProof/>
                <w:webHidden/>
              </w:rPr>
              <w:fldChar w:fldCharType="begin"/>
            </w:r>
            <w:r w:rsidR="00C50AD4">
              <w:rPr>
                <w:noProof/>
                <w:webHidden/>
              </w:rPr>
              <w:instrText xml:space="preserve"> PAGEREF _Toc497202529 \h </w:instrText>
            </w:r>
            <w:r w:rsidR="00C50AD4">
              <w:rPr>
                <w:noProof/>
                <w:webHidden/>
              </w:rPr>
            </w:r>
            <w:r w:rsidR="00C50AD4">
              <w:rPr>
                <w:noProof/>
                <w:webHidden/>
              </w:rPr>
              <w:fldChar w:fldCharType="separate"/>
            </w:r>
            <w:r w:rsidR="00C50AD4">
              <w:rPr>
                <w:noProof/>
                <w:webHidden/>
              </w:rPr>
              <w:t>36</w:t>
            </w:r>
            <w:r w:rsidR="00C50AD4">
              <w:rPr>
                <w:noProof/>
                <w:webHidden/>
              </w:rPr>
              <w:fldChar w:fldCharType="end"/>
            </w:r>
          </w:hyperlink>
        </w:p>
        <w:p w14:paraId="4B38E8DA" w14:textId="77777777" w:rsidR="00C50AD4" w:rsidRDefault="00757009">
          <w:pPr>
            <w:pStyle w:val="TOC2"/>
            <w:rPr>
              <w:rFonts w:eastAsiaTheme="minorEastAsia"/>
              <w:noProof/>
              <w:color w:val="auto"/>
            </w:rPr>
          </w:pPr>
          <w:hyperlink w:anchor="_Toc497202530" w:history="1">
            <w:r w:rsidR="00C50AD4" w:rsidRPr="008167CB">
              <w:rPr>
                <w:rStyle w:val="Hyperlink"/>
                <w:noProof/>
              </w:rPr>
              <w:t>Predicting AAA midgrade and premium prices with EIA-878 regular prices</w:t>
            </w:r>
            <w:r w:rsidR="00C50AD4">
              <w:rPr>
                <w:noProof/>
                <w:webHidden/>
              </w:rPr>
              <w:tab/>
            </w:r>
            <w:r w:rsidR="00C50AD4">
              <w:rPr>
                <w:noProof/>
                <w:webHidden/>
              </w:rPr>
              <w:fldChar w:fldCharType="begin"/>
            </w:r>
            <w:r w:rsidR="00C50AD4">
              <w:rPr>
                <w:noProof/>
                <w:webHidden/>
              </w:rPr>
              <w:instrText xml:space="preserve"> PAGEREF _Toc497202530 \h </w:instrText>
            </w:r>
            <w:r w:rsidR="00C50AD4">
              <w:rPr>
                <w:noProof/>
                <w:webHidden/>
              </w:rPr>
            </w:r>
            <w:r w:rsidR="00C50AD4">
              <w:rPr>
                <w:noProof/>
                <w:webHidden/>
              </w:rPr>
              <w:fldChar w:fldCharType="separate"/>
            </w:r>
            <w:r w:rsidR="00C50AD4">
              <w:rPr>
                <w:noProof/>
                <w:webHidden/>
              </w:rPr>
              <w:t>36</w:t>
            </w:r>
            <w:r w:rsidR="00C50AD4">
              <w:rPr>
                <w:noProof/>
                <w:webHidden/>
              </w:rPr>
              <w:fldChar w:fldCharType="end"/>
            </w:r>
          </w:hyperlink>
        </w:p>
        <w:p w14:paraId="6149D1AE" w14:textId="77777777" w:rsidR="00C50AD4" w:rsidRDefault="00757009">
          <w:pPr>
            <w:pStyle w:val="TOC1"/>
            <w:rPr>
              <w:rFonts w:eastAsiaTheme="minorEastAsia"/>
              <w:noProof/>
              <w:color w:val="auto"/>
            </w:rPr>
          </w:pPr>
          <w:hyperlink w:anchor="_Toc497202531" w:history="1">
            <w:r w:rsidR="00C50AD4" w:rsidRPr="008167CB">
              <w:rPr>
                <w:rStyle w:val="Hyperlink"/>
                <w:noProof/>
              </w:rPr>
              <w:t>Predicting Midgrade and Premium Motor Gasoline Prices at the Station Level</w:t>
            </w:r>
            <w:r w:rsidR="00C50AD4">
              <w:rPr>
                <w:noProof/>
                <w:webHidden/>
              </w:rPr>
              <w:tab/>
            </w:r>
            <w:r w:rsidR="00C50AD4">
              <w:rPr>
                <w:noProof/>
                <w:webHidden/>
              </w:rPr>
              <w:fldChar w:fldCharType="begin"/>
            </w:r>
            <w:r w:rsidR="00C50AD4">
              <w:rPr>
                <w:noProof/>
                <w:webHidden/>
              </w:rPr>
              <w:instrText xml:space="preserve"> PAGEREF _Toc497202531 \h </w:instrText>
            </w:r>
            <w:r w:rsidR="00C50AD4">
              <w:rPr>
                <w:noProof/>
                <w:webHidden/>
              </w:rPr>
            </w:r>
            <w:r w:rsidR="00C50AD4">
              <w:rPr>
                <w:noProof/>
                <w:webHidden/>
              </w:rPr>
              <w:fldChar w:fldCharType="separate"/>
            </w:r>
            <w:r w:rsidR="00C50AD4">
              <w:rPr>
                <w:noProof/>
                <w:webHidden/>
              </w:rPr>
              <w:t>37</w:t>
            </w:r>
            <w:r w:rsidR="00C50AD4">
              <w:rPr>
                <w:noProof/>
                <w:webHidden/>
              </w:rPr>
              <w:fldChar w:fldCharType="end"/>
            </w:r>
          </w:hyperlink>
        </w:p>
        <w:p w14:paraId="67FDDBEC" w14:textId="77777777" w:rsidR="00C50AD4" w:rsidRDefault="00757009">
          <w:pPr>
            <w:pStyle w:val="TOC2"/>
            <w:rPr>
              <w:rFonts w:eastAsiaTheme="minorEastAsia"/>
              <w:noProof/>
              <w:color w:val="auto"/>
            </w:rPr>
          </w:pPr>
          <w:hyperlink w:anchor="_Toc497202532" w:history="1">
            <w:r w:rsidR="00C50AD4" w:rsidRPr="008167CB">
              <w:rPr>
                <w:rStyle w:val="Hyperlink"/>
                <w:noProof/>
              </w:rPr>
              <w:t>Background and rationale for leveraging external data to identify potential useful gasoline price predictors using a regression tree.</w:t>
            </w:r>
            <w:r w:rsidR="00C50AD4">
              <w:rPr>
                <w:noProof/>
                <w:webHidden/>
              </w:rPr>
              <w:tab/>
            </w:r>
            <w:r w:rsidR="00C50AD4">
              <w:rPr>
                <w:noProof/>
                <w:webHidden/>
              </w:rPr>
              <w:fldChar w:fldCharType="begin"/>
            </w:r>
            <w:r w:rsidR="00C50AD4">
              <w:rPr>
                <w:noProof/>
                <w:webHidden/>
              </w:rPr>
              <w:instrText xml:space="preserve"> PAGEREF _Toc497202532 \h </w:instrText>
            </w:r>
            <w:r w:rsidR="00C50AD4">
              <w:rPr>
                <w:noProof/>
                <w:webHidden/>
              </w:rPr>
            </w:r>
            <w:r w:rsidR="00C50AD4">
              <w:rPr>
                <w:noProof/>
                <w:webHidden/>
              </w:rPr>
              <w:fldChar w:fldCharType="separate"/>
            </w:r>
            <w:r w:rsidR="00C50AD4">
              <w:rPr>
                <w:noProof/>
                <w:webHidden/>
              </w:rPr>
              <w:t>37</w:t>
            </w:r>
            <w:r w:rsidR="00C50AD4">
              <w:rPr>
                <w:noProof/>
                <w:webHidden/>
              </w:rPr>
              <w:fldChar w:fldCharType="end"/>
            </w:r>
          </w:hyperlink>
        </w:p>
        <w:p w14:paraId="10EAD32A" w14:textId="77777777" w:rsidR="00C50AD4" w:rsidRDefault="00757009">
          <w:pPr>
            <w:pStyle w:val="TOC2"/>
            <w:rPr>
              <w:rFonts w:eastAsiaTheme="minorEastAsia"/>
              <w:noProof/>
              <w:color w:val="auto"/>
            </w:rPr>
          </w:pPr>
          <w:hyperlink w:anchor="_Toc497202533" w:history="1">
            <w:r w:rsidR="00C50AD4" w:rsidRPr="008167CB">
              <w:rPr>
                <w:rStyle w:val="Hyperlink"/>
                <w:noProof/>
              </w:rPr>
              <w:t>Methods and key findings.</w:t>
            </w:r>
            <w:r w:rsidR="00C50AD4">
              <w:rPr>
                <w:noProof/>
                <w:webHidden/>
              </w:rPr>
              <w:tab/>
            </w:r>
            <w:r w:rsidR="00C50AD4">
              <w:rPr>
                <w:noProof/>
                <w:webHidden/>
              </w:rPr>
              <w:fldChar w:fldCharType="begin"/>
            </w:r>
            <w:r w:rsidR="00C50AD4">
              <w:rPr>
                <w:noProof/>
                <w:webHidden/>
              </w:rPr>
              <w:instrText xml:space="preserve"> PAGEREF _Toc497202533 \h </w:instrText>
            </w:r>
            <w:r w:rsidR="00C50AD4">
              <w:rPr>
                <w:noProof/>
                <w:webHidden/>
              </w:rPr>
            </w:r>
            <w:r w:rsidR="00C50AD4">
              <w:rPr>
                <w:noProof/>
                <w:webHidden/>
              </w:rPr>
              <w:fldChar w:fldCharType="separate"/>
            </w:r>
            <w:r w:rsidR="00C50AD4">
              <w:rPr>
                <w:noProof/>
                <w:webHidden/>
              </w:rPr>
              <w:t>37</w:t>
            </w:r>
            <w:r w:rsidR="00C50AD4">
              <w:rPr>
                <w:noProof/>
                <w:webHidden/>
              </w:rPr>
              <w:fldChar w:fldCharType="end"/>
            </w:r>
          </w:hyperlink>
        </w:p>
        <w:p w14:paraId="1BB3B15A" w14:textId="77777777" w:rsidR="00C50AD4" w:rsidRDefault="00757009">
          <w:pPr>
            <w:pStyle w:val="TOC1"/>
            <w:rPr>
              <w:rFonts w:eastAsiaTheme="minorEastAsia"/>
              <w:noProof/>
              <w:color w:val="auto"/>
            </w:rPr>
          </w:pPr>
          <w:hyperlink w:anchor="_Toc497202534" w:history="1">
            <w:r w:rsidR="00C50AD4" w:rsidRPr="008167CB">
              <w:rPr>
                <w:rStyle w:val="Hyperlink"/>
                <w:noProof/>
              </w:rPr>
              <w:t>Discussion and Recommendations</w:t>
            </w:r>
            <w:r w:rsidR="00C50AD4">
              <w:rPr>
                <w:noProof/>
                <w:webHidden/>
              </w:rPr>
              <w:tab/>
            </w:r>
            <w:r w:rsidR="00C50AD4">
              <w:rPr>
                <w:noProof/>
                <w:webHidden/>
              </w:rPr>
              <w:fldChar w:fldCharType="begin"/>
            </w:r>
            <w:r w:rsidR="00C50AD4">
              <w:rPr>
                <w:noProof/>
                <w:webHidden/>
              </w:rPr>
              <w:instrText xml:space="preserve"> PAGEREF _Toc497202534 \h </w:instrText>
            </w:r>
            <w:r w:rsidR="00C50AD4">
              <w:rPr>
                <w:noProof/>
                <w:webHidden/>
              </w:rPr>
            </w:r>
            <w:r w:rsidR="00C50AD4">
              <w:rPr>
                <w:noProof/>
                <w:webHidden/>
              </w:rPr>
              <w:fldChar w:fldCharType="separate"/>
            </w:r>
            <w:r w:rsidR="00C50AD4">
              <w:rPr>
                <w:noProof/>
                <w:webHidden/>
              </w:rPr>
              <w:t>42</w:t>
            </w:r>
            <w:r w:rsidR="00C50AD4">
              <w:rPr>
                <w:noProof/>
                <w:webHidden/>
              </w:rPr>
              <w:fldChar w:fldCharType="end"/>
            </w:r>
          </w:hyperlink>
        </w:p>
        <w:p w14:paraId="57A77AEC" w14:textId="77777777" w:rsidR="00C50AD4" w:rsidRDefault="00757009">
          <w:pPr>
            <w:pStyle w:val="TOC2"/>
            <w:rPr>
              <w:rFonts w:eastAsiaTheme="minorEastAsia"/>
              <w:noProof/>
              <w:color w:val="auto"/>
            </w:rPr>
          </w:pPr>
          <w:hyperlink w:anchor="_Toc497202535" w:history="1">
            <w:r w:rsidR="00C50AD4" w:rsidRPr="008167CB">
              <w:rPr>
                <w:rStyle w:val="Hyperlink"/>
                <w:noProof/>
              </w:rPr>
              <w:t>Data quality of third-party sources and incorporation into EIA-878</w:t>
            </w:r>
            <w:r w:rsidR="00C50AD4">
              <w:rPr>
                <w:noProof/>
                <w:webHidden/>
              </w:rPr>
              <w:tab/>
            </w:r>
            <w:r w:rsidR="00C50AD4">
              <w:rPr>
                <w:noProof/>
                <w:webHidden/>
              </w:rPr>
              <w:fldChar w:fldCharType="begin"/>
            </w:r>
            <w:r w:rsidR="00C50AD4">
              <w:rPr>
                <w:noProof/>
                <w:webHidden/>
              </w:rPr>
              <w:instrText xml:space="preserve"> PAGEREF _Toc497202535 \h </w:instrText>
            </w:r>
            <w:r w:rsidR="00C50AD4">
              <w:rPr>
                <w:noProof/>
                <w:webHidden/>
              </w:rPr>
            </w:r>
            <w:r w:rsidR="00C50AD4">
              <w:rPr>
                <w:noProof/>
                <w:webHidden/>
              </w:rPr>
              <w:fldChar w:fldCharType="separate"/>
            </w:r>
            <w:r w:rsidR="00C50AD4">
              <w:rPr>
                <w:noProof/>
                <w:webHidden/>
              </w:rPr>
              <w:t>42</w:t>
            </w:r>
            <w:r w:rsidR="00C50AD4">
              <w:rPr>
                <w:noProof/>
                <w:webHidden/>
              </w:rPr>
              <w:fldChar w:fldCharType="end"/>
            </w:r>
          </w:hyperlink>
        </w:p>
        <w:p w14:paraId="4F239689" w14:textId="77777777" w:rsidR="00C50AD4" w:rsidRDefault="00757009">
          <w:pPr>
            <w:pStyle w:val="TOC3"/>
            <w:rPr>
              <w:rFonts w:eastAsiaTheme="minorEastAsia"/>
              <w:noProof/>
              <w:color w:val="auto"/>
            </w:rPr>
          </w:pPr>
          <w:hyperlink w:anchor="_Toc497202536" w:history="1">
            <w:r w:rsidR="00C50AD4" w:rsidRPr="008167CB">
              <w:rPr>
                <w:rStyle w:val="Hyperlink"/>
                <w:noProof/>
              </w:rPr>
              <w:t>Assessment of data quality in commercial data</w:t>
            </w:r>
            <w:r w:rsidR="00C50AD4">
              <w:rPr>
                <w:noProof/>
                <w:webHidden/>
              </w:rPr>
              <w:tab/>
            </w:r>
            <w:r w:rsidR="00C50AD4">
              <w:rPr>
                <w:noProof/>
                <w:webHidden/>
              </w:rPr>
              <w:fldChar w:fldCharType="begin"/>
            </w:r>
            <w:r w:rsidR="00C50AD4">
              <w:rPr>
                <w:noProof/>
                <w:webHidden/>
              </w:rPr>
              <w:instrText xml:space="preserve"> PAGEREF _Toc497202536 \h </w:instrText>
            </w:r>
            <w:r w:rsidR="00C50AD4">
              <w:rPr>
                <w:noProof/>
                <w:webHidden/>
              </w:rPr>
            </w:r>
            <w:r w:rsidR="00C50AD4">
              <w:rPr>
                <w:noProof/>
                <w:webHidden/>
              </w:rPr>
              <w:fldChar w:fldCharType="separate"/>
            </w:r>
            <w:r w:rsidR="00C50AD4">
              <w:rPr>
                <w:noProof/>
                <w:webHidden/>
              </w:rPr>
              <w:t>42</w:t>
            </w:r>
            <w:r w:rsidR="00C50AD4">
              <w:rPr>
                <w:noProof/>
                <w:webHidden/>
              </w:rPr>
              <w:fldChar w:fldCharType="end"/>
            </w:r>
          </w:hyperlink>
        </w:p>
        <w:p w14:paraId="2352E7B4" w14:textId="77777777" w:rsidR="00C50AD4" w:rsidRDefault="00757009">
          <w:pPr>
            <w:pStyle w:val="TOC3"/>
            <w:rPr>
              <w:rFonts w:eastAsiaTheme="minorEastAsia"/>
              <w:noProof/>
              <w:color w:val="auto"/>
            </w:rPr>
          </w:pPr>
          <w:hyperlink w:anchor="_Toc497202537" w:history="1">
            <w:r w:rsidR="00C50AD4" w:rsidRPr="008167CB">
              <w:rPr>
                <w:rStyle w:val="Hyperlink"/>
                <w:noProof/>
              </w:rPr>
              <w:t>Comparability of estimates</w:t>
            </w:r>
            <w:r w:rsidR="00C50AD4">
              <w:rPr>
                <w:noProof/>
                <w:webHidden/>
              </w:rPr>
              <w:tab/>
            </w:r>
            <w:r w:rsidR="00C50AD4">
              <w:rPr>
                <w:noProof/>
                <w:webHidden/>
              </w:rPr>
              <w:fldChar w:fldCharType="begin"/>
            </w:r>
            <w:r w:rsidR="00C50AD4">
              <w:rPr>
                <w:noProof/>
                <w:webHidden/>
              </w:rPr>
              <w:instrText xml:space="preserve"> PAGEREF _Toc497202537 \h </w:instrText>
            </w:r>
            <w:r w:rsidR="00C50AD4">
              <w:rPr>
                <w:noProof/>
                <w:webHidden/>
              </w:rPr>
            </w:r>
            <w:r w:rsidR="00C50AD4">
              <w:rPr>
                <w:noProof/>
                <w:webHidden/>
              </w:rPr>
              <w:fldChar w:fldCharType="separate"/>
            </w:r>
            <w:r w:rsidR="00C50AD4">
              <w:rPr>
                <w:noProof/>
                <w:webHidden/>
              </w:rPr>
              <w:t>42</w:t>
            </w:r>
            <w:r w:rsidR="00C50AD4">
              <w:rPr>
                <w:noProof/>
                <w:webHidden/>
              </w:rPr>
              <w:fldChar w:fldCharType="end"/>
            </w:r>
          </w:hyperlink>
        </w:p>
        <w:p w14:paraId="3E8FA760" w14:textId="77777777" w:rsidR="00C50AD4" w:rsidRDefault="00757009">
          <w:pPr>
            <w:pStyle w:val="TOC2"/>
            <w:rPr>
              <w:rFonts w:eastAsiaTheme="minorEastAsia"/>
              <w:noProof/>
              <w:color w:val="auto"/>
            </w:rPr>
          </w:pPr>
          <w:hyperlink w:anchor="_Toc497202538" w:history="1">
            <w:r w:rsidR="00C50AD4" w:rsidRPr="008167CB">
              <w:rPr>
                <w:rStyle w:val="Hyperlink"/>
                <w:noProof/>
              </w:rPr>
              <w:t>Modeling midgrade and premium prices from regular prices</w:t>
            </w:r>
            <w:r w:rsidR="00C50AD4">
              <w:rPr>
                <w:noProof/>
                <w:webHidden/>
              </w:rPr>
              <w:tab/>
            </w:r>
            <w:r w:rsidR="00C50AD4">
              <w:rPr>
                <w:noProof/>
                <w:webHidden/>
              </w:rPr>
              <w:fldChar w:fldCharType="begin"/>
            </w:r>
            <w:r w:rsidR="00C50AD4">
              <w:rPr>
                <w:noProof/>
                <w:webHidden/>
              </w:rPr>
              <w:instrText xml:space="preserve"> PAGEREF _Toc497202538 \h </w:instrText>
            </w:r>
            <w:r w:rsidR="00C50AD4">
              <w:rPr>
                <w:noProof/>
                <w:webHidden/>
              </w:rPr>
            </w:r>
            <w:r w:rsidR="00C50AD4">
              <w:rPr>
                <w:noProof/>
                <w:webHidden/>
              </w:rPr>
              <w:fldChar w:fldCharType="separate"/>
            </w:r>
            <w:r w:rsidR="00C50AD4">
              <w:rPr>
                <w:noProof/>
                <w:webHidden/>
              </w:rPr>
              <w:t>42</w:t>
            </w:r>
            <w:r w:rsidR="00C50AD4">
              <w:rPr>
                <w:noProof/>
                <w:webHidden/>
              </w:rPr>
              <w:fldChar w:fldCharType="end"/>
            </w:r>
          </w:hyperlink>
        </w:p>
        <w:p w14:paraId="2814F68D" w14:textId="77777777" w:rsidR="00C50AD4" w:rsidRDefault="00757009">
          <w:pPr>
            <w:pStyle w:val="TOC2"/>
            <w:rPr>
              <w:rFonts w:eastAsiaTheme="minorEastAsia"/>
              <w:noProof/>
              <w:color w:val="auto"/>
            </w:rPr>
          </w:pPr>
          <w:hyperlink w:anchor="_Toc497202539" w:history="1">
            <w:r w:rsidR="00C50AD4" w:rsidRPr="008167CB">
              <w:rPr>
                <w:rStyle w:val="Hyperlink"/>
                <w:noProof/>
              </w:rPr>
              <w:t>Recommendations</w:t>
            </w:r>
            <w:r w:rsidR="00C50AD4">
              <w:rPr>
                <w:noProof/>
                <w:webHidden/>
              </w:rPr>
              <w:tab/>
            </w:r>
            <w:r w:rsidR="00C50AD4">
              <w:rPr>
                <w:noProof/>
                <w:webHidden/>
              </w:rPr>
              <w:fldChar w:fldCharType="begin"/>
            </w:r>
            <w:r w:rsidR="00C50AD4">
              <w:rPr>
                <w:noProof/>
                <w:webHidden/>
              </w:rPr>
              <w:instrText xml:space="preserve"> PAGEREF _Toc497202539 \h </w:instrText>
            </w:r>
            <w:r w:rsidR="00C50AD4">
              <w:rPr>
                <w:noProof/>
                <w:webHidden/>
              </w:rPr>
            </w:r>
            <w:r w:rsidR="00C50AD4">
              <w:rPr>
                <w:noProof/>
                <w:webHidden/>
              </w:rPr>
              <w:fldChar w:fldCharType="separate"/>
            </w:r>
            <w:r w:rsidR="00C50AD4">
              <w:rPr>
                <w:noProof/>
                <w:webHidden/>
              </w:rPr>
              <w:t>43</w:t>
            </w:r>
            <w:r w:rsidR="00C50AD4">
              <w:rPr>
                <w:noProof/>
                <w:webHidden/>
              </w:rPr>
              <w:fldChar w:fldCharType="end"/>
            </w:r>
          </w:hyperlink>
        </w:p>
        <w:p w14:paraId="47434F8C" w14:textId="77777777" w:rsidR="00C50AD4" w:rsidRDefault="00757009">
          <w:pPr>
            <w:pStyle w:val="TOC1"/>
            <w:rPr>
              <w:rFonts w:eastAsiaTheme="minorEastAsia"/>
              <w:noProof/>
              <w:color w:val="auto"/>
            </w:rPr>
          </w:pPr>
          <w:hyperlink w:anchor="_Toc497202540" w:history="1">
            <w:r w:rsidR="00C50AD4" w:rsidRPr="008167CB">
              <w:rPr>
                <w:rStyle w:val="Hyperlink"/>
                <w:noProof/>
              </w:rPr>
              <w:t>Future Areas for Research</w:t>
            </w:r>
            <w:r w:rsidR="00C50AD4">
              <w:rPr>
                <w:noProof/>
                <w:webHidden/>
              </w:rPr>
              <w:tab/>
            </w:r>
            <w:r w:rsidR="00C50AD4">
              <w:rPr>
                <w:noProof/>
                <w:webHidden/>
              </w:rPr>
              <w:fldChar w:fldCharType="begin"/>
            </w:r>
            <w:r w:rsidR="00C50AD4">
              <w:rPr>
                <w:noProof/>
                <w:webHidden/>
              </w:rPr>
              <w:instrText xml:space="preserve"> PAGEREF _Toc497202540 \h </w:instrText>
            </w:r>
            <w:r w:rsidR="00C50AD4">
              <w:rPr>
                <w:noProof/>
                <w:webHidden/>
              </w:rPr>
            </w:r>
            <w:r w:rsidR="00C50AD4">
              <w:rPr>
                <w:noProof/>
                <w:webHidden/>
              </w:rPr>
              <w:fldChar w:fldCharType="separate"/>
            </w:r>
            <w:r w:rsidR="00C50AD4">
              <w:rPr>
                <w:noProof/>
                <w:webHidden/>
              </w:rPr>
              <w:t>44</w:t>
            </w:r>
            <w:r w:rsidR="00C50AD4">
              <w:rPr>
                <w:noProof/>
                <w:webHidden/>
              </w:rPr>
              <w:fldChar w:fldCharType="end"/>
            </w:r>
          </w:hyperlink>
        </w:p>
        <w:p w14:paraId="7C4F7CE8" w14:textId="77777777" w:rsidR="00C50AD4" w:rsidRDefault="00757009">
          <w:pPr>
            <w:pStyle w:val="TOC1"/>
            <w:rPr>
              <w:rFonts w:eastAsiaTheme="minorEastAsia"/>
              <w:noProof/>
              <w:color w:val="auto"/>
            </w:rPr>
          </w:pPr>
          <w:hyperlink w:anchor="_Toc497202541" w:history="1">
            <w:r w:rsidR="00C50AD4" w:rsidRPr="008167CB">
              <w:rPr>
                <w:rStyle w:val="Hyperlink"/>
                <w:noProof/>
              </w:rPr>
              <w:t>Appendix</w:t>
            </w:r>
            <w:r w:rsidR="00C50AD4">
              <w:rPr>
                <w:noProof/>
                <w:webHidden/>
              </w:rPr>
              <w:tab/>
            </w:r>
            <w:r w:rsidR="00C50AD4">
              <w:rPr>
                <w:noProof/>
                <w:webHidden/>
              </w:rPr>
              <w:fldChar w:fldCharType="begin"/>
            </w:r>
            <w:r w:rsidR="00C50AD4">
              <w:rPr>
                <w:noProof/>
                <w:webHidden/>
              </w:rPr>
              <w:instrText xml:space="preserve"> PAGEREF _Toc497202541 \h </w:instrText>
            </w:r>
            <w:r w:rsidR="00C50AD4">
              <w:rPr>
                <w:noProof/>
                <w:webHidden/>
              </w:rPr>
            </w:r>
            <w:r w:rsidR="00C50AD4">
              <w:rPr>
                <w:noProof/>
                <w:webHidden/>
              </w:rPr>
              <w:fldChar w:fldCharType="separate"/>
            </w:r>
            <w:r w:rsidR="00C50AD4">
              <w:rPr>
                <w:noProof/>
                <w:webHidden/>
              </w:rPr>
              <w:t>46</w:t>
            </w:r>
            <w:r w:rsidR="00C50AD4">
              <w:rPr>
                <w:noProof/>
                <w:webHidden/>
              </w:rPr>
              <w:fldChar w:fldCharType="end"/>
            </w:r>
          </w:hyperlink>
        </w:p>
        <w:p w14:paraId="10673B18" w14:textId="77777777" w:rsidR="000E683D" w:rsidRPr="0051180F" w:rsidRDefault="000E683D" w:rsidP="000E683D">
          <w:pPr>
            <w:rPr>
              <w:b/>
              <w:bCs/>
              <w:noProof/>
            </w:rPr>
          </w:pPr>
          <w:r w:rsidRPr="0051180F">
            <w:rPr>
              <w:b/>
              <w:bCs/>
              <w:noProof/>
            </w:rPr>
            <w:fldChar w:fldCharType="end"/>
          </w:r>
        </w:p>
      </w:sdtContent>
    </w:sdt>
    <w:p w14:paraId="6352B247" w14:textId="77777777" w:rsidR="000E683D" w:rsidRDefault="000E683D" w:rsidP="000E683D"/>
    <w:p w14:paraId="093283D5" w14:textId="77777777" w:rsidR="00CC1259" w:rsidRDefault="00CC1259" w:rsidP="00983264">
      <w:pPr>
        <w:pStyle w:val="Left05Indent"/>
      </w:pPr>
    </w:p>
    <w:p w14:paraId="71F8345A" w14:textId="7A0BCC86" w:rsidR="001E6844" w:rsidRDefault="001E6844">
      <w:pPr>
        <w:spacing w:line="240" w:lineRule="auto"/>
        <w:rPr>
          <w:rFonts w:cs="Arial"/>
        </w:rPr>
      </w:pPr>
      <w:r>
        <w:br w:type="page"/>
      </w:r>
    </w:p>
    <w:p w14:paraId="768E2E39" w14:textId="77777777" w:rsidR="000E683D" w:rsidRPr="0051180F" w:rsidRDefault="000E683D" w:rsidP="007832EC">
      <w:pPr>
        <w:pStyle w:val="Heading1"/>
      </w:pPr>
      <w:bookmarkStart w:id="1" w:name="_Toc497202505"/>
      <w:r w:rsidRPr="00C035DE">
        <w:t>Executive Summary</w:t>
      </w:r>
      <w:bookmarkEnd w:id="1"/>
    </w:p>
    <w:p w14:paraId="47903825" w14:textId="77777777" w:rsidR="00836423" w:rsidRPr="0051180F" w:rsidRDefault="000E683D" w:rsidP="000E683D">
      <w:r w:rsidRPr="0051180F">
        <w:t>The obje</w:t>
      </w:r>
      <w:r w:rsidR="00252413" w:rsidRPr="0051180F">
        <w:t>ctive of this project was</w:t>
      </w:r>
      <w:r w:rsidRPr="0051180F">
        <w:t xml:space="preserve"> to evaluate alternative sources for </w:t>
      </w:r>
      <w:r w:rsidR="00E50574" w:rsidRPr="0051180F">
        <w:t xml:space="preserve">weekly </w:t>
      </w:r>
      <w:r w:rsidRPr="0051180F">
        <w:t>motor gasoline prices</w:t>
      </w:r>
      <w:r w:rsidR="00E50574" w:rsidRPr="0051180F">
        <w:t xml:space="preserve"> produced from the </w:t>
      </w:r>
      <w:r w:rsidR="00E50574" w:rsidRPr="0051180F">
        <w:rPr>
          <w:i/>
        </w:rPr>
        <w:t>EIA-878</w:t>
      </w:r>
      <w:r w:rsidR="00836423" w:rsidRPr="0051180F">
        <w:rPr>
          <w:i/>
        </w:rPr>
        <w:t>, “</w:t>
      </w:r>
      <w:r w:rsidR="00E50574" w:rsidRPr="0051180F">
        <w:rPr>
          <w:i/>
        </w:rPr>
        <w:t>Motor Gasoline Price Survey</w:t>
      </w:r>
      <w:r w:rsidRPr="0051180F">
        <w:t>.</w:t>
      </w:r>
      <w:r w:rsidR="00836423" w:rsidRPr="0051180F">
        <w:t>”</w:t>
      </w:r>
      <w:r w:rsidRPr="0051180F">
        <w:t xml:space="preserve">  </w:t>
      </w:r>
      <w:r w:rsidR="00E50574" w:rsidRPr="0051180F">
        <w:t>The project was motivated by</w:t>
      </w:r>
      <w:r w:rsidR="00836423" w:rsidRPr="0051180F">
        <w:t>:</w:t>
      </w:r>
      <w:r w:rsidR="00E50574" w:rsidRPr="0051180F">
        <w:t xml:space="preserve"> </w:t>
      </w:r>
    </w:p>
    <w:p w14:paraId="02C6AB9A" w14:textId="08ED7478" w:rsidR="00836423" w:rsidRDefault="00E50574" w:rsidP="003677C2">
      <w:pPr>
        <w:pStyle w:val="ListParagraph"/>
        <w:numPr>
          <w:ilvl w:val="0"/>
          <w:numId w:val="9"/>
        </w:numPr>
      </w:pPr>
      <w:r w:rsidRPr="0051180F">
        <w:t xml:space="preserve">EIA’s business need </w:t>
      </w:r>
      <w:r w:rsidR="000E683D" w:rsidRPr="0051180F">
        <w:t>to be able to obtain motor gasoline prices in a co</w:t>
      </w:r>
      <w:r w:rsidRPr="0051180F">
        <w:t xml:space="preserve">st and time efficient manner. </w:t>
      </w:r>
    </w:p>
    <w:p w14:paraId="1F76FC98" w14:textId="5D2826E4" w:rsidR="00DF1341" w:rsidRPr="0051180F" w:rsidRDefault="00DF1341" w:rsidP="003677C2">
      <w:pPr>
        <w:pStyle w:val="ListParagraph"/>
        <w:numPr>
          <w:ilvl w:val="0"/>
          <w:numId w:val="9"/>
        </w:numPr>
      </w:pPr>
      <w:r w:rsidRPr="0051180F">
        <w:t>Availability of a number of private data sources that provide</w:t>
      </w:r>
      <w:r w:rsidR="007B22AE">
        <w:t xml:space="preserve"> </w:t>
      </w:r>
      <w:r w:rsidRPr="0051180F">
        <w:t>up to a 30 minute frequency of publication for motor gasoline prices.</w:t>
      </w:r>
    </w:p>
    <w:p w14:paraId="4094B812" w14:textId="5056878A" w:rsidR="00E4356F" w:rsidRPr="0051180F" w:rsidRDefault="00E4356F" w:rsidP="003677C2">
      <w:pPr>
        <w:pStyle w:val="ListParagraph"/>
        <w:numPr>
          <w:ilvl w:val="0"/>
          <w:numId w:val="9"/>
        </w:numPr>
      </w:pPr>
      <w:r w:rsidRPr="0051180F">
        <w:t xml:space="preserve">OMB’s Paperwork Reduction Act that requires agencies to investigate other sources of comparable data in order to reduce respondent burden.  </w:t>
      </w:r>
    </w:p>
    <w:p w14:paraId="1EF89F0B" w14:textId="6655869E" w:rsidR="00BC3068" w:rsidRDefault="00686EAA" w:rsidP="00BC3068">
      <w:r w:rsidRPr="0051180F">
        <w:t xml:space="preserve">This research is a continuation of </w:t>
      </w:r>
      <w:r w:rsidRPr="0051180F">
        <w:rPr>
          <w:i/>
        </w:rPr>
        <w:t>Evaluation of Alternative Sources for Motor Gasoline Prices and Volumes</w:t>
      </w:r>
      <w:r w:rsidRPr="0051180F">
        <w:t xml:space="preserve">, completed in June 2017. </w:t>
      </w:r>
      <w:r w:rsidR="00B5264B">
        <w:t xml:space="preserve">In the first report, </w:t>
      </w:r>
      <w:r w:rsidR="00BC3068" w:rsidRPr="00B31392">
        <w:t xml:space="preserve">the study team concluded that the EIA-878 price data are consistent </w:t>
      </w:r>
      <w:r w:rsidR="00BC3068">
        <w:t xml:space="preserve">with both GasBuddy and OPIS at higher levels of aggregation (e.g., national and PADD estimates). </w:t>
      </w:r>
      <w:r w:rsidR="00B5264B">
        <w:t>Th</w:t>
      </w:r>
      <w:r w:rsidR="007B22AE">
        <w:t>e current</w:t>
      </w:r>
      <w:r w:rsidR="00B5264B">
        <w:t xml:space="preserve"> report compares EIA-878 station level prices to GasBuddy and OPIS stati</w:t>
      </w:r>
      <w:r w:rsidR="007701FC">
        <w:t>on level prices and conducts additio</w:t>
      </w:r>
      <w:r w:rsidR="00067ED9">
        <w:t>nal analyses on obtaining model-</w:t>
      </w:r>
      <w:r w:rsidR="007701FC">
        <w:t xml:space="preserve">based price estimates. </w:t>
      </w:r>
    </w:p>
    <w:p w14:paraId="4EE8BBB1" w14:textId="0F208728" w:rsidR="00836423" w:rsidRDefault="002C509A" w:rsidP="00686EAA">
      <w:r>
        <w:rPr>
          <w:b/>
          <w:u w:val="single"/>
        </w:rPr>
        <w:t>Third-Party Data Quality:</w:t>
      </w:r>
      <w:r w:rsidR="006D1853" w:rsidRPr="0051180F">
        <w:rPr>
          <w:b/>
          <w:u w:val="single"/>
        </w:rPr>
        <w:t xml:space="preserve"> </w:t>
      </w:r>
      <w:r w:rsidR="006D1853" w:rsidRPr="006F0C3F">
        <w:t xml:space="preserve"> </w:t>
      </w:r>
      <w:r w:rsidR="006F0C3F" w:rsidRPr="006F0C3F">
        <w:t xml:space="preserve">The project team </w:t>
      </w:r>
      <w:r w:rsidR="006F0C3F">
        <w:t xml:space="preserve">evaluated OPIS and GasBuddy data in terms of </w:t>
      </w:r>
      <w:r w:rsidR="00B70687">
        <w:t xml:space="preserve">geographic and product </w:t>
      </w:r>
      <w:r w:rsidR="006F0C3F">
        <w:t xml:space="preserve">coverage, </w:t>
      </w:r>
      <w:r w:rsidR="00B70687">
        <w:t xml:space="preserve">data collection methodology, data editing and processing, cash vs credit pricing and the treatment of price discounts, product definitions, timeliness, </w:t>
      </w:r>
      <w:r w:rsidR="003C400F">
        <w:t xml:space="preserve">internal </w:t>
      </w:r>
      <w:r w:rsidR="006F0C3F">
        <w:t xml:space="preserve">consistency, and </w:t>
      </w:r>
      <w:r w:rsidR="009B50A4">
        <w:t>missing data</w:t>
      </w:r>
      <w:r w:rsidR="00B70687">
        <w:t xml:space="preserve"> elements</w:t>
      </w:r>
      <w:r w:rsidR="006F0C3F">
        <w:t xml:space="preserve">. Key findings include: </w:t>
      </w:r>
    </w:p>
    <w:p w14:paraId="3808A083" w14:textId="5BC6949E" w:rsidR="006F0C3F" w:rsidRDefault="006F0C3F" w:rsidP="003677C2">
      <w:pPr>
        <w:pStyle w:val="ListParagraph"/>
        <w:numPr>
          <w:ilvl w:val="0"/>
          <w:numId w:val="13"/>
        </w:numPr>
      </w:pPr>
      <w:r>
        <w:t>Coverage</w:t>
      </w:r>
      <w:r w:rsidR="00B065A5">
        <w:t>: SDSI ma</w:t>
      </w:r>
      <w:r w:rsidR="001E6844">
        <w:t xml:space="preserve">tched 98% of </w:t>
      </w:r>
      <w:r w:rsidR="005D1C93">
        <w:t>current</w:t>
      </w:r>
      <w:r w:rsidR="001E6844">
        <w:t xml:space="preserve"> EIA-878 stations to the OPIS database and 99% to the</w:t>
      </w:r>
      <w:r w:rsidR="00B065A5">
        <w:t xml:space="preserve"> GasBuddy </w:t>
      </w:r>
      <w:r w:rsidR="001E6844">
        <w:t xml:space="preserve">website. </w:t>
      </w:r>
      <w:r w:rsidR="00B065A5">
        <w:t xml:space="preserve"> </w:t>
      </w:r>
    </w:p>
    <w:p w14:paraId="4E878207" w14:textId="7BB03A1B" w:rsidR="006F0C3F" w:rsidRDefault="003C400F" w:rsidP="003677C2">
      <w:pPr>
        <w:pStyle w:val="ListParagraph"/>
        <w:numPr>
          <w:ilvl w:val="0"/>
          <w:numId w:val="13"/>
        </w:numPr>
      </w:pPr>
      <w:r>
        <w:t>Internal c</w:t>
      </w:r>
      <w:r w:rsidR="006F0C3F">
        <w:t>onsistency</w:t>
      </w:r>
      <w:r w:rsidR="00C00181">
        <w:t xml:space="preserve">: </w:t>
      </w:r>
      <w:r w:rsidR="005D0757">
        <w:t>SDSI analyzed multiple daily feeds of OPIS data to assess internal consistency and found that the most simi</w:t>
      </w:r>
      <w:r w:rsidR="00E77461">
        <w:t>lar data sets came from the 4 p.m. and 8 p.m.</w:t>
      </w:r>
      <w:r w:rsidR="005D0757">
        <w:t xml:space="preserve"> data feeds. In general, less than 1% of the gas stations from different feeds were mismatched on either name, address, zip code, or city. Mismatches in prices did occur and are described in detail in the sections below.</w:t>
      </w:r>
    </w:p>
    <w:p w14:paraId="33010660" w14:textId="150DE532" w:rsidR="006F0C3F" w:rsidRDefault="009B50A4" w:rsidP="003677C2">
      <w:pPr>
        <w:pStyle w:val="ListParagraph"/>
        <w:numPr>
          <w:ilvl w:val="0"/>
          <w:numId w:val="13"/>
        </w:numPr>
      </w:pPr>
      <w:r>
        <w:t>Missing data:</w:t>
      </w:r>
      <w:r w:rsidR="007B7021">
        <w:t xml:space="preserve"> </w:t>
      </w:r>
      <w:r w:rsidR="00ED1EF6">
        <w:t xml:space="preserve">While the vast majority of EIA-878 </w:t>
      </w:r>
      <w:r w:rsidR="00B065A5">
        <w:t>stations were identified</w:t>
      </w:r>
      <w:r w:rsidR="00ED1EF6">
        <w:t xml:space="preserve"> in OPIS and GasBuddy databases, OPIS </w:t>
      </w:r>
      <w:r w:rsidR="005D1C93">
        <w:t>had less</w:t>
      </w:r>
      <w:r w:rsidR="009E06B6">
        <w:t xml:space="preserve"> missing</w:t>
      </w:r>
      <w:r w:rsidR="00ED1EF6">
        <w:t xml:space="preserve"> </w:t>
      </w:r>
      <w:r w:rsidR="009E06B6">
        <w:t>product pricing</w:t>
      </w:r>
      <w:r w:rsidR="00DF1341">
        <w:t xml:space="preserve"> </w:t>
      </w:r>
      <w:r w:rsidR="00ED1EF6">
        <w:t>data</w:t>
      </w:r>
      <w:r w:rsidR="009E06B6">
        <w:t>,(6%)</w:t>
      </w:r>
      <w:r w:rsidR="00ED1EF6">
        <w:t xml:space="preserve"> compared to GasBud</w:t>
      </w:r>
      <w:r w:rsidR="001E6844">
        <w:t>dy (</w:t>
      </w:r>
      <w:r w:rsidR="005C41F3">
        <w:t>22%</w:t>
      </w:r>
      <w:r w:rsidR="009E06B6">
        <w:t>)</w:t>
      </w:r>
      <w:r w:rsidR="005C41F3">
        <w:t xml:space="preserve"> for regular</w:t>
      </w:r>
      <w:r w:rsidR="009E06B6">
        <w:t xml:space="preserve"> grade</w:t>
      </w:r>
      <w:r w:rsidR="005C41F3">
        <w:t xml:space="preserve"> gasoline</w:t>
      </w:r>
      <w:r w:rsidR="00ED1EF6">
        <w:t xml:space="preserve">. </w:t>
      </w:r>
    </w:p>
    <w:p w14:paraId="66919991" w14:textId="7E0191F4" w:rsidR="00C3411A" w:rsidRPr="009F4B33" w:rsidRDefault="00C3411A" w:rsidP="00C3411A">
      <w:r w:rsidRPr="00C3411A">
        <w:rPr>
          <w:b/>
          <w:u w:val="single"/>
        </w:rPr>
        <w:t>Comparability of Estimates</w:t>
      </w:r>
      <w:r>
        <w:t xml:space="preserve">: </w:t>
      </w:r>
      <w:r w:rsidRPr="00B31392">
        <w:t xml:space="preserve">The </w:t>
      </w:r>
      <w:r>
        <w:t>project team compared station-level</w:t>
      </w:r>
      <w:r w:rsidRPr="00B31392">
        <w:t xml:space="preserve"> weekly motor gasoline prices from EIA, </w:t>
      </w:r>
      <w:r>
        <w:t xml:space="preserve">OPIS, and GasBuddy </w:t>
      </w:r>
      <w:r w:rsidRPr="00B31392">
        <w:t>at the</w:t>
      </w:r>
      <w:r w:rsidR="006F0C3F">
        <w:t xml:space="preserve"> national, PADD, and selected state and city level</w:t>
      </w:r>
      <w:r w:rsidR="0058342F">
        <w:t>s</w:t>
      </w:r>
      <w:r w:rsidR="006F0C3F">
        <w:t xml:space="preserve"> </w:t>
      </w:r>
      <w:r w:rsidRPr="00B31392">
        <w:t xml:space="preserve">for regular, midgrade, </w:t>
      </w:r>
      <w:r w:rsidRPr="009F4B33">
        <w:t>and premium.  Conclusions of these</w:t>
      </w:r>
      <w:r w:rsidR="005E28EF">
        <w:t xml:space="preserve"> </w:t>
      </w:r>
      <w:r w:rsidRPr="009F4B33">
        <w:t xml:space="preserve">comparisons </w:t>
      </w:r>
      <w:r w:rsidR="00885142">
        <w:t xml:space="preserve">over the 12 week study period </w:t>
      </w:r>
      <w:r w:rsidR="005D1C93">
        <w:t>include</w:t>
      </w:r>
      <w:r w:rsidR="00885142">
        <w:t>:</w:t>
      </w:r>
    </w:p>
    <w:p w14:paraId="5BCD4BC4" w14:textId="1D492E7C" w:rsidR="00746963" w:rsidRPr="009F4B33" w:rsidRDefault="005E28EF" w:rsidP="003677C2">
      <w:pPr>
        <w:pStyle w:val="ListParagraph"/>
        <w:numPr>
          <w:ilvl w:val="0"/>
          <w:numId w:val="14"/>
        </w:numPr>
      </w:pPr>
      <w:r>
        <w:t xml:space="preserve">Pairwise comparisons show that </w:t>
      </w:r>
      <w:r w:rsidR="00746963" w:rsidRPr="009F4B33">
        <w:t xml:space="preserve">EIA and OPIS </w:t>
      </w:r>
      <w:r w:rsidR="00BC3068" w:rsidRPr="009F4B33">
        <w:t xml:space="preserve">regular gasoline </w:t>
      </w:r>
      <w:r w:rsidR="00746963" w:rsidRPr="009F4B33">
        <w:t xml:space="preserve">prices </w:t>
      </w:r>
      <w:r w:rsidR="00FB63AA">
        <w:t>were within 5</w:t>
      </w:r>
      <w:r w:rsidR="00FB63AA" w:rsidRPr="00741A3F">
        <w:t>¢</w:t>
      </w:r>
      <w:r w:rsidR="00FB63AA">
        <w:t xml:space="preserve"> for almost half of the EIA-878 sample (45%). </w:t>
      </w:r>
      <w:r w:rsidR="00F64666">
        <w:t>Regular gasoline pr</w:t>
      </w:r>
      <w:r w:rsidR="00FB63AA">
        <w:t xml:space="preserve">ices </w:t>
      </w:r>
      <w:r w:rsidR="00746963" w:rsidRPr="009F4B33">
        <w:t>matched exactly for 22% of stations</w:t>
      </w:r>
      <w:r w:rsidR="001E6844">
        <w:t xml:space="preserve"> over the 12 week study period. </w:t>
      </w:r>
    </w:p>
    <w:p w14:paraId="21B4A7C7" w14:textId="74C9879F" w:rsidR="001E6844" w:rsidRDefault="00885142" w:rsidP="003677C2">
      <w:pPr>
        <w:pStyle w:val="ListParagraph"/>
        <w:numPr>
          <w:ilvl w:val="0"/>
          <w:numId w:val="14"/>
        </w:numPr>
      </w:pPr>
      <w:r>
        <w:t>National</w:t>
      </w:r>
      <w:r w:rsidR="0026252C">
        <w:t xml:space="preserve"> estimates calculated from OPIS data were within </w:t>
      </w:r>
      <w:r w:rsidR="0058342F">
        <w:t>1</w:t>
      </w:r>
      <w:r w:rsidR="0058342F" w:rsidRPr="00741A3F">
        <w:t>¢</w:t>
      </w:r>
      <w:r w:rsidR="0026252C">
        <w:t xml:space="preserve"> </w:t>
      </w:r>
      <w:r w:rsidR="005E28EF">
        <w:t xml:space="preserve">of estimates calculated from EIA-878 data </w:t>
      </w:r>
      <w:r w:rsidR="006F0C3F">
        <w:t xml:space="preserve">for </w:t>
      </w:r>
      <w:r w:rsidR="00E55F11">
        <w:t xml:space="preserve">regular, midgrade, and premium for </w:t>
      </w:r>
      <w:r w:rsidR="005E28EF">
        <w:t xml:space="preserve">comparable </w:t>
      </w:r>
      <w:r w:rsidR="0026252C">
        <w:t>stations.</w:t>
      </w:r>
      <w:r w:rsidR="00BC3068">
        <w:t xml:space="preserve"> </w:t>
      </w:r>
      <w:r w:rsidR="00785A3D">
        <w:t xml:space="preserve">Results </w:t>
      </w:r>
      <w:r w:rsidR="002605EE">
        <w:t xml:space="preserve">at the PADD level </w:t>
      </w:r>
      <w:r w:rsidR="001E6844">
        <w:t>were</w:t>
      </w:r>
      <w:r w:rsidR="00785A3D">
        <w:t xml:space="preserve"> within </w:t>
      </w:r>
      <w:r w:rsidR="0058342F">
        <w:t>3</w:t>
      </w:r>
      <w:r w:rsidR="0058342F" w:rsidRPr="00741A3F">
        <w:t>¢</w:t>
      </w:r>
      <w:r w:rsidR="002605EE">
        <w:t xml:space="preserve"> for regular and </w:t>
      </w:r>
      <w:r w:rsidR="0058342F">
        <w:t>4</w:t>
      </w:r>
      <w:r w:rsidR="0058342F" w:rsidRPr="00741A3F">
        <w:t>¢</w:t>
      </w:r>
      <w:r w:rsidR="00746963">
        <w:t xml:space="preserve"> for midgrade and premium, with OPIS prices generally higher than EIA’s</w:t>
      </w:r>
      <w:r w:rsidR="001E6844">
        <w:t>.</w:t>
      </w:r>
    </w:p>
    <w:p w14:paraId="4C2124BB" w14:textId="511E77C5" w:rsidR="00746963" w:rsidRPr="00422101" w:rsidRDefault="00BC3068" w:rsidP="003677C2">
      <w:pPr>
        <w:pStyle w:val="ListParagraph"/>
        <w:numPr>
          <w:ilvl w:val="0"/>
          <w:numId w:val="14"/>
        </w:numPr>
        <w:rPr>
          <w:b/>
          <w:u w:val="single"/>
        </w:rPr>
      </w:pPr>
      <w:r>
        <w:t xml:space="preserve">Very large price differences </w:t>
      </w:r>
      <w:r w:rsidR="00F64666">
        <w:t>(</w:t>
      </w:r>
      <w:r w:rsidR="00FB63AA">
        <w:t>15</w:t>
      </w:r>
      <w:r w:rsidR="009E06B6">
        <w:t xml:space="preserve"> cents</w:t>
      </w:r>
      <w:r w:rsidR="00FB63AA">
        <w:t xml:space="preserve"> </w:t>
      </w:r>
      <w:r>
        <w:t>or more)</w:t>
      </w:r>
      <w:r w:rsidR="003A00FA">
        <w:t xml:space="preserve"> between EIA-878 and OPIS</w:t>
      </w:r>
      <w:r>
        <w:t xml:space="preserve"> were identified</w:t>
      </w:r>
      <w:r w:rsidR="00A7386F">
        <w:t xml:space="preserve"> during the </w:t>
      </w:r>
      <w:r w:rsidR="003A00FA">
        <w:t xml:space="preserve">12 week </w:t>
      </w:r>
      <w:r w:rsidR="00A7386F">
        <w:t xml:space="preserve">study period, but </w:t>
      </w:r>
      <w:r w:rsidR="005D1C93">
        <w:t xml:space="preserve">were limited </w:t>
      </w:r>
      <w:r w:rsidR="00A7386F">
        <w:t xml:space="preserve">to approximately 10% of stations. </w:t>
      </w:r>
    </w:p>
    <w:p w14:paraId="1B9B6EF0" w14:textId="3B370431" w:rsidR="00422101" w:rsidRDefault="00422101" w:rsidP="00422101">
      <w:r w:rsidRPr="00B31392">
        <w:t xml:space="preserve">The project team </w:t>
      </w:r>
      <w:r>
        <w:t xml:space="preserve">also </w:t>
      </w:r>
      <w:r w:rsidRPr="00B31392">
        <w:t xml:space="preserve">compared the weekly </w:t>
      </w:r>
      <w:r>
        <w:t xml:space="preserve">station-level motor gasoline prices from EIA and OPIS to AAA aggregated prices to further research discrepancies identified in the first report. </w:t>
      </w:r>
      <w:r w:rsidRPr="00B31392">
        <w:t xml:space="preserve"> </w:t>
      </w:r>
    </w:p>
    <w:p w14:paraId="3F08D731" w14:textId="1D354C33" w:rsidR="00422101" w:rsidRDefault="00422101" w:rsidP="003677C2">
      <w:pPr>
        <w:pStyle w:val="ListParagraph"/>
      </w:pPr>
      <w:r>
        <w:t xml:space="preserve">New York City: </w:t>
      </w:r>
      <w:r w:rsidR="00F64666">
        <w:t xml:space="preserve">Differences between EIA and AAA prices are largely due to the city definition issues. </w:t>
      </w:r>
      <w:r>
        <w:t xml:space="preserve">EIA’s definition of New York City encompasses </w:t>
      </w:r>
      <w:r w:rsidR="005D1C93">
        <w:t>the</w:t>
      </w:r>
      <w:r w:rsidR="00F64666">
        <w:t xml:space="preserve"> much larger </w:t>
      </w:r>
      <w:r w:rsidR="005D1C93">
        <w:t>metropolitan</w:t>
      </w:r>
      <w:r w:rsidR="00F64666">
        <w:t xml:space="preserve"> area </w:t>
      </w:r>
      <w:r>
        <w:t xml:space="preserve">compared to </w:t>
      </w:r>
      <w:r w:rsidR="005D1C93">
        <w:t>A</w:t>
      </w:r>
      <w:r>
        <w:t>AA’s definition of New York City</w:t>
      </w:r>
      <w:r w:rsidR="005D1C93">
        <w:t xml:space="preserve"> as just the 5 city boroughs</w:t>
      </w:r>
      <w:r>
        <w:t xml:space="preserve">. </w:t>
      </w:r>
    </w:p>
    <w:p w14:paraId="425E7B5F" w14:textId="2B7AD904" w:rsidR="00422101" w:rsidRDefault="00422101" w:rsidP="003677C2">
      <w:pPr>
        <w:pStyle w:val="ListParagraph"/>
      </w:pPr>
      <w:r>
        <w:t xml:space="preserve">Chicago: </w:t>
      </w:r>
      <w:r w:rsidR="00F64666">
        <w:t xml:space="preserve">Discrepancies in gasoline prices between EIA and AAA-Chicago Metro are largely due to the station level reporting issues. </w:t>
      </w:r>
    </w:p>
    <w:p w14:paraId="51755F53" w14:textId="18E59AC8" w:rsidR="00DF61B2" w:rsidRDefault="00FF1E22" w:rsidP="00746963">
      <w:r w:rsidRPr="00746963">
        <w:rPr>
          <w:b/>
          <w:u w:val="single"/>
        </w:rPr>
        <w:t xml:space="preserve">Predicting </w:t>
      </w:r>
      <w:r w:rsidR="00C3411A" w:rsidRPr="00746963">
        <w:rPr>
          <w:b/>
          <w:u w:val="single"/>
        </w:rPr>
        <w:t>Midgrade and Premium Prices</w:t>
      </w:r>
      <w:r w:rsidR="00DF61B2" w:rsidRPr="00746963">
        <w:rPr>
          <w:b/>
          <w:u w:val="single"/>
        </w:rPr>
        <w:t>:</w:t>
      </w:r>
      <w:r w:rsidR="00BD42EF" w:rsidRPr="0051180F">
        <w:t xml:space="preserve"> </w:t>
      </w:r>
      <w:r w:rsidR="006F0C3F">
        <w:t>SDSI</w:t>
      </w:r>
      <w:r w:rsidR="009E06B6">
        <w:t xml:space="preserve"> used</w:t>
      </w:r>
      <w:r w:rsidR="006F0C3F">
        <w:t xml:space="preserve"> both aggregate and station level regular gasoline prices</w:t>
      </w:r>
      <w:r w:rsidR="00E4356F">
        <w:t>, along with a number of key variables from external data sources,</w:t>
      </w:r>
      <w:r w:rsidR="006F0C3F">
        <w:t xml:space="preserve"> to predict midgrade and premium prices.</w:t>
      </w:r>
      <w:r w:rsidR="00DE08A7">
        <w:t xml:space="preserve"> Key findings include: </w:t>
      </w:r>
    </w:p>
    <w:p w14:paraId="3001774C" w14:textId="7E8F1F35" w:rsidR="006870B3" w:rsidRDefault="006870B3" w:rsidP="003677C2">
      <w:pPr>
        <w:pStyle w:val="ListParagraph"/>
        <w:numPr>
          <w:ilvl w:val="0"/>
          <w:numId w:val="15"/>
        </w:numPr>
      </w:pPr>
      <w:r>
        <w:t>Using aggregate data from 2013</w:t>
      </w:r>
      <w:r w:rsidR="00C5663F">
        <w:t xml:space="preserve"> to </w:t>
      </w:r>
      <w:r>
        <w:t xml:space="preserve">2017, </w:t>
      </w:r>
      <w:r w:rsidRPr="006870B3">
        <w:t>EIA</w:t>
      </w:r>
      <w:r w:rsidR="00F43276">
        <w:t>-878</w:t>
      </w:r>
      <w:r w:rsidRPr="006870B3">
        <w:t xml:space="preserve"> data-based models had lower error measures than AAA data-based models. </w:t>
      </w:r>
      <w:r>
        <w:t xml:space="preserve">Even though using a mixture of EIA regular prices and AAA midgrade and premium prices is one possibility in the future, the accuracy of the estimates for some publication cells might not reach </w:t>
      </w:r>
      <w:r w:rsidR="00F64666">
        <w:t xml:space="preserve">the </w:t>
      </w:r>
      <w:r>
        <w:t>desired level.</w:t>
      </w:r>
    </w:p>
    <w:p w14:paraId="434A64AB" w14:textId="678010A5" w:rsidR="006870B3" w:rsidRDefault="006870B3" w:rsidP="003677C2">
      <w:pPr>
        <w:pStyle w:val="ListParagraph"/>
        <w:numPr>
          <w:ilvl w:val="0"/>
          <w:numId w:val="15"/>
        </w:numPr>
      </w:pPr>
      <w:r>
        <w:t xml:space="preserve">SDSI successfully identified a number of external variables that have utility in predicting prices of midgrade and premium </w:t>
      </w:r>
      <w:r w:rsidR="009E06B6">
        <w:t xml:space="preserve">grade </w:t>
      </w:r>
      <w:r>
        <w:t>motor gasoline by using regression tree models</w:t>
      </w:r>
      <w:r w:rsidR="00F64666">
        <w:t xml:space="preserve"> and station-level data</w:t>
      </w:r>
      <w:r>
        <w:t xml:space="preserve">. </w:t>
      </w:r>
      <w:r w:rsidR="00C5663F">
        <w:t>F</w:t>
      </w:r>
      <w:r>
        <w:t xml:space="preserve">indings from this initial research effort are very encouraging and indicate that it may be worthwhile to continue developing these models </w:t>
      </w:r>
      <w:r w:rsidR="009E06B6">
        <w:t>to investigate further the potential for</w:t>
      </w:r>
      <w:r>
        <w:t xml:space="preserve"> using </w:t>
      </w:r>
      <w:r w:rsidR="007B22AE">
        <w:t xml:space="preserve">external data </w:t>
      </w:r>
      <w:r>
        <w:t>along with the EIA-878 survey data</w:t>
      </w:r>
      <w:r w:rsidR="007B22AE">
        <w:t xml:space="preserve"> to improve </w:t>
      </w:r>
      <w:r w:rsidR="009E06B6">
        <w:t xml:space="preserve">the </w:t>
      </w:r>
      <w:r w:rsidR="007B22AE">
        <w:t>accuracy of future published estimates</w:t>
      </w:r>
      <w:r>
        <w:t xml:space="preserve">. </w:t>
      </w:r>
    </w:p>
    <w:p w14:paraId="641E35A3" w14:textId="77777777" w:rsidR="00FB63AA" w:rsidRDefault="00750B29">
      <w:pPr>
        <w:spacing w:line="240" w:lineRule="auto"/>
        <w:rPr>
          <w:b/>
          <w:u w:val="single"/>
        </w:rPr>
      </w:pPr>
      <w:r w:rsidRPr="00AE517F">
        <w:rPr>
          <w:b/>
          <w:u w:val="single"/>
        </w:rPr>
        <w:t>Key Recommendations</w:t>
      </w:r>
    </w:p>
    <w:p w14:paraId="5C7DBA60" w14:textId="370B6A73" w:rsidR="00D57410" w:rsidRDefault="00FB63AA" w:rsidP="00FB63AA">
      <w:pPr>
        <w:spacing w:line="240" w:lineRule="auto"/>
      </w:pPr>
      <w:r>
        <w:t xml:space="preserve">This research suggests </w:t>
      </w:r>
      <w:r w:rsidR="00B17676">
        <w:t xml:space="preserve">a number of promising applications of using third-party price data at the station level from OPIS and GasBuddy to enhance the EIA-878. </w:t>
      </w:r>
      <w:r w:rsidR="00D57410">
        <w:t>A conservative approach may include incorporating third-party data into the current EIA-878 validation process, utilizing outside data source</w:t>
      </w:r>
      <w:r w:rsidR="00E03076">
        <w:t>s</w:t>
      </w:r>
      <w:r w:rsidR="00D57410">
        <w:t xml:space="preserve"> to identify potential reporting errors in real time. Other techniques, such as utilization of third-party data for imputation or replacement of survey data collection with third-party sources for selected respondents, require a heavier reliance on third-party data vendors. Further methodological research </w:t>
      </w:r>
      <w:r w:rsidR="00AE517F">
        <w:t>is needed</w:t>
      </w:r>
      <w:r w:rsidR="00D57410">
        <w:t xml:space="preserve"> to determine if the findings identified over the 12 week study period hold over seasonal changes and </w:t>
      </w:r>
      <w:r w:rsidR="009E06B6">
        <w:t xml:space="preserve">market </w:t>
      </w:r>
      <w:r w:rsidR="00D57410">
        <w:t xml:space="preserve">disruptions in </w:t>
      </w:r>
      <w:r w:rsidR="009E06B6">
        <w:t xml:space="preserve">either </w:t>
      </w:r>
      <w:r w:rsidR="00D57410">
        <w:t xml:space="preserve">the </w:t>
      </w:r>
      <w:r w:rsidR="009E06B6">
        <w:t xml:space="preserve">upstream </w:t>
      </w:r>
      <w:r w:rsidR="00D57410">
        <w:t>petroleum supply</w:t>
      </w:r>
      <w:r w:rsidR="009E06B6">
        <w:t xml:space="preserve"> conditions</w:t>
      </w:r>
      <w:r w:rsidR="00D57410">
        <w:t xml:space="preserve"> </w:t>
      </w:r>
      <w:r w:rsidR="009E06B6">
        <w:t>or downstream markets</w:t>
      </w:r>
      <w:r w:rsidR="00D57410">
        <w:t xml:space="preserve">. SDSI recommends an extension of the OPIS price subscription as well as continued data extraction from GasBuddy to conduct this analysis. </w:t>
      </w:r>
    </w:p>
    <w:p w14:paraId="31A29C86" w14:textId="75FCAA25" w:rsidR="00F1549B" w:rsidRPr="00AE517F" w:rsidRDefault="00F1549B">
      <w:pPr>
        <w:spacing w:line="240" w:lineRule="auto"/>
        <w:rPr>
          <w:rFonts w:asciiTheme="majorHAnsi" w:eastAsiaTheme="majorEastAsia" w:hAnsiTheme="majorHAnsi" w:cstheme="majorBidi"/>
          <w:b/>
          <w:bCs/>
          <w:color w:val="1396D8"/>
          <w:sz w:val="32"/>
          <w:szCs w:val="28"/>
          <w:u w:val="single"/>
        </w:rPr>
      </w:pPr>
      <w:r w:rsidRPr="00AE517F">
        <w:rPr>
          <w:b/>
          <w:u w:val="single"/>
        </w:rPr>
        <w:br w:type="page"/>
      </w:r>
    </w:p>
    <w:p w14:paraId="465B931A" w14:textId="77777777" w:rsidR="000E683D" w:rsidRPr="0051180F" w:rsidRDefault="000E683D" w:rsidP="007832EC">
      <w:pPr>
        <w:pStyle w:val="Heading1"/>
      </w:pPr>
      <w:bookmarkStart w:id="2" w:name="_Toc497202506"/>
      <w:r w:rsidRPr="005C2EE5">
        <w:t>Introduction</w:t>
      </w:r>
      <w:bookmarkEnd w:id="2"/>
    </w:p>
    <w:p w14:paraId="42271ECB" w14:textId="407DECA8" w:rsidR="00FF1E22" w:rsidRPr="00FF1E22" w:rsidRDefault="00FF1E22" w:rsidP="00FF1E22">
      <w:pPr>
        <w:rPr>
          <w:rFonts w:cs="Arial"/>
        </w:rPr>
      </w:pPr>
      <w:r w:rsidRPr="00FF1E22">
        <w:rPr>
          <w:rFonts w:cs="Arial"/>
        </w:rPr>
        <w:t>As a part of ongoing modernization efforts</w:t>
      </w:r>
      <w:r w:rsidR="003663BE">
        <w:rPr>
          <w:rFonts w:cs="Arial"/>
        </w:rPr>
        <w:t xml:space="preserve"> and the implementation of the Statistical Methodology Improvement Plan</w:t>
      </w:r>
      <w:r w:rsidRPr="00FF1E22">
        <w:rPr>
          <w:rFonts w:cs="Arial"/>
        </w:rPr>
        <w:t xml:space="preserve">, </w:t>
      </w:r>
      <w:r w:rsidR="0079245B">
        <w:rPr>
          <w:rFonts w:cs="Arial"/>
        </w:rPr>
        <w:t>the Office of Survey Development and Statistical Integration (</w:t>
      </w:r>
      <w:r w:rsidRPr="00FF1E22">
        <w:rPr>
          <w:rFonts w:cs="Arial"/>
        </w:rPr>
        <w:t>SDSI</w:t>
      </w:r>
      <w:r w:rsidR="0079245B">
        <w:rPr>
          <w:rFonts w:cs="Arial"/>
        </w:rPr>
        <w:t>)</w:t>
      </w:r>
      <w:r w:rsidRPr="00FF1E22">
        <w:rPr>
          <w:rFonts w:cs="Arial"/>
        </w:rPr>
        <w:t xml:space="preserve"> is conducting research on utilizing third-party sources to supplement publicly available data. EIA is uniquely situated since a number of its surveys collect information that is also compiled and sold by commercial vendors. These commercial vendors can provide almost real-time frequency of data that when linked with surveys, have the potential to reduce respondent burden and enhance data products. However, much is unknown about</w:t>
      </w:r>
      <w:r w:rsidR="00E61237">
        <w:rPr>
          <w:rFonts w:cs="Arial"/>
        </w:rPr>
        <w:t xml:space="preserve"> the</w:t>
      </w:r>
      <w:r w:rsidRPr="00FF1E22">
        <w:rPr>
          <w:rFonts w:cs="Arial"/>
        </w:rPr>
        <w:t xml:space="preserve"> vendor’s sector visibility</w:t>
      </w:r>
      <w:r w:rsidR="0091533E">
        <w:rPr>
          <w:rFonts w:cs="Arial"/>
        </w:rPr>
        <w:t xml:space="preserve"> into </w:t>
      </w:r>
      <w:r w:rsidR="00E61237">
        <w:rPr>
          <w:rFonts w:cs="Arial"/>
        </w:rPr>
        <w:t xml:space="preserve">the </w:t>
      </w:r>
      <w:r w:rsidR="0091533E">
        <w:rPr>
          <w:rFonts w:cs="Arial"/>
        </w:rPr>
        <w:t>data elements of interest</w:t>
      </w:r>
      <w:r w:rsidRPr="00FF1E22">
        <w:rPr>
          <w:rFonts w:cs="Arial"/>
        </w:rPr>
        <w:t xml:space="preserve">, data definitions, processing, and overall data quality. </w:t>
      </w:r>
      <w:r w:rsidR="00F64932">
        <w:rPr>
          <w:rFonts w:cs="Arial"/>
        </w:rPr>
        <w:t>In an effort to increase understanding of the impact of integrating survey and commercial records for a weekly business s</w:t>
      </w:r>
      <w:r w:rsidR="001E6844">
        <w:rPr>
          <w:rFonts w:cs="Arial"/>
        </w:rPr>
        <w:t>urvey, this study undertakes an</w:t>
      </w:r>
      <w:r w:rsidR="00F64932">
        <w:rPr>
          <w:rFonts w:cs="Arial"/>
        </w:rPr>
        <w:t xml:space="preserve"> in-depth examination of the quality of data from commercial vendors and attempts to integrate it with current EIA survey data.</w:t>
      </w:r>
      <w:r w:rsidRPr="00FF1E22">
        <w:rPr>
          <w:rFonts w:cs="Arial"/>
        </w:rPr>
        <w:t xml:space="preserve"> </w:t>
      </w:r>
    </w:p>
    <w:p w14:paraId="71D51D1F" w14:textId="6247A358" w:rsidR="00FF1E22" w:rsidRPr="002027F3" w:rsidRDefault="00640AB0" w:rsidP="00FF1E22">
      <w:pPr>
        <w:rPr>
          <w:rFonts w:cs="Arial"/>
        </w:rPr>
      </w:pPr>
      <w:r>
        <w:rPr>
          <w:rFonts w:cs="Arial"/>
        </w:rPr>
        <w:t xml:space="preserve">The </w:t>
      </w:r>
      <w:r w:rsidR="001478AA">
        <w:rPr>
          <w:rFonts w:cs="Arial"/>
        </w:rPr>
        <w:t>EIA-878 “</w:t>
      </w:r>
      <w:r>
        <w:rPr>
          <w:rFonts w:cs="Arial"/>
        </w:rPr>
        <w:t>Motor Gasoline Price Survey</w:t>
      </w:r>
      <w:r w:rsidR="001478AA">
        <w:rPr>
          <w:rFonts w:cs="Arial"/>
        </w:rPr>
        <w:t xml:space="preserve">” </w:t>
      </w:r>
      <w:r>
        <w:rPr>
          <w:rFonts w:cs="Arial"/>
        </w:rPr>
        <w:t xml:space="preserve">is a mandatory survey on retail gasoline stations, </w:t>
      </w:r>
      <w:r w:rsidR="00F64932">
        <w:rPr>
          <w:rFonts w:cs="Arial"/>
        </w:rPr>
        <w:t xml:space="preserve">integral </w:t>
      </w:r>
      <w:r>
        <w:rPr>
          <w:rFonts w:cs="Arial"/>
        </w:rPr>
        <w:t xml:space="preserve">to the publication of weekly gasoline price estimates. </w:t>
      </w:r>
      <w:r w:rsidR="00FF1E22" w:rsidRPr="00FF1E22">
        <w:rPr>
          <w:rFonts w:cs="Arial"/>
        </w:rPr>
        <w:t xml:space="preserve">Data collection, processing, and dissemination are completed within the same day. In summer 2017, EIA obtained two commercial sources of gasoline price data for research purposes. EIA purchased gasoline price data from a commercial vendor </w:t>
      </w:r>
      <w:r w:rsidR="00E61237">
        <w:rPr>
          <w:rFonts w:cs="Arial"/>
        </w:rPr>
        <w:t xml:space="preserve">for about 110,000 gas stations. </w:t>
      </w:r>
      <w:r w:rsidR="00F64932">
        <w:rPr>
          <w:rFonts w:cs="Arial"/>
        </w:rPr>
        <w:t xml:space="preserve">SDSI </w:t>
      </w:r>
      <w:r w:rsidR="00E61237">
        <w:rPr>
          <w:rFonts w:cs="Arial"/>
        </w:rPr>
        <w:t xml:space="preserve">staff </w:t>
      </w:r>
      <w:r w:rsidR="00FF1E22" w:rsidRPr="002027F3">
        <w:rPr>
          <w:rFonts w:cs="Arial"/>
        </w:rPr>
        <w:t xml:space="preserve">also created a web </w:t>
      </w:r>
      <w:r w:rsidR="0083661A">
        <w:rPr>
          <w:rFonts w:cs="Arial"/>
        </w:rPr>
        <w:t>data extraction</w:t>
      </w:r>
      <w:r w:rsidR="0083661A" w:rsidRPr="002027F3">
        <w:rPr>
          <w:rFonts w:cs="Arial"/>
        </w:rPr>
        <w:t xml:space="preserve"> </w:t>
      </w:r>
      <w:r w:rsidR="00FF1E22" w:rsidRPr="002027F3">
        <w:rPr>
          <w:rFonts w:cs="Arial"/>
        </w:rPr>
        <w:t>tool to obtain gas prices via a crowdsourced website.</w:t>
      </w:r>
    </w:p>
    <w:p w14:paraId="40151FCB" w14:textId="4A2A947E" w:rsidR="002027F3" w:rsidRPr="002027F3" w:rsidRDefault="00F64932" w:rsidP="002027F3">
      <w:pPr>
        <w:rPr>
          <w:rFonts w:cs="Arial"/>
        </w:rPr>
      </w:pPr>
      <w:r>
        <w:rPr>
          <w:rFonts w:cs="Arial"/>
        </w:rPr>
        <w:t>SDSI staff analyzed the quality of data from these sources and, i</w:t>
      </w:r>
      <w:r w:rsidR="002027F3" w:rsidRPr="002027F3">
        <w:rPr>
          <w:rFonts w:cs="Arial"/>
        </w:rPr>
        <w:t>n a parallel effort,</w:t>
      </w:r>
      <w:r>
        <w:rPr>
          <w:rFonts w:cs="Arial"/>
        </w:rPr>
        <w:t xml:space="preserve"> </w:t>
      </w:r>
      <w:r w:rsidR="002027F3" w:rsidRPr="002027F3">
        <w:rPr>
          <w:rFonts w:cs="Arial"/>
        </w:rPr>
        <w:t>also researched the</w:t>
      </w:r>
      <w:r>
        <w:rPr>
          <w:rFonts w:cs="Arial"/>
        </w:rPr>
        <w:t xml:space="preserve"> utility of other external data for the existence of possible relationships to gasoline grade prices. Together these efforts were directed to </w:t>
      </w:r>
      <w:r w:rsidR="002027F3" w:rsidRPr="002027F3">
        <w:rPr>
          <w:rFonts w:cs="Arial"/>
        </w:rPr>
        <w:t>predict</w:t>
      </w:r>
      <w:r>
        <w:rPr>
          <w:rFonts w:cs="Arial"/>
        </w:rPr>
        <w:t>ing</w:t>
      </w:r>
      <w:r w:rsidR="002027F3" w:rsidRPr="002027F3">
        <w:rPr>
          <w:rFonts w:cs="Arial"/>
        </w:rPr>
        <w:t xml:space="preserve"> midgrade and premium gasoline prices</w:t>
      </w:r>
      <w:r w:rsidR="00290BCB">
        <w:rPr>
          <w:rFonts w:cs="Arial"/>
        </w:rPr>
        <w:t>, which expanded EIA’s previous efforts to predict these values</w:t>
      </w:r>
      <w:r w:rsidR="002027F3" w:rsidRPr="002027F3">
        <w:rPr>
          <w:rFonts w:cs="Arial"/>
        </w:rPr>
        <w:t xml:space="preserve"> based on EIA-878 regular prices </w:t>
      </w:r>
      <w:r w:rsidR="00290BCB">
        <w:rPr>
          <w:rFonts w:cs="Arial"/>
        </w:rPr>
        <w:t>(</w:t>
      </w:r>
      <w:r w:rsidR="002027F3" w:rsidRPr="002027F3">
        <w:rPr>
          <w:rFonts w:cs="Arial"/>
        </w:rPr>
        <w:t>using both aggregate and station-level data</w:t>
      </w:r>
      <w:r w:rsidR="00290BCB">
        <w:rPr>
          <w:rFonts w:cs="Arial"/>
        </w:rPr>
        <w:t>)</w:t>
      </w:r>
      <w:r w:rsidR="002027F3" w:rsidRPr="002027F3">
        <w:rPr>
          <w:rFonts w:cs="Arial"/>
        </w:rPr>
        <w:t xml:space="preserve">. </w:t>
      </w:r>
    </w:p>
    <w:p w14:paraId="0C824A6C" w14:textId="77777777" w:rsidR="000F5E4E" w:rsidRPr="003D1C9D" w:rsidRDefault="000F5E4E" w:rsidP="000F5E4E">
      <w:pPr>
        <w:spacing w:line="240" w:lineRule="auto"/>
        <w:rPr>
          <w:b/>
          <w:sz w:val="24"/>
          <w:szCs w:val="24"/>
          <w:u w:val="single"/>
        </w:rPr>
      </w:pPr>
      <w:r w:rsidRPr="003D1C9D">
        <w:rPr>
          <w:b/>
          <w:sz w:val="24"/>
          <w:szCs w:val="24"/>
          <w:u w:val="single"/>
        </w:rPr>
        <w:t>Organization of the Report:</w:t>
      </w:r>
    </w:p>
    <w:p w14:paraId="7D6DB8F1" w14:textId="3187B5E5" w:rsidR="000F5E4E" w:rsidRPr="00013D55" w:rsidRDefault="007C0A8A" w:rsidP="001E6844">
      <w:r>
        <w:t>The report begins with a detailed description of the data sources and relevant data. This is followed by a comparison of various data sources, which were investigated in an attempt to identify relevant potential predictors of gasoline prices. Descriptions of d</w:t>
      </w:r>
      <w:r w:rsidR="000F5E4E" w:rsidRPr="003D1C9D">
        <w:t>etailed findings</w:t>
      </w:r>
      <w:r>
        <w:t xml:space="preserve"> follow</w:t>
      </w:r>
      <w:r w:rsidR="0043257B">
        <w:t xml:space="preserve">, </w:t>
      </w:r>
      <w:r>
        <w:t>includ</w:t>
      </w:r>
      <w:r w:rsidR="0043257B">
        <w:t>ing</w:t>
      </w:r>
      <w:r>
        <w:t xml:space="preserve"> a description of the specific methodologies used prior to</w:t>
      </w:r>
      <w:r w:rsidR="00994CD7">
        <w:t xml:space="preserve"> summaries of the results</w:t>
      </w:r>
      <w:r>
        <w:t>. The report concludes with</w:t>
      </w:r>
      <w:r w:rsidR="000F5E4E" w:rsidRPr="003D1C9D">
        <w:t xml:space="preserve"> key recommendations and </w:t>
      </w:r>
      <w:r>
        <w:t xml:space="preserve">potential </w:t>
      </w:r>
      <w:r w:rsidR="000F5E4E" w:rsidRPr="003D1C9D">
        <w:t xml:space="preserve">future research objectives.  </w:t>
      </w:r>
    </w:p>
    <w:p w14:paraId="7BA89BF9" w14:textId="31E45F7D" w:rsidR="00EE5497" w:rsidRDefault="00EE5497">
      <w:pPr>
        <w:spacing w:line="240" w:lineRule="auto"/>
        <w:rPr>
          <w:b/>
          <w:sz w:val="24"/>
          <w:szCs w:val="24"/>
          <w:u w:val="single"/>
        </w:rPr>
      </w:pPr>
      <w:r>
        <w:rPr>
          <w:b/>
          <w:sz w:val="24"/>
          <w:szCs w:val="24"/>
          <w:u w:val="single"/>
        </w:rPr>
        <w:br w:type="page"/>
      </w:r>
    </w:p>
    <w:p w14:paraId="15907E7F" w14:textId="77777777" w:rsidR="00D52D4E" w:rsidRDefault="00EE5497" w:rsidP="007832EC">
      <w:pPr>
        <w:pStyle w:val="Heading1"/>
      </w:pPr>
      <w:bookmarkStart w:id="3" w:name="_Toc497202507"/>
      <w:r>
        <w:t>Data</w:t>
      </w:r>
      <w:bookmarkEnd w:id="3"/>
    </w:p>
    <w:p w14:paraId="4B86D772" w14:textId="3F005AB5" w:rsidR="00D52D4E" w:rsidRDefault="00D52D4E" w:rsidP="00E31C5D">
      <w:pPr>
        <w:pStyle w:val="Heading2"/>
      </w:pPr>
      <w:bookmarkStart w:id="4" w:name="_Toc497202508"/>
      <w:r>
        <w:t xml:space="preserve">Description of </w:t>
      </w:r>
      <w:r w:rsidR="00D05BED">
        <w:t>s</w:t>
      </w:r>
      <w:r>
        <w:t>tation</w:t>
      </w:r>
      <w:r w:rsidR="00D05BED">
        <w:t>-le</w:t>
      </w:r>
      <w:r>
        <w:t xml:space="preserve">vel </w:t>
      </w:r>
      <w:r w:rsidR="00D05BED">
        <w:t>g</w:t>
      </w:r>
      <w:r>
        <w:t xml:space="preserve">asoline </w:t>
      </w:r>
      <w:r w:rsidR="00D05BED">
        <w:t>p</w:t>
      </w:r>
      <w:r>
        <w:t xml:space="preserve">rice </w:t>
      </w:r>
      <w:r w:rsidR="00D05BED">
        <w:t>d</w:t>
      </w:r>
      <w:r>
        <w:t>ata</w:t>
      </w:r>
      <w:bookmarkEnd w:id="4"/>
    </w:p>
    <w:p w14:paraId="0F040490" w14:textId="77777777" w:rsidR="00D52D4E" w:rsidRPr="00070035" w:rsidRDefault="00D52D4E" w:rsidP="00E31C5D">
      <w:pPr>
        <w:pStyle w:val="Heading3"/>
      </w:pPr>
      <w:bookmarkStart w:id="5" w:name="_Toc497202509"/>
      <w:r>
        <w:t>EIA-878</w:t>
      </w:r>
      <w:bookmarkEnd w:id="5"/>
    </w:p>
    <w:p w14:paraId="282FBB1E" w14:textId="39228F68" w:rsidR="00D52D4E" w:rsidRDefault="00D52D4E" w:rsidP="00313EC0">
      <w:r w:rsidRPr="00FD31A1">
        <w:t xml:space="preserve">The Motor Gasoline Price Survey (EIA-878) is a weekly mandatory survey of </w:t>
      </w:r>
      <w:r w:rsidR="00DB798E">
        <w:t>approximately</w:t>
      </w:r>
      <w:r w:rsidRPr="00FD31A1">
        <w:t xml:space="preserve"> 800 retail gasoline stations across the country. The data collected are used to create point-in-time estimates of gasoline prices at the national, regional, and selected state and city levels by grade and formulation, resulting in 276 published price estimates.</w:t>
      </w:r>
      <w:r w:rsidRPr="00FF1E22">
        <w:t xml:space="preserve"> </w:t>
      </w:r>
    </w:p>
    <w:p w14:paraId="4E2F6775" w14:textId="0BA498A4" w:rsidR="00D52D4E" w:rsidRPr="00FF1E22" w:rsidRDefault="00D52D4E" w:rsidP="00313EC0">
      <w:r w:rsidRPr="00FF1E22">
        <w:t>Data collection, processing, and dissemination are completed within the same day.</w:t>
      </w:r>
      <w:r>
        <w:t xml:space="preserve"> EIA defines “gasoline price” as the station’s cash price (including </w:t>
      </w:r>
      <w:r w:rsidRPr="00BE09A6">
        <w:t>taxes) as of 8:00</w:t>
      </w:r>
      <w:r w:rsidR="00876273">
        <w:t xml:space="preserve"> a</w:t>
      </w:r>
      <w:r w:rsidR="00E77461">
        <w:t>.</w:t>
      </w:r>
      <w:r w:rsidR="00876273">
        <w:t>m</w:t>
      </w:r>
      <w:r w:rsidR="00E77461">
        <w:t>.</w:t>
      </w:r>
      <w:r w:rsidRPr="00BE09A6">
        <w:t xml:space="preserve"> local time each Monday. This price represents the self-serve price except in areas having only full-serve. The majority of respondents comply with the mandatory survey via telephone reporting (CATI</w:t>
      </w:r>
      <w:r>
        <w:t>, Computer-assisted telephone interviewing</w:t>
      </w:r>
      <w:r w:rsidRPr="00BE09A6">
        <w:t>)</w:t>
      </w:r>
      <w:r w:rsidR="004E2EAA">
        <w:t>;</w:t>
      </w:r>
      <w:r w:rsidRPr="00BE09A6">
        <w:t xml:space="preserve"> however</w:t>
      </w:r>
      <w:r w:rsidRPr="00FF1E22">
        <w:t>, other submission methods are also available. Prices are published by 5:00 p</w:t>
      </w:r>
      <w:r w:rsidR="004072DE">
        <w:t>.</w:t>
      </w:r>
      <w:r w:rsidRPr="00FF1E22">
        <w:t>m</w:t>
      </w:r>
      <w:r w:rsidR="004072DE">
        <w:t>.</w:t>
      </w:r>
      <w:r w:rsidRPr="00FF1E22">
        <w:t xml:space="preserve"> EST on Monday, except in the case of government holidays. </w:t>
      </w:r>
    </w:p>
    <w:p w14:paraId="0BA0E4B9" w14:textId="77777777" w:rsidR="00D52D4E" w:rsidRPr="00070035" w:rsidRDefault="00D52D4E" w:rsidP="00E31C5D">
      <w:pPr>
        <w:pStyle w:val="Heading3"/>
      </w:pPr>
      <w:bookmarkStart w:id="6" w:name="_Toc497202510"/>
      <w:r w:rsidRPr="00070035">
        <w:t>O</w:t>
      </w:r>
      <w:r>
        <w:t>il Price Information Service</w:t>
      </w:r>
      <w:bookmarkEnd w:id="6"/>
    </w:p>
    <w:p w14:paraId="3673524B" w14:textId="77777777" w:rsidR="00D52D4E" w:rsidRPr="00782F7D" w:rsidRDefault="00D52D4E" w:rsidP="00313EC0">
      <w:r>
        <w:t>The Oil Price Information Service (OPIS), an</w:t>
      </w:r>
      <w:r w:rsidRPr="00782F7D">
        <w:t xml:space="preserve"> IHS Markit company, is </w:t>
      </w:r>
      <w:r>
        <w:t xml:space="preserve">a commercial </w:t>
      </w:r>
      <w:r w:rsidRPr="00782F7D">
        <w:t>source for petroleum pricing and news information. The company collects daily gasoline and diesel prices for nearly 140,000 retail outlets in the U.S. and Canada. According to company materials, OPIS prices are used by AAA, Microsoft (MSN Autos), Garmin, and MapQuest. In Ma</w:t>
      </w:r>
      <w:r>
        <w:t>r</w:t>
      </w:r>
      <w:r w:rsidRPr="00782F7D">
        <w:t>ch 2013, OPIS acquired GasBuddy.com</w:t>
      </w:r>
      <w:r>
        <w:t>,</w:t>
      </w:r>
      <w:r w:rsidRPr="00782F7D">
        <w:t xml:space="preserve"> a crowdsourcing website </w:t>
      </w:r>
      <w:r>
        <w:t>which publishes</w:t>
      </w:r>
      <w:r w:rsidRPr="00782F7D">
        <w:t xml:space="preserve"> retail motor gasoline and diesel prices.</w:t>
      </w:r>
      <w:r>
        <w:rPr>
          <w:rStyle w:val="FootnoteReference"/>
        </w:rPr>
        <w:footnoteReference w:id="2"/>
      </w:r>
      <w:r w:rsidRPr="00782F7D">
        <w:t xml:space="preserve"> </w:t>
      </w:r>
    </w:p>
    <w:p w14:paraId="1FAC1B51" w14:textId="04DCA147" w:rsidR="004E2EAA" w:rsidRDefault="00D52D4E" w:rsidP="00313EC0">
      <w:r>
        <w:t xml:space="preserve">From </w:t>
      </w:r>
      <w:r w:rsidRPr="007D79E8">
        <w:t>May 15, 2017</w:t>
      </w:r>
      <w:r>
        <w:t xml:space="preserve"> to July 31, 2017</w:t>
      </w:r>
      <w:r w:rsidRPr="007D79E8">
        <w:t xml:space="preserve">, EIA </w:t>
      </w:r>
      <w:r>
        <w:t xml:space="preserve">purchased weekly feeds </w:t>
      </w:r>
      <w:r w:rsidRPr="007D79E8">
        <w:t xml:space="preserve">of gasoline price data </w:t>
      </w:r>
      <w:r>
        <w:t>from OPIS for $2</w:t>
      </w:r>
      <w:r w:rsidR="00031C01">
        <w:t>4</w:t>
      </w:r>
      <w:r>
        <w:t xml:space="preserve">,000. </w:t>
      </w:r>
      <w:r w:rsidRPr="00403DE0">
        <w:t xml:space="preserve"> </w:t>
      </w:r>
      <w:r>
        <w:t>Each</w:t>
      </w:r>
      <w:r w:rsidRPr="007D79E8">
        <w:t xml:space="preserve"> feed </w:t>
      </w:r>
      <w:r>
        <w:t>include</w:t>
      </w:r>
      <w:r w:rsidR="00876273">
        <w:t>d</w:t>
      </w:r>
      <w:r>
        <w:t xml:space="preserve"> the</w:t>
      </w:r>
      <w:r w:rsidR="004E2EAA">
        <w:t xml:space="preserve"> following pertinent information:</w:t>
      </w:r>
    </w:p>
    <w:p w14:paraId="32AFBE90" w14:textId="4480789C" w:rsidR="004E2EAA" w:rsidRDefault="00D52D4E" w:rsidP="003677C2">
      <w:pPr>
        <w:pStyle w:val="ListParagraph"/>
      </w:pPr>
      <w:r>
        <w:t>station name</w:t>
      </w:r>
    </w:p>
    <w:p w14:paraId="60E2DC90" w14:textId="0F9FD8E2" w:rsidR="004E2EAA" w:rsidRDefault="00D52D4E" w:rsidP="003677C2">
      <w:pPr>
        <w:pStyle w:val="ListParagraph"/>
      </w:pPr>
      <w:r>
        <w:t>physical location</w:t>
      </w:r>
    </w:p>
    <w:p w14:paraId="4A7E01C6" w14:textId="02501246" w:rsidR="004E2EAA" w:rsidRDefault="00D52D4E" w:rsidP="003677C2">
      <w:pPr>
        <w:pStyle w:val="ListParagraph"/>
      </w:pPr>
      <w:r>
        <w:t>unique OPIS identification number</w:t>
      </w:r>
    </w:p>
    <w:p w14:paraId="7E20A439" w14:textId="54D9B56F" w:rsidR="004E2EAA" w:rsidRDefault="00D52D4E" w:rsidP="00067ED9">
      <w:r>
        <w:t>For each gasoline grade (regular, midgrade, and premium)</w:t>
      </w:r>
      <w:r w:rsidR="004E2EAA">
        <w:t>:</w:t>
      </w:r>
    </w:p>
    <w:p w14:paraId="202B2E4B" w14:textId="3F125166" w:rsidR="004E2EAA" w:rsidRDefault="00D52D4E" w:rsidP="003677C2">
      <w:pPr>
        <w:pStyle w:val="ListParagraph"/>
      </w:pPr>
      <w:r>
        <w:t>price per gallon</w:t>
      </w:r>
    </w:p>
    <w:p w14:paraId="75A57562" w14:textId="3CC97A04" w:rsidR="004E2EAA" w:rsidRDefault="00D52D4E" w:rsidP="003677C2">
      <w:pPr>
        <w:pStyle w:val="ListParagraph"/>
      </w:pPr>
      <w:r>
        <w:t>date and time associated with the price</w:t>
      </w:r>
    </w:p>
    <w:p w14:paraId="61FF7AB0" w14:textId="6BDCD099" w:rsidR="004E2EAA" w:rsidRDefault="00D52D4E" w:rsidP="003677C2">
      <w:pPr>
        <w:pStyle w:val="ListParagraph"/>
      </w:pPr>
      <w:r>
        <w:t xml:space="preserve">source of the information </w:t>
      </w:r>
    </w:p>
    <w:p w14:paraId="1547BD96" w14:textId="2EEA817A" w:rsidR="00D52D4E" w:rsidRDefault="00D52D4E" w:rsidP="004E2EAA">
      <w:r>
        <w:t xml:space="preserve">OPIS </w:t>
      </w:r>
      <w:r w:rsidR="00876273">
        <w:t xml:space="preserve">provided a single value for the price without making a distinction between cash or credit prices. OPIS collected the data through either </w:t>
      </w:r>
      <w:r>
        <w:t xml:space="preserve">electronic submission directly from </w:t>
      </w:r>
      <w:r w:rsidR="001E6844">
        <w:t>credit card transactions</w:t>
      </w:r>
      <w:r>
        <w:t xml:space="preserve"> or </w:t>
      </w:r>
      <w:r w:rsidR="00876273">
        <w:t>from user submissions</w:t>
      </w:r>
      <w:r>
        <w:t>. On average, e</w:t>
      </w:r>
      <w:r w:rsidRPr="007D79E8">
        <w:t xml:space="preserve">ach file consisted of about </w:t>
      </w:r>
      <w:r>
        <w:t>110,000</w:t>
      </w:r>
      <w:r w:rsidRPr="007D79E8">
        <w:t xml:space="preserve"> reco</w:t>
      </w:r>
      <w:r>
        <w:t>rds; however, the exact number varied from</w:t>
      </w:r>
      <w:r w:rsidR="00876273">
        <w:t xml:space="preserve"> feed to feed and from</w:t>
      </w:r>
      <w:r>
        <w:t xml:space="preserve"> week to week</w:t>
      </w:r>
      <w:r w:rsidR="001478AA">
        <w:t xml:space="preserve"> (see Table A.1)</w:t>
      </w:r>
      <w:r>
        <w:t xml:space="preserve">. The weekly feed was transferred as a text file to EIA via a secure FTP site. </w:t>
      </w:r>
      <w:r w:rsidR="00E61237">
        <w:t>Staff in the Office of Petroleum and Biofuels Statistics (</w:t>
      </w:r>
      <w:r>
        <w:t>PBS</w:t>
      </w:r>
      <w:r w:rsidR="00E61237">
        <w:t>)</w:t>
      </w:r>
      <w:r>
        <w:t xml:space="preserve"> were responsible for downloading the file and saving it to the EIA network. </w:t>
      </w:r>
    </w:p>
    <w:p w14:paraId="5E7845C8" w14:textId="3AB9F882" w:rsidR="00D52D4E" w:rsidRPr="007D79E8" w:rsidRDefault="00D52D4E" w:rsidP="00313EC0">
      <w:r>
        <w:t xml:space="preserve">For the </w:t>
      </w:r>
      <w:r w:rsidRPr="00357622">
        <w:t>first four weeks,</w:t>
      </w:r>
      <w:r>
        <w:t xml:space="preserve"> EIA obtained a single data feed from OPIS as of approximately 12:00 p.m. on Monday. EIA selected this time for consistency with EIA’s price definition.  For the remaining weeks, OPIS transferred four feeds with data</w:t>
      </w:r>
      <w:r w:rsidR="009617DB">
        <w:t>,</w:t>
      </w:r>
      <w:r w:rsidR="009617DB" w:rsidRPr="009617DB">
        <w:t xml:space="preserve"> </w:t>
      </w:r>
      <w:r w:rsidR="009617DB">
        <w:t>at no additional cost,</w:t>
      </w:r>
      <w:r>
        <w:t xml:space="preserve"> a</w:t>
      </w:r>
      <w:r w:rsidR="009617DB">
        <w:t>t</w:t>
      </w:r>
      <w:r>
        <w:t xml:space="preserve"> 8:00 a.m., 12:00 p.m., 4:00 p.m.</w:t>
      </w:r>
      <w:r w:rsidR="004072DE">
        <w:t>,</w:t>
      </w:r>
      <w:r>
        <w:t xml:space="preserve"> and 8:00 p.m. The multiple feeds </w:t>
      </w:r>
      <w:r w:rsidR="00717F93">
        <w:t>were used by SDSI staff</w:t>
      </w:r>
      <w:r>
        <w:t xml:space="preserve"> to compare the internal consistency of the data and gain insights into OPIS’ data quality.  </w:t>
      </w:r>
      <w:r w:rsidR="00717F93">
        <w:t xml:space="preserve">The analysis will impact the determination around which feed should be used bearing in mind the importance of maintaining consistency with EIA’s </w:t>
      </w:r>
      <w:r>
        <w:t>definition (prices as of 8 a</w:t>
      </w:r>
      <w:r w:rsidR="00DC0D53">
        <w:t>.</w:t>
      </w:r>
      <w:r>
        <w:t>m</w:t>
      </w:r>
      <w:r w:rsidR="00DC0D53">
        <w:t>.</w:t>
      </w:r>
      <w:r w:rsidR="001478AA">
        <w:t xml:space="preserve"> local time</w:t>
      </w:r>
      <w:r>
        <w:t xml:space="preserve">) </w:t>
      </w:r>
      <w:r w:rsidR="00717F93">
        <w:t>and EIA’s ability to utilize the data in a timely manner to maintain the time</w:t>
      </w:r>
      <w:r w:rsidR="009617DB">
        <w:t xml:space="preserve"> </w:t>
      </w:r>
      <w:r w:rsidR="00717F93">
        <w:t>frame of regular estimate publications.</w:t>
      </w:r>
      <w:r>
        <w:t xml:space="preserve"> </w:t>
      </w:r>
    </w:p>
    <w:p w14:paraId="19A385C3" w14:textId="64B9B422" w:rsidR="00D52D4E" w:rsidRDefault="00116538" w:rsidP="00313EC0">
      <w:r>
        <w:t xml:space="preserve">During the 12 week period of the available noon data feed, </w:t>
      </w:r>
      <w:r w:rsidR="00D52D4E">
        <w:t>83,910 stations</w:t>
      </w:r>
      <w:r w:rsidR="00A045A5">
        <w:t>, from approximately 110,000 records</w:t>
      </w:r>
      <w:r w:rsidR="009617DB">
        <w:t xml:space="preserve"> (76%)</w:t>
      </w:r>
      <w:r w:rsidR="00A045A5">
        <w:t>,</w:t>
      </w:r>
      <w:r w:rsidR="00D52D4E">
        <w:t xml:space="preserve"> appear</w:t>
      </w:r>
      <w:r w:rsidR="00A045A5">
        <w:t>ed</w:t>
      </w:r>
      <w:r w:rsidR="00D52D4E">
        <w:t xml:space="preserve"> consistently each week. Each of these station</w:t>
      </w:r>
      <w:r w:rsidR="00A045A5">
        <w:t>s</w:t>
      </w:r>
      <w:r w:rsidR="00D52D4E">
        <w:t xml:space="preserve"> reported at least one </w:t>
      </w:r>
      <w:r w:rsidR="00A045A5">
        <w:t xml:space="preserve">price value for </w:t>
      </w:r>
      <w:r w:rsidR="00D52D4E">
        <w:t xml:space="preserve">regular, midgrade, or </w:t>
      </w:r>
      <w:r w:rsidR="00D52D4E" w:rsidRPr="002B64D5">
        <w:t xml:space="preserve">premium </w:t>
      </w:r>
      <w:r w:rsidR="00A045A5">
        <w:t>gasoline</w:t>
      </w:r>
      <w:r w:rsidR="00D52D4E" w:rsidRPr="002B64D5">
        <w:t xml:space="preserve">. The </w:t>
      </w:r>
      <w:r w:rsidR="00A045A5">
        <w:t>remainder of the stations appeared inconsistently from week to week (Table A.1).</w:t>
      </w:r>
      <w:r w:rsidR="00D52D4E" w:rsidRPr="002B64D5">
        <w:t xml:space="preserve"> </w:t>
      </w:r>
    </w:p>
    <w:p w14:paraId="4DED3F40" w14:textId="77777777" w:rsidR="00D52D4E" w:rsidRDefault="00D52D4E" w:rsidP="00E31C5D">
      <w:pPr>
        <w:pStyle w:val="Heading3"/>
      </w:pPr>
      <w:bookmarkStart w:id="7" w:name="_Toc497202511"/>
      <w:r>
        <w:t>GasBuddy.com</w:t>
      </w:r>
      <w:bookmarkEnd w:id="7"/>
    </w:p>
    <w:p w14:paraId="4019F845" w14:textId="4752737E" w:rsidR="00294C4D" w:rsidRPr="001448CC" w:rsidRDefault="00757009" w:rsidP="00313EC0">
      <w:hyperlink r:id="rId17" w:history="1">
        <w:r w:rsidR="00D51CF7">
          <w:rPr>
            <w:rStyle w:val="Hyperlink"/>
          </w:rPr>
          <w:t>GasBuddy.com</w:t>
        </w:r>
      </w:hyperlink>
      <w:r w:rsidR="00D51CF7">
        <w:t xml:space="preserve"> is a crowdsourced website that allows users to submit real-time regular, midgrade, premium, and diesel prices. Based on SDSI analysis, the site collects prices for about 144,000 outlets in the U.S. </w:t>
      </w:r>
      <w:r w:rsidR="00D52D4E">
        <w:t xml:space="preserve">Users </w:t>
      </w:r>
      <w:r w:rsidR="00D51CF7">
        <w:t>can submit both cash and credit prices to GasBuddy and the information is displayed on the w</w:t>
      </w:r>
      <w:r w:rsidR="00307FDD">
        <w:t xml:space="preserve">ebsite, </w:t>
      </w:r>
      <w:r w:rsidR="00D51CF7">
        <w:t>tagged by the u</w:t>
      </w:r>
      <w:r w:rsidR="00D52D4E">
        <w:t xml:space="preserve">ser’s ID. Some stations also submit price information directly to GasBuddy; these prices are denoted as “GB_Direct.” </w:t>
      </w:r>
      <w:r w:rsidR="00E0391E">
        <w:t xml:space="preserve">GasBuddy provides users with definitions for regular, midgrade, and premium, as well as how to capture information on price discounts. </w:t>
      </w:r>
      <w:r w:rsidR="00D52D4E">
        <w:t xml:space="preserve">In addition to </w:t>
      </w:r>
      <w:r w:rsidR="001B397A">
        <w:t xml:space="preserve">submitting </w:t>
      </w:r>
      <w:r w:rsidR="00D52D4E">
        <w:t xml:space="preserve">prices, users can also add gas stations to </w:t>
      </w:r>
      <w:r w:rsidR="00D52D4E" w:rsidRPr="00E43496">
        <w:t>the GasBuddy master list</w:t>
      </w:r>
      <w:r w:rsidR="001B397A">
        <w:t>.</w:t>
      </w:r>
      <w:r w:rsidR="00307FDD">
        <w:t xml:space="preserve"> Users</w:t>
      </w:r>
      <w:r w:rsidR="00D52D4E" w:rsidRPr="00E43496">
        <w:t xml:space="preserve"> earn points for completing certain activities, such as posting or updating a gas price or participating in a user forum. Points can be redeemed in price raffles. </w:t>
      </w:r>
    </w:p>
    <w:p w14:paraId="4B27A400" w14:textId="09B4BE0C" w:rsidR="009617DB" w:rsidRDefault="00313EC0" w:rsidP="00313EC0">
      <w:r>
        <w:t>SDSI collaborated with Mike Scott (EIA/OE</w:t>
      </w:r>
      <w:r w:rsidR="001478AA">
        <w:t>A</w:t>
      </w:r>
      <w:r>
        <w:t>) to develop a tool to</w:t>
      </w:r>
      <w:r w:rsidRPr="00D51CF7">
        <w:rPr>
          <w:color w:val="FF0000"/>
        </w:rPr>
        <w:t xml:space="preserve"> </w:t>
      </w:r>
      <w:r>
        <w:t xml:space="preserve">systematically collect price </w:t>
      </w:r>
      <w:r w:rsidRPr="001B2499">
        <w:t xml:space="preserve">information for stations included in the EIA-878 sample. This tool </w:t>
      </w:r>
      <w:r w:rsidR="001478AA">
        <w:t xml:space="preserve">was initially developed to collect information on the number of gas stations for frame development purposes; SDSI worked with OEA to add an additional feature to also capture prices. The tool </w:t>
      </w:r>
      <w:r w:rsidRPr="001B2499">
        <w:t xml:space="preserve">streamlined the data collection process, since GasBuddy makes data for each station available from an associated unique webpage (Figure </w:t>
      </w:r>
      <w:r w:rsidR="005D0757" w:rsidRPr="001B2499">
        <w:t>1</w:t>
      </w:r>
      <w:r w:rsidRPr="001B2499">
        <w:t xml:space="preserve">). The data set obtained from the tool contained information on the station name and physical location. For each gasoline grade (regular, midgrade, and premium), </w:t>
      </w:r>
      <w:r w:rsidR="00D51CF7">
        <w:t>SDSI collected the</w:t>
      </w:r>
      <w:r w:rsidR="009617DB">
        <w:t xml:space="preserve"> following information:</w:t>
      </w:r>
    </w:p>
    <w:p w14:paraId="47983E7F" w14:textId="7575E202" w:rsidR="009617DB" w:rsidRDefault="00D51CF7" w:rsidP="003677C2">
      <w:pPr>
        <w:pStyle w:val="ListParagraph"/>
      </w:pPr>
      <w:r>
        <w:t>pr</w:t>
      </w:r>
      <w:r w:rsidR="00313EC0" w:rsidRPr="001B2499">
        <w:t>ice per gallon</w:t>
      </w:r>
      <w:r w:rsidR="00E61237">
        <w:t xml:space="preserve"> (cash and credit)</w:t>
      </w:r>
    </w:p>
    <w:p w14:paraId="10C6449F" w14:textId="68B0A672" w:rsidR="009617DB" w:rsidRDefault="00313EC0" w:rsidP="003677C2">
      <w:pPr>
        <w:pStyle w:val="ListParagraph"/>
      </w:pPr>
      <w:r w:rsidRPr="001B2499">
        <w:t>date</w:t>
      </w:r>
      <w:r>
        <w:t xml:space="preserve"> and time</w:t>
      </w:r>
      <w:r w:rsidR="00D51CF7">
        <w:t xml:space="preserve"> submitted</w:t>
      </w:r>
    </w:p>
    <w:p w14:paraId="2EEA9ACD" w14:textId="5BEE4C3D" w:rsidR="009617DB" w:rsidRDefault="00313EC0" w:rsidP="003677C2">
      <w:pPr>
        <w:pStyle w:val="ListParagraph"/>
      </w:pPr>
      <w:r>
        <w:t>source of the information</w:t>
      </w:r>
      <w:r w:rsidR="00D51CF7">
        <w:t xml:space="preserve"> (user submitted or direct data transmission from the outlet)</w:t>
      </w:r>
      <w:r>
        <w:t xml:space="preserve">. </w:t>
      </w:r>
    </w:p>
    <w:p w14:paraId="20C39BD9" w14:textId="7941873B" w:rsidR="00313EC0" w:rsidRDefault="00313EC0" w:rsidP="001478AA">
      <w:pPr>
        <w:ind w:left="45"/>
      </w:pPr>
      <w:r>
        <w:t xml:space="preserve">Gas prices submitted to the website within the last 24 hours include additional information on the exact time of the submission. In contrast, prices reported outside of 24 hours are categorized merely as “1 day old” without additional information about exact time of submission. </w:t>
      </w:r>
    </w:p>
    <w:p w14:paraId="0B3E9C24" w14:textId="5FEF9E6B" w:rsidR="00313EC0" w:rsidRDefault="00313EC0" w:rsidP="00313EC0">
      <w:r w:rsidRPr="001448CC">
        <w:t xml:space="preserve">SDSI staff </w:t>
      </w:r>
      <w:r w:rsidR="0083661A">
        <w:t>obtained</w:t>
      </w:r>
      <w:r w:rsidR="0083661A" w:rsidRPr="001448CC">
        <w:t xml:space="preserve"> </w:t>
      </w:r>
      <w:r w:rsidRPr="001448CC">
        <w:t>data for 798</w:t>
      </w:r>
      <w:r>
        <w:t xml:space="preserve"> EIA-878 </w:t>
      </w:r>
      <w:r w:rsidRPr="001448CC">
        <w:t>sample stations</w:t>
      </w:r>
      <w:r>
        <w:t>, which is 99% of the sample (t</w:t>
      </w:r>
      <w:r w:rsidRPr="001448CC">
        <w:t xml:space="preserve">he matching </w:t>
      </w:r>
      <w:r>
        <w:t>procedure used to identify EIA</w:t>
      </w:r>
      <w:r w:rsidR="0058124F">
        <w:t xml:space="preserve">-878 </w:t>
      </w:r>
      <w:r>
        <w:t>sample stations on the GasBuddy website i</w:t>
      </w:r>
      <w:r w:rsidRPr="001448CC">
        <w:t>s described in detail in the next section</w:t>
      </w:r>
      <w:r>
        <w:t>)</w:t>
      </w:r>
      <w:r w:rsidRPr="001448CC">
        <w:t xml:space="preserve">. </w:t>
      </w:r>
      <w:r>
        <w:t xml:space="preserve">The </w:t>
      </w:r>
      <w:r w:rsidR="0083661A">
        <w:t xml:space="preserve">data extraction process </w:t>
      </w:r>
      <w:r>
        <w:t xml:space="preserve">occurred only once, on Monday, July 31, which overlapped OPIS data availability, because it required substantial additional time commitments from SDSI staff. SDSI did not attempt to obtain gas prices for all stations on GasBuddy.com. </w:t>
      </w:r>
    </w:p>
    <w:p w14:paraId="21A03A56" w14:textId="752EBA98" w:rsidR="00D52D4E" w:rsidRPr="009F3147" w:rsidRDefault="00D52D4E" w:rsidP="009F3147">
      <w:pPr>
        <w:pStyle w:val="Caption"/>
      </w:pPr>
      <w:r w:rsidRPr="009F3147">
        <w:t xml:space="preserve">Figure </w:t>
      </w:r>
      <w:r w:rsidR="005D0757" w:rsidRPr="009F3147">
        <w:t>1</w:t>
      </w:r>
      <w:r w:rsidRPr="009F3147">
        <w:t>. Screenshot of GasBuddy.com website</w:t>
      </w:r>
      <w:r w:rsidR="00294C4D" w:rsidRPr="009F3147">
        <w:t xml:space="preserve"> for an individual gas station.</w:t>
      </w:r>
    </w:p>
    <w:p w14:paraId="1AEAC8B7" w14:textId="77777777" w:rsidR="00D52D4E" w:rsidRDefault="00D52D4E" w:rsidP="00983264">
      <w:pPr>
        <w:pStyle w:val="Left05Indent"/>
      </w:pPr>
      <w:r>
        <w:rPr>
          <w:noProof/>
        </w:rPr>
        <w:drawing>
          <wp:inline distT="0" distB="0" distL="0" distR="0" wp14:anchorId="29217ED2" wp14:editId="33558D06">
            <wp:extent cx="5276850" cy="37193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071" t="6712" r="19297" b="12788"/>
                    <a:stretch/>
                  </pic:blipFill>
                  <pic:spPr bwMode="auto">
                    <a:xfrm>
                      <a:off x="0" y="0"/>
                      <a:ext cx="5310255" cy="3742927"/>
                    </a:xfrm>
                    <a:prstGeom prst="rect">
                      <a:avLst/>
                    </a:prstGeom>
                    <a:ln>
                      <a:noFill/>
                    </a:ln>
                    <a:extLst>
                      <a:ext uri="{53640926-AAD7-44D8-BBD7-CCE9431645EC}">
                        <a14:shadowObscured xmlns:a14="http://schemas.microsoft.com/office/drawing/2010/main"/>
                      </a:ext>
                    </a:extLst>
                  </pic:spPr>
                </pic:pic>
              </a:graphicData>
            </a:graphic>
          </wp:inline>
        </w:drawing>
      </w:r>
    </w:p>
    <w:p w14:paraId="3C22D54B" w14:textId="77777777" w:rsidR="00D52D4E" w:rsidRDefault="00D52D4E" w:rsidP="00983264">
      <w:pPr>
        <w:pStyle w:val="Left05Indent"/>
      </w:pPr>
    </w:p>
    <w:p w14:paraId="60840DC6" w14:textId="77777777" w:rsidR="00D52D4E" w:rsidRDefault="00D52D4E" w:rsidP="00983264">
      <w:pPr>
        <w:pStyle w:val="Left05Indent"/>
      </w:pPr>
    </w:p>
    <w:p w14:paraId="6CE56BD0" w14:textId="487341AC" w:rsidR="00D52D4E" w:rsidRDefault="00D52D4E" w:rsidP="00313EC0">
      <w:r w:rsidRPr="00321DD1">
        <w:t xml:space="preserve">Of the 798 </w:t>
      </w:r>
      <w:r w:rsidRPr="00376ED1">
        <w:t>stations</w:t>
      </w:r>
      <w:r w:rsidR="00781F31">
        <w:t xml:space="preserve"> from EIA-878 </w:t>
      </w:r>
      <w:r w:rsidR="00781F31" w:rsidRPr="00805E14">
        <w:t>identified on GasBuddy</w:t>
      </w:r>
      <w:r w:rsidRPr="00805E14">
        <w:t xml:space="preserve">, 619 </w:t>
      </w:r>
      <w:r w:rsidR="009617DB">
        <w:t xml:space="preserve">(78%) </w:t>
      </w:r>
      <w:r w:rsidRPr="00805E14">
        <w:t xml:space="preserve">reported a price for regular gasoline, </w:t>
      </w:r>
      <w:r w:rsidR="00805E14" w:rsidRPr="00805E14">
        <w:t>450</w:t>
      </w:r>
      <w:r w:rsidRPr="00805E14">
        <w:t xml:space="preserve"> </w:t>
      </w:r>
      <w:r w:rsidR="009617DB">
        <w:t>(</w:t>
      </w:r>
      <w:r w:rsidR="007202A3">
        <w:t>56</w:t>
      </w:r>
      <w:r w:rsidR="009617DB">
        <w:t xml:space="preserve">%) </w:t>
      </w:r>
      <w:r w:rsidRPr="00805E14">
        <w:t xml:space="preserve">reported a price for midgrade gasoline, and </w:t>
      </w:r>
      <w:r w:rsidR="00805E14" w:rsidRPr="00805E14">
        <w:t xml:space="preserve">451 </w:t>
      </w:r>
      <w:r w:rsidR="007202A3">
        <w:t>(5</w:t>
      </w:r>
      <w:r w:rsidR="00E61237">
        <w:t>7</w:t>
      </w:r>
      <w:r w:rsidR="007202A3">
        <w:t xml:space="preserve">%) </w:t>
      </w:r>
      <w:r w:rsidRPr="00805E14">
        <w:t>reported</w:t>
      </w:r>
      <w:r w:rsidRPr="00321DD1">
        <w:t xml:space="preserve"> a price for premium. </w:t>
      </w:r>
      <w:r w:rsidR="00907705">
        <w:t xml:space="preserve">There were 58 instances of a discrepancy between the cash and the credit cards prices of regular gasoline that were reported on GasBuddy. </w:t>
      </w:r>
      <w:r>
        <w:t xml:space="preserve">On average, cash </w:t>
      </w:r>
      <w:r w:rsidR="00907705">
        <w:t>purchases of regular gasoline</w:t>
      </w:r>
      <w:r w:rsidRPr="00321DD1">
        <w:t xml:space="preserve"> resulted in a</w:t>
      </w:r>
      <w:r w:rsidR="00907705">
        <w:t>n</w:t>
      </w:r>
      <w:r w:rsidRPr="00321DD1">
        <w:t xml:space="preserve"> </w:t>
      </w:r>
      <w:r w:rsidR="00907705">
        <w:t>8</w:t>
      </w:r>
      <w:r w:rsidR="00F2387B" w:rsidRPr="00741A3F">
        <w:t>¢</w:t>
      </w:r>
      <w:r w:rsidR="00907705">
        <w:t xml:space="preserve"> reduction of price. Unless noted otherwise, </w:t>
      </w:r>
      <w:r>
        <w:t>SDSI used cash prices where available in all comparisons to EIA-878 data</w:t>
      </w:r>
      <w:r w:rsidR="00907705">
        <w:t>.</w:t>
      </w:r>
      <w:r>
        <w:t xml:space="preserve"> </w:t>
      </w:r>
    </w:p>
    <w:p w14:paraId="38660586" w14:textId="7ED6F27B" w:rsidR="00D52D4E" w:rsidRPr="00070035" w:rsidRDefault="00D93A86" w:rsidP="00E31C5D">
      <w:pPr>
        <w:pStyle w:val="Heading2"/>
      </w:pPr>
      <w:bookmarkStart w:id="8" w:name="_Toc497202512"/>
      <w:r>
        <w:t xml:space="preserve">Results from </w:t>
      </w:r>
      <w:r w:rsidR="00D05BED">
        <w:t>c</w:t>
      </w:r>
      <w:r w:rsidR="00D52D4E">
        <w:t xml:space="preserve">omparison of </w:t>
      </w:r>
      <w:r w:rsidR="00D05BED">
        <w:t>d</w:t>
      </w:r>
      <w:r w:rsidR="00D52D4E">
        <w:t xml:space="preserve">ata </w:t>
      </w:r>
      <w:r w:rsidR="00D05BED">
        <w:t>s</w:t>
      </w:r>
      <w:r w:rsidR="00D52D4E">
        <w:t xml:space="preserve">ources on </w:t>
      </w:r>
      <w:r w:rsidR="00D05BED">
        <w:t>k</w:t>
      </w:r>
      <w:r w:rsidR="00D52D4E">
        <w:t xml:space="preserve">ey </w:t>
      </w:r>
      <w:r w:rsidR="00D05BED">
        <w:t>d</w:t>
      </w:r>
      <w:r w:rsidR="00D52D4E">
        <w:t>imensions</w:t>
      </w:r>
      <w:bookmarkEnd w:id="8"/>
    </w:p>
    <w:p w14:paraId="3CEEAA64" w14:textId="77777777" w:rsidR="00D52D4E" w:rsidRDefault="00D52D4E" w:rsidP="00983264">
      <w:pPr>
        <w:pStyle w:val="Left05Indent"/>
        <w:rPr>
          <w:highlight w:val="yellow"/>
        </w:rPr>
      </w:pPr>
    </w:p>
    <w:p w14:paraId="2B0B8776" w14:textId="1CB9523B" w:rsidR="00D52D4E" w:rsidRDefault="00D52D4E" w:rsidP="00313EC0">
      <w:r>
        <w:t xml:space="preserve">Table </w:t>
      </w:r>
      <w:r w:rsidR="000D06D7">
        <w:t>1</w:t>
      </w:r>
      <w:r>
        <w:t xml:space="preserve"> compares OPIS and GasBuddy data sources with EIA-878 survey data on a number of key dimensions, including coverage, timeliness, cost, and data collection method. </w:t>
      </w:r>
    </w:p>
    <w:p w14:paraId="6D28E896" w14:textId="77777777" w:rsidR="00AB78F3" w:rsidRDefault="00AB78F3" w:rsidP="00313EC0"/>
    <w:p w14:paraId="556FA71F" w14:textId="77777777" w:rsidR="00AB78F3" w:rsidRDefault="00AB78F3" w:rsidP="00313EC0"/>
    <w:p w14:paraId="376B2801" w14:textId="77777777" w:rsidR="00AB78F3" w:rsidRDefault="00AB78F3" w:rsidP="00313EC0"/>
    <w:p w14:paraId="01058806" w14:textId="0E6CF3EC" w:rsidR="00D52D4E" w:rsidRDefault="00D52D4E" w:rsidP="009F3147">
      <w:pPr>
        <w:pStyle w:val="Caption"/>
      </w:pPr>
      <w:r>
        <w:t xml:space="preserve">Table </w:t>
      </w:r>
      <w:r w:rsidR="000D06D7">
        <w:t>1</w:t>
      </w:r>
      <w:r>
        <w:t xml:space="preserve">. Summary of </w:t>
      </w:r>
      <w:r w:rsidR="000D06D7">
        <w:t xml:space="preserve">the comparison of </w:t>
      </w:r>
      <w:r>
        <w:t>EIA-878, OPIS</w:t>
      </w:r>
      <w:r w:rsidR="006005C2">
        <w:t>,</w:t>
      </w:r>
      <w:r>
        <w:t xml:space="preserve"> and GasBuddy data sources</w:t>
      </w:r>
      <w:r w:rsidR="000D06D7">
        <w:t xml:space="preserve"> on a multitude of key dimensions, including information on timeliness, missing data, and associated costs.</w:t>
      </w:r>
    </w:p>
    <w:tbl>
      <w:tblPr>
        <w:tblStyle w:val="GridTable1Light"/>
        <w:tblW w:w="0" w:type="auto"/>
        <w:tblLook w:val="04A0" w:firstRow="1" w:lastRow="0" w:firstColumn="1" w:lastColumn="0" w:noHBand="0" w:noVBand="1"/>
      </w:tblPr>
      <w:tblGrid>
        <w:gridCol w:w="1255"/>
        <w:gridCol w:w="2250"/>
        <w:gridCol w:w="2610"/>
        <w:gridCol w:w="3235"/>
      </w:tblGrid>
      <w:tr w:rsidR="00D52D4E" w:rsidRPr="001B2499" w14:paraId="35290763" w14:textId="77777777" w:rsidTr="001478AA">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255" w:type="dxa"/>
          </w:tcPr>
          <w:p w14:paraId="4BCEFB42" w14:textId="0F2A6D2C" w:rsidR="00D52D4E" w:rsidRPr="002F4E10" w:rsidRDefault="00D52D4E" w:rsidP="00983264">
            <w:pPr>
              <w:pStyle w:val="Left05Indent"/>
              <w:rPr>
                <w:sz w:val="18"/>
              </w:rPr>
            </w:pPr>
            <w:r w:rsidRPr="002F4E10">
              <w:t xml:space="preserve"> </w:t>
            </w:r>
          </w:p>
        </w:tc>
        <w:tc>
          <w:tcPr>
            <w:tcW w:w="2250" w:type="dxa"/>
          </w:tcPr>
          <w:p w14:paraId="5E89FFEC" w14:textId="77777777" w:rsidR="00D52D4E" w:rsidRPr="002F4E10" w:rsidRDefault="00D52D4E" w:rsidP="00983264">
            <w:pPr>
              <w:pStyle w:val="Left05Indent"/>
              <w:cnfStyle w:val="100000000000" w:firstRow="1" w:lastRow="0" w:firstColumn="0" w:lastColumn="0" w:oddVBand="0" w:evenVBand="0" w:oddHBand="0" w:evenHBand="0" w:firstRowFirstColumn="0" w:firstRowLastColumn="0" w:lastRowFirstColumn="0" w:lastRowLastColumn="0"/>
              <w:rPr>
                <w:sz w:val="18"/>
              </w:rPr>
            </w:pPr>
            <w:r w:rsidRPr="002F4E10">
              <w:rPr>
                <w:sz w:val="18"/>
              </w:rPr>
              <w:t>EIA-878</w:t>
            </w:r>
          </w:p>
        </w:tc>
        <w:tc>
          <w:tcPr>
            <w:tcW w:w="2610" w:type="dxa"/>
          </w:tcPr>
          <w:p w14:paraId="6F2BDE9E" w14:textId="77777777" w:rsidR="00D52D4E" w:rsidRPr="002F4E10" w:rsidRDefault="00D52D4E" w:rsidP="00983264">
            <w:pPr>
              <w:pStyle w:val="Left05Indent"/>
              <w:cnfStyle w:val="100000000000" w:firstRow="1" w:lastRow="0" w:firstColumn="0" w:lastColumn="0" w:oddVBand="0" w:evenVBand="0" w:oddHBand="0" w:evenHBand="0" w:firstRowFirstColumn="0" w:firstRowLastColumn="0" w:lastRowFirstColumn="0" w:lastRowLastColumn="0"/>
              <w:rPr>
                <w:sz w:val="18"/>
              </w:rPr>
            </w:pPr>
            <w:r w:rsidRPr="002F4E10">
              <w:rPr>
                <w:sz w:val="18"/>
              </w:rPr>
              <w:t>OPIS</w:t>
            </w:r>
          </w:p>
        </w:tc>
        <w:tc>
          <w:tcPr>
            <w:tcW w:w="3235" w:type="dxa"/>
          </w:tcPr>
          <w:p w14:paraId="01084418" w14:textId="77777777" w:rsidR="00D52D4E" w:rsidRPr="002F4E10" w:rsidRDefault="00D52D4E" w:rsidP="00983264">
            <w:pPr>
              <w:pStyle w:val="Left05Indent"/>
              <w:cnfStyle w:val="100000000000" w:firstRow="1" w:lastRow="0" w:firstColumn="0" w:lastColumn="0" w:oddVBand="0" w:evenVBand="0" w:oddHBand="0" w:evenHBand="0" w:firstRowFirstColumn="0" w:firstRowLastColumn="0" w:lastRowFirstColumn="0" w:lastRowLastColumn="0"/>
              <w:rPr>
                <w:sz w:val="18"/>
              </w:rPr>
            </w:pPr>
            <w:r w:rsidRPr="002F4E10">
              <w:rPr>
                <w:sz w:val="18"/>
              </w:rPr>
              <w:t>GasBuddy</w:t>
            </w:r>
          </w:p>
        </w:tc>
      </w:tr>
      <w:tr w:rsidR="00D52D4E" w:rsidRPr="001B2499" w14:paraId="687E11CC" w14:textId="77777777" w:rsidTr="001478AA">
        <w:tc>
          <w:tcPr>
            <w:cnfStyle w:val="001000000000" w:firstRow="0" w:lastRow="0" w:firstColumn="1" w:lastColumn="0" w:oddVBand="0" w:evenVBand="0" w:oddHBand="0" w:evenHBand="0" w:firstRowFirstColumn="0" w:firstRowLastColumn="0" w:lastRowFirstColumn="0" w:lastRowLastColumn="0"/>
            <w:tcW w:w="1255" w:type="dxa"/>
          </w:tcPr>
          <w:p w14:paraId="020D436D" w14:textId="10EF0F6F" w:rsidR="00D52D4E" w:rsidRPr="0010054A" w:rsidRDefault="00D52D4E" w:rsidP="0012005F">
            <w:pPr>
              <w:rPr>
                <w:sz w:val="18"/>
              </w:rPr>
            </w:pPr>
            <w:r w:rsidRPr="0010054A">
              <w:rPr>
                <w:sz w:val="18"/>
              </w:rPr>
              <w:t>Availability of price</w:t>
            </w:r>
            <w:r w:rsidR="0012005F" w:rsidRPr="0010054A">
              <w:rPr>
                <w:sz w:val="18"/>
              </w:rPr>
              <w:t>s</w:t>
            </w:r>
            <w:r w:rsidRPr="0010054A">
              <w:rPr>
                <w:sz w:val="18"/>
              </w:rPr>
              <w:t xml:space="preserve"> </w:t>
            </w:r>
          </w:p>
        </w:tc>
        <w:tc>
          <w:tcPr>
            <w:tcW w:w="2250" w:type="dxa"/>
          </w:tcPr>
          <w:p w14:paraId="51E05F23"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802 stations</w:t>
            </w:r>
          </w:p>
        </w:tc>
        <w:tc>
          <w:tcPr>
            <w:tcW w:w="2610" w:type="dxa"/>
          </w:tcPr>
          <w:p w14:paraId="27AE9C32"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On average, 110,000 stations per week</w:t>
            </w:r>
          </w:p>
        </w:tc>
        <w:tc>
          <w:tcPr>
            <w:tcW w:w="3235" w:type="dxa"/>
          </w:tcPr>
          <w:p w14:paraId="70AAEE1F" w14:textId="414220AA" w:rsidR="00D52D4E" w:rsidRPr="001B2499" w:rsidRDefault="00313EC0" w:rsidP="00313EC0">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Based on </w:t>
            </w:r>
            <w:r w:rsidR="00EF3BA4">
              <w:rPr>
                <w:sz w:val="18"/>
              </w:rPr>
              <w:t xml:space="preserve">SDSI </w:t>
            </w:r>
            <w:r w:rsidRPr="001B2499">
              <w:rPr>
                <w:sz w:val="18"/>
              </w:rPr>
              <w:t xml:space="preserve">analysis, web pages exist for approximately 144,000 stations </w:t>
            </w:r>
          </w:p>
        </w:tc>
      </w:tr>
      <w:tr w:rsidR="00D52D4E" w:rsidRPr="001B2499" w14:paraId="29E2BDFB" w14:textId="77777777" w:rsidTr="001478AA">
        <w:tc>
          <w:tcPr>
            <w:cnfStyle w:val="001000000000" w:firstRow="0" w:lastRow="0" w:firstColumn="1" w:lastColumn="0" w:oddVBand="0" w:evenVBand="0" w:oddHBand="0" w:evenHBand="0" w:firstRowFirstColumn="0" w:firstRowLastColumn="0" w:lastRowFirstColumn="0" w:lastRowLastColumn="0"/>
            <w:tcW w:w="1255" w:type="dxa"/>
          </w:tcPr>
          <w:p w14:paraId="477DA6BC" w14:textId="04448F08" w:rsidR="00D52D4E" w:rsidRPr="0010054A" w:rsidRDefault="00313EC0" w:rsidP="001B2499">
            <w:pPr>
              <w:rPr>
                <w:sz w:val="18"/>
              </w:rPr>
            </w:pPr>
            <w:r w:rsidRPr="0010054A">
              <w:rPr>
                <w:sz w:val="18"/>
              </w:rPr>
              <w:t xml:space="preserve">Coverage </w:t>
            </w:r>
            <w:r w:rsidR="0062527E" w:rsidRPr="0010054A">
              <w:rPr>
                <w:sz w:val="18"/>
              </w:rPr>
              <w:t>with EIA-878</w:t>
            </w:r>
          </w:p>
        </w:tc>
        <w:tc>
          <w:tcPr>
            <w:tcW w:w="2250" w:type="dxa"/>
            <w:shd w:val="clear" w:color="auto" w:fill="D9D9D9" w:themeFill="background1" w:themeFillShade="D9"/>
          </w:tcPr>
          <w:p w14:paraId="3A725C27"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p>
        </w:tc>
        <w:tc>
          <w:tcPr>
            <w:tcW w:w="2610" w:type="dxa"/>
          </w:tcPr>
          <w:p w14:paraId="5046268C"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98%</w:t>
            </w:r>
          </w:p>
        </w:tc>
        <w:tc>
          <w:tcPr>
            <w:tcW w:w="3235" w:type="dxa"/>
          </w:tcPr>
          <w:p w14:paraId="2E41B5A8"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99%</w:t>
            </w:r>
          </w:p>
        </w:tc>
      </w:tr>
      <w:tr w:rsidR="00D52D4E" w:rsidRPr="001B2499" w14:paraId="4134ACB2" w14:textId="77777777" w:rsidTr="001478AA">
        <w:tc>
          <w:tcPr>
            <w:cnfStyle w:val="001000000000" w:firstRow="0" w:lastRow="0" w:firstColumn="1" w:lastColumn="0" w:oddVBand="0" w:evenVBand="0" w:oddHBand="0" w:evenHBand="0" w:firstRowFirstColumn="0" w:firstRowLastColumn="0" w:lastRowFirstColumn="0" w:lastRowLastColumn="0"/>
            <w:tcW w:w="1255" w:type="dxa"/>
          </w:tcPr>
          <w:p w14:paraId="7A9F18C0" w14:textId="77777777" w:rsidR="00D52D4E" w:rsidRPr="001478AA" w:rsidRDefault="00D52D4E" w:rsidP="00E4356F">
            <w:pPr>
              <w:rPr>
                <w:sz w:val="18"/>
              </w:rPr>
            </w:pPr>
            <w:r w:rsidRPr="001478AA">
              <w:rPr>
                <w:sz w:val="18"/>
              </w:rPr>
              <w:t>Frequency of updates</w:t>
            </w:r>
          </w:p>
        </w:tc>
        <w:tc>
          <w:tcPr>
            <w:tcW w:w="2250" w:type="dxa"/>
            <w:shd w:val="clear" w:color="auto" w:fill="auto"/>
          </w:tcPr>
          <w:p w14:paraId="44858465" w14:textId="7056319D" w:rsidR="00D52D4E" w:rsidRPr="001478AA" w:rsidRDefault="0058124F" w:rsidP="0058124F">
            <w:pPr>
              <w:cnfStyle w:val="000000000000" w:firstRow="0" w:lastRow="0" w:firstColumn="0" w:lastColumn="0" w:oddVBand="0" w:evenVBand="0" w:oddHBand="0" w:evenHBand="0" w:firstRowFirstColumn="0" w:firstRowLastColumn="0" w:lastRowFirstColumn="0" w:lastRowLastColumn="0"/>
              <w:rPr>
                <w:sz w:val="18"/>
              </w:rPr>
            </w:pPr>
            <w:r w:rsidRPr="001478AA">
              <w:rPr>
                <w:sz w:val="18"/>
              </w:rPr>
              <w:t>Prices collected weekly on Mondays as of 8:00 a.m</w:t>
            </w:r>
            <w:r w:rsidR="00AB78F3">
              <w:rPr>
                <w:sz w:val="18"/>
              </w:rPr>
              <w:t>.</w:t>
            </w:r>
            <w:r w:rsidRPr="001478AA">
              <w:rPr>
                <w:sz w:val="18"/>
              </w:rPr>
              <w:t xml:space="preserve"> local time. Published same day</w:t>
            </w:r>
            <w:r w:rsidR="00D52D4E" w:rsidRPr="001478AA">
              <w:rPr>
                <w:sz w:val="18"/>
              </w:rPr>
              <w:t xml:space="preserve"> </w:t>
            </w:r>
            <w:r w:rsidRPr="001478AA">
              <w:rPr>
                <w:sz w:val="18"/>
              </w:rPr>
              <w:t xml:space="preserve">by </w:t>
            </w:r>
            <w:r w:rsidR="00D52D4E" w:rsidRPr="001478AA">
              <w:rPr>
                <w:sz w:val="18"/>
              </w:rPr>
              <w:t>5:00 p</w:t>
            </w:r>
            <w:r w:rsidR="001B2499" w:rsidRPr="001478AA">
              <w:rPr>
                <w:sz w:val="18"/>
              </w:rPr>
              <w:t>.</w:t>
            </w:r>
            <w:r w:rsidR="00D52D4E" w:rsidRPr="001478AA">
              <w:rPr>
                <w:sz w:val="18"/>
              </w:rPr>
              <w:t>m</w:t>
            </w:r>
            <w:r w:rsidR="001B2499" w:rsidRPr="001478AA">
              <w:rPr>
                <w:sz w:val="18"/>
              </w:rPr>
              <w:t>.</w:t>
            </w:r>
            <w:r w:rsidR="00D52D4E" w:rsidRPr="001478AA">
              <w:rPr>
                <w:sz w:val="18"/>
              </w:rPr>
              <w:t xml:space="preserve"> EST </w:t>
            </w:r>
          </w:p>
        </w:tc>
        <w:tc>
          <w:tcPr>
            <w:tcW w:w="2610" w:type="dxa"/>
          </w:tcPr>
          <w:p w14:paraId="51350044" w14:textId="133F5C63"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Feed contains most recent data point. From analysis of the weekly feeds, the o</w:t>
            </w:r>
            <w:r w:rsidR="0012005F">
              <w:rPr>
                <w:sz w:val="18"/>
              </w:rPr>
              <w:t>ldest prices were as of 12:00 a.m.</w:t>
            </w:r>
            <w:r w:rsidRPr="001B2499">
              <w:rPr>
                <w:sz w:val="18"/>
              </w:rPr>
              <w:t xml:space="preserve"> Sunday.</w:t>
            </w:r>
          </w:p>
        </w:tc>
        <w:tc>
          <w:tcPr>
            <w:tcW w:w="3235" w:type="dxa"/>
          </w:tcPr>
          <w:p w14:paraId="795807EB" w14:textId="20EBF6E5" w:rsidR="00D52D4E" w:rsidRPr="001B2499" w:rsidRDefault="00EF3BA4" w:rsidP="00E4356F">
            <w:pPr>
              <w:cnfStyle w:val="000000000000" w:firstRow="0" w:lastRow="0" w:firstColumn="0" w:lastColumn="0" w:oddVBand="0" w:evenVBand="0" w:oddHBand="0" w:evenHBand="0" w:firstRowFirstColumn="0" w:firstRowLastColumn="0" w:lastRowFirstColumn="0" w:lastRowLastColumn="0"/>
              <w:rPr>
                <w:sz w:val="18"/>
              </w:rPr>
            </w:pPr>
            <w:r>
              <w:rPr>
                <w:sz w:val="18"/>
              </w:rPr>
              <w:t xml:space="preserve">Updated by users in real-time. </w:t>
            </w:r>
            <w:r w:rsidR="00D52D4E" w:rsidRPr="001B2499">
              <w:rPr>
                <w:sz w:val="18"/>
              </w:rPr>
              <w:t>Prices stay online for a maximum of one day</w:t>
            </w:r>
          </w:p>
        </w:tc>
      </w:tr>
      <w:tr w:rsidR="00D52D4E" w:rsidRPr="001B2499" w14:paraId="7EFE91C7" w14:textId="77777777" w:rsidTr="001478AA">
        <w:tc>
          <w:tcPr>
            <w:cnfStyle w:val="001000000000" w:firstRow="0" w:lastRow="0" w:firstColumn="1" w:lastColumn="0" w:oddVBand="0" w:evenVBand="0" w:oddHBand="0" w:evenHBand="0" w:firstRowFirstColumn="0" w:firstRowLastColumn="0" w:lastRowFirstColumn="0" w:lastRowLastColumn="0"/>
            <w:tcW w:w="1255" w:type="dxa"/>
          </w:tcPr>
          <w:p w14:paraId="1CD1F8EA" w14:textId="77777777" w:rsidR="00D52D4E" w:rsidRPr="0010054A" w:rsidRDefault="00D52D4E" w:rsidP="00E4356F">
            <w:pPr>
              <w:rPr>
                <w:sz w:val="18"/>
              </w:rPr>
            </w:pPr>
            <w:r w:rsidRPr="0010054A">
              <w:rPr>
                <w:sz w:val="18"/>
              </w:rPr>
              <w:t>Time period available</w:t>
            </w:r>
          </w:p>
        </w:tc>
        <w:tc>
          <w:tcPr>
            <w:tcW w:w="2250" w:type="dxa"/>
            <w:shd w:val="clear" w:color="auto" w:fill="D9D9D9" w:themeFill="background1" w:themeFillShade="D9"/>
          </w:tcPr>
          <w:p w14:paraId="3E46F117"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p>
        </w:tc>
        <w:tc>
          <w:tcPr>
            <w:tcW w:w="2610" w:type="dxa"/>
          </w:tcPr>
          <w:p w14:paraId="429BCF27"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12 weekly feeds covering May 15, 2017– July 31, 2017</w:t>
            </w:r>
          </w:p>
        </w:tc>
        <w:tc>
          <w:tcPr>
            <w:tcW w:w="3235" w:type="dxa"/>
          </w:tcPr>
          <w:p w14:paraId="6E66F62A"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Single dataset for Monday, July 31, 2017</w:t>
            </w:r>
          </w:p>
        </w:tc>
      </w:tr>
      <w:tr w:rsidR="00D52D4E" w:rsidRPr="001B2499" w14:paraId="43781062" w14:textId="77777777" w:rsidTr="001478AA">
        <w:tc>
          <w:tcPr>
            <w:cnfStyle w:val="001000000000" w:firstRow="0" w:lastRow="0" w:firstColumn="1" w:lastColumn="0" w:oddVBand="0" w:evenVBand="0" w:oddHBand="0" w:evenHBand="0" w:firstRowFirstColumn="0" w:firstRowLastColumn="0" w:lastRowFirstColumn="0" w:lastRowLastColumn="0"/>
            <w:tcW w:w="1255" w:type="dxa"/>
          </w:tcPr>
          <w:p w14:paraId="072B8E7C" w14:textId="77777777" w:rsidR="00D52D4E" w:rsidRPr="0010054A" w:rsidRDefault="00D52D4E" w:rsidP="00E4356F">
            <w:pPr>
              <w:rPr>
                <w:sz w:val="18"/>
              </w:rPr>
            </w:pPr>
            <w:r w:rsidRPr="0010054A">
              <w:rPr>
                <w:sz w:val="18"/>
              </w:rPr>
              <w:t>Cost</w:t>
            </w:r>
          </w:p>
        </w:tc>
        <w:tc>
          <w:tcPr>
            <w:tcW w:w="2250" w:type="dxa"/>
            <w:shd w:val="clear" w:color="auto" w:fill="D9D9D9" w:themeFill="background1" w:themeFillShade="D9"/>
          </w:tcPr>
          <w:p w14:paraId="2D05E305"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p>
        </w:tc>
        <w:tc>
          <w:tcPr>
            <w:tcW w:w="2610" w:type="dxa"/>
          </w:tcPr>
          <w:p w14:paraId="55E30497" w14:textId="122FF832" w:rsidR="00D52D4E" w:rsidRPr="001B2499" w:rsidRDefault="00D52D4E" w:rsidP="00EF3BA4">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$2</w:t>
            </w:r>
            <w:r w:rsidR="00EF3BA4">
              <w:rPr>
                <w:sz w:val="18"/>
              </w:rPr>
              <w:t>4</w:t>
            </w:r>
            <w:r w:rsidRPr="001B2499">
              <w:rPr>
                <w:sz w:val="18"/>
              </w:rPr>
              <w:t>,000/12 week feed</w:t>
            </w:r>
          </w:p>
        </w:tc>
        <w:tc>
          <w:tcPr>
            <w:tcW w:w="3235" w:type="dxa"/>
          </w:tcPr>
          <w:p w14:paraId="01340387"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No cost</w:t>
            </w:r>
          </w:p>
        </w:tc>
      </w:tr>
      <w:tr w:rsidR="00D52D4E" w:rsidRPr="001B2499" w14:paraId="65BAFB7B" w14:textId="77777777" w:rsidTr="001478AA">
        <w:tc>
          <w:tcPr>
            <w:cnfStyle w:val="001000000000" w:firstRow="0" w:lastRow="0" w:firstColumn="1" w:lastColumn="0" w:oddVBand="0" w:evenVBand="0" w:oddHBand="0" w:evenHBand="0" w:firstRowFirstColumn="0" w:firstRowLastColumn="0" w:lastRowFirstColumn="0" w:lastRowLastColumn="0"/>
            <w:tcW w:w="1255" w:type="dxa"/>
          </w:tcPr>
          <w:p w14:paraId="70195E3C" w14:textId="77777777" w:rsidR="00D52D4E" w:rsidRPr="0010054A" w:rsidRDefault="00D52D4E" w:rsidP="00E4356F">
            <w:pPr>
              <w:rPr>
                <w:sz w:val="18"/>
              </w:rPr>
            </w:pPr>
            <w:r w:rsidRPr="0010054A">
              <w:rPr>
                <w:sz w:val="18"/>
              </w:rPr>
              <w:t>Data collection method</w:t>
            </w:r>
          </w:p>
        </w:tc>
        <w:tc>
          <w:tcPr>
            <w:tcW w:w="2250" w:type="dxa"/>
          </w:tcPr>
          <w:p w14:paraId="184118EA" w14:textId="476DD36D" w:rsidR="00D52D4E" w:rsidRPr="001B2499" w:rsidRDefault="00D52D4E" w:rsidP="001B2499">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Probability based</w:t>
            </w:r>
            <w:r w:rsidR="001B2499" w:rsidRPr="001B2499">
              <w:rPr>
                <w:sz w:val="18"/>
              </w:rPr>
              <w:t xml:space="preserve"> survey with data collected mainly via computer assisted telephone survey (CATI)</w:t>
            </w:r>
          </w:p>
        </w:tc>
        <w:tc>
          <w:tcPr>
            <w:tcW w:w="2610" w:type="dxa"/>
          </w:tcPr>
          <w:p w14:paraId="146578E4"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Compiles data from universe of stations from credit card swipes, direct submission from stations, and user reports (via GasBuddy)</w:t>
            </w:r>
          </w:p>
        </w:tc>
        <w:tc>
          <w:tcPr>
            <w:tcW w:w="3235" w:type="dxa"/>
          </w:tcPr>
          <w:p w14:paraId="13DB78EE"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Reported by GasBuddy.com members for universe of stations</w:t>
            </w:r>
          </w:p>
        </w:tc>
      </w:tr>
      <w:tr w:rsidR="00D52D4E" w:rsidRPr="001B2499" w14:paraId="1C97981E" w14:textId="77777777" w:rsidTr="001478AA">
        <w:tc>
          <w:tcPr>
            <w:cnfStyle w:val="001000000000" w:firstRow="0" w:lastRow="0" w:firstColumn="1" w:lastColumn="0" w:oddVBand="0" w:evenVBand="0" w:oddHBand="0" w:evenHBand="0" w:firstRowFirstColumn="0" w:firstRowLastColumn="0" w:lastRowFirstColumn="0" w:lastRowLastColumn="0"/>
            <w:tcW w:w="1255" w:type="dxa"/>
          </w:tcPr>
          <w:p w14:paraId="514E804A" w14:textId="77777777" w:rsidR="00D52D4E" w:rsidRPr="0010054A" w:rsidRDefault="00D52D4E" w:rsidP="00E4356F">
            <w:pPr>
              <w:rPr>
                <w:sz w:val="18"/>
              </w:rPr>
            </w:pPr>
            <w:r w:rsidRPr="0010054A">
              <w:rPr>
                <w:sz w:val="18"/>
              </w:rPr>
              <w:t>Timeliness</w:t>
            </w:r>
          </w:p>
        </w:tc>
        <w:tc>
          <w:tcPr>
            <w:tcW w:w="2250" w:type="dxa"/>
          </w:tcPr>
          <w:p w14:paraId="4B9C7238" w14:textId="2F98B923"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Prices reported as of 8:00 a</w:t>
            </w:r>
            <w:r w:rsidR="0010054A">
              <w:rPr>
                <w:sz w:val="18"/>
              </w:rPr>
              <w:t>.</w:t>
            </w:r>
            <w:r w:rsidRPr="001B2499">
              <w:rPr>
                <w:sz w:val="18"/>
              </w:rPr>
              <w:t>m</w:t>
            </w:r>
            <w:r w:rsidR="0010054A">
              <w:rPr>
                <w:sz w:val="18"/>
              </w:rPr>
              <w:t>.</w:t>
            </w:r>
            <w:r w:rsidRPr="001B2499">
              <w:rPr>
                <w:sz w:val="18"/>
              </w:rPr>
              <w:t xml:space="preserve"> local time</w:t>
            </w:r>
          </w:p>
        </w:tc>
        <w:tc>
          <w:tcPr>
            <w:tcW w:w="2610" w:type="dxa"/>
          </w:tcPr>
          <w:p w14:paraId="4BD6B84B"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OPIS data feed can be delivered at any date/time specified </w:t>
            </w:r>
          </w:p>
        </w:tc>
        <w:tc>
          <w:tcPr>
            <w:tcW w:w="3235" w:type="dxa"/>
          </w:tcPr>
          <w:p w14:paraId="0768E8F2"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Prices are updated in real-time</w:t>
            </w:r>
          </w:p>
          <w:p w14:paraId="5EBD3B44"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p>
        </w:tc>
      </w:tr>
      <w:tr w:rsidR="00D52D4E" w:rsidRPr="001B2499" w14:paraId="1EF4661E" w14:textId="77777777" w:rsidTr="001478AA">
        <w:trPr>
          <w:trHeight w:val="611"/>
        </w:trPr>
        <w:tc>
          <w:tcPr>
            <w:cnfStyle w:val="001000000000" w:firstRow="0" w:lastRow="0" w:firstColumn="1" w:lastColumn="0" w:oddVBand="0" w:evenVBand="0" w:oddHBand="0" w:evenHBand="0" w:firstRowFirstColumn="0" w:firstRowLastColumn="0" w:lastRowFirstColumn="0" w:lastRowLastColumn="0"/>
            <w:tcW w:w="1255" w:type="dxa"/>
          </w:tcPr>
          <w:p w14:paraId="7EB36666" w14:textId="77777777" w:rsidR="00D52D4E" w:rsidRPr="0010054A" w:rsidRDefault="00D52D4E" w:rsidP="00E4356F">
            <w:pPr>
              <w:rPr>
                <w:sz w:val="18"/>
              </w:rPr>
            </w:pPr>
            <w:r w:rsidRPr="0010054A">
              <w:rPr>
                <w:sz w:val="18"/>
              </w:rPr>
              <w:t>Cash vs. credit price</w:t>
            </w:r>
          </w:p>
        </w:tc>
        <w:tc>
          <w:tcPr>
            <w:tcW w:w="2250" w:type="dxa"/>
          </w:tcPr>
          <w:p w14:paraId="436C5D67"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Cash price, unless only credit card is accepted</w:t>
            </w:r>
          </w:p>
        </w:tc>
        <w:tc>
          <w:tcPr>
            <w:tcW w:w="2610" w:type="dxa"/>
          </w:tcPr>
          <w:p w14:paraId="2F48061F" w14:textId="4BB051DF"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SDSI analysis suggests that OPIS provides credit price</w:t>
            </w:r>
          </w:p>
        </w:tc>
        <w:tc>
          <w:tcPr>
            <w:tcW w:w="3235" w:type="dxa"/>
          </w:tcPr>
          <w:p w14:paraId="4B949A68" w14:textId="57D12697" w:rsidR="00D52D4E"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Users can submit two prices: </w:t>
            </w:r>
            <w:r w:rsidR="00D52D4E" w:rsidRPr="001B2499">
              <w:rPr>
                <w:sz w:val="18"/>
              </w:rPr>
              <w:t>cash and credi</w:t>
            </w:r>
            <w:r w:rsidRPr="001B2499">
              <w:rPr>
                <w:sz w:val="18"/>
              </w:rPr>
              <w:t>t</w:t>
            </w:r>
          </w:p>
        </w:tc>
      </w:tr>
      <w:tr w:rsidR="00D52D4E" w:rsidRPr="001B2499" w14:paraId="2E54C797" w14:textId="77777777" w:rsidTr="0010054A">
        <w:tc>
          <w:tcPr>
            <w:cnfStyle w:val="001000000000" w:firstRow="0" w:lastRow="0" w:firstColumn="1" w:lastColumn="0" w:oddVBand="0" w:evenVBand="0" w:oddHBand="0" w:evenHBand="0" w:firstRowFirstColumn="0" w:firstRowLastColumn="0" w:lastRowFirstColumn="0" w:lastRowLastColumn="0"/>
            <w:tcW w:w="1255" w:type="dxa"/>
          </w:tcPr>
          <w:p w14:paraId="20FE5AAD" w14:textId="7B21B476" w:rsidR="00D52D4E" w:rsidRPr="0010054A" w:rsidRDefault="00D52D4E" w:rsidP="00E4356F">
            <w:pPr>
              <w:rPr>
                <w:sz w:val="18"/>
              </w:rPr>
            </w:pPr>
            <w:r w:rsidRPr="0010054A">
              <w:rPr>
                <w:sz w:val="18"/>
              </w:rPr>
              <w:t xml:space="preserve">Data </w:t>
            </w:r>
            <w:r w:rsidR="002F4E10" w:rsidRPr="0010054A">
              <w:rPr>
                <w:sz w:val="18"/>
              </w:rPr>
              <w:t xml:space="preserve">editing and </w:t>
            </w:r>
            <w:r w:rsidRPr="0010054A">
              <w:rPr>
                <w:sz w:val="18"/>
              </w:rPr>
              <w:t>processing</w:t>
            </w:r>
          </w:p>
        </w:tc>
        <w:tc>
          <w:tcPr>
            <w:tcW w:w="2250" w:type="dxa"/>
          </w:tcPr>
          <w:p w14:paraId="58E96727" w14:textId="78FD13C9" w:rsidR="00D52D4E" w:rsidRPr="001B2499" w:rsidRDefault="00D52D4E" w:rsidP="002F4E10">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Uses edit rules to identify outlier prices. Conducts respondent follow-up with station or imputes price</w:t>
            </w:r>
          </w:p>
        </w:tc>
        <w:tc>
          <w:tcPr>
            <w:tcW w:w="2610" w:type="dxa"/>
          </w:tcPr>
          <w:p w14:paraId="0D2727E0" w14:textId="772936C5" w:rsidR="00D52D4E" w:rsidRPr="001B2499" w:rsidRDefault="001B2499"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Unknown</w:t>
            </w:r>
          </w:p>
        </w:tc>
        <w:tc>
          <w:tcPr>
            <w:tcW w:w="3235" w:type="dxa"/>
          </w:tcPr>
          <w:p w14:paraId="323174A6" w14:textId="769C72E4" w:rsidR="00D52D4E" w:rsidRPr="001B2499" w:rsidRDefault="00D52D4E" w:rsidP="00D62F51">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Site uses “</w:t>
            </w:r>
            <w:r w:rsidRPr="001B2499">
              <w:rPr>
                <w:rFonts w:cs="Arial"/>
                <w:sz w:val="18"/>
              </w:rPr>
              <w:t>automated algorithms</w:t>
            </w:r>
            <w:r w:rsidRPr="001B2499">
              <w:rPr>
                <w:sz w:val="18"/>
              </w:rPr>
              <w:t>” to detect “</w:t>
            </w:r>
            <w:r w:rsidRPr="001B2499">
              <w:rPr>
                <w:rFonts w:cs="Arial"/>
                <w:sz w:val="18"/>
              </w:rPr>
              <w:t>obviously wrong information</w:t>
            </w:r>
            <w:r w:rsidRPr="001B2499">
              <w:rPr>
                <w:sz w:val="18"/>
              </w:rPr>
              <w:t>.” Site also allows users to report other use</w:t>
            </w:r>
            <w:r w:rsidR="0062527E">
              <w:rPr>
                <w:sz w:val="18"/>
              </w:rPr>
              <w:t>r</w:t>
            </w:r>
            <w:r w:rsidRPr="001B2499">
              <w:rPr>
                <w:sz w:val="18"/>
              </w:rPr>
              <w:t>s who submit incorrect information</w:t>
            </w:r>
          </w:p>
        </w:tc>
      </w:tr>
      <w:tr w:rsidR="00D52D4E" w:rsidRPr="001B2499" w14:paraId="56FA1E92" w14:textId="77777777" w:rsidTr="0010054A">
        <w:tc>
          <w:tcPr>
            <w:cnfStyle w:val="001000000000" w:firstRow="0" w:lastRow="0" w:firstColumn="1" w:lastColumn="0" w:oddVBand="0" w:evenVBand="0" w:oddHBand="0" w:evenHBand="0" w:firstRowFirstColumn="0" w:firstRowLastColumn="0" w:lastRowFirstColumn="0" w:lastRowLastColumn="0"/>
            <w:tcW w:w="1255" w:type="dxa"/>
          </w:tcPr>
          <w:p w14:paraId="0579CA0B" w14:textId="262B178C" w:rsidR="00D52D4E" w:rsidRPr="0010054A" w:rsidRDefault="00D52D4E" w:rsidP="00D62F51">
            <w:pPr>
              <w:rPr>
                <w:sz w:val="18"/>
              </w:rPr>
            </w:pPr>
            <w:r w:rsidRPr="0010054A">
              <w:rPr>
                <w:sz w:val="18"/>
              </w:rPr>
              <w:t xml:space="preserve">Item </w:t>
            </w:r>
            <w:r w:rsidR="00D62F51">
              <w:rPr>
                <w:sz w:val="18"/>
              </w:rPr>
              <w:t>m</w:t>
            </w:r>
            <w:r w:rsidRPr="0010054A">
              <w:rPr>
                <w:sz w:val="18"/>
              </w:rPr>
              <w:t>issing</w:t>
            </w:r>
          </w:p>
        </w:tc>
        <w:tc>
          <w:tcPr>
            <w:tcW w:w="2250" w:type="dxa"/>
          </w:tcPr>
          <w:p w14:paraId="2C48C7D6" w14:textId="5F11D4CA" w:rsidR="00D52D4E" w:rsidRPr="001B2499" w:rsidRDefault="0006579B" w:rsidP="0010054A">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In general, fewer than 10 stations are</w:t>
            </w:r>
            <w:r w:rsidR="00B35213">
              <w:rPr>
                <w:sz w:val="18"/>
              </w:rPr>
              <w:t xml:space="preserve"> missing and </w:t>
            </w:r>
            <w:r w:rsidRPr="001B2499">
              <w:rPr>
                <w:sz w:val="18"/>
              </w:rPr>
              <w:t xml:space="preserve"> imputed</w:t>
            </w:r>
            <w:r w:rsidR="0010054A">
              <w:rPr>
                <w:sz w:val="18"/>
              </w:rPr>
              <w:t xml:space="preserve"> </w:t>
            </w:r>
            <w:r w:rsidR="00304EE8">
              <w:rPr>
                <w:sz w:val="18"/>
              </w:rPr>
              <w:t>for regular</w:t>
            </w:r>
          </w:p>
        </w:tc>
        <w:tc>
          <w:tcPr>
            <w:tcW w:w="2610" w:type="dxa"/>
            <w:shd w:val="clear" w:color="auto" w:fill="auto"/>
          </w:tcPr>
          <w:p w14:paraId="7F272D49" w14:textId="66B0F7EF" w:rsidR="00D52D4E" w:rsidRPr="001B2499" w:rsidRDefault="00D52D4E" w:rsidP="00313EC0">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On average, about </w:t>
            </w:r>
            <w:r w:rsidR="00313EC0" w:rsidRPr="001B2499">
              <w:rPr>
                <w:sz w:val="18"/>
              </w:rPr>
              <w:t>6</w:t>
            </w:r>
            <w:r w:rsidRPr="001B2499">
              <w:rPr>
                <w:sz w:val="18"/>
              </w:rPr>
              <w:t>% missing for regular gasoline</w:t>
            </w:r>
          </w:p>
        </w:tc>
        <w:tc>
          <w:tcPr>
            <w:tcW w:w="3235" w:type="dxa"/>
          </w:tcPr>
          <w:p w14:paraId="1D0153D7"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For July 31, 2017, 22% of matched stations did not provide a cash or credit price for regular gasoline</w:t>
            </w:r>
          </w:p>
        </w:tc>
      </w:tr>
      <w:tr w:rsidR="00D52D4E" w:rsidRPr="001B2499" w14:paraId="3EB465FA" w14:textId="77777777" w:rsidTr="00FA7CEE">
        <w:tc>
          <w:tcPr>
            <w:cnfStyle w:val="001000000000" w:firstRow="0" w:lastRow="0" w:firstColumn="1" w:lastColumn="0" w:oddVBand="0" w:evenVBand="0" w:oddHBand="0" w:evenHBand="0" w:firstRowFirstColumn="0" w:firstRowLastColumn="0" w:lastRowFirstColumn="0" w:lastRowLastColumn="0"/>
            <w:tcW w:w="1255" w:type="dxa"/>
          </w:tcPr>
          <w:p w14:paraId="54739B1C" w14:textId="77777777" w:rsidR="00D52D4E" w:rsidRPr="0010054A" w:rsidRDefault="00D52D4E" w:rsidP="00E4356F">
            <w:pPr>
              <w:rPr>
                <w:sz w:val="18"/>
              </w:rPr>
            </w:pPr>
            <w:r w:rsidRPr="0010054A">
              <w:rPr>
                <w:sz w:val="18"/>
              </w:rPr>
              <w:t>Price discounts</w:t>
            </w:r>
          </w:p>
        </w:tc>
        <w:tc>
          <w:tcPr>
            <w:tcW w:w="2250" w:type="dxa"/>
          </w:tcPr>
          <w:p w14:paraId="7212535E" w14:textId="77777777" w:rsidR="00D52D4E" w:rsidRPr="001B2499" w:rsidRDefault="00D52D4E"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Price excludes discounts</w:t>
            </w:r>
          </w:p>
        </w:tc>
        <w:tc>
          <w:tcPr>
            <w:tcW w:w="2610" w:type="dxa"/>
          </w:tcPr>
          <w:p w14:paraId="441520F4" w14:textId="1E345219" w:rsidR="00D52D4E" w:rsidRPr="001B2499" w:rsidRDefault="001B2499" w:rsidP="00E4356F">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Unknown</w:t>
            </w:r>
          </w:p>
        </w:tc>
        <w:tc>
          <w:tcPr>
            <w:tcW w:w="3235" w:type="dxa"/>
          </w:tcPr>
          <w:p w14:paraId="799E0861" w14:textId="203831F5" w:rsidR="00D52D4E" w:rsidRPr="001B2499" w:rsidRDefault="00D52D4E" w:rsidP="001B2499">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Instructions request that users </w:t>
            </w:r>
            <w:r w:rsidR="002307C0">
              <w:rPr>
                <w:sz w:val="18"/>
              </w:rPr>
              <w:t>submit price prior to discount</w:t>
            </w:r>
          </w:p>
        </w:tc>
      </w:tr>
      <w:tr w:rsidR="00D52D4E" w:rsidRPr="001B2499" w14:paraId="32AF5575" w14:textId="77777777" w:rsidTr="0010054A">
        <w:trPr>
          <w:trHeight w:val="2438"/>
        </w:trPr>
        <w:tc>
          <w:tcPr>
            <w:cnfStyle w:val="001000000000" w:firstRow="0" w:lastRow="0" w:firstColumn="1" w:lastColumn="0" w:oddVBand="0" w:evenVBand="0" w:oddHBand="0" w:evenHBand="0" w:firstRowFirstColumn="0" w:firstRowLastColumn="0" w:lastRowFirstColumn="0" w:lastRowLastColumn="0"/>
            <w:tcW w:w="1255" w:type="dxa"/>
          </w:tcPr>
          <w:p w14:paraId="29B901A9" w14:textId="77777777" w:rsidR="00D52D4E" w:rsidRPr="0010054A" w:rsidRDefault="00D52D4E" w:rsidP="00E4356F">
            <w:pPr>
              <w:rPr>
                <w:sz w:val="18"/>
              </w:rPr>
            </w:pPr>
            <w:r w:rsidRPr="0010054A">
              <w:rPr>
                <w:sz w:val="18"/>
              </w:rPr>
              <w:t>Gasoline grades collected and definitions</w:t>
            </w:r>
          </w:p>
        </w:tc>
        <w:tc>
          <w:tcPr>
            <w:tcW w:w="2250" w:type="dxa"/>
          </w:tcPr>
          <w:p w14:paraId="6DB26B1A" w14:textId="3158EA74" w:rsidR="001B2499"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 </w:t>
            </w:r>
            <w:r w:rsidR="00D52D4E" w:rsidRPr="001B2499">
              <w:rPr>
                <w:sz w:val="18"/>
              </w:rPr>
              <w:t>Regular: 85-87 Octane and E0 or E10</w:t>
            </w:r>
          </w:p>
          <w:p w14:paraId="39D076FE" w14:textId="1DF2B7F1" w:rsidR="001B2499"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 </w:t>
            </w:r>
            <w:r w:rsidR="00D52D4E" w:rsidRPr="001B2499">
              <w:rPr>
                <w:sz w:val="18"/>
              </w:rPr>
              <w:t>Mid</w:t>
            </w:r>
            <w:r w:rsidR="0058124F">
              <w:rPr>
                <w:sz w:val="18"/>
              </w:rPr>
              <w:t>g</w:t>
            </w:r>
            <w:r w:rsidR="00D52D4E" w:rsidRPr="001B2499">
              <w:rPr>
                <w:sz w:val="18"/>
              </w:rPr>
              <w:t>rade: 88, 89, 90 Octane and E0 – E10</w:t>
            </w:r>
          </w:p>
          <w:p w14:paraId="7F381C24" w14:textId="59F28F34" w:rsidR="001B2499"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rPr>
            </w:pPr>
            <w:r w:rsidRPr="001B2499">
              <w:rPr>
                <w:sz w:val="18"/>
              </w:rPr>
              <w:t xml:space="preserve">- </w:t>
            </w:r>
            <w:r w:rsidR="00D52D4E" w:rsidRPr="001B2499">
              <w:rPr>
                <w:sz w:val="18"/>
              </w:rPr>
              <w:t>Premium: 91 Octane or higher and E0 – E10</w:t>
            </w:r>
          </w:p>
          <w:p w14:paraId="64B89A89" w14:textId="4869DFE0" w:rsidR="00D52D4E" w:rsidRPr="001B2499" w:rsidRDefault="001B2499" w:rsidP="0062527E">
            <w:pPr>
              <w:cnfStyle w:val="000000000000" w:firstRow="0" w:lastRow="0" w:firstColumn="0" w:lastColumn="0" w:oddVBand="0" w:evenVBand="0" w:oddHBand="0" w:evenHBand="0" w:firstRowFirstColumn="0" w:firstRowLastColumn="0" w:lastRowFirstColumn="0" w:lastRowLastColumn="0"/>
              <w:rPr>
                <w:sz w:val="18"/>
                <w:szCs w:val="20"/>
              </w:rPr>
            </w:pPr>
            <w:r w:rsidRPr="001B2499">
              <w:rPr>
                <w:sz w:val="18"/>
              </w:rPr>
              <w:t xml:space="preserve">- </w:t>
            </w:r>
            <w:r w:rsidR="00D52D4E" w:rsidRPr="001B2499">
              <w:rPr>
                <w:sz w:val="18"/>
              </w:rPr>
              <w:t>Does not collected E15 or E85</w:t>
            </w:r>
          </w:p>
        </w:tc>
        <w:tc>
          <w:tcPr>
            <w:tcW w:w="2610" w:type="dxa"/>
          </w:tcPr>
          <w:p w14:paraId="190D61A0" w14:textId="76FBBD8C" w:rsidR="00D52D4E" w:rsidRPr="001B2499" w:rsidRDefault="001B2499" w:rsidP="00E4356F">
            <w:pPr>
              <w:cnfStyle w:val="000000000000" w:firstRow="0" w:lastRow="0" w:firstColumn="0" w:lastColumn="0" w:oddVBand="0" w:evenVBand="0" w:oddHBand="0" w:evenHBand="0" w:firstRowFirstColumn="0" w:firstRowLastColumn="0" w:lastRowFirstColumn="0" w:lastRowLastColumn="0"/>
              <w:rPr>
                <w:sz w:val="18"/>
                <w:szCs w:val="20"/>
              </w:rPr>
            </w:pPr>
            <w:r w:rsidRPr="001B2499">
              <w:rPr>
                <w:sz w:val="18"/>
              </w:rPr>
              <w:t>Unknown</w:t>
            </w:r>
          </w:p>
        </w:tc>
        <w:tc>
          <w:tcPr>
            <w:tcW w:w="3235" w:type="dxa"/>
          </w:tcPr>
          <w:p w14:paraId="3166ECA0" w14:textId="6F108437" w:rsidR="00D52D4E"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szCs w:val="18"/>
              </w:rPr>
            </w:pPr>
            <w:r w:rsidRPr="001B2499">
              <w:rPr>
                <w:sz w:val="18"/>
                <w:szCs w:val="18"/>
              </w:rPr>
              <w:t xml:space="preserve">- </w:t>
            </w:r>
            <w:r w:rsidR="00D52D4E" w:rsidRPr="001B2499">
              <w:rPr>
                <w:sz w:val="18"/>
                <w:szCs w:val="18"/>
              </w:rPr>
              <w:t>Regular: 85-87 Octane</w:t>
            </w:r>
          </w:p>
          <w:p w14:paraId="54908420" w14:textId="038766DB" w:rsidR="00D52D4E"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szCs w:val="18"/>
              </w:rPr>
            </w:pPr>
            <w:r w:rsidRPr="001B2499">
              <w:rPr>
                <w:sz w:val="18"/>
                <w:szCs w:val="18"/>
              </w:rPr>
              <w:t xml:space="preserve">- </w:t>
            </w:r>
            <w:r w:rsidR="00D52D4E" w:rsidRPr="001B2499">
              <w:rPr>
                <w:sz w:val="18"/>
                <w:szCs w:val="18"/>
              </w:rPr>
              <w:t>Mid</w:t>
            </w:r>
            <w:r w:rsidR="0058124F">
              <w:rPr>
                <w:sz w:val="18"/>
                <w:szCs w:val="18"/>
              </w:rPr>
              <w:t>g</w:t>
            </w:r>
            <w:r w:rsidR="00D52D4E" w:rsidRPr="001B2499">
              <w:rPr>
                <w:sz w:val="18"/>
                <w:szCs w:val="18"/>
              </w:rPr>
              <w:t>rade: 89 Octane</w:t>
            </w:r>
          </w:p>
          <w:p w14:paraId="47299CD6" w14:textId="301E28F6" w:rsidR="00D52D4E"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szCs w:val="18"/>
              </w:rPr>
            </w:pPr>
            <w:r w:rsidRPr="001B2499">
              <w:rPr>
                <w:sz w:val="18"/>
                <w:szCs w:val="18"/>
              </w:rPr>
              <w:t xml:space="preserve">- </w:t>
            </w:r>
            <w:r w:rsidR="00D52D4E" w:rsidRPr="001B2499">
              <w:rPr>
                <w:sz w:val="18"/>
                <w:szCs w:val="18"/>
              </w:rPr>
              <w:t>Premium: 91-93 Octane</w:t>
            </w:r>
          </w:p>
          <w:p w14:paraId="22729616" w14:textId="10163445" w:rsidR="00D52D4E" w:rsidRPr="001B2499" w:rsidRDefault="001B2499" w:rsidP="001B2499">
            <w:pPr>
              <w:cnfStyle w:val="000000000000" w:firstRow="0" w:lastRow="0" w:firstColumn="0" w:lastColumn="0" w:oddVBand="0" w:evenVBand="0" w:oddHBand="0" w:evenHBand="0" w:firstRowFirstColumn="0" w:firstRowLastColumn="0" w:lastRowFirstColumn="0" w:lastRowLastColumn="0"/>
              <w:rPr>
                <w:sz w:val="18"/>
                <w:szCs w:val="18"/>
              </w:rPr>
            </w:pPr>
            <w:r w:rsidRPr="001B2499">
              <w:rPr>
                <w:sz w:val="18"/>
                <w:szCs w:val="18"/>
              </w:rPr>
              <w:t xml:space="preserve">- </w:t>
            </w:r>
            <w:r w:rsidR="00D52D4E" w:rsidRPr="001B2499">
              <w:rPr>
                <w:sz w:val="18"/>
                <w:szCs w:val="18"/>
              </w:rPr>
              <w:t>E-85</w:t>
            </w:r>
          </w:p>
          <w:p w14:paraId="5F614C0C" w14:textId="7C818BEA" w:rsidR="00D52D4E" w:rsidRPr="001B2499" w:rsidRDefault="001B2499" w:rsidP="0058124F">
            <w:pPr>
              <w:cnfStyle w:val="000000000000" w:firstRow="0" w:lastRow="0" w:firstColumn="0" w:lastColumn="0" w:oddVBand="0" w:evenVBand="0" w:oddHBand="0" w:evenHBand="0" w:firstRowFirstColumn="0" w:firstRowLastColumn="0" w:lastRowFirstColumn="0" w:lastRowLastColumn="0"/>
              <w:rPr>
                <w:sz w:val="18"/>
                <w:szCs w:val="20"/>
              </w:rPr>
            </w:pPr>
            <w:r w:rsidRPr="001B2499">
              <w:rPr>
                <w:sz w:val="18"/>
                <w:szCs w:val="18"/>
              </w:rPr>
              <w:t xml:space="preserve">- </w:t>
            </w:r>
            <w:r w:rsidR="00D52D4E" w:rsidRPr="001B2499">
              <w:rPr>
                <w:sz w:val="18"/>
                <w:szCs w:val="18"/>
              </w:rPr>
              <w:t>For stations in Iowa, Illinois, Nebraska</w:t>
            </w:r>
            <w:r w:rsidR="00D62F51">
              <w:rPr>
                <w:sz w:val="18"/>
                <w:szCs w:val="18"/>
              </w:rPr>
              <w:t>,</w:t>
            </w:r>
            <w:r w:rsidR="00D52D4E" w:rsidRPr="001B2499">
              <w:rPr>
                <w:sz w:val="18"/>
                <w:szCs w:val="18"/>
              </w:rPr>
              <w:t xml:space="preserve"> and Kentucky, E0 should be reported as Regular and E10 should be reported in the Mid</w:t>
            </w:r>
            <w:r w:rsidR="0058124F">
              <w:rPr>
                <w:sz w:val="18"/>
                <w:szCs w:val="18"/>
              </w:rPr>
              <w:t>g</w:t>
            </w:r>
            <w:r w:rsidR="00D52D4E" w:rsidRPr="001B2499">
              <w:rPr>
                <w:sz w:val="18"/>
                <w:szCs w:val="18"/>
              </w:rPr>
              <w:t>rade spot</w:t>
            </w:r>
          </w:p>
        </w:tc>
      </w:tr>
      <w:tr w:rsidR="00C05CA6" w:rsidRPr="001B2499" w14:paraId="63ECA02E" w14:textId="77777777" w:rsidTr="00FA7CEE">
        <w:tc>
          <w:tcPr>
            <w:cnfStyle w:val="001000000000" w:firstRow="0" w:lastRow="0" w:firstColumn="1" w:lastColumn="0" w:oddVBand="0" w:evenVBand="0" w:oddHBand="0" w:evenHBand="0" w:firstRowFirstColumn="0" w:firstRowLastColumn="0" w:lastRowFirstColumn="0" w:lastRowLastColumn="0"/>
            <w:tcW w:w="1255" w:type="dxa"/>
          </w:tcPr>
          <w:p w14:paraId="3A43B5A7" w14:textId="787473FD" w:rsidR="00C05CA6" w:rsidRPr="0010054A" w:rsidRDefault="00C05CA6" w:rsidP="005D0757">
            <w:pPr>
              <w:rPr>
                <w:sz w:val="18"/>
              </w:rPr>
            </w:pPr>
            <w:r w:rsidRPr="0010054A">
              <w:rPr>
                <w:sz w:val="18"/>
              </w:rPr>
              <w:t>Number of grades sold</w:t>
            </w:r>
          </w:p>
        </w:tc>
        <w:tc>
          <w:tcPr>
            <w:tcW w:w="2250" w:type="dxa"/>
          </w:tcPr>
          <w:p w14:paraId="02F7F1A1" w14:textId="29BE6DD9" w:rsidR="00C05CA6" w:rsidRPr="001B2499" w:rsidRDefault="00876693" w:rsidP="00876693">
            <w:pPr>
              <w:cnfStyle w:val="000000000000" w:firstRow="0" w:lastRow="0" w:firstColumn="0" w:lastColumn="0" w:oddVBand="0" w:evenVBand="0" w:oddHBand="0" w:evenHBand="0" w:firstRowFirstColumn="0" w:firstRowLastColumn="0" w:lastRowFirstColumn="0" w:lastRowLastColumn="0"/>
              <w:rPr>
                <w:sz w:val="18"/>
                <w:szCs w:val="20"/>
              </w:rPr>
            </w:pPr>
            <w:r w:rsidRPr="00876693">
              <w:rPr>
                <w:sz w:val="18"/>
              </w:rPr>
              <w:t>EIA</w:t>
            </w:r>
            <w:r w:rsidRPr="00AE517F">
              <w:rPr>
                <w:sz w:val="18"/>
              </w:rPr>
              <w:t xml:space="preserve"> maintains station-level records on grades sold</w:t>
            </w:r>
          </w:p>
        </w:tc>
        <w:tc>
          <w:tcPr>
            <w:tcW w:w="2610" w:type="dxa"/>
          </w:tcPr>
          <w:p w14:paraId="7CFD7245" w14:textId="176684D2" w:rsidR="00C05CA6" w:rsidRPr="001B2499" w:rsidRDefault="00C05CA6" w:rsidP="0012005F">
            <w:pPr>
              <w:cnfStyle w:val="000000000000" w:firstRow="0" w:lastRow="0" w:firstColumn="0" w:lastColumn="0" w:oddVBand="0" w:evenVBand="0" w:oddHBand="0" w:evenHBand="0" w:firstRowFirstColumn="0" w:firstRowLastColumn="0" w:lastRowFirstColumn="0" w:lastRowLastColumn="0"/>
              <w:rPr>
                <w:sz w:val="18"/>
                <w:szCs w:val="20"/>
              </w:rPr>
            </w:pPr>
            <w:r w:rsidRPr="001B2499">
              <w:rPr>
                <w:sz w:val="18"/>
                <w:szCs w:val="20"/>
              </w:rPr>
              <w:t xml:space="preserve">Not available. </w:t>
            </w:r>
            <w:r w:rsidR="001B2499" w:rsidRPr="001B2499">
              <w:rPr>
                <w:sz w:val="18"/>
                <w:szCs w:val="20"/>
              </w:rPr>
              <w:t>N</w:t>
            </w:r>
            <w:r w:rsidRPr="001B2499">
              <w:rPr>
                <w:sz w:val="18"/>
                <w:szCs w:val="20"/>
              </w:rPr>
              <w:t xml:space="preserve">o distinction between missing </w:t>
            </w:r>
            <w:r w:rsidR="0012005F">
              <w:rPr>
                <w:sz w:val="18"/>
                <w:szCs w:val="20"/>
              </w:rPr>
              <w:t>and not sold.</w:t>
            </w:r>
          </w:p>
        </w:tc>
        <w:tc>
          <w:tcPr>
            <w:tcW w:w="3235" w:type="dxa"/>
          </w:tcPr>
          <w:p w14:paraId="7648DA53" w14:textId="4E730585" w:rsidR="00C05CA6" w:rsidRPr="001B2499" w:rsidRDefault="0012005F" w:rsidP="001B2499">
            <w:pPr>
              <w:cnfStyle w:val="000000000000" w:firstRow="0" w:lastRow="0" w:firstColumn="0" w:lastColumn="0" w:oddVBand="0" w:evenVBand="0" w:oddHBand="0" w:evenHBand="0" w:firstRowFirstColumn="0" w:firstRowLastColumn="0" w:lastRowFirstColumn="0" w:lastRowLastColumn="0"/>
              <w:rPr>
                <w:sz w:val="18"/>
                <w:szCs w:val="20"/>
              </w:rPr>
            </w:pPr>
            <w:r w:rsidRPr="001B2499">
              <w:rPr>
                <w:sz w:val="18"/>
                <w:szCs w:val="20"/>
              </w:rPr>
              <w:t xml:space="preserve">Not available. No distinction between missing </w:t>
            </w:r>
            <w:r>
              <w:rPr>
                <w:sz w:val="18"/>
                <w:szCs w:val="20"/>
              </w:rPr>
              <w:t>and not sold.</w:t>
            </w:r>
          </w:p>
        </w:tc>
      </w:tr>
    </w:tbl>
    <w:p w14:paraId="1D0C7BD2" w14:textId="32512C64" w:rsidR="00D52D4E" w:rsidRDefault="00D52D4E" w:rsidP="00D52D4E">
      <w:pPr>
        <w:rPr>
          <w:sz w:val="16"/>
          <w:szCs w:val="16"/>
        </w:rPr>
      </w:pPr>
      <w:r w:rsidRPr="006870B3">
        <w:rPr>
          <w:sz w:val="16"/>
          <w:szCs w:val="16"/>
        </w:rPr>
        <w:t xml:space="preserve">Sources: </w:t>
      </w:r>
      <w:hyperlink r:id="rId19" w:history="1">
        <w:r w:rsidRPr="006870B3">
          <w:rPr>
            <w:rStyle w:val="Hyperlink"/>
            <w:sz w:val="16"/>
            <w:szCs w:val="16"/>
          </w:rPr>
          <w:t>https://help.gasbuddy.com/hc/en-us/articles/225454887-Report-Prices</w:t>
        </w:r>
      </w:hyperlink>
      <w:r w:rsidR="00AA469C" w:rsidRPr="006870B3">
        <w:rPr>
          <w:rStyle w:val="Hyperlink"/>
          <w:sz w:val="16"/>
          <w:szCs w:val="16"/>
        </w:rPr>
        <w:t xml:space="preserve">; </w:t>
      </w:r>
      <w:hyperlink r:id="rId20" w:history="1">
        <w:r w:rsidR="008E4E16" w:rsidRPr="00C946CC">
          <w:rPr>
            <w:rStyle w:val="Hyperlink"/>
            <w:sz w:val="16"/>
            <w:szCs w:val="16"/>
          </w:rPr>
          <w:t>https://www.eia.gov/survey/form/eia_878/faqs.php</w:t>
        </w:r>
      </w:hyperlink>
    </w:p>
    <w:p w14:paraId="02F6E2B6" w14:textId="10E17E3B" w:rsidR="00D52D4E" w:rsidRPr="00805E14" w:rsidRDefault="00D52D4E" w:rsidP="00313EC0">
      <w:r w:rsidRPr="00805E14">
        <w:t>SDSI also analytically compared OPIS and GasBuddy prices for stations included in the EIA-878 sample for July 31, 2017.</w:t>
      </w:r>
      <w:r w:rsidR="00AA469C" w:rsidRPr="00805E14">
        <w:t xml:space="preserve"> A</w:t>
      </w:r>
      <w:r w:rsidRPr="00805E14">
        <w:t>s described above, OPIS acquired GasBuddy.com in 2013 and incorporates user submitted information into OPIS proprietary price information</w:t>
      </w:r>
      <w:r w:rsidR="003F58CC">
        <w:t>;</w:t>
      </w:r>
      <w:r w:rsidRPr="00805E14">
        <w:t xml:space="preserve"> however</w:t>
      </w:r>
      <w:r w:rsidR="00AA469C" w:rsidRPr="00805E14">
        <w:t>,</w:t>
      </w:r>
      <w:r w:rsidRPr="00805E14">
        <w:t xml:space="preserve"> the extent to which this occurs is unknown. </w:t>
      </w:r>
      <w:r w:rsidR="00443598">
        <w:t xml:space="preserve">Therefore, it is not clear to what extent the two sources may overlap in information. </w:t>
      </w:r>
    </w:p>
    <w:p w14:paraId="0BD8DD2B" w14:textId="7F83F782" w:rsidR="0006579B" w:rsidRDefault="00D52D4E" w:rsidP="00313EC0">
      <w:r w:rsidRPr="00805E14">
        <w:t xml:space="preserve">For July 31, 2017, SDSI obtained regular gasoline prices from OPIS for 747 stations and 619 stations from GasBuddy. There was a high amount of overlap </w:t>
      </w:r>
      <w:r w:rsidR="00805E14">
        <w:t xml:space="preserve">with </w:t>
      </w:r>
      <w:r w:rsidRPr="00805E14">
        <w:t>613 stations in common between the series. 134 regular gasoline prices</w:t>
      </w:r>
      <w:r w:rsidR="00805E14">
        <w:t xml:space="preserve"> were only available in OPIS, while</w:t>
      </w:r>
      <w:r w:rsidRPr="00805E14">
        <w:t xml:space="preserve"> </w:t>
      </w:r>
      <w:r w:rsidR="002307C0">
        <w:t xml:space="preserve">6 </w:t>
      </w:r>
      <w:r w:rsidRPr="00805E14">
        <w:t>regular gasoline prices were only available through GasBuddy.</w:t>
      </w:r>
      <w:r w:rsidR="0006579B">
        <w:t xml:space="preserve"> SDSI compiled GasBuddy prices in two ways to compare with OPIS: </w:t>
      </w:r>
    </w:p>
    <w:p w14:paraId="45CD7872" w14:textId="740FED54" w:rsidR="0006579B" w:rsidRDefault="0006579B" w:rsidP="003677C2">
      <w:pPr>
        <w:pStyle w:val="ListParagraph"/>
      </w:pPr>
      <w:r>
        <w:t xml:space="preserve">Using cash price where available and credit price otherwise </w:t>
      </w:r>
    </w:p>
    <w:p w14:paraId="3886D2B4" w14:textId="127CD92C" w:rsidR="0006579B" w:rsidRDefault="0006579B" w:rsidP="003677C2">
      <w:pPr>
        <w:pStyle w:val="ListParagraph"/>
      </w:pPr>
      <w:r>
        <w:t>Using credit price as a default unless the station is cash-only</w:t>
      </w:r>
    </w:p>
    <w:p w14:paraId="3A6D6A20" w14:textId="77777777" w:rsidR="00D52D4E" w:rsidRPr="00805E14" w:rsidRDefault="00D52D4E" w:rsidP="007701FC">
      <w:pPr>
        <w:pStyle w:val="Left05Indent"/>
        <w:ind w:left="0"/>
      </w:pPr>
      <w:r w:rsidRPr="00805E14">
        <w:t>Key findings include:</w:t>
      </w:r>
    </w:p>
    <w:p w14:paraId="128D1CFA" w14:textId="22109AAA" w:rsidR="00D52D4E" w:rsidRPr="00805E14" w:rsidRDefault="00D52D4E" w:rsidP="009E44C6">
      <w:pPr>
        <w:pStyle w:val="Left05Indent"/>
        <w:numPr>
          <w:ilvl w:val="0"/>
          <w:numId w:val="8"/>
        </w:numPr>
      </w:pPr>
      <w:r w:rsidRPr="00805E14">
        <w:t xml:space="preserve">For July 31, 2017, OPIS has a lower item missing data rate (5%) compared to GasBuddy (22%) for regular gasoline </w:t>
      </w:r>
    </w:p>
    <w:p w14:paraId="4A9D6402" w14:textId="2CD24586" w:rsidR="00D52D4E" w:rsidRPr="001F1022" w:rsidRDefault="00E61237" w:rsidP="009E44C6">
      <w:pPr>
        <w:pStyle w:val="Left05Indent"/>
        <w:numPr>
          <w:ilvl w:val="0"/>
          <w:numId w:val="8"/>
        </w:numPr>
      </w:pPr>
      <w:r>
        <w:t>Figure</w:t>
      </w:r>
      <w:r w:rsidR="00AA469C" w:rsidRPr="006870B3">
        <w:t xml:space="preserve"> </w:t>
      </w:r>
      <w:r w:rsidR="000D06D7" w:rsidRPr="006870B3">
        <w:t>2</w:t>
      </w:r>
      <w:r w:rsidR="00D52D4E" w:rsidRPr="00805E14">
        <w:t xml:space="preserve"> compare</w:t>
      </w:r>
      <w:r w:rsidR="00E31C5D" w:rsidRPr="00805E14">
        <w:t>s GasBuddy price</w:t>
      </w:r>
      <w:r w:rsidR="000D06D7">
        <w:t xml:space="preserve"> (cash or credit)</w:t>
      </w:r>
      <w:r w:rsidR="00E31C5D" w:rsidRPr="00805E14">
        <w:t xml:space="preserve"> on the x-axis with </w:t>
      </w:r>
      <w:r w:rsidR="00D52D4E" w:rsidRPr="00805E14">
        <w:t xml:space="preserve">OPIS price on the y-axis Results indicate that the series are very highly correlated. </w:t>
      </w:r>
      <w:r w:rsidR="00E31C5D" w:rsidRPr="00805E14">
        <w:t>These findings are consistent for m</w:t>
      </w:r>
      <w:r w:rsidR="00D52D4E" w:rsidRPr="00805E14">
        <w:t xml:space="preserve">idgrade and premium </w:t>
      </w:r>
      <w:r w:rsidR="00D52D4E" w:rsidRPr="001F1022">
        <w:t xml:space="preserve">prices (see appendix </w:t>
      </w:r>
      <w:r w:rsidR="00AF0280" w:rsidRPr="001F1022">
        <w:t>figures A.1 and A.2</w:t>
      </w:r>
      <w:r w:rsidR="00D52D4E" w:rsidRPr="001F1022">
        <w:t>)</w:t>
      </w:r>
    </w:p>
    <w:p w14:paraId="13127B9E" w14:textId="4987C746" w:rsidR="00D52D4E" w:rsidRPr="00805E14" w:rsidRDefault="00D52D4E" w:rsidP="009E44C6">
      <w:pPr>
        <w:pStyle w:val="Left05Indent"/>
        <w:numPr>
          <w:ilvl w:val="0"/>
          <w:numId w:val="8"/>
        </w:numPr>
      </w:pPr>
      <w:r w:rsidRPr="00805E14">
        <w:t xml:space="preserve">Since </w:t>
      </w:r>
      <w:r w:rsidR="00BE7E93" w:rsidRPr="00805E14">
        <w:t>GasBuddy</w:t>
      </w:r>
      <w:r w:rsidRPr="00805E14">
        <w:t xml:space="preserve"> credit pri</w:t>
      </w:r>
      <w:r w:rsidR="00805E14">
        <w:t>c</w:t>
      </w:r>
      <w:r w:rsidRPr="00805E14">
        <w:t>es are more highly correlated than GasBuddy cash prices, it is likely that OPIS defaults to credit prices</w:t>
      </w:r>
    </w:p>
    <w:p w14:paraId="471D1C89" w14:textId="77777777" w:rsidR="00D52D4E" w:rsidRPr="00E31C5D" w:rsidRDefault="00D52D4E" w:rsidP="00983264">
      <w:pPr>
        <w:pStyle w:val="Left05Indent"/>
        <w:rPr>
          <w:highlight w:val="yellow"/>
        </w:rPr>
      </w:pPr>
    </w:p>
    <w:p w14:paraId="42DCA031" w14:textId="1000FB3A" w:rsidR="00D52D4E" w:rsidRPr="00805E14" w:rsidRDefault="00D52D4E" w:rsidP="00E31C5D">
      <w:r w:rsidRPr="00805E14">
        <w:t xml:space="preserve">SDSI also compared the source of information to </w:t>
      </w:r>
      <w:r w:rsidR="00443598">
        <w:t>determine</w:t>
      </w:r>
      <w:r w:rsidRPr="00805E14">
        <w:t xml:space="preserve"> if there was any relationship between information t</w:t>
      </w:r>
      <w:r w:rsidR="00805E14">
        <w:t>agged as ‘electronic’ vs. ‘user-</w:t>
      </w:r>
      <w:r w:rsidRPr="00805E14">
        <w:t xml:space="preserve">submitted’ </w:t>
      </w:r>
      <w:r w:rsidR="00805E14">
        <w:t>in</w:t>
      </w:r>
      <w:r w:rsidRPr="00805E14">
        <w:t xml:space="preserve"> OPIS with GasBuddy user reports. For July 31, 2017, the average difference between OPIS and GasBuddy</w:t>
      </w:r>
      <w:r w:rsidR="00805E14">
        <w:t xml:space="preserve"> for OPIS prices tagged as user-</w:t>
      </w:r>
      <w:r w:rsidRPr="00805E14">
        <w:t xml:space="preserve">submitted prices was $0.004, compared to $0.001 for prices tagged as electronic submission on OPIS. There </w:t>
      </w:r>
      <w:r w:rsidR="00805E14">
        <w:t xml:space="preserve">also </w:t>
      </w:r>
      <w:r w:rsidRPr="00805E14">
        <w:t>did not appear to be a relationsh</w:t>
      </w:r>
      <w:r w:rsidR="00805E14">
        <w:t>ip with whether the price was submitted</w:t>
      </w:r>
      <w:r w:rsidRPr="00805E14">
        <w:t xml:space="preserve"> GB_Direct on GasBuddy with OPIS source (‘electronic’ or ‘user submitted’).  Roughly half of these prices were tagged as ‘electronic submitted’ on OPIS, while the remainder were ‘user submitted.’ </w:t>
      </w:r>
    </w:p>
    <w:p w14:paraId="24FA4B46" w14:textId="77777777" w:rsidR="00D52D4E" w:rsidRDefault="00D52D4E" w:rsidP="00983264">
      <w:pPr>
        <w:pStyle w:val="Left05Indent"/>
        <w:rPr>
          <w:highlight w:val="yellow"/>
        </w:rPr>
      </w:pPr>
    </w:p>
    <w:p w14:paraId="31267D3E" w14:textId="77777777" w:rsidR="00D52D4E" w:rsidRDefault="00D52D4E" w:rsidP="00983264">
      <w:pPr>
        <w:pStyle w:val="Left05Indent"/>
        <w:rPr>
          <w:highlight w:val="yellow"/>
        </w:rPr>
      </w:pPr>
    </w:p>
    <w:p w14:paraId="2C9F91EF" w14:textId="104361C6" w:rsidR="00D52D4E" w:rsidRPr="001E3EB8" w:rsidRDefault="00D52D4E" w:rsidP="009F3147">
      <w:pPr>
        <w:pStyle w:val="Caption"/>
      </w:pPr>
      <w:r w:rsidRPr="001E3EB8">
        <w:t>Figure</w:t>
      </w:r>
      <w:r w:rsidR="000D06D7">
        <w:t xml:space="preserve"> 2.</w:t>
      </w:r>
      <w:r w:rsidRPr="001E3EB8">
        <w:t xml:space="preserve"> </w:t>
      </w:r>
      <w:r>
        <w:t xml:space="preserve">Station-level OPIS prices vs. station-level </w:t>
      </w:r>
      <w:r w:rsidRPr="001E3EB8">
        <w:t xml:space="preserve">GasBuddy </w:t>
      </w:r>
      <w:r w:rsidR="00C2021F">
        <w:t xml:space="preserve">regular gasoline </w:t>
      </w:r>
      <w:r w:rsidRPr="001E3EB8">
        <w:t>prices</w:t>
      </w:r>
      <w:r>
        <w:t xml:space="preserve"> for July 31, 2017</w:t>
      </w:r>
      <w:r w:rsidRPr="001E3EB8">
        <w:t xml:space="preserve"> </w:t>
      </w:r>
    </w:p>
    <w:p w14:paraId="00AE5293" w14:textId="77777777" w:rsidR="00D52D4E" w:rsidRPr="002B6C57" w:rsidRDefault="00D52D4E" w:rsidP="00983264">
      <w:pPr>
        <w:pStyle w:val="Left05Indent"/>
        <w:rPr>
          <w:highlight w:val="yellow"/>
        </w:rPr>
      </w:pPr>
      <w:r w:rsidRPr="00BF178A">
        <w:rPr>
          <w:noProof/>
        </w:rPr>
        <w:drawing>
          <wp:inline distT="0" distB="0" distL="0" distR="0" wp14:anchorId="118D6AFF" wp14:editId="6F20C2F4">
            <wp:extent cx="2705100" cy="34099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F178A">
        <w:t xml:space="preserve">    </w:t>
      </w:r>
      <w:r>
        <w:rPr>
          <w:noProof/>
        </w:rPr>
        <w:drawing>
          <wp:inline distT="0" distB="0" distL="0" distR="0" wp14:anchorId="5256D208" wp14:editId="3E36E3B3">
            <wp:extent cx="2762250" cy="3429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A26F39" w14:textId="77777777" w:rsidR="00D52D4E" w:rsidRPr="002B6C57" w:rsidRDefault="00D52D4E" w:rsidP="00983264">
      <w:pPr>
        <w:pStyle w:val="Left05Indent"/>
        <w:rPr>
          <w:highlight w:val="yellow"/>
        </w:rPr>
      </w:pPr>
    </w:p>
    <w:p w14:paraId="0491C2CA" w14:textId="77777777" w:rsidR="00D52D4E" w:rsidRDefault="00D52D4E" w:rsidP="00D52D4E">
      <w:pPr>
        <w:spacing w:line="240" w:lineRule="auto"/>
        <w:rPr>
          <w:rFonts w:cs="Arial"/>
          <w:highlight w:val="yellow"/>
        </w:rPr>
      </w:pPr>
      <w:r>
        <w:rPr>
          <w:highlight w:val="yellow"/>
        </w:rPr>
        <w:br w:type="page"/>
      </w:r>
    </w:p>
    <w:p w14:paraId="66EA7F98" w14:textId="2F2C2403" w:rsidR="00D52D4E" w:rsidRPr="0051180F" w:rsidRDefault="00D52D4E" w:rsidP="00E31C5D">
      <w:pPr>
        <w:pStyle w:val="Heading2"/>
      </w:pPr>
      <w:bookmarkStart w:id="9" w:name="_Toc497202513"/>
      <w:r w:rsidRPr="0051180F">
        <w:t xml:space="preserve">Data </w:t>
      </w:r>
      <w:r w:rsidR="00D05BED">
        <w:t>l</w:t>
      </w:r>
      <w:r w:rsidRPr="0051180F">
        <w:t>inkage</w:t>
      </w:r>
      <w:r>
        <w:t xml:space="preserve"> </w:t>
      </w:r>
      <w:r w:rsidR="00D05BED">
        <w:t>m</w:t>
      </w:r>
      <w:r>
        <w:t>ethods</w:t>
      </w:r>
      <w:bookmarkEnd w:id="9"/>
    </w:p>
    <w:p w14:paraId="4D2DDD9C" w14:textId="4B6E64AD" w:rsidR="00D52D4E" w:rsidRDefault="00F12850" w:rsidP="00D52D4E">
      <w:r>
        <w:t>A method for linking records between the EIA gas station sample and the OPIS and GasBuddy data sets was established before any subsequent analyses could proceed.</w:t>
      </w:r>
      <w:r w:rsidR="00D52D4E">
        <w:t xml:space="preserve"> </w:t>
      </w:r>
      <w:r>
        <w:t xml:space="preserve">The biggest challenge in linking these three sets of data was the absence of a </w:t>
      </w:r>
      <w:r w:rsidR="00D52D4E">
        <w:t>common primary identification key</w:t>
      </w:r>
      <w:r>
        <w:t>. T</w:t>
      </w:r>
      <w:r w:rsidR="00D52D4E">
        <w:t>he only commonly shared elements</w:t>
      </w:r>
      <w:r>
        <w:t xml:space="preserve"> identified by SDSI staff w</w:t>
      </w:r>
      <w:r w:rsidR="00D52D4E">
        <w:t xml:space="preserve">ere the station names and addresses. </w:t>
      </w:r>
      <w:r>
        <w:t xml:space="preserve">SDSI staff decided </w:t>
      </w:r>
      <w:r w:rsidR="001138CC">
        <w:t xml:space="preserve">not to attempt linking </w:t>
      </w:r>
      <w:r w:rsidR="002C69AB">
        <w:t xml:space="preserve">datasets </w:t>
      </w:r>
      <w:r w:rsidR="001138CC">
        <w:t xml:space="preserve">using station names due to </w:t>
      </w:r>
      <w:r w:rsidR="00D575F8">
        <w:t xml:space="preserve">differences </w:t>
      </w:r>
      <w:r w:rsidR="001138CC">
        <w:t xml:space="preserve">in </w:t>
      </w:r>
      <w:r w:rsidR="00D52D4E">
        <w:t xml:space="preserve">station naming conventions, </w:t>
      </w:r>
      <w:r w:rsidR="00D575F8">
        <w:t>alternative</w:t>
      </w:r>
      <w:r w:rsidR="001138CC">
        <w:t xml:space="preserve"> </w:t>
      </w:r>
      <w:r w:rsidR="00D52D4E">
        <w:t>spelling</w:t>
      </w:r>
      <w:r w:rsidR="00D575F8">
        <w:t>s</w:t>
      </w:r>
      <w:r w:rsidR="00D52D4E">
        <w:t xml:space="preserve">, and </w:t>
      </w:r>
      <w:r w:rsidR="001138CC">
        <w:t>station name c</w:t>
      </w:r>
      <w:r w:rsidR="00D52D4E">
        <w:t>hanges that have occurred since the EIA</w:t>
      </w:r>
      <w:r w:rsidR="0058124F">
        <w:t>-878 s</w:t>
      </w:r>
      <w:r w:rsidR="00D52D4E">
        <w:t>ample was drawn</w:t>
      </w:r>
      <w:r w:rsidR="001138CC">
        <w:t xml:space="preserve">. </w:t>
      </w:r>
      <w:r w:rsidR="00D52D4E">
        <w:t>EIA staff determined address matching would produce better results</w:t>
      </w:r>
      <w:r w:rsidR="001138CC">
        <w:t xml:space="preserve"> than simply linking on names</w:t>
      </w:r>
      <w:r w:rsidR="00BB64F1">
        <w:t>.</w:t>
      </w:r>
      <w:r w:rsidR="00D52D4E">
        <w:t xml:space="preserve"> SDSI staff </w:t>
      </w:r>
      <w:r w:rsidR="001138CC">
        <w:t xml:space="preserve">identified obstacles to this process, which included </w:t>
      </w:r>
      <w:r w:rsidR="00D52D4E">
        <w:t xml:space="preserve">differences amongst the address </w:t>
      </w:r>
      <w:r w:rsidR="00D575F8">
        <w:t xml:space="preserve">identification </w:t>
      </w:r>
      <w:r w:rsidR="00D52D4E">
        <w:t xml:space="preserve">conventions and other issues (e.g., misspellings, alternative spellings, alternative addresses, etc.). </w:t>
      </w:r>
      <w:r w:rsidR="00D575F8">
        <w:t xml:space="preserve">Due to the limitations for text matching presented by these differences, </w:t>
      </w:r>
      <w:r w:rsidR="00D52D4E">
        <w:t>SDSI staff decided on using a geographic information systems (GIS) approach, specifically nearest neighbor analysis on geolocated stations</w:t>
      </w:r>
      <w:r w:rsidR="000D06D7">
        <w:t xml:space="preserve"> (illustrated in Figure 3)</w:t>
      </w:r>
      <w:r w:rsidR="001138CC">
        <w:t>, as a way to link the data sources and avoid the issues described above</w:t>
      </w:r>
      <w:r w:rsidR="00D52D4E">
        <w:t xml:space="preserve">. Nearest neighbor analysis is a process through which records from separate databases are joined based on the </w:t>
      </w:r>
      <w:r w:rsidR="001138CC">
        <w:t xml:space="preserve">geographical </w:t>
      </w:r>
      <w:r w:rsidR="00D52D4E">
        <w:t xml:space="preserve">proximity to each other. In short, addresses from two databases are mapped as points and the closet two records from the respective databases are joined. </w:t>
      </w:r>
    </w:p>
    <w:p w14:paraId="739B7905" w14:textId="3C20BA63" w:rsidR="00D52D4E" w:rsidRDefault="00D52D4E" w:rsidP="00D52D4E">
      <w:r>
        <w:rPr>
          <w:noProof/>
        </w:rPr>
        <mc:AlternateContent>
          <mc:Choice Requires="wps">
            <w:drawing>
              <wp:anchor distT="0" distB="0" distL="114300" distR="114300" simplePos="0" relativeHeight="251696128" behindDoc="0" locked="0" layoutInCell="1" allowOverlap="1" wp14:anchorId="73999F89" wp14:editId="538D1E05">
                <wp:simplePos x="0" y="0"/>
                <wp:positionH relativeFrom="margin">
                  <wp:align>center</wp:align>
                </wp:positionH>
                <wp:positionV relativeFrom="paragraph">
                  <wp:posOffset>1836684</wp:posOffset>
                </wp:positionV>
                <wp:extent cx="6910705" cy="3038475"/>
                <wp:effectExtent l="0" t="0" r="23495" b="28575"/>
                <wp:wrapTopAndBottom/>
                <wp:docPr id="33" name="Text Box 33"/>
                <wp:cNvGraphicFramePr/>
                <a:graphic xmlns:a="http://schemas.openxmlformats.org/drawingml/2006/main">
                  <a:graphicData uri="http://schemas.microsoft.com/office/word/2010/wordprocessingShape">
                    <wps:wsp>
                      <wps:cNvSpPr txBox="1"/>
                      <wps:spPr>
                        <a:xfrm>
                          <a:off x="0" y="0"/>
                          <a:ext cx="6910705"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D61DCD" w14:textId="1C86D465" w:rsidR="00A878BB" w:rsidRPr="001478AA" w:rsidRDefault="00A878BB" w:rsidP="00D52D4E">
                            <w:pPr>
                              <w:rPr>
                                <w:b/>
                              </w:rPr>
                            </w:pPr>
                            <w:r w:rsidRPr="001478AA">
                              <w:rPr>
                                <w:b/>
                              </w:rPr>
                              <w:t>Figure 3. Illustration of the concept of GIS Nearest Neighbor Analysis</w:t>
                            </w:r>
                          </w:p>
                          <w:p w14:paraId="6C4242F2" w14:textId="57E841D5" w:rsidR="00A878BB" w:rsidRDefault="00A878BB" w:rsidP="00D52D4E">
                            <w:r w:rsidRPr="00FB35BF">
                              <w:rPr>
                                <w:noProof/>
                              </w:rPr>
                              <w:drawing>
                                <wp:inline distT="0" distB="0" distL="0" distR="0" wp14:anchorId="7416DEEB" wp14:editId="2C72DF4C">
                                  <wp:extent cx="6721475" cy="2526192"/>
                                  <wp:effectExtent l="0" t="0" r="317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1475" cy="25261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0" type="#_x0000_t202" style="position:absolute;margin-left:0;margin-top:144.6pt;width:544.15pt;height:239.2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" fillcolor="white [3201]" strokeweight=".5pt">
                <v:textbox>
                  <w:txbxContent>
                    <w:p w14:paraId="77D61DCD" w14:textId="1C86D465" w:rsidR="00A878BB" w:rsidRPr="001478AA" w:rsidRDefault="00A878BB" w:rsidP="00D52D4E">
                      <w:pPr>
                        <w:rPr>
                          <w:b/>
                        </w:rPr>
                      </w:pPr>
                      <w:r w:rsidRPr="001478AA">
                        <w:rPr>
                          <w:b/>
                        </w:rPr>
                        <w:t>Figure 3. Illustration of the concept of GIS Nearest Neighbor Analysis</w:t>
                      </w:r>
                    </w:p>
                    <w:p w14:paraId="6C4242F2" w14:textId="57E841D5" w:rsidR="00A878BB" w:rsidRDefault="00A878BB" w:rsidP="00D52D4E">
                      <w:r w:rsidRPr="00FB35BF">
                        <w:rPr>
                          <w:noProof/>
                        </w:rPr>
                        <w:drawing>
                          <wp:inline distT="0" distB="0" distL="0" distR="0" wp14:anchorId="7416DEEB" wp14:editId="2C72DF4C">
                            <wp:extent cx="6721475" cy="2526192"/>
                            <wp:effectExtent l="0" t="0" r="317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1475" cy="2526192"/>
                                    </a:xfrm>
                                    <a:prstGeom prst="rect">
                                      <a:avLst/>
                                    </a:prstGeom>
                                    <a:noFill/>
                                    <a:ln>
                                      <a:noFill/>
                                    </a:ln>
                                  </pic:spPr>
                                </pic:pic>
                              </a:graphicData>
                            </a:graphic>
                          </wp:inline>
                        </w:drawing>
                      </w:r>
                    </w:p>
                  </w:txbxContent>
                </v:textbox>
                <w10:wrap type="topAndBottom" anchorx="margin"/>
              </v:shape>
            </w:pict>
          </mc:Fallback>
        </mc:AlternateContent>
      </w:r>
      <w:r>
        <w:t>SDSI staff geocoded the EIA</w:t>
      </w:r>
      <w:r w:rsidR="0058124F">
        <w:t>-878 s</w:t>
      </w:r>
      <w:r>
        <w:t>ample to generate spatial data for station locations. Most of the 802 entries in the EIA</w:t>
      </w:r>
      <w:r w:rsidR="0058124F">
        <w:t>-878 s</w:t>
      </w:r>
      <w:r>
        <w:t xml:space="preserve">ample geocoded on the first attempt with the remainder needing correction in address fields entries (e.g., PO Boxes </w:t>
      </w:r>
      <w:r w:rsidR="001138CC">
        <w:t>preceding</w:t>
      </w:r>
      <w:r>
        <w:t xml:space="preserve"> street numbers, alternative spellings, etc.).  Six stations were not able to be geocoded due to bad or unclear addresses. The OPIS and GasBuddy databases contained existing coordinates, and therefore, they did not need geocoding. For the initial round, SDSI staff performed nearest neighbor analysis on the EIA</w:t>
      </w:r>
      <w:r w:rsidR="0058124F">
        <w:t>-878 s</w:t>
      </w:r>
      <w:r>
        <w:t>ample and OPIS database</w:t>
      </w:r>
      <w:r w:rsidR="00D575F8">
        <w:t>,</w:t>
      </w:r>
      <w:r>
        <w:t xml:space="preserve"> and matches between addresses and stations</w:t>
      </w:r>
      <w:r w:rsidR="001138CC">
        <w:t>’</w:t>
      </w:r>
      <w:r>
        <w:t xml:space="preserve"> names were compared to confirm stations were the same. In the first round of matching, approximately 75% of the stations were matched. </w:t>
      </w:r>
    </w:p>
    <w:p w14:paraId="2E7E9C5E" w14:textId="55CF6D10" w:rsidR="00D52D4E" w:rsidRDefault="00D52D4E" w:rsidP="00D52D4E">
      <w:r>
        <w:t xml:space="preserve">After the first round, </w:t>
      </w:r>
      <w:r w:rsidR="001138CC">
        <w:t xml:space="preserve">SDSI staff checked the remaining unmatched </w:t>
      </w:r>
      <w:r>
        <w:t xml:space="preserve">stations </w:t>
      </w:r>
      <w:r w:rsidR="001138CC">
        <w:t>to determine reasons for mismatches and resolve them to continue matching</w:t>
      </w:r>
      <w:r w:rsidR="00D575F8">
        <w:t>. The primary reasons for initial mismatches were:</w:t>
      </w:r>
    </w:p>
    <w:p w14:paraId="4A419D30" w14:textId="4E9B4374" w:rsidR="00D52D4E" w:rsidRDefault="00D52D4E" w:rsidP="003677C2">
      <w:pPr>
        <w:pStyle w:val="ListParagraph"/>
        <w:numPr>
          <w:ilvl w:val="0"/>
          <w:numId w:val="11"/>
        </w:numPr>
      </w:pPr>
      <w:r w:rsidRPr="008820A7">
        <w:rPr>
          <w:u w:val="single"/>
        </w:rPr>
        <w:t>Close Station Spacing:</w:t>
      </w:r>
      <w:r>
        <w:t xml:space="preserve"> Most mismatches occurred around road intersections where multiple gas stations exist and some EIA</w:t>
      </w:r>
      <w:r w:rsidR="0058124F">
        <w:t>-878 s</w:t>
      </w:r>
      <w:r>
        <w:t>ample geolocated station points ended up being closer to incorrect stations than the correct gas stations. Once these station location points were corrected, matching was possible.</w:t>
      </w:r>
    </w:p>
    <w:p w14:paraId="52380883" w14:textId="2779F961" w:rsidR="00D52D4E" w:rsidRDefault="00D52D4E" w:rsidP="003677C2">
      <w:pPr>
        <w:pStyle w:val="ListParagraph"/>
        <w:numPr>
          <w:ilvl w:val="0"/>
          <w:numId w:val="11"/>
        </w:numPr>
      </w:pPr>
      <w:r w:rsidRPr="008820A7">
        <w:rPr>
          <w:u w:val="single"/>
        </w:rPr>
        <w:t>Bad Geolocated Points:</w:t>
      </w:r>
      <w:r>
        <w:t xml:space="preserve"> For a few stations, the EIA</w:t>
      </w:r>
      <w:r w:rsidR="0058124F">
        <w:t>-878 s</w:t>
      </w:r>
      <w:r>
        <w:t>ample geolocated station points were not near the exact locations of the station and corrections were performed manually so matches could be made.</w:t>
      </w:r>
    </w:p>
    <w:p w14:paraId="4AAB6DC5" w14:textId="0C78ACA6" w:rsidR="00D52D4E" w:rsidRDefault="00D52D4E" w:rsidP="003677C2">
      <w:pPr>
        <w:pStyle w:val="ListParagraph"/>
        <w:numPr>
          <w:ilvl w:val="0"/>
          <w:numId w:val="11"/>
        </w:numPr>
      </w:pPr>
      <w:r w:rsidRPr="008820A7">
        <w:rPr>
          <w:u w:val="single"/>
        </w:rPr>
        <w:t>Non-Weekly Respondents in OPIS:</w:t>
      </w:r>
      <w:r>
        <w:t xml:space="preserve"> A few stations did not initially show up in the early weekly OPIS data feed</w:t>
      </w:r>
      <w:r w:rsidR="008B3EB5">
        <w:t>s</w:t>
      </w:r>
      <w:r>
        <w:t xml:space="preserve"> received, but did appear in later data feeds. Matches were made when the stations appeared in </w:t>
      </w:r>
      <w:r w:rsidR="008B3EB5">
        <w:t xml:space="preserve">a </w:t>
      </w:r>
      <w:r>
        <w:t>data feed.</w:t>
      </w:r>
    </w:p>
    <w:p w14:paraId="52174708" w14:textId="61EB8436" w:rsidR="007930BA" w:rsidRDefault="00D52D4E" w:rsidP="00D52D4E">
      <w:pPr>
        <w:pStyle w:val="ListParagraph"/>
        <w:numPr>
          <w:ilvl w:val="0"/>
          <w:numId w:val="11"/>
        </w:numPr>
      </w:pPr>
      <w:r w:rsidRPr="008820A7">
        <w:rPr>
          <w:u w:val="single"/>
        </w:rPr>
        <w:t>Not included in OPIS</w:t>
      </w:r>
      <w:r>
        <w:t>: A few small stations did not appear to be present in the OPIS database.</w:t>
      </w:r>
    </w:p>
    <w:p w14:paraId="45D4E927" w14:textId="2A89BD40" w:rsidR="00D52D4E" w:rsidRPr="003E5FD5" w:rsidRDefault="00D52D4E" w:rsidP="00D52D4E">
      <w:r>
        <w:t xml:space="preserve">SDSI staff ran a few more rounds of nearest neighbor analysis </w:t>
      </w:r>
      <w:r w:rsidR="008B3EB5">
        <w:t xml:space="preserve">as </w:t>
      </w:r>
      <w:r>
        <w:t xml:space="preserve">new weekly data feeds </w:t>
      </w:r>
      <w:r w:rsidR="008B3EB5">
        <w:t>were received</w:t>
      </w:r>
      <w:r>
        <w:t xml:space="preserve"> to capture further stations that did not appear in the initial weekly OPIS data feeds.  EIA completed the same process with the GasBuddy database for stations that were not previously matched by PBS </w:t>
      </w:r>
      <w:r w:rsidRPr="00E929C4">
        <w:t>staff. For a few cases, SDSI staff identified multiple GasBuddy.com websites for the same station; in those cases, staff selected the website with the most up</w:t>
      </w:r>
      <w:r w:rsidR="007930BA">
        <w:t>-</w:t>
      </w:r>
      <w:r w:rsidRPr="00E929C4">
        <w:t>to</w:t>
      </w:r>
      <w:r w:rsidR="007930BA">
        <w:t>-</w:t>
      </w:r>
      <w:r w:rsidRPr="00E929C4">
        <w:t>date information.  As with the OPIS database, simila</w:t>
      </w:r>
      <w:r>
        <w:t>r results and shortcomings were experienced.  In total, the process was able to match 785 EIA</w:t>
      </w:r>
      <w:r w:rsidR="0058124F">
        <w:t xml:space="preserve">-878 </w:t>
      </w:r>
      <w:r>
        <w:t xml:space="preserve">sample stations (98%) with the </w:t>
      </w:r>
      <w:r w:rsidRPr="003E5FD5">
        <w:t>OPIS database and 798 EIA</w:t>
      </w:r>
      <w:r w:rsidR="00DE26D0">
        <w:t>-878</w:t>
      </w:r>
      <w:r w:rsidRPr="003E5FD5">
        <w:t xml:space="preserve"> sample stations (99%) with the GasBuddy database. Possible reasons for not identifying EIA-878 stations in OPIS and/or GasBuddy files include</w:t>
      </w:r>
      <w:r w:rsidR="007930BA">
        <w:t>:</w:t>
      </w:r>
    </w:p>
    <w:p w14:paraId="140158BC" w14:textId="77777777" w:rsidR="00D52D4E" w:rsidRPr="003E5FD5" w:rsidRDefault="00D52D4E" w:rsidP="003677C2">
      <w:pPr>
        <w:pStyle w:val="ListParagraph"/>
      </w:pPr>
      <w:r w:rsidRPr="00FA7CEE">
        <w:rPr>
          <w:u w:val="single"/>
        </w:rPr>
        <w:t>Non-Physical Station Addresses:</w:t>
      </w:r>
      <w:r w:rsidRPr="003E5FD5">
        <w:t xml:space="preserve"> For some stations, EIA-878 records contained mailing addresses that did not match the physical locations of gas stations, such as PO Box addresses.</w:t>
      </w:r>
    </w:p>
    <w:p w14:paraId="12B5D66D" w14:textId="77777777" w:rsidR="00D52D4E" w:rsidRPr="003E5FD5" w:rsidRDefault="00D52D4E" w:rsidP="003677C2">
      <w:pPr>
        <w:pStyle w:val="ListParagraph"/>
      </w:pPr>
      <w:r w:rsidRPr="00FA7CEE">
        <w:rPr>
          <w:u w:val="single"/>
        </w:rPr>
        <w:t>Bad address:</w:t>
      </w:r>
      <w:r w:rsidRPr="003E5FD5">
        <w:t xml:space="preserve"> EIA-878 records contained some inaccurate addresses that were not able to be geocoded or the other information did not match the station located at that physical address.</w:t>
      </w:r>
    </w:p>
    <w:p w14:paraId="64EFDAED" w14:textId="26A6EAE2" w:rsidR="00D52D4E" w:rsidRDefault="00D52D4E" w:rsidP="003677C2">
      <w:pPr>
        <w:pStyle w:val="ListParagraph"/>
      </w:pPr>
      <w:r w:rsidRPr="00FA7CEE">
        <w:rPr>
          <w:u w:val="single"/>
        </w:rPr>
        <w:t>No OPIS or GasBuddy record:</w:t>
      </w:r>
      <w:r w:rsidRPr="003E5FD5">
        <w:t xml:space="preserve"> OPIS and/or GasBuddy did not have a record for some stations in the EIA</w:t>
      </w:r>
      <w:r w:rsidR="00060BB2">
        <w:t>-</w:t>
      </w:r>
      <w:r w:rsidRPr="003E5FD5">
        <w:t xml:space="preserve">878 </w:t>
      </w:r>
      <w:r w:rsidR="007930BA">
        <w:t>gas station sample set</w:t>
      </w:r>
      <w:r w:rsidRPr="003E5FD5">
        <w:t>.</w:t>
      </w:r>
    </w:p>
    <w:p w14:paraId="55741A17" w14:textId="77777777" w:rsidR="002027F3" w:rsidRPr="0051180F" w:rsidRDefault="002027F3">
      <w:pPr>
        <w:spacing w:line="240" w:lineRule="auto"/>
        <w:rPr>
          <w:b/>
          <w:sz w:val="24"/>
          <w:szCs w:val="24"/>
          <w:u w:val="single"/>
        </w:rPr>
      </w:pPr>
    </w:p>
    <w:p w14:paraId="7F7B94CF" w14:textId="77777777" w:rsidR="00D52D4E" w:rsidRDefault="00D52D4E">
      <w:pPr>
        <w:spacing w:line="240" w:lineRule="auto"/>
        <w:rPr>
          <w:rFonts w:asciiTheme="majorHAnsi" w:eastAsiaTheme="majorEastAsia" w:hAnsiTheme="majorHAnsi" w:cstheme="majorBidi"/>
          <w:b/>
          <w:bCs/>
          <w:color w:val="1396D8"/>
          <w:sz w:val="32"/>
          <w:szCs w:val="28"/>
        </w:rPr>
      </w:pPr>
      <w:r>
        <w:br w:type="page"/>
      </w:r>
    </w:p>
    <w:p w14:paraId="0E74A92E" w14:textId="69D730E4" w:rsidR="000E683D" w:rsidRPr="0051180F" w:rsidRDefault="000E683D" w:rsidP="007832EC">
      <w:pPr>
        <w:pStyle w:val="Heading1"/>
      </w:pPr>
      <w:bookmarkStart w:id="10" w:name="_Toc497202514"/>
      <w:r w:rsidRPr="0051180F">
        <w:t>Findings</w:t>
      </w:r>
      <w:bookmarkEnd w:id="10"/>
    </w:p>
    <w:p w14:paraId="6C53E3FF" w14:textId="0BAC0A26" w:rsidR="00D52D4E" w:rsidRPr="00D52D4E" w:rsidRDefault="009265F9" w:rsidP="00E31C5D">
      <w:pPr>
        <w:pStyle w:val="Heading2"/>
        <w:rPr>
          <w:highlight w:val="yellow"/>
        </w:rPr>
      </w:pPr>
      <w:bookmarkStart w:id="11" w:name="_Toc497202515"/>
      <w:r>
        <w:t xml:space="preserve">Evaluation of </w:t>
      </w:r>
      <w:r w:rsidR="00D05BED">
        <w:t>i</w:t>
      </w:r>
      <w:r w:rsidR="00D61326" w:rsidRPr="00E31C5D">
        <w:t xml:space="preserve">nternal </w:t>
      </w:r>
      <w:r w:rsidR="00D05BED">
        <w:t>c</w:t>
      </w:r>
      <w:r w:rsidR="00D61326" w:rsidRPr="00E31C5D">
        <w:t>onsistency</w:t>
      </w:r>
      <w:r>
        <w:t xml:space="preserve"> of the </w:t>
      </w:r>
      <w:r w:rsidRPr="00D5425F">
        <w:t xml:space="preserve">OPIS </w:t>
      </w:r>
      <w:r w:rsidR="00D05BED">
        <w:t>d</w:t>
      </w:r>
      <w:r w:rsidRPr="00D5425F">
        <w:t xml:space="preserve">ata </w:t>
      </w:r>
      <w:r w:rsidR="00D05BED">
        <w:t>f</w:t>
      </w:r>
      <w:r w:rsidRPr="00D5425F">
        <w:t>eed</w:t>
      </w:r>
      <w:bookmarkEnd w:id="11"/>
    </w:p>
    <w:p w14:paraId="1048ABB9" w14:textId="0E0819B4" w:rsidR="00EE5497" w:rsidRPr="003D63C3" w:rsidRDefault="00EE5497" w:rsidP="00E31C5D">
      <w:pPr>
        <w:pStyle w:val="Heading3"/>
      </w:pPr>
      <w:bookmarkStart w:id="12" w:name="_Toc497202516"/>
      <w:r w:rsidRPr="003D63C3">
        <w:t>K</w:t>
      </w:r>
      <w:r w:rsidR="009265F9">
        <w:t>ey findings from comparing</w:t>
      </w:r>
      <w:r w:rsidRPr="003D63C3">
        <w:t xml:space="preserve"> OPIS daily data feeds</w:t>
      </w:r>
      <w:bookmarkEnd w:id="12"/>
    </w:p>
    <w:p w14:paraId="4CC14DF2" w14:textId="53EB14CF" w:rsidR="00EE5497" w:rsidRDefault="00EE5497" w:rsidP="00EE5497">
      <w:r>
        <w:t>Four daily data feeds of prices for regular, midgrade, and premium motor gasoline were compared using</w:t>
      </w:r>
      <w:r w:rsidR="008E71E2">
        <w:t xml:space="preserve"> SAS </w:t>
      </w:r>
      <w:r w:rsidR="00E61237">
        <w:t>PROC COMAPRE</w:t>
      </w:r>
      <w:r w:rsidR="008E71E2">
        <w:t>, which makes comparisons between observation</w:t>
      </w:r>
      <w:r w:rsidR="00A878BB">
        <w:t>s</w:t>
      </w:r>
      <w:r w:rsidR="008E71E2">
        <w:t xml:space="preserve"> identified by a common variable one pair at a time, to make an assessment about similarities and </w:t>
      </w:r>
      <w:r>
        <w:t xml:space="preserve">differences between key data set characteristics. </w:t>
      </w:r>
      <w:r w:rsidR="008E71E2">
        <w:t xml:space="preserve">In this comparison, </w:t>
      </w:r>
      <w:r w:rsidR="00E61237">
        <w:t>PROC COMPARE</w:t>
      </w:r>
      <w:r w:rsidR="008E71E2">
        <w:t xml:space="preserve"> was used to </w:t>
      </w:r>
      <w:r>
        <w:t xml:space="preserve">identify instances of differences in gas station name or address, as well as differences in reported address or zip code to identify possible </w:t>
      </w:r>
      <w:r w:rsidR="00E77461">
        <w:t>discrepancies between the OPIS records and the EIA-878 records</w:t>
      </w:r>
      <w:r>
        <w:t xml:space="preserve">. </w:t>
      </w:r>
      <w:r w:rsidR="00E61237">
        <w:t>PROC COMPARE</w:t>
      </w:r>
      <w:r>
        <w:t xml:space="preserve"> matched gas stations based on their locations, using a </w:t>
      </w:r>
      <w:r w:rsidR="00E77461">
        <w:t>uniquely assigned station ID</w:t>
      </w:r>
      <w:r>
        <w:t xml:space="preserve">. </w:t>
      </w:r>
      <w:r w:rsidR="008E71E2">
        <w:t>Matched comparisons</w:t>
      </w:r>
      <w:r>
        <w:t xml:space="preserve"> of the four daily OPIS feeds identified a range of 106,432 – 118,987 exact matches based on the location identifier. The highest number of matches occurred during comparison of the 4</w:t>
      </w:r>
      <w:r w:rsidR="00FE19E7">
        <w:t xml:space="preserve"> p.m.</w:t>
      </w:r>
      <w:r>
        <w:t xml:space="preserve"> to the 8</w:t>
      </w:r>
      <w:r w:rsidR="00FE19E7">
        <w:t xml:space="preserve"> p.m. </w:t>
      </w:r>
      <w:r>
        <w:t xml:space="preserve">daily data feed and feeds during these two times consistently produced the most matches based on the location identifier. </w:t>
      </w:r>
    </w:p>
    <w:p w14:paraId="2ED80DB0" w14:textId="77777777" w:rsidR="00EE5497" w:rsidRDefault="00EE5497" w:rsidP="00EE5497">
      <w:r>
        <w:t xml:space="preserve">A number of mismatches in key characteristics were identified during the pairwise comparison of timed daily feeds. These included: </w:t>
      </w:r>
    </w:p>
    <w:p w14:paraId="3191F6E6" w14:textId="77777777" w:rsidR="00EE5497" w:rsidRDefault="00EE5497" w:rsidP="003677C2">
      <w:pPr>
        <w:pStyle w:val="ListParagraph"/>
        <w:numPr>
          <w:ilvl w:val="0"/>
          <w:numId w:val="10"/>
        </w:numPr>
      </w:pPr>
      <w:r>
        <w:t>Mismatches in gas station name, with instances of mismatches ranging from 0 to 53 (median = 6)</w:t>
      </w:r>
    </w:p>
    <w:p w14:paraId="47B9A6DA" w14:textId="77777777" w:rsidR="00EE5497" w:rsidRDefault="00EE5497" w:rsidP="003677C2">
      <w:pPr>
        <w:pStyle w:val="ListParagraph"/>
        <w:numPr>
          <w:ilvl w:val="0"/>
          <w:numId w:val="10"/>
        </w:numPr>
      </w:pPr>
      <w:r>
        <w:t xml:space="preserve">Mismatches in gas station address, with 4 being the largest number of instances </w:t>
      </w:r>
    </w:p>
    <w:p w14:paraId="3842D61B" w14:textId="77777777" w:rsidR="00EE5497" w:rsidRDefault="00EE5497" w:rsidP="003677C2">
      <w:pPr>
        <w:pStyle w:val="ListParagraph"/>
        <w:numPr>
          <w:ilvl w:val="0"/>
          <w:numId w:val="10"/>
        </w:numPr>
      </w:pPr>
      <w:r>
        <w:t>Mismatches in city listed for the gas station, with 23 being the largest number of instances. The 23 instances of mismatch occurred in only 3 pairwise comparisons and the rest of the pairwise comparisons revealed at most only 1 mismatch</w:t>
      </w:r>
    </w:p>
    <w:p w14:paraId="771CACA3" w14:textId="77777777" w:rsidR="00EE5497" w:rsidRDefault="00EE5497" w:rsidP="003677C2">
      <w:pPr>
        <w:pStyle w:val="ListParagraph"/>
        <w:numPr>
          <w:ilvl w:val="0"/>
          <w:numId w:val="10"/>
        </w:numPr>
      </w:pPr>
      <w:r>
        <w:t>Mismatches in the zip code listed, with 2 mismatches being the largest number of occurrences</w:t>
      </w:r>
    </w:p>
    <w:p w14:paraId="2217D976" w14:textId="124BB96F" w:rsidR="00EE5497" w:rsidRDefault="00EE5497" w:rsidP="00EE5497">
      <w:r>
        <w:t xml:space="preserve">There were </w:t>
      </w:r>
      <w:r w:rsidR="00532782">
        <w:t xml:space="preserve">three </w:t>
      </w:r>
      <w:r>
        <w:t>instances where two of the daily data feeds provided by OPIS were identical</w:t>
      </w:r>
      <w:r w:rsidR="00532782">
        <w:t xml:space="preserve">: </w:t>
      </w:r>
      <w:r>
        <w:t>July</w:t>
      </w:r>
      <w:r w:rsidR="00532782">
        <w:t xml:space="preserve"> 3 (12:00 p.m. and 4 p.m.), J</w:t>
      </w:r>
      <w:r>
        <w:t>uly 17</w:t>
      </w:r>
      <w:r w:rsidR="00532782">
        <w:t xml:space="preserve"> (</w:t>
      </w:r>
      <w:r w:rsidR="000D0EDC">
        <w:t xml:space="preserve">12:00 p.m. </w:t>
      </w:r>
      <w:r w:rsidR="00532782">
        <w:t>and 4 p.m.) and July 10 (8 a.m. and 12:00 p.m.)</w:t>
      </w:r>
      <w:r>
        <w:t xml:space="preserve"> Outside of these three occurrences, the data feeds at all other times exhibited some differences, which suggests that there is some natural variability occurring in the values collected by OPIS during different times of day. </w:t>
      </w:r>
      <w:r w:rsidR="00B33480">
        <w:t>SDSI staff</w:t>
      </w:r>
      <w:r>
        <w:t xml:space="preserve"> suspect that the three instances where the data in pairwise comparisons of daily feeds was identical is due to a possible transmission of an incorrect data feed or to the overwriting of the file, as opposed to a true instance of complete concurrence in the data collected by OPIS.</w:t>
      </w:r>
    </w:p>
    <w:p w14:paraId="07FE3B3E" w14:textId="0AB819BB" w:rsidR="00EE5497" w:rsidRDefault="00EE5497" w:rsidP="00EE5497">
      <w:r>
        <w:t xml:space="preserve">Overall, comparison of the four OPIS daily data feeds revealed no substantial or persistent differences in the characteristics examined by </w:t>
      </w:r>
      <w:r w:rsidR="00DB1CFC">
        <w:t>SDSI staff.</w:t>
      </w:r>
    </w:p>
    <w:p w14:paraId="3F3375EB" w14:textId="620E1C2F" w:rsidR="00EE5497" w:rsidRPr="00374394" w:rsidRDefault="009265F9" w:rsidP="00532782">
      <w:pPr>
        <w:pStyle w:val="Heading3"/>
      </w:pPr>
      <w:bookmarkStart w:id="13" w:name="_Toc497202517"/>
      <w:r w:rsidRPr="003D63C3">
        <w:t>K</w:t>
      </w:r>
      <w:r>
        <w:t xml:space="preserve">ey findings from </w:t>
      </w:r>
      <w:r w:rsidR="005672F1">
        <w:t>m</w:t>
      </w:r>
      <w:r w:rsidR="009F3147">
        <w:t>atched</w:t>
      </w:r>
      <w:r w:rsidR="005672F1">
        <w:t xml:space="preserve"> </w:t>
      </w:r>
      <w:r w:rsidR="00C72639">
        <w:t xml:space="preserve">comparisons of prices between </w:t>
      </w:r>
      <w:r w:rsidR="00EE5497" w:rsidRPr="00374394">
        <w:t>timed daily feeds</w:t>
      </w:r>
      <w:bookmarkEnd w:id="13"/>
    </w:p>
    <w:p w14:paraId="343F7B48" w14:textId="7345B2D9" w:rsidR="00EE5497" w:rsidRDefault="00EE5497" w:rsidP="00EE5497">
      <w:r>
        <w:t>Along with the comparisons detailed above, one of the main objectives of the procedure was to identify instances of price differences from a gas station providing a data report to OPIS at different times during the day. Regular, midgrade, and premium gasoline prices were considered separately in pairwise comparisons of daily data feeds. The two series of graphs below illustrate 1) the largest price differences identified and 2) the number of instances that these price differences were identified in the pairwise comparison.</w:t>
      </w:r>
    </w:p>
    <w:p w14:paraId="02695ADE" w14:textId="77777777" w:rsidR="00EE5497" w:rsidRDefault="00EE5497" w:rsidP="00EE5497">
      <w:r>
        <w:t>Summary of results:</w:t>
      </w:r>
    </w:p>
    <w:p w14:paraId="1ECFA4BB" w14:textId="77777777" w:rsidR="00EE5497" w:rsidRDefault="00EE5497" w:rsidP="003677C2">
      <w:pPr>
        <w:pStyle w:val="ListParagraph"/>
      </w:pPr>
      <w:r>
        <w:t>Most observed differences in price were below $1, with the largest identified difference in price observed in data feeds reporting prices of regular motor gasoline</w:t>
      </w:r>
    </w:p>
    <w:p w14:paraId="1EEF689D" w14:textId="14631824" w:rsidR="00EE5497" w:rsidRDefault="00EE5497" w:rsidP="003677C2">
      <w:pPr>
        <w:pStyle w:val="ListParagraph"/>
      </w:pPr>
      <w:r>
        <w:t>4</w:t>
      </w:r>
      <w:r w:rsidR="00167C8E">
        <w:t>%</w:t>
      </w:r>
      <w:r>
        <w:t xml:space="preserve"> of the gas stations in the sample were reported more than once of having the largest observed price difference by pairwise comparison; of these, 70</w:t>
      </w:r>
      <w:r w:rsidR="00167C8E">
        <w:t xml:space="preserve">% </w:t>
      </w:r>
      <w:r>
        <w:t>repeated for the same grade of gasoline</w:t>
      </w:r>
    </w:p>
    <w:p w14:paraId="618D0EDF" w14:textId="1EFB83CC" w:rsidR="00EE5497" w:rsidRDefault="00EE5497" w:rsidP="003677C2">
      <w:pPr>
        <w:pStyle w:val="ListParagraph"/>
      </w:pPr>
      <w:r>
        <w:t xml:space="preserve">On average, the largest price differences are found in the comparison between the 8 </w:t>
      </w:r>
      <w:r w:rsidR="000D0EDC">
        <w:t xml:space="preserve">a.m. </w:t>
      </w:r>
      <w:r>
        <w:t xml:space="preserve">and 8 </w:t>
      </w:r>
      <w:r w:rsidR="000D0EDC">
        <w:t xml:space="preserve">p.m. </w:t>
      </w:r>
      <w:r>
        <w:t>feeds and for premium motor gasoline</w:t>
      </w:r>
    </w:p>
    <w:p w14:paraId="7B8077EB" w14:textId="33ADD3E7" w:rsidR="00EE5497" w:rsidRDefault="00EE5497" w:rsidP="00167C8E">
      <w:pPr>
        <w:pStyle w:val="Heading4"/>
      </w:pPr>
      <w:r>
        <w:t xml:space="preserve">Regular </w:t>
      </w:r>
      <w:r w:rsidR="00D05BED">
        <w:t>m</w:t>
      </w:r>
      <w:r>
        <w:t xml:space="preserve">otor </w:t>
      </w:r>
      <w:r w:rsidR="00D05BED">
        <w:t>g</w:t>
      </w:r>
      <w:r>
        <w:t>asoline</w:t>
      </w:r>
    </w:p>
    <w:p w14:paraId="0A857CB1" w14:textId="36542085" w:rsidR="00EE5497" w:rsidRDefault="00EE5497" w:rsidP="00EE5497">
      <w:r>
        <w:t xml:space="preserve">Comparisons of four data feeds of regular motor gasoline revealed that the largest observed difference in price reported by the same station on the same day was $1.19, occurring 9,345 times within a single pairwise comparison. The largest number in instances of an observed price discrepancy reported by gas stations in one day occurred 25,403 times for the price of $0.89. Overall, no consistent discrepancies between gas station reports were observed for prices of regular motor gasoline and the range of the discrepancies spanned $0.70 to $1.19 occurring between 5,141 to 25,403 times. </w:t>
      </w:r>
      <w:r w:rsidR="00E77461">
        <w:t>Figures 4a and 4b</w:t>
      </w:r>
      <w:r>
        <w:t xml:space="preserve"> below </w:t>
      </w:r>
      <w:r w:rsidR="00E77461">
        <w:t xml:space="preserve">illustrate </w:t>
      </w:r>
      <w:r>
        <w:t>the relationships described in this paragraph.</w:t>
      </w:r>
    </w:p>
    <w:p w14:paraId="3E0D51C4" w14:textId="16F48A85" w:rsidR="00EE5497" w:rsidRDefault="00EE5497" w:rsidP="00EE5497">
      <w:pPr>
        <w:rPr>
          <w:noProof/>
        </w:rPr>
      </w:pPr>
      <w:r w:rsidRPr="00DE26D0">
        <w:rPr>
          <w:b/>
          <w:bCs/>
          <w:color w:val="1396D8"/>
        </w:rPr>
        <w:t xml:space="preserve"> </w:t>
      </w:r>
      <w:r w:rsidR="00E77461" w:rsidRPr="00DE26D0">
        <w:rPr>
          <w:b/>
          <w:bCs/>
          <w:color w:val="1396D8"/>
        </w:rPr>
        <w:t>Figure 4a. Largest price differences, of regular motor gasoline, observed between daily OPIS data feeds.</w:t>
      </w:r>
      <w:r>
        <w:rPr>
          <w:noProof/>
        </w:rPr>
        <w:drawing>
          <wp:inline distT="0" distB="0" distL="0" distR="0" wp14:anchorId="5C5E57AA" wp14:editId="2C497082">
            <wp:extent cx="6315075" cy="402907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06A046" w14:textId="77777777" w:rsidR="00EE5497" w:rsidRDefault="00EE5497" w:rsidP="00EE5497"/>
    <w:p w14:paraId="33CCDC68" w14:textId="55305D7E" w:rsidR="00E77461" w:rsidRPr="00DE26D0" w:rsidRDefault="00E77461" w:rsidP="00EE5497">
      <w:pPr>
        <w:rPr>
          <w:b/>
          <w:bCs/>
          <w:color w:val="1396D8"/>
        </w:rPr>
      </w:pPr>
      <w:r w:rsidRPr="00DE26D0">
        <w:rPr>
          <w:b/>
          <w:bCs/>
          <w:color w:val="1396D8"/>
        </w:rPr>
        <w:t>Figure 4b. Number of instances the observed largest difference in price of regular motor gasoline occurred between daily OPIS data feeds.</w:t>
      </w:r>
    </w:p>
    <w:p w14:paraId="393F6FA0" w14:textId="77777777" w:rsidR="00EE5497" w:rsidRDefault="00EE5497" w:rsidP="00EE5497">
      <w:r>
        <w:rPr>
          <w:noProof/>
        </w:rPr>
        <w:drawing>
          <wp:inline distT="0" distB="0" distL="0" distR="0" wp14:anchorId="405B567A" wp14:editId="0B1149FC">
            <wp:extent cx="6353175" cy="407670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AA30EE" w14:textId="77777777" w:rsidR="00EE5497" w:rsidRDefault="00EE5497" w:rsidP="00EE5497"/>
    <w:p w14:paraId="0923F235" w14:textId="5900F06D" w:rsidR="00EE5497" w:rsidRDefault="00EE5497" w:rsidP="00167C8E">
      <w:pPr>
        <w:pStyle w:val="Heading4"/>
      </w:pPr>
      <w:r w:rsidRPr="00F14CA3">
        <w:t>Midgrade</w:t>
      </w:r>
      <w:r>
        <w:t xml:space="preserve"> </w:t>
      </w:r>
      <w:r w:rsidR="00D05BED">
        <w:t>m</w:t>
      </w:r>
      <w:r>
        <w:t xml:space="preserve">otor </w:t>
      </w:r>
      <w:r w:rsidR="00D05BED">
        <w:t>g</w:t>
      </w:r>
      <w:r>
        <w:t>asoline</w:t>
      </w:r>
    </w:p>
    <w:p w14:paraId="430F8344" w14:textId="54706DED" w:rsidR="00EE5497" w:rsidRDefault="00EE5497" w:rsidP="00EE5497">
      <w:r>
        <w:t xml:space="preserve">Comparisons of four data feeds of midgrade motor gasoline revealed that the largest observed difference in price reported by the same station on the same day was $0.89, occurring 11,699 times within a single pairwise comparison. The largest number of instances of an observed price discrepancy reported by gas stations in one day occurred 17,126 times for the price of $0.70. Overall, no consistent discrepancies between gas station reports were observed for prices of midgrade motor gasoline and the range of the discrepancies spanned $0.55 to $0.89 occurring between 7,101  to 17,126 times. </w:t>
      </w:r>
      <w:r w:rsidR="00E77461">
        <w:t>Figures 5a and 5b</w:t>
      </w:r>
      <w:r>
        <w:t xml:space="preserve"> below demonstrate the relationships described in this paragraph.</w:t>
      </w:r>
    </w:p>
    <w:p w14:paraId="452BA164" w14:textId="77777777" w:rsidR="00EE5497" w:rsidRDefault="00EE5497" w:rsidP="00EE5497"/>
    <w:p w14:paraId="72C11CBB" w14:textId="77777777" w:rsidR="00E77461" w:rsidRDefault="00E77461" w:rsidP="00EE5497"/>
    <w:p w14:paraId="757813DD" w14:textId="77777777" w:rsidR="00E77461" w:rsidRDefault="00E77461" w:rsidP="00EE5497"/>
    <w:p w14:paraId="1A9EEEB6" w14:textId="77777777" w:rsidR="00E77461" w:rsidRDefault="00E77461" w:rsidP="00EE5497"/>
    <w:p w14:paraId="5E388578" w14:textId="77777777" w:rsidR="00E77461" w:rsidRDefault="00E77461" w:rsidP="00EE5497"/>
    <w:p w14:paraId="39654621" w14:textId="4FC3398A" w:rsidR="00E77461" w:rsidRPr="00DE26D0" w:rsidRDefault="00E77461" w:rsidP="00EE5497">
      <w:pPr>
        <w:rPr>
          <w:b/>
          <w:bCs/>
          <w:color w:val="1396D8"/>
        </w:rPr>
      </w:pPr>
      <w:r w:rsidRPr="00DE26D0">
        <w:rPr>
          <w:b/>
          <w:bCs/>
          <w:color w:val="1396D8"/>
        </w:rPr>
        <w:t>Figure 5a. Largest price differences of midgrade motor gasoline observed between daily OPIS data feeds.</w:t>
      </w:r>
    </w:p>
    <w:p w14:paraId="35DB636D" w14:textId="77777777" w:rsidR="00EE5497" w:rsidRDefault="00EE5497" w:rsidP="00EE5497">
      <w:r>
        <w:rPr>
          <w:noProof/>
        </w:rPr>
        <w:drawing>
          <wp:inline distT="0" distB="0" distL="0" distR="0" wp14:anchorId="314FFCD9" wp14:editId="0F833568">
            <wp:extent cx="6381750" cy="4076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822E3B" w14:textId="77777777" w:rsidR="00EE5497" w:rsidRDefault="00EE5497" w:rsidP="00EE5497"/>
    <w:p w14:paraId="37A49B31" w14:textId="77777777" w:rsidR="00E77461" w:rsidRDefault="00E77461" w:rsidP="00EE5497"/>
    <w:p w14:paraId="40E27A6C" w14:textId="77777777" w:rsidR="00E77461" w:rsidRDefault="00E77461" w:rsidP="00EE5497"/>
    <w:p w14:paraId="4B7F4FFC" w14:textId="77777777" w:rsidR="00E77461" w:rsidRDefault="00E77461" w:rsidP="00EE5497"/>
    <w:p w14:paraId="6E2C4CB6" w14:textId="77777777" w:rsidR="00E77461" w:rsidRDefault="00E77461" w:rsidP="00EE5497"/>
    <w:p w14:paraId="3487DDFA" w14:textId="77777777" w:rsidR="00E77461" w:rsidRDefault="00E77461" w:rsidP="00EE5497"/>
    <w:p w14:paraId="5B5B7D09" w14:textId="77777777" w:rsidR="00E77461" w:rsidRDefault="00E77461" w:rsidP="00EE5497"/>
    <w:p w14:paraId="5FD8AB78" w14:textId="77777777" w:rsidR="00E77461" w:rsidRDefault="00E77461" w:rsidP="00EE5497"/>
    <w:p w14:paraId="1636F556" w14:textId="77777777" w:rsidR="00E77461" w:rsidRDefault="00E77461" w:rsidP="00EE5497"/>
    <w:p w14:paraId="556E9671" w14:textId="77777777" w:rsidR="00E77461" w:rsidRDefault="00E77461" w:rsidP="00EE5497"/>
    <w:p w14:paraId="0E8E61B8" w14:textId="77777777" w:rsidR="00E77461" w:rsidRDefault="00E77461" w:rsidP="00EE5497"/>
    <w:p w14:paraId="07477C35" w14:textId="77777777" w:rsidR="00E77461" w:rsidRDefault="00E77461" w:rsidP="00EE5497"/>
    <w:p w14:paraId="5C749EBF" w14:textId="00FAE6A6" w:rsidR="00E77461" w:rsidRPr="00DE26D0" w:rsidRDefault="00E77461" w:rsidP="00EE5497">
      <w:pPr>
        <w:rPr>
          <w:b/>
          <w:bCs/>
          <w:color w:val="1396D8"/>
        </w:rPr>
      </w:pPr>
      <w:r w:rsidRPr="00DE26D0">
        <w:rPr>
          <w:b/>
          <w:bCs/>
          <w:color w:val="1396D8"/>
        </w:rPr>
        <w:t>Figure 5b. Number of instances of observed largest difference in price of midgrade motor gasoline occurred between daily OPIS data feeds.</w:t>
      </w:r>
    </w:p>
    <w:p w14:paraId="69345AE8" w14:textId="77777777" w:rsidR="00EE5497" w:rsidRDefault="00EE5497" w:rsidP="00EE5497">
      <w:r>
        <w:rPr>
          <w:noProof/>
        </w:rPr>
        <w:drawing>
          <wp:inline distT="0" distB="0" distL="0" distR="0" wp14:anchorId="7E326861" wp14:editId="6EDB49F2">
            <wp:extent cx="6381750" cy="370522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906F71" w14:textId="77777777" w:rsidR="00EE5497" w:rsidRDefault="00EE5497" w:rsidP="00EE5497"/>
    <w:p w14:paraId="781010DF" w14:textId="77777777" w:rsidR="00EE5497" w:rsidRDefault="00EE5497" w:rsidP="00EE5497"/>
    <w:p w14:paraId="1B643E83" w14:textId="77777777" w:rsidR="00EE5497" w:rsidRDefault="00EE5497" w:rsidP="00EE5497"/>
    <w:p w14:paraId="6FBEF909" w14:textId="7121A95E" w:rsidR="00EE5497" w:rsidRDefault="00EE5497" w:rsidP="00167C8E">
      <w:pPr>
        <w:pStyle w:val="Heading4"/>
      </w:pPr>
      <w:r>
        <w:t xml:space="preserve">Premium </w:t>
      </w:r>
      <w:r w:rsidR="00114932">
        <w:t>m</w:t>
      </w:r>
      <w:r>
        <w:t xml:space="preserve">otor </w:t>
      </w:r>
      <w:r w:rsidR="00114932">
        <w:t>g</w:t>
      </w:r>
      <w:r>
        <w:t>asoline</w:t>
      </w:r>
    </w:p>
    <w:p w14:paraId="0C64B91F" w14:textId="7835EE3E" w:rsidR="00EE5497" w:rsidRDefault="00EE5497" w:rsidP="00EE5497">
      <w:r>
        <w:t xml:space="preserve">Comparisons of four data feeds of premium motor gasoline revealed that the largest observed difference in price reported by the same station on the same day was $1.08, occurring in multiple pairwise comparisons between 6,057 to 15,438 times. The largest number of instances of an observed price discrepancy reported by gas stations in one day occurred 16,936 times for the price of $0.84. Overall, no consistent discrepancies between gas station reports were observed for prices of premium motor gasoline and the range of the discrepancies spanned $0.68 to $1.08 occurring between 4,356  to 15,438 times. </w:t>
      </w:r>
      <w:r w:rsidR="00832C1B">
        <w:t>Figures 6a and 6b</w:t>
      </w:r>
      <w:r>
        <w:t xml:space="preserve"> below demonstrate the relationships described in this paragraph.</w:t>
      </w:r>
    </w:p>
    <w:p w14:paraId="1C87683B" w14:textId="77777777" w:rsidR="00832C1B" w:rsidRDefault="00832C1B" w:rsidP="00EE5497"/>
    <w:p w14:paraId="11B64E1E" w14:textId="77777777" w:rsidR="00832C1B" w:rsidRDefault="00832C1B" w:rsidP="00EE5497"/>
    <w:p w14:paraId="19DF8E99" w14:textId="77777777" w:rsidR="00832C1B" w:rsidRDefault="00832C1B" w:rsidP="00EE5497"/>
    <w:p w14:paraId="306E31D0" w14:textId="77777777" w:rsidR="00832C1B" w:rsidRDefault="00832C1B" w:rsidP="00EE5497"/>
    <w:p w14:paraId="0E79D52D" w14:textId="11D718B4" w:rsidR="00832C1B" w:rsidRPr="00DE26D0" w:rsidRDefault="00832C1B" w:rsidP="00EE5497">
      <w:pPr>
        <w:rPr>
          <w:b/>
          <w:bCs/>
          <w:color w:val="1396D8"/>
        </w:rPr>
      </w:pPr>
      <w:r w:rsidRPr="00DE26D0">
        <w:rPr>
          <w:b/>
          <w:bCs/>
          <w:color w:val="1396D8"/>
        </w:rPr>
        <w:t>Figure 6a. Largest price differences of premium motor gasoline observed between daily OPIS data feeds.</w:t>
      </w:r>
    </w:p>
    <w:p w14:paraId="0F1E8EA4" w14:textId="77777777" w:rsidR="00EE5497" w:rsidRDefault="00EE5497" w:rsidP="00EE5497">
      <w:r>
        <w:rPr>
          <w:noProof/>
        </w:rPr>
        <w:drawing>
          <wp:inline distT="0" distB="0" distL="0" distR="0" wp14:anchorId="6DB0BABA" wp14:editId="03DB6745">
            <wp:extent cx="6372225" cy="39909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52DBC8" w14:textId="77777777" w:rsidR="00EE5497" w:rsidRDefault="00EE5497" w:rsidP="00EE5497"/>
    <w:p w14:paraId="63566EBB" w14:textId="77777777" w:rsidR="005620C5" w:rsidRDefault="005620C5" w:rsidP="00EE5497"/>
    <w:p w14:paraId="05E2D853" w14:textId="77777777" w:rsidR="005620C5" w:rsidRDefault="005620C5" w:rsidP="00EE5497"/>
    <w:p w14:paraId="6A919A34" w14:textId="77777777" w:rsidR="005620C5" w:rsidRDefault="005620C5" w:rsidP="00EE5497"/>
    <w:p w14:paraId="6ED5A39D" w14:textId="77777777" w:rsidR="005620C5" w:rsidRDefault="005620C5" w:rsidP="00EE5497"/>
    <w:p w14:paraId="14F2BF5D" w14:textId="77777777" w:rsidR="005620C5" w:rsidRDefault="005620C5" w:rsidP="00EE5497"/>
    <w:p w14:paraId="3FA41A0B" w14:textId="77777777" w:rsidR="005620C5" w:rsidRDefault="005620C5" w:rsidP="00EE5497"/>
    <w:p w14:paraId="1587E7DF" w14:textId="77777777" w:rsidR="005620C5" w:rsidRDefault="005620C5" w:rsidP="00EE5497"/>
    <w:p w14:paraId="19D7219E" w14:textId="77777777" w:rsidR="005620C5" w:rsidRDefault="005620C5" w:rsidP="00EE5497"/>
    <w:p w14:paraId="6D316870" w14:textId="77777777" w:rsidR="005620C5" w:rsidRDefault="005620C5" w:rsidP="00EE5497"/>
    <w:p w14:paraId="1B8079D0" w14:textId="77777777" w:rsidR="005620C5" w:rsidRDefault="005620C5" w:rsidP="00EE5497"/>
    <w:p w14:paraId="2ACDF469" w14:textId="77777777" w:rsidR="005620C5" w:rsidRDefault="005620C5" w:rsidP="00EE5497"/>
    <w:p w14:paraId="3A261D70" w14:textId="63441B7D" w:rsidR="005620C5" w:rsidRPr="00DE26D0" w:rsidRDefault="005620C5" w:rsidP="00EE5497">
      <w:pPr>
        <w:rPr>
          <w:b/>
          <w:bCs/>
          <w:color w:val="1396D8"/>
        </w:rPr>
      </w:pPr>
      <w:r w:rsidRPr="00DE26D0">
        <w:rPr>
          <w:b/>
          <w:bCs/>
          <w:color w:val="1396D8"/>
        </w:rPr>
        <w:t>Figure 6b. Number of instances of observed largest difference in price of premium motor gasoline occurring between daily OPIS data feeds.</w:t>
      </w:r>
    </w:p>
    <w:p w14:paraId="5FC655F4" w14:textId="77777777" w:rsidR="00EE5497" w:rsidRDefault="00EE5497" w:rsidP="00EE5497">
      <w:r>
        <w:rPr>
          <w:noProof/>
        </w:rPr>
        <w:drawing>
          <wp:inline distT="0" distB="0" distL="0" distR="0" wp14:anchorId="68B3105D" wp14:editId="3887BC04">
            <wp:extent cx="6362700" cy="431482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DC6AB9" w14:textId="77777777" w:rsidR="00EE5497" w:rsidRDefault="00EE5497" w:rsidP="00EE5497"/>
    <w:p w14:paraId="60F7296D" w14:textId="38ACD250" w:rsidR="00EE5497" w:rsidRPr="00054185" w:rsidRDefault="005C7297" w:rsidP="00167C8E">
      <w:pPr>
        <w:pStyle w:val="Heading3"/>
      </w:pPr>
      <w:bookmarkStart w:id="14" w:name="_Toc497202518"/>
      <w:r>
        <w:t>Key findings from i</w:t>
      </w:r>
      <w:r w:rsidR="00EE5497" w:rsidRPr="00054185">
        <w:t>nvestigating instances of largest price differences by pairwise comparison</w:t>
      </w:r>
      <w:bookmarkEnd w:id="14"/>
    </w:p>
    <w:p w14:paraId="04FD1BDC" w14:textId="237669F9" w:rsidR="00EE5497" w:rsidRDefault="005C7297" w:rsidP="00EE5497">
      <w:r>
        <w:t xml:space="preserve">Data on differences in price between timed daily feeds indicate instances of price </w:t>
      </w:r>
      <w:r w:rsidR="00EE5497">
        <w:t xml:space="preserve">differences greater than $1.00 </w:t>
      </w:r>
      <w:r>
        <w:t>occurring on</w:t>
      </w:r>
      <w:r w:rsidR="00EE5497">
        <w:t xml:space="preserve"> the same day</w:t>
      </w:r>
      <w:r>
        <w:t xml:space="preserve"> and appearing more than once in weekly pairwise comparison of the four daily feeds</w:t>
      </w:r>
      <w:r w:rsidR="00EE5497">
        <w:t xml:space="preserve">. </w:t>
      </w:r>
      <w:r>
        <w:t xml:space="preserve">SDSI </w:t>
      </w:r>
      <w:r w:rsidR="00EB75D8">
        <w:t>staff</w:t>
      </w:r>
      <w:r>
        <w:t xml:space="preserve"> deemed these price differences as significant and ‘flagged’ them for further investigation.</w:t>
      </w:r>
      <w:r w:rsidR="00EE5497">
        <w:t xml:space="preserve"> </w:t>
      </w:r>
      <w:r>
        <w:t xml:space="preserve">Pairwise comparisons performed over the eight week period, during which data </w:t>
      </w:r>
      <w:r w:rsidR="00D2256D">
        <w:t xml:space="preserve">were </w:t>
      </w:r>
      <w:r>
        <w:t>available, revealed 10 instances of ‘flagged’ price differences.</w:t>
      </w:r>
      <w:r w:rsidR="00EE5497">
        <w:t xml:space="preserve"> </w:t>
      </w:r>
      <w:r>
        <w:t>Four of these instance</w:t>
      </w:r>
      <w:r w:rsidR="00167C8E">
        <w:t>s</w:t>
      </w:r>
      <w:r>
        <w:t xml:space="preserve"> were identified </w:t>
      </w:r>
      <w:r w:rsidR="00EE5497">
        <w:t xml:space="preserve">in the comparison </w:t>
      </w:r>
      <w:r>
        <w:t xml:space="preserve">of noon to </w:t>
      </w:r>
      <w:r w:rsidR="00EE5497">
        <w:t xml:space="preserve">4 </w:t>
      </w:r>
      <w:r w:rsidR="00C62D16">
        <w:t>p.m.</w:t>
      </w:r>
      <w:r w:rsidR="00EE5497">
        <w:t xml:space="preserve"> feeds.</w:t>
      </w:r>
      <w:r w:rsidR="00EE5497" w:rsidRPr="00B371A6">
        <w:t xml:space="preserve"> </w:t>
      </w:r>
    </w:p>
    <w:p w14:paraId="7D22718D" w14:textId="5343A9D3" w:rsidR="00EE5497" w:rsidRDefault="00EE5497" w:rsidP="00EE5497">
      <w:r>
        <w:t>Investigating the instances of the largest price differences</w:t>
      </w:r>
      <w:r w:rsidR="000077FE">
        <w:t>,</w:t>
      </w:r>
      <w:r w:rsidR="00C62D16">
        <w:t xml:space="preserve"> in the subset of OPIS gas stations that also appeared in the EIA-878 sample, revealed</w:t>
      </w:r>
      <w:r>
        <w:t xml:space="preserve"> that a few </w:t>
      </w:r>
      <w:r w:rsidR="00C62D16">
        <w:t xml:space="preserve">of these </w:t>
      </w:r>
      <w:r>
        <w:t xml:space="preserve">gas stations </w:t>
      </w:r>
      <w:r w:rsidR="00C62D16">
        <w:t>s</w:t>
      </w:r>
      <w:r>
        <w:t xml:space="preserve">hould be monitored, as they exhibit the largest price differential between feeds multiple times. </w:t>
      </w:r>
      <w:r w:rsidR="005C7297">
        <w:t>The investigation revealed that</w:t>
      </w:r>
      <w:r>
        <w:t xml:space="preserve"> 33 gas stations </w:t>
      </w:r>
      <w:r w:rsidR="005C7297">
        <w:t>(4%)</w:t>
      </w:r>
      <w:r w:rsidR="00C62D16">
        <w:t>,</w:t>
      </w:r>
      <w:r>
        <w:t xml:space="preserve"> </w:t>
      </w:r>
      <w:r w:rsidR="00DE525A">
        <w:t>present in both</w:t>
      </w:r>
      <w:r w:rsidR="00C62D16">
        <w:t xml:space="preserve"> the OPIS feeds and </w:t>
      </w:r>
      <w:r>
        <w:t xml:space="preserve">in the </w:t>
      </w:r>
      <w:r w:rsidR="00C62D16">
        <w:t xml:space="preserve">EIA-878 </w:t>
      </w:r>
      <w:r>
        <w:t>sample</w:t>
      </w:r>
      <w:r w:rsidR="00C62D16">
        <w:t>,</w:t>
      </w:r>
      <w:r>
        <w:t xml:space="preserve"> report the largest price difference between feeds at least twice. </w:t>
      </w:r>
      <w:r w:rsidR="006179CD">
        <w:t>One gas station was identified as reporting the largest price difference between data feeds a total of six distinct times. This observation was particularly revealing in that this large difference in price reported for this station by different feeds was reported for the same grade of motor gasoline. Further investigation into the presence of such discrepancies revealed that 30% of gas stations exhibit a large difference in price from a pairwise comparison between data feeds and these stations may need to be more closely monitored to elucidate the driver(s) of these reporting discrepancies.</w:t>
      </w:r>
    </w:p>
    <w:p w14:paraId="2D6B3BFD" w14:textId="24163909" w:rsidR="00EE5497" w:rsidRDefault="0049214C" w:rsidP="00EE5497">
      <w:r>
        <w:t>The largest average price difference,</w:t>
      </w:r>
      <w:r w:rsidR="00DE525A">
        <w:t xml:space="preserve"> without gasoline grade distinction and</w:t>
      </w:r>
      <w:r>
        <w:t xml:space="preserve"> </w:t>
      </w:r>
      <w:r w:rsidR="00DE525A">
        <w:t>observed in the subset of OPIS gas stations that also appeared in the EIA-878 sample</w:t>
      </w:r>
      <w:r>
        <w:t>, was 84</w:t>
      </w:r>
      <w:r w:rsidR="00C62D16">
        <w:t>¢</w:t>
      </w:r>
      <w:r>
        <w:t xml:space="preserve"> and occurred</w:t>
      </w:r>
      <w:r w:rsidR="006179CD">
        <w:t xml:space="preserve"> in the comparison betwee</w:t>
      </w:r>
      <w:r>
        <w:t xml:space="preserve">n the 8 </w:t>
      </w:r>
      <w:r w:rsidR="001C26AC">
        <w:t>a.m.</w:t>
      </w:r>
      <w:r>
        <w:t xml:space="preserve"> and 8 </w:t>
      </w:r>
      <w:r w:rsidR="001C26AC">
        <w:t xml:space="preserve">p.m. </w:t>
      </w:r>
      <w:r>
        <w:t>feeds.</w:t>
      </w:r>
      <w:r w:rsidR="006179CD">
        <w:t xml:space="preserve"> Premium</w:t>
      </w:r>
      <w:r w:rsidR="00EE5497">
        <w:t xml:space="preserve"> motor gasoline </w:t>
      </w:r>
      <w:r w:rsidR="006179CD">
        <w:t xml:space="preserve">stood out as having the </w:t>
      </w:r>
      <w:r w:rsidR="00EE5497">
        <w:t>highest price differential on average among gasoline grades</w:t>
      </w:r>
      <w:r>
        <w:t xml:space="preserve"> (</w:t>
      </w:r>
      <w:r w:rsidR="00EE5497">
        <w:t>86</w:t>
      </w:r>
      <w:r w:rsidR="00C62D16">
        <w:t>¢</w:t>
      </w:r>
      <w:r>
        <w:t>)</w:t>
      </w:r>
      <w:r w:rsidR="00EE5497">
        <w:t>.</w:t>
      </w:r>
    </w:p>
    <w:p w14:paraId="252DF5D8" w14:textId="564DF40D" w:rsidR="000E683D" w:rsidRDefault="000974EA" w:rsidP="00E31C5D">
      <w:pPr>
        <w:pStyle w:val="Heading2"/>
      </w:pPr>
      <w:bookmarkStart w:id="15" w:name="_Toc497202519"/>
      <w:r w:rsidRPr="0051180F">
        <w:t>Comparison</w:t>
      </w:r>
      <w:r w:rsidR="000E683D" w:rsidRPr="0051180F">
        <w:t xml:space="preserve"> of </w:t>
      </w:r>
      <w:r w:rsidR="00114932">
        <w:t>s</w:t>
      </w:r>
      <w:r w:rsidR="00A76F1C">
        <w:t xml:space="preserve">urvey and </w:t>
      </w:r>
      <w:r w:rsidR="00114932">
        <w:t>a</w:t>
      </w:r>
      <w:r w:rsidR="00A76F1C">
        <w:t xml:space="preserve">lternative </w:t>
      </w:r>
      <w:r w:rsidR="00114932">
        <w:t>p</w:t>
      </w:r>
      <w:r w:rsidR="00A76F1C">
        <w:t xml:space="preserve">rice </w:t>
      </w:r>
      <w:r w:rsidR="00114932">
        <w:t>d</w:t>
      </w:r>
      <w:r w:rsidR="00A76F1C">
        <w:t xml:space="preserve">ata at the </w:t>
      </w:r>
      <w:r w:rsidR="00114932">
        <w:t>s</w:t>
      </w:r>
      <w:r w:rsidR="00A76F1C">
        <w:t xml:space="preserve">tation </w:t>
      </w:r>
      <w:r w:rsidR="00114932">
        <w:t>l</w:t>
      </w:r>
      <w:r w:rsidR="00A76F1C">
        <w:t>evel</w:t>
      </w:r>
      <w:bookmarkEnd w:id="15"/>
      <w:r w:rsidR="00A76F1C">
        <w:t xml:space="preserve"> </w:t>
      </w:r>
    </w:p>
    <w:p w14:paraId="6F3D224D" w14:textId="6E72EDC3" w:rsidR="00645B4C" w:rsidRDefault="00036EAF" w:rsidP="00E31C5D">
      <w:pPr>
        <w:pStyle w:val="Heading3"/>
      </w:pPr>
      <w:bookmarkStart w:id="16" w:name="_Toc497202520"/>
      <w:r>
        <w:t>Key findings from c</w:t>
      </w:r>
      <w:r w:rsidR="00D4071F">
        <w:t xml:space="preserve">omparison of EIA-878 and OPIS price data over </w:t>
      </w:r>
      <w:r w:rsidR="009A4D27">
        <w:t>12 weeks</w:t>
      </w:r>
      <w:bookmarkEnd w:id="16"/>
    </w:p>
    <w:p w14:paraId="1759E514" w14:textId="7CC745A1" w:rsidR="00DC7701" w:rsidRDefault="00272DBF" w:rsidP="00DC7701">
      <w:r>
        <w:t xml:space="preserve">Linking respondent-level EIA-878 data with purchased price data from OPIS allowed SDSI to </w:t>
      </w:r>
      <w:r w:rsidR="005E28EF">
        <w:t xml:space="preserve">conduct pairwise </w:t>
      </w:r>
      <w:r>
        <w:t>compar</w:t>
      </w:r>
      <w:r w:rsidR="005E28EF">
        <w:t>isons of</w:t>
      </w:r>
      <w:r>
        <w:t xml:space="preserve"> </w:t>
      </w:r>
      <w:r w:rsidR="00F94D0E">
        <w:t xml:space="preserve">station-level reported </w:t>
      </w:r>
      <w:r>
        <w:t>prices for regular, midgrade, and premium gasoline</w:t>
      </w:r>
      <w:r w:rsidR="004B0615">
        <w:t xml:space="preserve"> over a 12 week period</w:t>
      </w:r>
      <w:r>
        <w:t xml:space="preserve">. While </w:t>
      </w:r>
      <w:r w:rsidR="009A53C7">
        <w:t xml:space="preserve">SDSI staff </w:t>
      </w:r>
      <w:r>
        <w:t>obtained OP</w:t>
      </w:r>
      <w:r w:rsidR="00F94D0E">
        <w:t xml:space="preserve">IS data at four different time points during the day in some weeks, </w:t>
      </w:r>
      <w:r>
        <w:t>SDSI consistently used the 12 p</w:t>
      </w:r>
      <w:r w:rsidR="00662A93">
        <w:t>.</w:t>
      </w:r>
      <w:r>
        <w:t>m</w:t>
      </w:r>
      <w:r w:rsidR="00662A93">
        <w:t>.</w:t>
      </w:r>
      <w:r>
        <w:t xml:space="preserve"> feed for comparison purposes. </w:t>
      </w:r>
    </w:p>
    <w:p w14:paraId="02CD9558" w14:textId="10CC2C02" w:rsidR="00280643" w:rsidRDefault="00280643" w:rsidP="00280643">
      <w:r w:rsidRPr="00280643">
        <w:t>Table 2 summarizes the findings over 12 weeks. SDSI obtaine</w:t>
      </w:r>
      <w:r w:rsidR="004B0615">
        <w:t xml:space="preserve">d consistent non-missing </w:t>
      </w:r>
      <w:r w:rsidRPr="00280643">
        <w:t xml:space="preserve">prices from both EIA-878 and OPIS for about 75% of stations over the 12 week analysis period (N = 596). In the subset of stations with non-missing data, regular gasoline prices matched exactly for about 30% of stations over 12 weeks. Among the remaining stations with non-missing data, about a third (32%) had prices within 5¢. The remaining third exhibited price differences of 5¢ </w:t>
      </w:r>
      <w:r w:rsidR="005029B4">
        <w:t>or</w:t>
      </w:r>
      <w:r w:rsidR="005029B4" w:rsidRPr="00280643">
        <w:t xml:space="preserve"> </w:t>
      </w:r>
      <w:r w:rsidRPr="00280643">
        <w:t>greater during the analysis period</w:t>
      </w:r>
      <w:r>
        <w:t xml:space="preserve">. </w:t>
      </w:r>
    </w:p>
    <w:tbl>
      <w:tblPr>
        <w:tblW w:w="9000" w:type="dxa"/>
        <w:tblLook w:val="04A0" w:firstRow="1" w:lastRow="0" w:firstColumn="1" w:lastColumn="0" w:noHBand="0" w:noVBand="1"/>
      </w:tblPr>
      <w:tblGrid>
        <w:gridCol w:w="9000"/>
      </w:tblGrid>
      <w:tr w:rsidR="0028581D" w:rsidRPr="0028581D" w14:paraId="482304F4" w14:textId="77777777" w:rsidTr="008549A6">
        <w:trPr>
          <w:trHeight w:val="300"/>
        </w:trPr>
        <w:tc>
          <w:tcPr>
            <w:tcW w:w="9000" w:type="dxa"/>
            <w:tcBorders>
              <w:top w:val="nil"/>
              <w:left w:val="nil"/>
              <w:bottom w:val="nil"/>
              <w:right w:val="nil"/>
            </w:tcBorders>
            <w:shd w:val="clear" w:color="auto" w:fill="auto"/>
            <w:vAlign w:val="bottom"/>
            <w:hideMark/>
          </w:tcPr>
          <w:p w14:paraId="76B14633" w14:textId="77777777" w:rsidR="00280643" w:rsidRDefault="00280643" w:rsidP="009F3147">
            <w:pPr>
              <w:pStyle w:val="Caption"/>
            </w:pPr>
          </w:p>
          <w:p w14:paraId="5B0F76BE" w14:textId="3E87B180" w:rsidR="0028581D" w:rsidRDefault="000338D7">
            <w:pPr>
              <w:pStyle w:val="Caption"/>
            </w:pPr>
            <w:r>
              <w:t xml:space="preserve">Table </w:t>
            </w:r>
            <w:r w:rsidR="005620C5">
              <w:t>2</w:t>
            </w:r>
            <w:r>
              <w:t xml:space="preserve">. Summary of  matched EIA and OPIS regular gasoline price data for </w:t>
            </w:r>
            <w:r w:rsidR="0028581D" w:rsidRPr="006A65AB">
              <w:t xml:space="preserve">12 </w:t>
            </w:r>
            <w:r>
              <w:t>week study period</w:t>
            </w:r>
          </w:p>
          <w:tbl>
            <w:tblPr>
              <w:tblW w:w="8262" w:type="dxa"/>
              <w:tblLook w:val="04A0" w:firstRow="1" w:lastRow="0" w:firstColumn="1" w:lastColumn="0" w:noHBand="0" w:noVBand="1"/>
            </w:tblPr>
            <w:tblGrid>
              <w:gridCol w:w="4932"/>
              <w:gridCol w:w="720"/>
              <w:gridCol w:w="2610"/>
            </w:tblGrid>
            <w:tr w:rsidR="00280643" w:rsidRPr="00280643" w14:paraId="3E13E777" w14:textId="77777777" w:rsidTr="00280643">
              <w:trPr>
                <w:trHeight w:val="360"/>
              </w:trPr>
              <w:tc>
                <w:tcPr>
                  <w:tcW w:w="4932" w:type="dxa"/>
                  <w:tcBorders>
                    <w:top w:val="nil"/>
                    <w:left w:val="nil"/>
                    <w:bottom w:val="single" w:sz="12" w:space="0" w:color="0096D7"/>
                    <w:right w:val="nil"/>
                  </w:tcBorders>
                  <w:shd w:val="clear" w:color="auto" w:fill="auto"/>
                  <w:vAlign w:val="bottom"/>
                  <w:hideMark/>
                </w:tcPr>
                <w:p w14:paraId="11D494B2"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c>
                <w:tcPr>
                  <w:tcW w:w="720" w:type="dxa"/>
                  <w:tcBorders>
                    <w:top w:val="nil"/>
                    <w:left w:val="nil"/>
                    <w:bottom w:val="single" w:sz="12" w:space="0" w:color="0096D7"/>
                    <w:right w:val="nil"/>
                  </w:tcBorders>
                  <w:shd w:val="clear" w:color="auto" w:fill="auto"/>
                  <w:vAlign w:val="bottom"/>
                  <w:hideMark/>
                </w:tcPr>
                <w:p w14:paraId="23593B38" w14:textId="77777777"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w:t>
                  </w:r>
                </w:p>
              </w:tc>
              <w:tc>
                <w:tcPr>
                  <w:tcW w:w="2610" w:type="dxa"/>
                  <w:tcBorders>
                    <w:top w:val="nil"/>
                    <w:left w:val="nil"/>
                    <w:bottom w:val="single" w:sz="12" w:space="0" w:color="0096D7"/>
                    <w:right w:val="nil"/>
                  </w:tcBorders>
                  <w:shd w:val="clear" w:color="auto" w:fill="auto"/>
                  <w:vAlign w:val="bottom"/>
                  <w:hideMark/>
                </w:tcPr>
                <w:p w14:paraId="3141A2EB" w14:textId="19804839"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Percent of non</w:t>
                  </w:r>
                  <w:r>
                    <w:rPr>
                      <w:rFonts w:ascii="Calibri" w:eastAsia="Times New Roman" w:hAnsi="Calibri" w:cs="Times New Roman"/>
                      <w:b/>
                      <w:bCs/>
                      <w:color w:val="000000"/>
                      <w:sz w:val="18"/>
                      <w:szCs w:val="18"/>
                    </w:rPr>
                    <w:t>-</w:t>
                  </w:r>
                  <w:r w:rsidRPr="00280643">
                    <w:rPr>
                      <w:rFonts w:ascii="Calibri" w:eastAsia="Times New Roman" w:hAnsi="Calibri" w:cs="Times New Roman"/>
                      <w:b/>
                      <w:bCs/>
                      <w:color w:val="000000"/>
                      <w:sz w:val="18"/>
                      <w:szCs w:val="18"/>
                    </w:rPr>
                    <w:t>missing data</w:t>
                  </w:r>
                </w:p>
              </w:tc>
            </w:tr>
            <w:tr w:rsidR="00280643" w:rsidRPr="00280643" w14:paraId="188FFF56" w14:textId="77777777" w:rsidTr="00280643">
              <w:trPr>
                <w:trHeight w:val="285"/>
              </w:trPr>
              <w:tc>
                <w:tcPr>
                  <w:tcW w:w="4932" w:type="dxa"/>
                  <w:tcBorders>
                    <w:top w:val="nil"/>
                    <w:left w:val="nil"/>
                    <w:bottom w:val="single" w:sz="4" w:space="0" w:color="BFBFBF"/>
                    <w:right w:val="nil"/>
                  </w:tcBorders>
                  <w:shd w:val="clear" w:color="auto" w:fill="auto"/>
                  <w:noWrap/>
                  <w:vAlign w:val="center"/>
                  <w:hideMark/>
                </w:tcPr>
                <w:p w14:paraId="1CA38EC2"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Number of stations selling regular gasoline</w:t>
                  </w:r>
                </w:p>
              </w:tc>
              <w:tc>
                <w:tcPr>
                  <w:tcW w:w="720" w:type="dxa"/>
                  <w:tcBorders>
                    <w:top w:val="nil"/>
                    <w:left w:val="nil"/>
                    <w:bottom w:val="single" w:sz="4" w:space="0" w:color="BFBFBF"/>
                    <w:right w:val="nil"/>
                  </w:tcBorders>
                  <w:shd w:val="clear" w:color="auto" w:fill="auto"/>
                  <w:noWrap/>
                  <w:vAlign w:val="center"/>
                  <w:hideMark/>
                </w:tcPr>
                <w:p w14:paraId="49A869BD" w14:textId="77777777"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802</w:t>
                  </w:r>
                </w:p>
              </w:tc>
              <w:tc>
                <w:tcPr>
                  <w:tcW w:w="2610" w:type="dxa"/>
                  <w:tcBorders>
                    <w:top w:val="nil"/>
                    <w:left w:val="nil"/>
                    <w:bottom w:val="single" w:sz="4" w:space="0" w:color="BFBFBF"/>
                    <w:right w:val="nil"/>
                  </w:tcBorders>
                  <w:shd w:val="clear" w:color="auto" w:fill="auto"/>
                  <w:noWrap/>
                  <w:vAlign w:val="center"/>
                  <w:hideMark/>
                </w:tcPr>
                <w:p w14:paraId="5CED5984"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280643" w:rsidRPr="00280643" w14:paraId="54A85F7E" w14:textId="77777777" w:rsidTr="00280643">
              <w:trPr>
                <w:trHeight w:val="593"/>
              </w:trPr>
              <w:tc>
                <w:tcPr>
                  <w:tcW w:w="4932" w:type="dxa"/>
                  <w:tcBorders>
                    <w:top w:val="single" w:sz="4" w:space="0" w:color="0096D7"/>
                    <w:left w:val="nil"/>
                    <w:bottom w:val="single" w:sz="4" w:space="0" w:color="BFBFBF"/>
                    <w:right w:val="nil"/>
                  </w:tcBorders>
                  <w:shd w:val="clear" w:color="auto" w:fill="auto"/>
                  <w:vAlign w:val="bottom"/>
                  <w:hideMark/>
                </w:tcPr>
                <w:p w14:paraId="67434CAC" w14:textId="695F7B29"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Number of stations with non</w:t>
                  </w:r>
                  <w:r>
                    <w:rPr>
                      <w:rFonts w:ascii="Calibri" w:eastAsia="Times New Roman" w:hAnsi="Calibri" w:cs="Times New Roman"/>
                      <w:b/>
                      <w:bCs/>
                      <w:color w:val="000000"/>
                      <w:sz w:val="18"/>
                      <w:szCs w:val="18"/>
                    </w:rPr>
                    <w:t>-</w:t>
                  </w:r>
                  <w:r w:rsidRPr="00280643">
                    <w:rPr>
                      <w:rFonts w:ascii="Calibri" w:eastAsia="Times New Roman" w:hAnsi="Calibri" w:cs="Times New Roman"/>
                      <w:b/>
                      <w:bCs/>
                      <w:color w:val="000000"/>
                      <w:sz w:val="18"/>
                      <w:szCs w:val="18"/>
                    </w:rPr>
                    <w:t>missing EIA-878 and OPIS data over 12 week study period</w:t>
                  </w:r>
                </w:p>
              </w:tc>
              <w:tc>
                <w:tcPr>
                  <w:tcW w:w="720" w:type="dxa"/>
                  <w:tcBorders>
                    <w:top w:val="single" w:sz="4" w:space="0" w:color="0096D7"/>
                    <w:left w:val="nil"/>
                    <w:bottom w:val="single" w:sz="4" w:space="0" w:color="BFBFBF"/>
                    <w:right w:val="nil"/>
                  </w:tcBorders>
                  <w:shd w:val="clear" w:color="auto" w:fill="auto"/>
                  <w:vAlign w:val="bottom"/>
                  <w:hideMark/>
                </w:tcPr>
                <w:p w14:paraId="1BE158CC" w14:textId="77777777"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596</w:t>
                  </w:r>
                </w:p>
              </w:tc>
              <w:tc>
                <w:tcPr>
                  <w:tcW w:w="2610" w:type="dxa"/>
                  <w:tcBorders>
                    <w:top w:val="single" w:sz="4" w:space="0" w:color="0096D7"/>
                    <w:left w:val="nil"/>
                    <w:bottom w:val="single" w:sz="4" w:space="0" w:color="BFBFBF"/>
                    <w:right w:val="nil"/>
                  </w:tcBorders>
                  <w:shd w:val="clear" w:color="auto" w:fill="auto"/>
                  <w:vAlign w:val="bottom"/>
                  <w:hideMark/>
                </w:tcPr>
                <w:p w14:paraId="2F185CAF"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280643" w:rsidRPr="00280643" w14:paraId="13C1970C" w14:textId="77777777" w:rsidTr="00280643">
              <w:trPr>
                <w:trHeight w:val="300"/>
              </w:trPr>
              <w:tc>
                <w:tcPr>
                  <w:tcW w:w="4932" w:type="dxa"/>
                  <w:tcBorders>
                    <w:top w:val="nil"/>
                    <w:left w:val="nil"/>
                    <w:bottom w:val="dashed" w:sz="4" w:space="0" w:color="BFBFBF"/>
                    <w:right w:val="nil"/>
                  </w:tcBorders>
                  <w:shd w:val="clear" w:color="auto" w:fill="auto"/>
                  <w:vAlign w:val="bottom"/>
                  <w:hideMark/>
                </w:tcPr>
                <w:p w14:paraId="5A644E45" w14:textId="77777777" w:rsidR="00280643" w:rsidRPr="00280643" w:rsidRDefault="00280643" w:rsidP="00DE26D0">
                  <w:pPr>
                    <w:spacing w:after="0" w:line="240" w:lineRule="auto"/>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Exact Match</w:t>
                  </w:r>
                </w:p>
              </w:tc>
              <w:tc>
                <w:tcPr>
                  <w:tcW w:w="720" w:type="dxa"/>
                  <w:tcBorders>
                    <w:top w:val="nil"/>
                    <w:left w:val="nil"/>
                    <w:bottom w:val="dashed" w:sz="4" w:space="0" w:color="BFBFBF"/>
                    <w:right w:val="nil"/>
                  </w:tcBorders>
                  <w:shd w:val="clear" w:color="auto" w:fill="auto"/>
                  <w:vAlign w:val="bottom"/>
                  <w:hideMark/>
                </w:tcPr>
                <w:p w14:paraId="551BA3AD"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176</w:t>
                  </w:r>
                </w:p>
              </w:tc>
              <w:tc>
                <w:tcPr>
                  <w:tcW w:w="2610" w:type="dxa"/>
                  <w:tcBorders>
                    <w:top w:val="nil"/>
                    <w:left w:val="nil"/>
                    <w:bottom w:val="dashed" w:sz="4" w:space="0" w:color="BFBFBF"/>
                    <w:right w:val="nil"/>
                  </w:tcBorders>
                  <w:shd w:val="clear" w:color="auto" w:fill="auto"/>
                  <w:vAlign w:val="bottom"/>
                  <w:hideMark/>
                </w:tcPr>
                <w:p w14:paraId="2063124B"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30%</w:t>
                  </w:r>
                </w:p>
              </w:tc>
            </w:tr>
            <w:tr w:rsidR="00280643" w:rsidRPr="00280643" w14:paraId="6EC7F036" w14:textId="77777777" w:rsidTr="00280643">
              <w:trPr>
                <w:trHeight w:val="300"/>
              </w:trPr>
              <w:tc>
                <w:tcPr>
                  <w:tcW w:w="4932" w:type="dxa"/>
                  <w:tcBorders>
                    <w:top w:val="nil"/>
                    <w:left w:val="nil"/>
                    <w:bottom w:val="dashed" w:sz="4" w:space="0" w:color="BFBFBF"/>
                    <w:right w:val="nil"/>
                  </w:tcBorders>
                  <w:shd w:val="clear" w:color="auto" w:fill="auto"/>
                  <w:noWrap/>
                  <w:hideMark/>
                </w:tcPr>
                <w:p w14:paraId="04CC6BFF" w14:textId="77777777" w:rsidR="00280643" w:rsidRPr="00280643" w:rsidRDefault="00280643" w:rsidP="00DE26D0">
                  <w:pPr>
                    <w:spacing w:after="0" w:line="240" w:lineRule="auto"/>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Non Match</w:t>
                  </w:r>
                </w:p>
              </w:tc>
              <w:tc>
                <w:tcPr>
                  <w:tcW w:w="720" w:type="dxa"/>
                  <w:tcBorders>
                    <w:top w:val="nil"/>
                    <w:left w:val="nil"/>
                    <w:bottom w:val="dashed" w:sz="4" w:space="0" w:color="BFBFBF"/>
                    <w:right w:val="nil"/>
                  </w:tcBorders>
                  <w:shd w:val="clear" w:color="auto" w:fill="auto"/>
                  <w:vAlign w:val="bottom"/>
                  <w:hideMark/>
                </w:tcPr>
                <w:p w14:paraId="3157D7CD"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420</w:t>
                  </w:r>
                </w:p>
              </w:tc>
              <w:tc>
                <w:tcPr>
                  <w:tcW w:w="2610" w:type="dxa"/>
                  <w:tcBorders>
                    <w:top w:val="nil"/>
                    <w:left w:val="nil"/>
                    <w:bottom w:val="dashed" w:sz="4" w:space="0" w:color="BFBFBF"/>
                    <w:right w:val="nil"/>
                  </w:tcBorders>
                  <w:shd w:val="clear" w:color="auto" w:fill="auto"/>
                  <w:vAlign w:val="bottom"/>
                  <w:hideMark/>
                </w:tcPr>
                <w:p w14:paraId="11FE95DD"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70%</w:t>
                  </w:r>
                </w:p>
              </w:tc>
            </w:tr>
            <w:tr w:rsidR="00280643" w:rsidRPr="00280643" w14:paraId="24C15A5A" w14:textId="77777777" w:rsidTr="00280643">
              <w:trPr>
                <w:trHeight w:val="300"/>
              </w:trPr>
              <w:tc>
                <w:tcPr>
                  <w:tcW w:w="4932" w:type="dxa"/>
                  <w:tcBorders>
                    <w:top w:val="nil"/>
                    <w:left w:val="nil"/>
                    <w:bottom w:val="dashed" w:sz="4" w:space="0" w:color="BFBFBF"/>
                    <w:right w:val="nil"/>
                  </w:tcBorders>
                  <w:shd w:val="clear" w:color="auto" w:fill="auto"/>
                  <w:vAlign w:val="bottom"/>
                  <w:hideMark/>
                </w:tcPr>
                <w:p w14:paraId="075738EA"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Total Row</w:t>
                  </w:r>
                </w:p>
              </w:tc>
              <w:tc>
                <w:tcPr>
                  <w:tcW w:w="720" w:type="dxa"/>
                  <w:tcBorders>
                    <w:top w:val="nil"/>
                    <w:left w:val="nil"/>
                    <w:bottom w:val="dashed" w:sz="4" w:space="0" w:color="BFBFBF"/>
                    <w:right w:val="nil"/>
                  </w:tcBorders>
                  <w:shd w:val="clear" w:color="auto" w:fill="auto"/>
                  <w:vAlign w:val="bottom"/>
                  <w:hideMark/>
                </w:tcPr>
                <w:p w14:paraId="382F0EB3" w14:textId="77777777"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596</w:t>
                  </w:r>
                </w:p>
              </w:tc>
              <w:tc>
                <w:tcPr>
                  <w:tcW w:w="2610" w:type="dxa"/>
                  <w:tcBorders>
                    <w:top w:val="nil"/>
                    <w:left w:val="nil"/>
                    <w:bottom w:val="dashed" w:sz="4" w:space="0" w:color="BFBFBF"/>
                    <w:right w:val="nil"/>
                  </w:tcBorders>
                  <w:shd w:val="clear" w:color="auto" w:fill="auto"/>
                  <w:vAlign w:val="bottom"/>
                  <w:hideMark/>
                </w:tcPr>
                <w:p w14:paraId="0053AA85" w14:textId="77777777"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100%</w:t>
                  </w:r>
                </w:p>
              </w:tc>
            </w:tr>
            <w:tr w:rsidR="00280643" w:rsidRPr="00280643" w14:paraId="49E2DEF1" w14:textId="77777777" w:rsidTr="00280643">
              <w:trPr>
                <w:trHeight w:val="300"/>
              </w:trPr>
              <w:tc>
                <w:tcPr>
                  <w:tcW w:w="4932" w:type="dxa"/>
                  <w:tcBorders>
                    <w:top w:val="single" w:sz="4" w:space="0" w:color="0096D7"/>
                    <w:left w:val="nil"/>
                    <w:bottom w:val="single" w:sz="4" w:space="0" w:color="BFBFBF"/>
                    <w:right w:val="nil"/>
                  </w:tcBorders>
                  <w:shd w:val="clear" w:color="auto" w:fill="auto"/>
                  <w:vAlign w:val="bottom"/>
                  <w:hideMark/>
                </w:tcPr>
                <w:p w14:paraId="28B404B7"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Non Match</w:t>
                  </w:r>
                </w:p>
              </w:tc>
              <w:tc>
                <w:tcPr>
                  <w:tcW w:w="720" w:type="dxa"/>
                  <w:tcBorders>
                    <w:top w:val="single" w:sz="4" w:space="0" w:color="0096D7"/>
                    <w:left w:val="nil"/>
                    <w:bottom w:val="single" w:sz="4" w:space="0" w:color="BFBFBF"/>
                    <w:right w:val="nil"/>
                  </w:tcBorders>
                  <w:shd w:val="clear" w:color="auto" w:fill="auto"/>
                  <w:vAlign w:val="bottom"/>
                  <w:hideMark/>
                </w:tcPr>
                <w:p w14:paraId="1D25B66D"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c>
                <w:tcPr>
                  <w:tcW w:w="2610" w:type="dxa"/>
                  <w:tcBorders>
                    <w:top w:val="single" w:sz="4" w:space="0" w:color="0096D7"/>
                    <w:left w:val="nil"/>
                    <w:bottom w:val="single" w:sz="4" w:space="0" w:color="BFBFBF"/>
                    <w:right w:val="nil"/>
                  </w:tcBorders>
                  <w:shd w:val="clear" w:color="auto" w:fill="auto"/>
                  <w:vAlign w:val="bottom"/>
                  <w:hideMark/>
                </w:tcPr>
                <w:p w14:paraId="4AD4342F"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280643" w:rsidRPr="00280643" w14:paraId="5047D239" w14:textId="77777777" w:rsidTr="00280643">
              <w:trPr>
                <w:trHeight w:val="300"/>
              </w:trPr>
              <w:tc>
                <w:tcPr>
                  <w:tcW w:w="4932" w:type="dxa"/>
                  <w:tcBorders>
                    <w:top w:val="nil"/>
                    <w:left w:val="nil"/>
                    <w:bottom w:val="dashed" w:sz="4" w:space="0" w:color="BFBFBF"/>
                    <w:right w:val="nil"/>
                  </w:tcBorders>
                  <w:shd w:val="clear" w:color="auto" w:fill="auto"/>
                  <w:vAlign w:val="bottom"/>
                  <w:hideMark/>
                </w:tcPr>
                <w:p w14:paraId="1F8FA4A9" w14:textId="77777777" w:rsidR="00280643" w:rsidRPr="00280643" w:rsidRDefault="00280643" w:rsidP="00DE26D0">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5¢</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64ACAA74"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188</w:t>
                  </w:r>
                </w:p>
              </w:tc>
              <w:tc>
                <w:tcPr>
                  <w:tcW w:w="2610" w:type="dxa"/>
                  <w:tcBorders>
                    <w:top w:val="nil"/>
                    <w:left w:val="nil"/>
                    <w:bottom w:val="dashed" w:sz="4" w:space="0" w:color="BFBFBF"/>
                    <w:right w:val="nil"/>
                  </w:tcBorders>
                  <w:shd w:val="clear" w:color="auto" w:fill="auto"/>
                  <w:vAlign w:val="bottom"/>
                  <w:hideMark/>
                </w:tcPr>
                <w:p w14:paraId="4F1413C8"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32%</w:t>
                  </w:r>
                </w:p>
              </w:tc>
            </w:tr>
            <w:tr w:rsidR="00280643" w:rsidRPr="00280643" w14:paraId="693D5805" w14:textId="77777777" w:rsidTr="00280643">
              <w:trPr>
                <w:trHeight w:val="360"/>
              </w:trPr>
              <w:tc>
                <w:tcPr>
                  <w:tcW w:w="4932" w:type="dxa"/>
                  <w:tcBorders>
                    <w:top w:val="nil"/>
                    <w:left w:val="nil"/>
                    <w:bottom w:val="dashed" w:sz="4" w:space="0" w:color="BFBFBF"/>
                    <w:right w:val="nil"/>
                  </w:tcBorders>
                  <w:shd w:val="clear" w:color="auto" w:fill="auto"/>
                  <w:vAlign w:val="bottom"/>
                  <w:hideMark/>
                </w:tcPr>
                <w:p w14:paraId="6E58A421" w14:textId="0BB605E2" w:rsidR="00280643" w:rsidRPr="00280643" w:rsidRDefault="00DE26D0" w:rsidP="00DE26D0">
                  <w:pPr>
                    <w:spacing w:after="0" w:line="240" w:lineRule="auto"/>
                    <w:rPr>
                      <w:rFonts w:eastAsia="Times New Roman" w:cs="Times New Roman"/>
                      <w:color w:val="000000"/>
                      <w:sz w:val="18"/>
                      <w:szCs w:val="18"/>
                    </w:rPr>
                  </w:pPr>
                  <w:r>
                    <w:rPr>
                      <w:rFonts w:eastAsia="Times New Roman" w:cs="Times New Roman"/>
                      <w:color w:val="000000"/>
                      <w:sz w:val="18"/>
                      <w:szCs w:val="18"/>
                    </w:rPr>
                    <w:t>L</w:t>
                  </w:r>
                  <w:r w:rsidR="00280643" w:rsidRPr="00280643">
                    <w:rPr>
                      <w:rFonts w:eastAsia="Times New Roman" w:cs="Times New Roman"/>
                      <w:color w:val="000000"/>
                      <w:sz w:val="18"/>
                      <w:szCs w:val="18"/>
                    </w:rPr>
                    <w:t>ess than 10¢</w:t>
                  </w:r>
                  <w:r w:rsidR="00280643"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599D7482"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107</w:t>
                  </w:r>
                </w:p>
              </w:tc>
              <w:tc>
                <w:tcPr>
                  <w:tcW w:w="2610" w:type="dxa"/>
                  <w:tcBorders>
                    <w:top w:val="nil"/>
                    <w:left w:val="nil"/>
                    <w:bottom w:val="dashed" w:sz="4" w:space="0" w:color="BFBFBF"/>
                    <w:right w:val="nil"/>
                  </w:tcBorders>
                  <w:shd w:val="clear" w:color="auto" w:fill="auto"/>
                  <w:vAlign w:val="bottom"/>
                  <w:hideMark/>
                </w:tcPr>
                <w:p w14:paraId="088B7612"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18%</w:t>
                  </w:r>
                </w:p>
              </w:tc>
            </w:tr>
            <w:tr w:rsidR="00280643" w:rsidRPr="00280643" w14:paraId="7DF7117B" w14:textId="77777777" w:rsidTr="00280643">
              <w:trPr>
                <w:trHeight w:val="360"/>
              </w:trPr>
              <w:tc>
                <w:tcPr>
                  <w:tcW w:w="4932" w:type="dxa"/>
                  <w:tcBorders>
                    <w:top w:val="nil"/>
                    <w:left w:val="nil"/>
                    <w:bottom w:val="dashed" w:sz="4" w:space="0" w:color="BFBFBF"/>
                    <w:right w:val="nil"/>
                  </w:tcBorders>
                  <w:shd w:val="clear" w:color="auto" w:fill="auto"/>
                  <w:vAlign w:val="bottom"/>
                  <w:hideMark/>
                </w:tcPr>
                <w:p w14:paraId="71669C98" w14:textId="77777777" w:rsidR="00280643" w:rsidRPr="00280643" w:rsidRDefault="00280643" w:rsidP="00DE26D0">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15¢</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089258D3"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81</w:t>
                  </w:r>
                </w:p>
              </w:tc>
              <w:tc>
                <w:tcPr>
                  <w:tcW w:w="2610" w:type="dxa"/>
                  <w:tcBorders>
                    <w:top w:val="nil"/>
                    <w:left w:val="nil"/>
                    <w:bottom w:val="dashed" w:sz="4" w:space="0" w:color="BFBFBF"/>
                    <w:right w:val="nil"/>
                  </w:tcBorders>
                  <w:shd w:val="clear" w:color="auto" w:fill="auto"/>
                  <w:vAlign w:val="bottom"/>
                  <w:hideMark/>
                </w:tcPr>
                <w:p w14:paraId="716655D0"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14%</w:t>
                  </w:r>
                </w:p>
              </w:tc>
            </w:tr>
            <w:tr w:rsidR="00280643" w:rsidRPr="00280643" w14:paraId="4E1CA141" w14:textId="77777777" w:rsidTr="00280643">
              <w:trPr>
                <w:trHeight w:val="315"/>
              </w:trPr>
              <w:tc>
                <w:tcPr>
                  <w:tcW w:w="4932" w:type="dxa"/>
                  <w:tcBorders>
                    <w:top w:val="nil"/>
                    <w:left w:val="nil"/>
                    <w:bottom w:val="dashed" w:sz="4" w:space="0" w:color="BFBFBF"/>
                    <w:right w:val="nil"/>
                  </w:tcBorders>
                  <w:shd w:val="clear" w:color="auto" w:fill="auto"/>
                  <w:vAlign w:val="bottom"/>
                  <w:hideMark/>
                </w:tcPr>
                <w:p w14:paraId="0A66A4E2" w14:textId="77777777" w:rsidR="00280643" w:rsidRPr="00280643" w:rsidRDefault="00280643" w:rsidP="00DE26D0">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At least one instance of 15¢</w:t>
                  </w:r>
                  <w:r w:rsidRPr="00280643">
                    <w:rPr>
                      <w:rFonts w:eastAsia="Times New Roman" w:cs="Arial"/>
                      <w:color w:val="000000"/>
                      <w:sz w:val="18"/>
                      <w:szCs w:val="18"/>
                    </w:rPr>
                    <w:t xml:space="preserve"> difference or more</w:t>
                  </w:r>
                </w:p>
              </w:tc>
              <w:tc>
                <w:tcPr>
                  <w:tcW w:w="720" w:type="dxa"/>
                  <w:tcBorders>
                    <w:top w:val="nil"/>
                    <w:left w:val="nil"/>
                    <w:bottom w:val="dashed" w:sz="4" w:space="0" w:color="BFBFBF"/>
                    <w:right w:val="nil"/>
                  </w:tcBorders>
                  <w:shd w:val="clear" w:color="auto" w:fill="auto"/>
                  <w:vAlign w:val="bottom"/>
                  <w:hideMark/>
                </w:tcPr>
                <w:p w14:paraId="1ED015B2"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44</w:t>
                  </w:r>
                </w:p>
              </w:tc>
              <w:tc>
                <w:tcPr>
                  <w:tcW w:w="2610" w:type="dxa"/>
                  <w:tcBorders>
                    <w:top w:val="nil"/>
                    <w:left w:val="nil"/>
                    <w:bottom w:val="dashed" w:sz="4" w:space="0" w:color="BFBFBF"/>
                    <w:right w:val="nil"/>
                  </w:tcBorders>
                  <w:shd w:val="clear" w:color="auto" w:fill="auto"/>
                  <w:vAlign w:val="bottom"/>
                  <w:hideMark/>
                </w:tcPr>
                <w:p w14:paraId="2FDD0BDB" w14:textId="77777777" w:rsidR="00280643" w:rsidRPr="00280643" w:rsidRDefault="00280643" w:rsidP="00280643">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7%</w:t>
                  </w:r>
                </w:p>
              </w:tc>
            </w:tr>
            <w:tr w:rsidR="00280643" w:rsidRPr="00280643" w14:paraId="5563D2F4" w14:textId="77777777" w:rsidTr="00280643">
              <w:trPr>
                <w:trHeight w:val="315"/>
              </w:trPr>
              <w:tc>
                <w:tcPr>
                  <w:tcW w:w="4932" w:type="dxa"/>
                  <w:tcBorders>
                    <w:top w:val="nil"/>
                    <w:left w:val="nil"/>
                    <w:bottom w:val="dashed" w:sz="4" w:space="0" w:color="BFBFBF"/>
                    <w:right w:val="nil"/>
                  </w:tcBorders>
                  <w:shd w:val="clear" w:color="auto" w:fill="auto"/>
                  <w:vAlign w:val="bottom"/>
                  <w:hideMark/>
                </w:tcPr>
                <w:p w14:paraId="3B632C81" w14:textId="77777777" w:rsidR="00280643" w:rsidRPr="00280643" w:rsidRDefault="00280643" w:rsidP="00280643">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Total Row</w:t>
                  </w:r>
                </w:p>
              </w:tc>
              <w:tc>
                <w:tcPr>
                  <w:tcW w:w="720" w:type="dxa"/>
                  <w:tcBorders>
                    <w:top w:val="nil"/>
                    <w:left w:val="nil"/>
                    <w:bottom w:val="dashed" w:sz="4" w:space="0" w:color="BFBFBF"/>
                    <w:right w:val="nil"/>
                  </w:tcBorders>
                  <w:shd w:val="clear" w:color="auto" w:fill="auto"/>
                  <w:vAlign w:val="bottom"/>
                  <w:hideMark/>
                </w:tcPr>
                <w:p w14:paraId="66AF2E4C" w14:textId="77777777"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420</w:t>
                  </w:r>
                </w:p>
              </w:tc>
              <w:tc>
                <w:tcPr>
                  <w:tcW w:w="2610" w:type="dxa"/>
                  <w:tcBorders>
                    <w:top w:val="nil"/>
                    <w:left w:val="nil"/>
                    <w:bottom w:val="dashed" w:sz="4" w:space="0" w:color="BFBFBF"/>
                    <w:right w:val="nil"/>
                  </w:tcBorders>
                  <w:shd w:val="clear" w:color="auto" w:fill="auto"/>
                  <w:vAlign w:val="bottom"/>
                  <w:hideMark/>
                </w:tcPr>
                <w:p w14:paraId="699006DA" w14:textId="77777777" w:rsidR="00280643" w:rsidRPr="00280643" w:rsidRDefault="00280643" w:rsidP="00280643">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70%</w:t>
                  </w:r>
                </w:p>
              </w:tc>
            </w:tr>
          </w:tbl>
          <w:p w14:paraId="52C0C3C4" w14:textId="55424320" w:rsidR="00280643" w:rsidRPr="00280643" w:rsidRDefault="00280643" w:rsidP="00280643"/>
        </w:tc>
      </w:tr>
    </w:tbl>
    <w:p w14:paraId="004D115E" w14:textId="77777777" w:rsidR="00280643" w:rsidRDefault="00280643" w:rsidP="00DC7701"/>
    <w:p w14:paraId="6F71CDCF" w14:textId="31B04AA4" w:rsidR="005664A2" w:rsidRDefault="00AE270B" w:rsidP="00DC7701">
      <w:r>
        <w:t>S</w:t>
      </w:r>
      <w:r w:rsidR="006C31F4">
        <w:t>DSI conducted similar</w:t>
      </w:r>
      <w:r w:rsidR="005664A2">
        <w:t xml:space="preserve"> analysis for midgrade and premium gasoline</w:t>
      </w:r>
      <w:r w:rsidR="009A53C7">
        <w:t xml:space="preserve"> and </w:t>
      </w:r>
      <w:r w:rsidR="006172BC">
        <w:t xml:space="preserve">obtained consistent non-missing midgrade and premium price data for about 300 stations. </w:t>
      </w:r>
      <w:r w:rsidR="00BE09A6">
        <w:t>While</w:t>
      </w:r>
      <w:r w:rsidR="0011582A">
        <w:t xml:space="preserve"> this is</w:t>
      </w:r>
      <w:r w:rsidR="00BE09A6">
        <w:t xml:space="preserve"> a significantly lower value compared to regular gasoline</w:t>
      </w:r>
      <w:r w:rsidR="0011582A">
        <w:t>, it</w:t>
      </w:r>
      <w:r w:rsidR="00BE09A6">
        <w:t xml:space="preserve"> reflects the fact that </w:t>
      </w:r>
      <w:r w:rsidR="006172BC">
        <w:t>not all stations sell midgrade and/or premium gasoline</w:t>
      </w:r>
      <w:r w:rsidR="00616B71">
        <w:t>.</w:t>
      </w:r>
      <w:r w:rsidR="005664A2">
        <w:t xml:space="preserve"> </w:t>
      </w:r>
      <w:r w:rsidR="00272DBF">
        <w:t>Congruence between survey prices and OPIS data is</w:t>
      </w:r>
      <w:r w:rsidR="005664A2">
        <w:t xml:space="preserve"> strongest for regular gasoline, followed by midgrade, and then premium. </w:t>
      </w:r>
      <w:r w:rsidR="006172BC">
        <w:t xml:space="preserve">Midgrade and premium prices matched for 58 and 47 stations, </w:t>
      </w:r>
      <w:r w:rsidR="006172BC" w:rsidRPr="00354F33">
        <w:t xml:space="preserve">respectively. </w:t>
      </w:r>
      <w:r w:rsidR="00272DBF" w:rsidRPr="00354F33">
        <w:t xml:space="preserve">See </w:t>
      </w:r>
      <w:r w:rsidR="00272DBF" w:rsidRPr="00D03CDB">
        <w:t>A.</w:t>
      </w:r>
      <w:r w:rsidR="00D03CDB" w:rsidRPr="00D03CDB">
        <w:t>2</w:t>
      </w:r>
      <w:r w:rsidR="00272DBF" w:rsidRPr="00D03CDB">
        <w:t xml:space="preserve"> and A.</w:t>
      </w:r>
      <w:r w:rsidR="00D03CDB" w:rsidRPr="00D03CDB">
        <w:t>3</w:t>
      </w:r>
      <w:r w:rsidR="00272DBF" w:rsidRPr="00354F33">
        <w:t xml:space="preserve"> for detailed </w:t>
      </w:r>
      <w:r w:rsidR="00272DBF">
        <w:t xml:space="preserve">results for midgrade and premium prices. </w:t>
      </w:r>
    </w:p>
    <w:p w14:paraId="7BF18418" w14:textId="778E74A1" w:rsidR="00272DBF" w:rsidRPr="00354F33" w:rsidRDefault="00272DBF" w:rsidP="00DC7701">
      <w:r w:rsidRPr="00354F33">
        <w:t>SDSI also compa</w:t>
      </w:r>
      <w:r w:rsidR="009D3ED8">
        <w:t xml:space="preserve">red results by date </w:t>
      </w:r>
      <w:r w:rsidR="00A26F2D" w:rsidRPr="00354F33">
        <w:t xml:space="preserve">stamp of OPIS price (Sunday vs. Monday) and OPIS source (electronic vs. user submitted). Neither variable appeared to affect the relationship between OPIS price and EIA price. </w:t>
      </w:r>
    </w:p>
    <w:p w14:paraId="7B657D55" w14:textId="61C51D85" w:rsidR="005B4AF5" w:rsidRDefault="005B4AF5" w:rsidP="00E31C5D">
      <w:pPr>
        <w:pStyle w:val="Heading4"/>
      </w:pPr>
      <w:r>
        <w:t xml:space="preserve">Exact </w:t>
      </w:r>
      <w:r w:rsidR="00114932">
        <w:t>p</w:t>
      </w:r>
      <w:r>
        <w:t xml:space="preserve">rice </w:t>
      </w:r>
      <w:r w:rsidR="00114932">
        <w:t>m</w:t>
      </w:r>
      <w:r>
        <w:t>atches</w:t>
      </w:r>
    </w:p>
    <w:p w14:paraId="6B174938" w14:textId="6B3D1427" w:rsidR="0092436F" w:rsidRDefault="00662A93" w:rsidP="001061EA">
      <w:r>
        <w:t>Stations present in both the OPIS and the EIA-878 data and reporting</w:t>
      </w:r>
      <w:r w:rsidR="005B4AF5">
        <w:t xml:space="preserve"> identical regular prices</w:t>
      </w:r>
      <w:r>
        <w:t xml:space="preserve"> had substantial mismatch in reported </w:t>
      </w:r>
      <w:r w:rsidR="005B4AF5">
        <w:t>midgrade and/or premium prices</w:t>
      </w:r>
      <w:r>
        <w:t>, with only a small number reporting identical prices at those grades</w:t>
      </w:r>
      <w:r w:rsidR="005B4AF5">
        <w:t xml:space="preserve">. </w:t>
      </w:r>
      <w:r>
        <w:t>Specifically, o</w:t>
      </w:r>
      <w:r w:rsidR="005B4AF5">
        <w:t>f the 176 stations with matching regular prices</w:t>
      </w:r>
      <w:r w:rsidR="0011582A">
        <w:t xml:space="preserve"> between EIA</w:t>
      </w:r>
      <w:r w:rsidR="00A7556C">
        <w:t>-878</w:t>
      </w:r>
      <w:r w:rsidR="0011582A">
        <w:t xml:space="preserve"> and OPIS</w:t>
      </w:r>
      <w:r w:rsidR="005B4AF5">
        <w:t xml:space="preserve">, 33 </w:t>
      </w:r>
      <w:r w:rsidR="0011582A">
        <w:t xml:space="preserve">stations also had the </w:t>
      </w:r>
      <w:r w:rsidR="005B4AF5">
        <w:t xml:space="preserve">same premium prices and 43 </w:t>
      </w:r>
      <w:r w:rsidR="0011582A">
        <w:t>had the same</w:t>
      </w:r>
      <w:r w:rsidR="005B4AF5">
        <w:t xml:space="preserve"> midgrade prices. Only 27 stations </w:t>
      </w:r>
      <w:r w:rsidR="0011582A">
        <w:t xml:space="preserve">had </w:t>
      </w:r>
      <w:r w:rsidR="005B4AF5">
        <w:t xml:space="preserve">the </w:t>
      </w:r>
      <w:r w:rsidR="00A7556C">
        <w:t xml:space="preserve">matching </w:t>
      </w:r>
      <w:r w:rsidR="005B4AF5">
        <w:t xml:space="preserve">regular, midgrade, and premium prices </w:t>
      </w:r>
      <w:r w:rsidR="00A7556C">
        <w:t xml:space="preserve">with EIA-878 data </w:t>
      </w:r>
      <w:r w:rsidR="005B4AF5">
        <w:t>over the entire 12 week period.</w:t>
      </w:r>
      <w:r w:rsidR="0092436F">
        <w:t xml:space="preserve"> </w:t>
      </w:r>
    </w:p>
    <w:p w14:paraId="0C0D7BE0" w14:textId="77777777" w:rsidR="005B4AF5" w:rsidRDefault="005B4AF5" w:rsidP="00E31C5D">
      <w:pPr>
        <w:pStyle w:val="Heading4"/>
      </w:pPr>
      <w:r>
        <w:t>Non-Matches</w:t>
      </w:r>
    </w:p>
    <w:p w14:paraId="7C55EC94" w14:textId="53AD405E" w:rsidR="009375E6" w:rsidRDefault="00037E7C" w:rsidP="009375E6">
      <w:r>
        <w:t xml:space="preserve">SDSI </w:t>
      </w:r>
      <w:r w:rsidR="00A7556C">
        <w:t>staff</w:t>
      </w:r>
      <w:r>
        <w:t xml:space="preserve"> </w:t>
      </w:r>
      <w:r w:rsidR="0011582A">
        <w:t>examined</w:t>
      </w:r>
      <w:r>
        <w:t xml:space="preserve"> </w:t>
      </w:r>
      <w:r w:rsidR="0011582A">
        <w:t>232 stations</w:t>
      </w:r>
      <w:r w:rsidR="00662A93">
        <w:t xml:space="preserve"> present in both the OPIS dataset and the EIA-878 sample reporting a difference</w:t>
      </w:r>
      <w:r w:rsidR="0011582A">
        <w:t xml:space="preserve"> in regular gasoline price of </w:t>
      </w:r>
      <w:r w:rsidR="00662A93">
        <w:t xml:space="preserve">at least </w:t>
      </w:r>
      <w:r w:rsidR="0011582A">
        <w:t>5</w:t>
      </w:r>
      <w:r w:rsidR="00662A93">
        <w:t>¢</w:t>
      </w:r>
      <w:r w:rsidR="0011582A">
        <w:t xml:space="preserve"> to discern </w:t>
      </w:r>
      <w:r w:rsidR="00662A93">
        <w:t>possible</w:t>
      </w:r>
      <w:r w:rsidR="0011582A">
        <w:t xml:space="preserve"> patterns</w:t>
      </w:r>
      <w:r w:rsidR="00662A93">
        <w:t xml:space="preserve"> or identify noteworthy cases</w:t>
      </w:r>
      <w:r w:rsidR="0011582A">
        <w:t xml:space="preserve">. </w:t>
      </w:r>
      <w:r w:rsidR="00662A93">
        <w:t>The following describes one such case geographically isolated to Illinois and related to a specific station brand</w:t>
      </w:r>
      <w:r w:rsidR="00E20FCD">
        <w:t xml:space="preserve"> (referred to as ‘Brand A’ in this report). Brand A was noted to exhibit</w:t>
      </w:r>
      <w:r w:rsidR="009375E6" w:rsidRPr="007157A2">
        <w:t xml:space="preserve"> </w:t>
      </w:r>
      <w:r w:rsidR="00E20FCD">
        <w:t>a notably</w:t>
      </w:r>
      <w:r w:rsidR="009375E6" w:rsidRPr="007157A2">
        <w:t xml:space="preserve"> high occurrence of price differences of </w:t>
      </w:r>
      <w:r w:rsidR="00E20FCD">
        <w:t>greater than 5¢</w:t>
      </w:r>
      <w:r w:rsidR="009375E6">
        <w:t xml:space="preserve"> between EIA</w:t>
      </w:r>
      <w:r w:rsidR="00F43276">
        <w:t>-878</w:t>
      </w:r>
      <w:r w:rsidR="009375E6">
        <w:t xml:space="preserve"> data and OPIS data at the station level</w:t>
      </w:r>
      <w:r w:rsidR="009375E6" w:rsidRPr="007157A2">
        <w:t xml:space="preserve">. </w:t>
      </w:r>
      <w:r w:rsidR="009375E6">
        <w:t>Brand A is a larger gas station chain operating more than two thousand locations with 35,000 employees across more than 20 U</w:t>
      </w:r>
      <w:r w:rsidR="00874670">
        <w:t>.</w:t>
      </w:r>
      <w:r w:rsidR="009375E6">
        <w:t>S</w:t>
      </w:r>
      <w:r w:rsidR="00874670">
        <w:t>.</w:t>
      </w:r>
      <w:r w:rsidR="009375E6">
        <w:t xml:space="preserve"> states. </w:t>
      </w:r>
    </w:p>
    <w:p w14:paraId="0761F06A" w14:textId="510B632B" w:rsidR="009375E6" w:rsidRPr="007157A2" w:rsidRDefault="009375E6" w:rsidP="009375E6">
      <w:r w:rsidRPr="007157A2">
        <w:t xml:space="preserve">The high occurrence of price differences </w:t>
      </w:r>
      <w:r w:rsidR="00E20FCD">
        <w:t>greater than 5¢</w:t>
      </w:r>
      <w:r w:rsidRPr="007157A2">
        <w:t xml:space="preserve"> </w:t>
      </w:r>
      <w:r w:rsidR="009D3ED8">
        <w:t xml:space="preserve">between EIA and OPIS </w:t>
      </w:r>
      <w:r>
        <w:t xml:space="preserve">among Brand A stations </w:t>
      </w:r>
      <w:r w:rsidRPr="007157A2">
        <w:t>were seen consistently in weekly datasets.   At its peak, Brand A stations had accounted</w:t>
      </w:r>
      <w:r>
        <w:t xml:space="preserve"> for</w:t>
      </w:r>
      <w:r w:rsidRPr="007157A2">
        <w:t xml:space="preserve"> more than 10% of all regular grade price differences </w:t>
      </w:r>
      <w:r w:rsidR="00E20FCD">
        <w:t xml:space="preserve">of greater than 5¢ </w:t>
      </w:r>
      <w:r w:rsidRPr="007157A2">
        <w:t>in a given week</w:t>
      </w:r>
      <w:r w:rsidR="00E20FCD">
        <w:t xml:space="preserve"> and </w:t>
      </w:r>
      <w:r w:rsidRPr="007157A2">
        <w:t xml:space="preserve">almost 70% of those occurrences were from stations in Illinois.  </w:t>
      </w:r>
      <w:r w:rsidR="00E20FCD">
        <w:t xml:space="preserve">There were </w:t>
      </w:r>
      <w:r w:rsidRPr="007157A2">
        <w:t xml:space="preserve">eight </w:t>
      </w:r>
      <w:r>
        <w:t xml:space="preserve">Brand A </w:t>
      </w:r>
      <w:r w:rsidRPr="007157A2">
        <w:t>stations in Illinois report</w:t>
      </w:r>
      <w:r>
        <w:t>ing on</w:t>
      </w:r>
      <w:r w:rsidRPr="007157A2">
        <w:t xml:space="preserve"> EIA surveys</w:t>
      </w:r>
      <w:r>
        <w:t>,</w:t>
      </w:r>
      <w:r w:rsidRPr="007157A2">
        <w:t xml:space="preserve"> </w:t>
      </w:r>
      <w:r w:rsidR="00E20FCD">
        <w:t>with</w:t>
      </w:r>
      <w:r w:rsidRPr="007157A2">
        <w:t xml:space="preserve"> five of them (62%) reporting prices with a greater than 5</w:t>
      </w:r>
      <w:r w:rsidR="00E20FCD">
        <w:t xml:space="preserve">¢ </w:t>
      </w:r>
      <w:r w:rsidRPr="007157A2">
        <w:t>difference</w:t>
      </w:r>
      <w:r>
        <w:t xml:space="preserve"> </w:t>
      </w:r>
      <w:r w:rsidR="00E20FCD">
        <w:t xml:space="preserve">from prices reported to </w:t>
      </w:r>
      <w:r>
        <w:t>OPIS</w:t>
      </w:r>
      <w:r w:rsidRPr="007157A2">
        <w:t xml:space="preserve"> </w:t>
      </w:r>
      <w:r w:rsidR="009D3ED8">
        <w:t>until June 19</w:t>
      </w:r>
      <w:r w:rsidRPr="007157A2">
        <w:t xml:space="preserve">.  </w:t>
      </w:r>
    </w:p>
    <w:p w14:paraId="420EED39" w14:textId="7C8A2B47" w:rsidR="00D03CDB" w:rsidRDefault="009375E6" w:rsidP="009375E6">
      <w:r w:rsidRPr="007157A2">
        <w:t>This</w:t>
      </w:r>
      <w:r>
        <w:t xml:space="preserve"> brand and geographic</w:t>
      </w:r>
      <w:r w:rsidRPr="007157A2">
        <w:t xml:space="preserve"> concentration was not due to a greater ratio of Brand A stations or more Illinois-based locations. On average, less than 12% of the Brand A stations were located in Illinois but more than a third (32%) of the brand’s discrepancies originated from stations located within </w:t>
      </w:r>
      <w:r w:rsidR="00A7556C" w:rsidRPr="007157A2">
        <w:t>th</w:t>
      </w:r>
      <w:r w:rsidR="00A7556C">
        <w:t>at</w:t>
      </w:r>
      <w:r w:rsidR="00A7556C" w:rsidRPr="007157A2">
        <w:t xml:space="preserve"> </w:t>
      </w:r>
      <w:r w:rsidRPr="007157A2">
        <w:t xml:space="preserve">state.  </w:t>
      </w:r>
      <w:r w:rsidR="00E20FCD">
        <w:t xml:space="preserve">It is worthwhile to mention that the </w:t>
      </w:r>
      <w:r w:rsidRPr="007157A2">
        <w:t>EIA</w:t>
      </w:r>
      <w:r w:rsidR="00A7556C">
        <w:t>-878</w:t>
      </w:r>
      <w:r w:rsidRPr="007157A2">
        <w:t xml:space="preserve"> </w:t>
      </w:r>
      <w:r w:rsidR="00E20FCD">
        <w:t>data</w:t>
      </w:r>
      <w:r w:rsidR="00D2256D">
        <w:t xml:space="preserve"> were</w:t>
      </w:r>
      <w:r w:rsidR="00E20FCD">
        <w:t xml:space="preserve"> obtained</w:t>
      </w:r>
      <w:r w:rsidRPr="007157A2">
        <w:t xml:space="preserve"> from the </w:t>
      </w:r>
      <w:r>
        <w:t>brand</w:t>
      </w:r>
      <w:r w:rsidRPr="007157A2">
        <w:t xml:space="preserve">’s </w:t>
      </w:r>
      <w:r>
        <w:t>regional</w:t>
      </w:r>
      <w:r w:rsidRPr="007157A2">
        <w:t xml:space="preserve"> offices, not from individual gas station respondents</w:t>
      </w:r>
      <w:r>
        <w:t xml:space="preserve"> via telephone interviews</w:t>
      </w:r>
      <w:r w:rsidRPr="007157A2">
        <w:t xml:space="preserve">.  The geography showing these discrepancies aligned with reporting structures within the company.  After EIA discussed this discrepancy with </w:t>
      </w:r>
      <w:r w:rsidR="000B6913">
        <w:t>Brand A representatives</w:t>
      </w:r>
      <w:r w:rsidRPr="007157A2">
        <w:t xml:space="preserve">, this trend among Brand A stations within Illinois </w:t>
      </w:r>
      <w:r w:rsidR="000B6913">
        <w:t>was no longer observed.</w:t>
      </w:r>
      <w:r w:rsidRPr="007157A2">
        <w:t xml:space="preserve">  </w:t>
      </w:r>
      <w:r w:rsidR="00E20FCD">
        <w:t xml:space="preserve">The variability between </w:t>
      </w:r>
      <w:r w:rsidRPr="007157A2">
        <w:t xml:space="preserve">EIA prices </w:t>
      </w:r>
      <w:r w:rsidR="00E20FCD">
        <w:t>and OPIS prices for this brand’s stations in Illinois decreased to below 5¢</w:t>
      </w:r>
      <w:r>
        <w:t xml:space="preserve"> in following weeks</w:t>
      </w:r>
      <w:r w:rsidR="008352AF">
        <w:t>, a trend which was not similarly exhibited in stations of other brands</w:t>
      </w:r>
      <w:r w:rsidR="00CE1844">
        <w:t xml:space="preserve"> (Figure</w:t>
      </w:r>
      <w:r w:rsidR="00E20FCD">
        <w:t xml:space="preserve"> 7)</w:t>
      </w:r>
      <w:r>
        <w:t xml:space="preserve">.  </w:t>
      </w:r>
      <w:r w:rsidRPr="007157A2">
        <w:t xml:space="preserve"> </w:t>
      </w:r>
    </w:p>
    <w:p w14:paraId="25ED98F5" w14:textId="13C52666" w:rsidR="00E20FCD" w:rsidRPr="007157A2" w:rsidRDefault="00CE1844" w:rsidP="009F3147">
      <w:pPr>
        <w:pStyle w:val="Caption"/>
      </w:pPr>
      <w:r>
        <w:t>Figure</w:t>
      </w:r>
      <w:r w:rsidR="00E20FCD">
        <w:t xml:space="preserve"> 7. Comparison of </w:t>
      </w:r>
      <w:r w:rsidR="00F81D46">
        <w:t xml:space="preserve">count of </w:t>
      </w:r>
      <w:r w:rsidR="00E20FCD">
        <w:t>observed weekly differences between EIA and OPIS prices, exceeding 5¢, in regular motor gasoline in gas stations from Brand A compared to other brands.</w:t>
      </w:r>
    </w:p>
    <w:p w14:paraId="7B31E8C5" w14:textId="77777777" w:rsidR="009375E6" w:rsidRPr="007157A2" w:rsidRDefault="009375E6" w:rsidP="009375E6">
      <w:r>
        <w:rPr>
          <w:noProof/>
        </w:rPr>
        <w:drawing>
          <wp:inline distT="0" distB="0" distL="0" distR="0" wp14:anchorId="169347A0" wp14:editId="3358D09A">
            <wp:extent cx="5868035" cy="2512612"/>
            <wp:effectExtent l="0" t="0" r="18415"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5F0112" w14:textId="69DFFB95" w:rsidR="005B4AF5" w:rsidRDefault="00FB4902" w:rsidP="003A7331">
      <w:pPr>
        <w:pStyle w:val="Heading4"/>
        <w:rPr>
          <w:highlight w:val="yellow"/>
        </w:rPr>
      </w:pPr>
      <w:r>
        <w:t>Stations with incomplete data</w:t>
      </w:r>
    </w:p>
    <w:p w14:paraId="41B8F165" w14:textId="50C361C3" w:rsidR="005B4AF5" w:rsidRDefault="008352AF" w:rsidP="00280643">
      <w:r>
        <w:t>Despite</w:t>
      </w:r>
      <w:r w:rsidRPr="005B4AF5">
        <w:t xml:space="preserve"> </w:t>
      </w:r>
      <w:r>
        <w:t>an overall high presence of EIA</w:t>
      </w:r>
      <w:r w:rsidR="0058124F">
        <w:t xml:space="preserve">-878 </w:t>
      </w:r>
      <w:r>
        <w:t xml:space="preserve">sample’s stations in the OPIS data feeds (98%), there </w:t>
      </w:r>
      <w:r w:rsidR="000B6913">
        <w:t xml:space="preserve">was </w:t>
      </w:r>
      <w:r>
        <w:t>also a cycling of stations in and out of the weekly price feeds. The observed station cycling led to an inc</w:t>
      </w:r>
      <w:r w:rsidR="005B4AF5">
        <w:t>o</w:t>
      </w:r>
      <w:r w:rsidR="00F237C8">
        <w:t xml:space="preserve">mplete longitudinal </w:t>
      </w:r>
      <w:r>
        <w:t xml:space="preserve">set of </w:t>
      </w:r>
      <w:r w:rsidR="00F237C8">
        <w:t xml:space="preserve">price data for 30% of </w:t>
      </w:r>
      <w:r>
        <w:t xml:space="preserve">stations reporting prices of </w:t>
      </w:r>
      <w:r w:rsidR="00F237C8">
        <w:t>regular</w:t>
      </w:r>
      <w:r>
        <w:t xml:space="preserve"> motor gasoline and for </w:t>
      </w:r>
      <w:r w:rsidR="00F237C8">
        <w:t xml:space="preserve">over 60% </w:t>
      </w:r>
      <w:r>
        <w:t>of stations reporting prices of midgrade or premium motor gasoline.</w:t>
      </w:r>
    </w:p>
    <w:p w14:paraId="2BCF76CD" w14:textId="238431ED" w:rsidR="00814A7F" w:rsidRDefault="00814A7F" w:rsidP="00280643">
      <w:r>
        <w:t>Table</w:t>
      </w:r>
      <w:r w:rsidR="008352AF">
        <w:t xml:space="preserve"> 3</w:t>
      </w:r>
      <w:r>
        <w:t xml:space="preserve"> below shows the </w:t>
      </w:r>
      <w:r w:rsidR="007701FC">
        <w:t xml:space="preserve">percentage of missing data </w:t>
      </w:r>
      <w:r>
        <w:t xml:space="preserve">by gasoline </w:t>
      </w:r>
      <w:r w:rsidR="007701FC">
        <w:t>grade</w:t>
      </w:r>
      <w:r>
        <w:t xml:space="preserve"> and week. Regular gasoline prices were most consistently reported, averaging only 6% missing across all weeks among the matched stations. Item missing rates for midgrade and premium </w:t>
      </w:r>
      <w:r w:rsidR="008352AF">
        <w:t xml:space="preserve">gasoline prices </w:t>
      </w:r>
      <w:r w:rsidR="007701FC">
        <w:t>were</w:t>
      </w:r>
      <w:r>
        <w:t xml:space="preserve"> substantially higher, averaging</w:t>
      </w:r>
      <w:r w:rsidR="000B6913">
        <w:t xml:space="preserve"> around </w:t>
      </w:r>
      <w:r>
        <w:t xml:space="preserve">30% </w:t>
      </w:r>
      <w:r w:rsidR="000B6913">
        <w:t>for both grades</w:t>
      </w:r>
      <w:r>
        <w:t xml:space="preserve"> </w:t>
      </w:r>
      <w:r w:rsidR="008352AF">
        <w:t>during</w:t>
      </w:r>
      <w:r>
        <w:t xml:space="preserve"> the 12 week period.  OPIS </w:t>
      </w:r>
      <w:r w:rsidR="008352AF">
        <w:t xml:space="preserve">data feeds do not differentiate between a grade not being available at a station or a missing price point. </w:t>
      </w:r>
    </w:p>
    <w:p w14:paraId="1AC6E421" w14:textId="5818E945" w:rsidR="00983264" w:rsidRDefault="008352AF" w:rsidP="009F3147">
      <w:pPr>
        <w:pStyle w:val="Caption"/>
      </w:pPr>
      <w:r>
        <w:t xml:space="preserve">Table 3. </w:t>
      </w:r>
      <w:r w:rsidR="00983264">
        <w:t xml:space="preserve">Percent </w:t>
      </w:r>
      <w:r>
        <w:t>i</w:t>
      </w:r>
      <w:r w:rsidR="00983264">
        <w:t xml:space="preserve">tem </w:t>
      </w:r>
      <w:r>
        <w:t>m</w:t>
      </w:r>
      <w:r w:rsidR="00983264">
        <w:t xml:space="preserve">issing </w:t>
      </w:r>
      <w:r>
        <w:t>d</w:t>
      </w:r>
      <w:r w:rsidR="00983264">
        <w:t>a</w:t>
      </w:r>
      <w:r w:rsidR="006A36FD">
        <w:t>ta from OPIS by</w:t>
      </w:r>
      <w:r w:rsidR="0029401D">
        <w:t xml:space="preserve"> gasoline grade and week</w:t>
      </w:r>
      <w:r w:rsidR="00876693">
        <w:t xml:space="preserve"> </w:t>
      </w:r>
      <w:r w:rsidR="006A36FD">
        <w:t>(</w:t>
      </w:r>
      <w:r w:rsidR="00983264">
        <w:t>May 15, 2017 to July 31, 2017</w:t>
      </w:r>
      <w:r w:rsidR="006A36FD">
        <w:t>)</w:t>
      </w:r>
    </w:p>
    <w:tbl>
      <w:tblPr>
        <w:tblStyle w:val="TableGrid"/>
        <w:tblW w:w="0" w:type="auto"/>
        <w:tblInd w:w="405" w:type="dxa"/>
        <w:tblLook w:val="04A0" w:firstRow="1" w:lastRow="0" w:firstColumn="1" w:lastColumn="0" w:noHBand="0" w:noVBand="1"/>
      </w:tblPr>
      <w:tblGrid>
        <w:gridCol w:w="924"/>
        <w:gridCol w:w="593"/>
        <w:gridCol w:w="695"/>
        <w:gridCol w:w="695"/>
        <w:gridCol w:w="696"/>
        <w:gridCol w:w="696"/>
        <w:gridCol w:w="696"/>
        <w:gridCol w:w="696"/>
        <w:gridCol w:w="696"/>
        <w:gridCol w:w="696"/>
        <w:gridCol w:w="696"/>
        <w:gridCol w:w="696"/>
        <w:gridCol w:w="696"/>
      </w:tblGrid>
      <w:tr w:rsidR="00983264" w14:paraId="1395D75E" w14:textId="77777777" w:rsidTr="009832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7" w:type="dxa"/>
          </w:tcPr>
          <w:p w14:paraId="70D7D892" w14:textId="77777777" w:rsidR="00983264" w:rsidRDefault="00983264" w:rsidP="00983264">
            <w:pPr>
              <w:pStyle w:val="Left05Indent"/>
              <w:ind w:left="0"/>
            </w:pPr>
          </w:p>
        </w:tc>
        <w:tc>
          <w:tcPr>
            <w:tcW w:w="593" w:type="dxa"/>
          </w:tcPr>
          <w:p w14:paraId="4AA26EAC"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6" w:type="dxa"/>
          </w:tcPr>
          <w:p w14:paraId="239C4D8E" w14:textId="763AD8F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6" w:type="dxa"/>
          </w:tcPr>
          <w:p w14:paraId="02578C75"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3E580572" w14:textId="5B91C5A1"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51D5BD7B"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4CAD61C0"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0FD2F413" w14:textId="32D5BC81"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2AEA2EF5"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75182D5D"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3B914A1D"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4FD501CB"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c>
          <w:tcPr>
            <w:tcW w:w="697" w:type="dxa"/>
          </w:tcPr>
          <w:p w14:paraId="39B2989F" w14:textId="77777777" w:rsidR="00983264" w:rsidRDefault="00983264" w:rsidP="00983264">
            <w:pPr>
              <w:pStyle w:val="Left05Indent"/>
              <w:ind w:left="0"/>
              <w:cnfStyle w:val="100000000000" w:firstRow="1" w:lastRow="0" w:firstColumn="0" w:lastColumn="0" w:oddVBand="0" w:evenVBand="0" w:oddHBand="0" w:evenHBand="0" w:firstRowFirstColumn="0" w:firstRowLastColumn="0" w:lastRowFirstColumn="0" w:lastRowLastColumn="0"/>
            </w:pPr>
          </w:p>
        </w:tc>
      </w:tr>
      <w:tr w:rsidR="00983264" w14:paraId="11DBF667" w14:textId="77777777" w:rsidTr="0098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Pr>
          <w:p w14:paraId="7673EF30" w14:textId="228C244A" w:rsidR="00983264" w:rsidRDefault="00983264" w:rsidP="00983264">
            <w:pPr>
              <w:pStyle w:val="Left05Indent"/>
              <w:ind w:left="0"/>
            </w:pPr>
            <w:r>
              <w:t>Week</w:t>
            </w:r>
          </w:p>
        </w:tc>
        <w:tc>
          <w:tcPr>
            <w:tcW w:w="593" w:type="dxa"/>
          </w:tcPr>
          <w:p w14:paraId="488ED79F" w14:textId="7A738C1F"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1</w:t>
            </w:r>
          </w:p>
        </w:tc>
        <w:tc>
          <w:tcPr>
            <w:tcW w:w="696" w:type="dxa"/>
          </w:tcPr>
          <w:p w14:paraId="58ABED90" w14:textId="6C6ADE14"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2</w:t>
            </w:r>
          </w:p>
        </w:tc>
        <w:tc>
          <w:tcPr>
            <w:tcW w:w="696" w:type="dxa"/>
          </w:tcPr>
          <w:p w14:paraId="5C3A2A30" w14:textId="4C24D203"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3</w:t>
            </w:r>
          </w:p>
        </w:tc>
        <w:tc>
          <w:tcPr>
            <w:tcW w:w="697" w:type="dxa"/>
          </w:tcPr>
          <w:p w14:paraId="56C58128" w14:textId="0EE7F659"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4</w:t>
            </w:r>
          </w:p>
        </w:tc>
        <w:tc>
          <w:tcPr>
            <w:tcW w:w="697" w:type="dxa"/>
          </w:tcPr>
          <w:p w14:paraId="71F8BF2F" w14:textId="2D472BB2"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5</w:t>
            </w:r>
          </w:p>
        </w:tc>
        <w:tc>
          <w:tcPr>
            <w:tcW w:w="697" w:type="dxa"/>
          </w:tcPr>
          <w:p w14:paraId="3C550A9D" w14:textId="7D94919B"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6</w:t>
            </w:r>
          </w:p>
        </w:tc>
        <w:tc>
          <w:tcPr>
            <w:tcW w:w="697" w:type="dxa"/>
          </w:tcPr>
          <w:p w14:paraId="6ECB5E3D" w14:textId="7C829490"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7</w:t>
            </w:r>
          </w:p>
        </w:tc>
        <w:tc>
          <w:tcPr>
            <w:tcW w:w="697" w:type="dxa"/>
          </w:tcPr>
          <w:p w14:paraId="0AEB4738" w14:textId="755A84B2"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8</w:t>
            </w:r>
          </w:p>
        </w:tc>
        <w:tc>
          <w:tcPr>
            <w:tcW w:w="697" w:type="dxa"/>
          </w:tcPr>
          <w:p w14:paraId="7F17E8F6" w14:textId="58B2C6D3"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9</w:t>
            </w:r>
          </w:p>
        </w:tc>
        <w:tc>
          <w:tcPr>
            <w:tcW w:w="697" w:type="dxa"/>
          </w:tcPr>
          <w:p w14:paraId="5351195B" w14:textId="13CD79CD"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10</w:t>
            </w:r>
          </w:p>
        </w:tc>
        <w:tc>
          <w:tcPr>
            <w:tcW w:w="697" w:type="dxa"/>
          </w:tcPr>
          <w:p w14:paraId="694698CA" w14:textId="0E784A41"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11</w:t>
            </w:r>
          </w:p>
        </w:tc>
        <w:tc>
          <w:tcPr>
            <w:tcW w:w="697" w:type="dxa"/>
          </w:tcPr>
          <w:p w14:paraId="54606A54" w14:textId="693A694A"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t>12</w:t>
            </w:r>
          </w:p>
        </w:tc>
      </w:tr>
      <w:tr w:rsidR="00983264" w14:paraId="428F8F38" w14:textId="77777777" w:rsidTr="005D0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vAlign w:val="bottom"/>
          </w:tcPr>
          <w:p w14:paraId="3E8897BF" w14:textId="4F14FE6A" w:rsidR="00983264" w:rsidRDefault="00983264" w:rsidP="00983264">
            <w:pPr>
              <w:pStyle w:val="Left05Indent"/>
              <w:ind w:left="0"/>
            </w:pPr>
            <w:r>
              <w:t>Regular</w:t>
            </w:r>
          </w:p>
        </w:tc>
        <w:tc>
          <w:tcPr>
            <w:tcW w:w="593" w:type="dxa"/>
            <w:vAlign w:val="bottom"/>
          </w:tcPr>
          <w:p w14:paraId="3D9C5DEA" w14:textId="6C82C97C" w:rsidR="00983264" w:rsidRPr="00566B5C"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rPr>
            </w:pPr>
            <w:r w:rsidRPr="00566B5C">
              <w:rPr>
                <w:rFonts w:ascii="Arial" w:eastAsia="Times New Roman" w:hAnsi="Arial"/>
                <w:color w:val="000000"/>
              </w:rPr>
              <w:t>8%</w:t>
            </w:r>
          </w:p>
        </w:tc>
        <w:tc>
          <w:tcPr>
            <w:tcW w:w="696" w:type="dxa"/>
            <w:vAlign w:val="bottom"/>
          </w:tcPr>
          <w:p w14:paraId="19325B6C" w14:textId="2AF2BF29"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10%</w:t>
            </w:r>
          </w:p>
        </w:tc>
        <w:tc>
          <w:tcPr>
            <w:tcW w:w="696" w:type="dxa"/>
            <w:vAlign w:val="bottom"/>
          </w:tcPr>
          <w:p w14:paraId="1E3DD0FB" w14:textId="3B578FFD"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14%</w:t>
            </w:r>
          </w:p>
        </w:tc>
        <w:tc>
          <w:tcPr>
            <w:tcW w:w="697" w:type="dxa"/>
            <w:vAlign w:val="bottom"/>
          </w:tcPr>
          <w:p w14:paraId="3BE9FA54" w14:textId="293BA990"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6%</w:t>
            </w:r>
          </w:p>
        </w:tc>
        <w:tc>
          <w:tcPr>
            <w:tcW w:w="697" w:type="dxa"/>
            <w:vAlign w:val="bottom"/>
          </w:tcPr>
          <w:p w14:paraId="1A3535EB" w14:textId="70E4CC2E"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7%</w:t>
            </w:r>
          </w:p>
        </w:tc>
        <w:tc>
          <w:tcPr>
            <w:tcW w:w="697" w:type="dxa"/>
            <w:vAlign w:val="bottom"/>
          </w:tcPr>
          <w:p w14:paraId="779BC1C6" w14:textId="1479FCDF"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3%</w:t>
            </w:r>
          </w:p>
        </w:tc>
        <w:tc>
          <w:tcPr>
            <w:tcW w:w="697" w:type="dxa"/>
            <w:vAlign w:val="bottom"/>
          </w:tcPr>
          <w:p w14:paraId="06624434" w14:textId="26E6A9BD"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4%</w:t>
            </w:r>
          </w:p>
        </w:tc>
        <w:tc>
          <w:tcPr>
            <w:tcW w:w="697" w:type="dxa"/>
            <w:vAlign w:val="bottom"/>
          </w:tcPr>
          <w:p w14:paraId="02DF2B7A" w14:textId="7A0A905F"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4%</w:t>
            </w:r>
          </w:p>
        </w:tc>
        <w:tc>
          <w:tcPr>
            <w:tcW w:w="697" w:type="dxa"/>
            <w:vAlign w:val="bottom"/>
          </w:tcPr>
          <w:p w14:paraId="46939DB8" w14:textId="02518F1E"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4%</w:t>
            </w:r>
          </w:p>
        </w:tc>
        <w:tc>
          <w:tcPr>
            <w:tcW w:w="697" w:type="dxa"/>
            <w:vAlign w:val="bottom"/>
          </w:tcPr>
          <w:p w14:paraId="281670BE" w14:textId="0DEC1618"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3%</w:t>
            </w:r>
          </w:p>
        </w:tc>
        <w:tc>
          <w:tcPr>
            <w:tcW w:w="697" w:type="dxa"/>
            <w:vAlign w:val="bottom"/>
          </w:tcPr>
          <w:p w14:paraId="7FEFEBC8" w14:textId="35183FEF"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4%</w:t>
            </w:r>
          </w:p>
        </w:tc>
        <w:tc>
          <w:tcPr>
            <w:tcW w:w="697" w:type="dxa"/>
            <w:vAlign w:val="bottom"/>
          </w:tcPr>
          <w:p w14:paraId="323551CA" w14:textId="7E597A8E"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5%</w:t>
            </w:r>
          </w:p>
        </w:tc>
      </w:tr>
      <w:tr w:rsidR="00983264" w14:paraId="0BC04EA7" w14:textId="77777777" w:rsidTr="005D0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vAlign w:val="bottom"/>
          </w:tcPr>
          <w:p w14:paraId="18763335" w14:textId="4EA75019" w:rsidR="00983264" w:rsidRDefault="00983264" w:rsidP="00983264">
            <w:pPr>
              <w:pStyle w:val="Left05Indent"/>
              <w:ind w:left="0"/>
            </w:pPr>
            <w:r>
              <w:t>Midgrade</w:t>
            </w:r>
          </w:p>
        </w:tc>
        <w:tc>
          <w:tcPr>
            <w:tcW w:w="593" w:type="dxa"/>
            <w:vAlign w:val="bottom"/>
          </w:tcPr>
          <w:p w14:paraId="4901FD0F" w14:textId="70788DA9" w:rsidR="00983264" w:rsidRPr="00566B5C"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rPr>
            </w:pPr>
            <w:r w:rsidRPr="00566B5C">
              <w:rPr>
                <w:rFonts w:ascii="Arial" w:eastAsia="Times New Roman" w:hAnsi="Arial"/>
                <w:color w:val="000000"/>
              </w:rPr>
              <w:t>35%</w:t>
            </w:r>
          </w:p>
        </w:tc>
        <w:tc>
          <w:tcPr>
            <w:tcW w:w="696" w:type="dxa"/>
            <w:vAlign w:val="bottom"/>
          </w:tcPr>
          <w:p w14:paraId="09974642" w14:textId="32CBA191"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37%</w:t>
            </w:r>
          </w:p>
        </w:tc>
        <w:tc>
          <w:tcPr>
            <w:tcW w:w="696" w:type="dxa"/>
            <w:vAlign w:val="bottom"/>
          </w:tcPr>
          <w:p w14:paraId="083FA439" w14:textId="36B6CC16"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39%</w:t>
            </w:r>
          </w:p>
        </w:tc>
        <w:tc>
          <w:tcPr>
            <w:tcW w:w="697" w:type="dxa"/>
            <w:vAlign w:val="bottom"/>
          </w:tcPr>
          <w:p w14:paraId="0B6F08D4" w14:textId="1DC03F49"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32%</w:t>
            </w:r>
          </w:p>
        </w:tc>
        <w:tc>
          <w:tcPr>
            <w:tcW w:w="697" w:type="dxa"/>
            <w:vAlign w:val="bottom"/>
          </w:tcPr>
          <w:p w14:paraId="3DB25EFE" w14:textId="73489E72"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33%</w:t>
            </w:r>
          </w:p>
        </w:tc>
        <w:tc>
          <w:tcPr>
            <w:tcW w:w="697" w:type="dxa"/>
            <w:vAlign w:val="bottom"/>
          </w:tcPr>
          <w:p w14:paraId="31FC5077" w14:textId="43F36DD4"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30%</w:t>
            </w:r>
          </w:p>
        </w:tc>
        <w:tc>
          <w:tcPr>
            <w:tcW w:w="697" w:type="dxa"/>
            <w:vAlign w:val="bottom"/>
          </w:tcPr>
          <w:p w14:paraId="7EF31607" w14:textId="6CC945F0"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26%</w:t>
            </w:r>
          </w:p>
        </w:tc>
        <w:tc>
          <w:tcPr>
            <w:tcW w:w="697" w:type="dxa"/>
            <w:vAlign w:val="bottom"/>
          </w:tcPr>
          <w:p w14:paraId="4EA10FFD" w14:textId="008D05EC"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28%</w:t>
            </w:r>
          </w:p>
        </w:tc>
        <w:tc>
          <w:tcPr>
            <w:tcW w:w="697" w:type="dxa"/>
            <w:vAlign w:val="bottom"/>
          </w:tcPr>
          <w:p w14:paraId="13EF4A15" w14:textId="3D28DA6B"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27%</w:t>
            </w:r>
          </w:p>
        </w:tc>
        <w:tc>
          <w:tcPr>
            <w:tcW w:w="697" w:type="dxa"/>
            <w:vAlign w:val="bottom"/>
          </w:tcPr>
          <w:p w14:paraId="5DF9D40E" w14:textId="635010BD"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24%</w:t>
            </w:r>
          </w:p>
        </w:tc>
        <w:tc>
          <w:tcPr>
            <w:tcW w:w="697" w:type="dxa"/>
            <w:vAlign w:val="bottom"/>
          </w:tcPr>
          <w:p w14:paraId="5449016A" w14:textId="119F0E1C"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27%</w:t>
            </w:r>
          </w:p>
        </w:tc>
        <w:tc>
          <w:tcPr>
            <w:tcW w:w="697" w:type="dxa"/>
            <w:vAlign w:val="bottom"/>
          </w:tcPr>
          <w:p w14:paraId="0FC821AB" w14:textId="1DED0DC8" w:rsidR="00983264" w:rsidRDefault="00983264" w:rsidP="00983264">
            <w:pPr>
              <w:pStyle w:val="Left05Indent"/>
              <w:ind w:left="0"/>
              <w:cnfStyle w:val="000000100000" w:firstRow="0" w:lastRow="0" w:firstColumn="0" w:lastColumn="0" w:oddVBand="0" w:evenVBand="0" w:oddHBand="1" w:evenHBand="0" w:firstRowFirstColumn="0" w:firstRowLastColumn="0" w:lastRowFirstColumn="0" w:lastRowLastColumn="0"/>
            </w:pPr>
            <w:r w:rsidRPr="00566B5C">
              <w:rPr>
                <w:rFonts w:ascii="Arial" w:eastAsia="Times New Roman" w:hAnsi="Arial"/>
                <w:color w:val="000000"/>
              </w:rPr>
              <w:t>28%</w:t>
            </w:r>
          </w:p>
        </w:tc>
      </w:tr>
      <w:tr w:rsidR="00983264" w14:paraId="688BD4AD" w14:textId="77777777" w:rsidTr="005D0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vAlign w:val="bottom"/>
          </w:tcPr>
          <w:p w14:paraId="6B96129D" w14:textId="106B1470" w:rsidR="00983264" w:rsidRDefault="00983264" w:rsidP="00983264">
            <w:pPr>
              <w:pStyle w:val="Left05Indent"/>
              <w:ind w:left="0"/>
            </w:pPr>
            <w:r>
              <w:t>Premium</w:t>
            </w:r>
          </w:p>
        </w:tc>
        <w:tc>
          <w:tcPr>
            <w:tcW w:w="593" w:type="dxa"/>
            <w:vAlign w:val="bottom"/>
          </w:tcPr>
          <w:p w14:paraId="3BC7D55D" w14:textId="5BDF70B9" w:rsidR="00983264" w:rsidRPr="00566B5C"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rPr>
            </w:pPr>
            <w:r w:rsidRPr="00566B5C">
              <w:rPr>
                <w:rFonts w:ascii="Arial" w:eastAsia="Times New Roman" w:hAnsi="Arial"/>
                <w:color w:val="000000"/>
              </w:rPr>
              <w:t>33%</w:t>
            </w:r>
          </w:p>
        </w:tc>
        <w:tc>
          <w:tcPr>
            <w:tcW w:w="696" w:type="dxa"/>
            <w:vAlign w:val="bottom"/>
          </w:tcPr>
          <w:p w14:paraId="775508D8" w14:textId="6C5609EE"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38%</w:t>
            </w:r>
          </w:p>
        </w:tc>
        <w:tc>
          <w:tcPr>
            <w:tcW w:w="696" w:type="dxa"/>
            <w:vAlign w:val="bottom"/>
          </w:tcPr>
          <w:p w14:paraId="69563A67" w14:textId="605DA6E9"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37%</w:t>
            </w:r>
          </w:p>
        </w:tc>
        <w:tc>
          <w:tcPr>
            <w:tcW w:w="697" w:type="dxa"/>
            <w:vAlign w:val="bottom"/>
          </w:tcPr>
          <w:p w14:paraId="14413165" w14:textId="03D92286"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31%</w:t>
            </w:r>
          </w:p>
        </w:tc>
        <w:tc>
          <w:tcPr>
            <w:tcW w:w="697" w:type="dxa"/>
            <w:vAlign w:val="bottom"/>
          </w:tcPr>
          <w:p w14:paraId="2410AAF6" w14:textId="3C0E150B"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32%</w:t>
            </w:r>
          </w:p>
        </w:tc>
        <w:tc>
          <w:tcPr>
            <w:tcW w:w="697" w:type="dxa"/>
            <w:vAlign w:val="bottom"/>
          </w:tcPr>
          <w:p w14:paraId="38B04ED8" w14:textId="034A20D7"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28%</w:t>
            </w:r>
          </w:p>
        </w:tc>
        <w:tc>
          <w:tcPr>
            <w:tcW w:w="697" w:type="dxa"/>
            <w:vAlign w:val="bottom"/>
          </w:tcPr>
          <w:p w14:paraId="2E7B6CD8" w14:textId="4DDA836A"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27%</w:t>
            </w:r>
          </w:p>
        </w:tc>
        <w:tc>
          <w:tcPr>
            <w:tcW w:w="697" w:type="dxa"/>
            <w:vAlign w:val="bottom"/>
          </w:tcPr>
          <w:p w14:paraId="500B6D44" w14:textId="52F052E6"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27%</w:t>
            </w:r>
          </w:p>
        </w:tc>
        <w:tc>
          <w:tcPr>
            <w:tcW w:w="697" w:type="dxa"/>
            <w:vAlign w:val="bottom"/>
          </w:tcPr>
          <w:p w14:paraId="616B9887" w14:textId="68A926C8"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27%</w:t>
            </w:r>
          </w:p>
        </w:tc>
        <w:tc>
          <w:tcPr>
            <w:tcW w:w="697" w:type="dxa"/>
            <w:vAlign w:val="bottom"/>
          </w:tcPr>
          <w:p w14:paraId="77C7502D" w14:textId="3C41AFB5"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25%</w:t>
            </w:r>
          </w:p>
        </w:tc>
        <w:tc>
          <w:tcPr>
            <w:tcW w:w="697" w:type="dxa"/>
            <w:vAlign w:val="bottom"/>
          </w:tcPr>
          <w:p w14:paraId="345BC616" w14:textId="3EFE7F8E"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26%</w:t>
            </w:r>
          </w:p>
        </w:tc>
        <w:tc>
          <w:tcPr>
            <w:tcW w:w="697" w:type="dxa"/>
            <w:vAlign w:val="bottom"/>
          </w:tcPr>
          <w:p w14:paraId="3FCAF7A9" w14:textId="44704B65" w:rsidR="00983264" w:rsidRDefault="00983264" w:rsidP="00983264">
            <w:pPr>
              <w:pStyle w:val="Left05Indent"/>
              <w:ind w:left="0"/>
              <w:cnfStyle w:val="000000010000" w:firstRow="0" w:lastRow="0" w:firstColumn="0" w:lastColumn="0" w:oddVBand="0" w:evenVBand="0" w:oddHBand="0" w:evenHBand="1" w:firstRowFirstColumn="0" w:firstRowLastColumn="0" w:lastRowFirstColumn="0" w:lastRowLastColumn="0"/>
            </w:pPr>
            <w:r w:rsidRPr="00566B5C">
              <w:rPr>
                <w:rFonts w:ascii="Arial" w:eastAsia="Times New Roman" w:hAnsi="Arial"/>
                <w:color w:val="000000"/>
              </w:rPr>
              <w:t>27%</w:t>
            </w:r>
          </w:p>
        </w:tc>
      </w:tr>
    </w:tbl>
    <w:p w14:paraId="23255108" w14:textId="17B5769D" w:rsidR="000338D7" w:rsidRDefault="000338D7" w:rsidP="000A2221">
      <w:pPr>
        <w:rPr>
          <w:highlight w:val="yellow"/>
        </w:rPr>
      </w:pPr>
    </w:p>
    <w:p w14:paraId="4DF5080F" w14:textId="77777777" w:rsidR="00814A7F" w:rsidRDefault="00814A7F" w:rsidP="000A2221">
      <w:pPr>
        <w:rPr>
          <w:highlight w:val="yellow"/>
        </w:rPr>
      </w:pPr>
    </w:p>
    <w:p w14:paraId="15E53D5A" w14:textId="77777777" w:rsidR="00814A7F" w:rsidRDefault="00814A7F" w:rsidP="000A2221">
      <w:pPr>
        <w:rPr>
          <w:highlight w:val="yellow"/>
        </w:rPr>
      </w:pPr>
    </w:p>
    <w:p w14:paraId="68F71989" w14:textId="2D73B4A8" w:rsidR="00615AB6" w:rsidRDefault="00615AB6" w:rsidP="00E31C5D">
      <w:pPr>
        <w:pStyle w:val="Heading3"/>
      </w:pPr>
      <w:bookmarkStart w:id="17" w:name="_Toc497202521"/>
      <w:r>
        <w:t xml:space="preserve">EIA-878 and OPIS </w:t>
      </w:r>
      <w:r w:rsidR="00114932">
        <w:t>p</w:t>
      </w:r>
      <w:r>
        <w:t xml:space="preserve">rice </w:t>
      </w:r>
      <w:r w:rsidR="00114932">
        <w:t>e</w:t>
      </w:r>
      <w:r>
        <w:t xml:space="preserve">stimates </w:t>
      </w:r>
      <w:r w:rsidR="00D4071F">
        <w:t xml:space="preserve">for </w:t>
      </w:r>
      <w:r w:rsidR="00114932">
        <w:t>p</w:t>
      </w:r>
      <w:r w:rsidR="00D4071F">
        <w:t xml:space="preserve">ublication </w:t>
      </w:r>
      <w:r w:rsidR="00114932">
        <w:t>c</w:t>
      </w:r>
      <w:r w:rsidR="00D4071F">
        <w:t xml:space="preserve">ells </w:t>
      </w:r>
      <w:r>
        <w:t>over 12 weeks</w:t>
      </w:r>
      <w:bookmarkEnd w:id="17"/>
    </w:p>
    <w:p w14:paraId="6A9B9720" w14:textId="4AE64A80" w:rsidR="00615AB6" w:rsidRDefault="00615AB6" w:rsidP="00E31C5D">
      <w:pPr>
        <w:pStyle w:val="Heading4"/>
      </w:pPr>
      <w:r>
        <w:t xml:space="preserve">National </w:t>
      </w:r>
      <w:r w:rsidR="00114932">
        <w:t>e</w:t>
      </w:r>
      <w:r>
        <w:t>stimates</w:t>
      </w:r>
    </w:p>
    <w:p w14:paraId="6E019837" w14:textId="4857891D" w:rsidR="00EA1C8E" w:rsidRDefault="00CE1844" w:rsidP="00EA1C8E">
      <w:r>
        <w:t>In contrast to the price differences observed at the station level between the stations present in both the EIA-878 sample and the OPIS data feeds (described in sections above),</w:t>
      </w:r>
      <w:r w:rsidR="00037E7C">
        <w:t xml:space="preserve"> aggregate prices at the national </w:t>
      </w:r>
      <w:r w:rsidR="00F94D0E">
        <w:t>level</w:t>
      </w:r>
      <w:r w:rsidR="00037E7C">
        <w:t xml:space="preserve"> show </w:t>
      </w:r>
      <w:r w:rsidR="004324A6">
        <w:t>few</w:t>
      </w:r>
      <w:r w:rsidR="00037E7C">
        <w:t xml:space="preserve"> differences over the analysis time period.</w:t>
      </w:r>
      <w:r>
        <w:t xml:space="preserve"> This is particularly evident in the comparison between the </w:t>
      </w:r>
      <w:r w:rsidR="00037E7C">
        <w:t>national average gasoline prices for regular gasoline, all formulations</w:t>
      </w:r>
      <w:r>
        <w:t xml:space="preserve"> (Figure 8)</w:t>
      </w:r>
      <w:r w:rsidR="00037E7C">
        <w:t xml:space="preserve">. The estimates were calculated without survey weights and include </w:t>
      </w:r>
      <w:r w:rsidR="00AA7E22">
        <w:t>596</w:t>
      </w:r>
      <w:r>
        <w:t xml:space="preserve"> </w:t>
      </w:r>
      <w:r w:rsidR="00037E7C">
        <w:t xml:space="preserve">stations with non-missing values over the analysis time period. Price differences do not exceed </w:t>
      </w:r>
      <w:r>
        <w:t>0.</w:t>
      </w:r>
      <w:r w:rsidR="00037E7C">
        <w:t>8</w:t>
      </w:r>
      <w:r>
        <w:t>¢</w:t>
      </w:r>
      <w:r w:rsidR="00037E7C">
        <w:t xml:space="preserve">. In all cases, OPIS prices are slightly higher than EIA-878 prices. </w:t>
      </w:r>
    </w:p>
    <w:p w14:paraId="4A0E76F6" w14:textId="11B67D0D" w:rsidR="00824A1D" w:rsidRDefault="00824A1D" w:rsidP="009F3147">
      <w:pPr>
        <w:pStyle w:val="Caption"/>
      </w:pPr>
      <w:bookmarkStart w:id="18" w:name="_Toc482607422"/>
      <w:r>
        <w:t xml:space="preserve">Figure </w:t>
      </w:r>
      <w:r w:rsidR="00CE1844">
        <w:t>8</w:t>
      </w:r>
      <w:r>
        <w:t xml:space="preserve">. </w:t>
      </w:r>
      <w:r w:rsidR="00A878BB">
        <w:t>A</w:t>
      </w:r>
      <w:r w:rsidR="00CE1844">
        <w:t>verage weekly national prices</w:t>
      </w:r>
      <w:r>
        <w:t xml:space="preserve"> between EIA and OPIS </w:t>
      </w:r>
      <w:bookmarkEnd w:id="18"/>
      <w:r w:rsidR="009C3ACC">
        <w:t>data</w:t>
      </w:r>
      <w:r w:rsidR="00CE1844">
        <w:t xml:space="preserve"> (both unweighted)</w:t>
      </w:r>
      <w:r w:rsidR="009C3ACC">
        <w:t xml:space="preserve"> for regular</w:t>
      </w:r>
      <w:r w:rsidR="00CE1844">
        <w:t xml:space="preserve"> motor</w:t>
      </w:r>
      <w:r w:rsidR="009C3ACC">
        <w:t xml:space="preserve"> gasoline</w:t>
      </w:r>
      <w:r w:rsidR="00AA7E22">
        <w:t xml:space="preserve"> (596</w:t>
      </w:r>
      <w:r w:rsidR="00FF770E">
        <w:t xml:space="preserve"> stations)</w:t>
      </w:r>
    </w:p>
    <w:p w14:paraId="4E395DE8" w14:textId="77777777" w:rsidR="00037E7C" w:rsidRDefault="00037E7C" w:rsidP="00EA1C8E">
      <w:r>
        <w:rPr>
          <w:noProof/>
        </w:rPr>
        <w:drawing>
          <wp:inline distT="0" distB="0" distL="0" distR="0" wp14:anchorId="5B48CE8B" wp14:editId="493F12E8">
            <wp:extent cx="5919849" cy="2527935"/>
            <wp:effectExtent l="0" t="0" r="508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D464BA" w14:textId="4E5BFE00" w:rsidR="00037E7C" w:rsidRDefault="00037E7C" w:rsidP="00EA1C8E">
      <w:r>
        <w:t>Similar findings can be seen for both midgrade and premium prices</w:t>
      </w:r>
      <w:r w:rsidR="00CE1844">
        <w:t xml:space="preserve"> (Figures 9 and 10, respectively)</w:t>
      </w:r>
      <w:r>
        <w:t>. In all but one case, OPIS prices are higher than EIA-878</w:t>
      </w:r>
      <w:r w:rsidR="00CE1844">
        <w:t xml:space="preserve"> prices</w:t>
      </w:r>
      <w:r>
        <w:t>. Differences do not exceed 1</w:t>
      </w:r>
      <w:r w:rsidR="00CE1844">
        <w:t>.</w:t>
      </w:r>
      <w:r>
        <w:t>5</w:t>
      </w:r>
      <w:r w:rsidR="00CE1844">
        <w:t>¢</w:t>
      </w:r>
      <w:r>
        <w:t xml:space="preserve"> for midgrade </w:t>
      </w:r>
      <w:r w:rsidR="00CE1844">
        <w:t xml:space="preserve">motor gasoline </w:t>
      </w:r>
      <w:r>
        <w:t>and 1</w:t>
      </w:r>
      <w:r w:rsidR="00CE1844">
        <w:t>.</w:t>
      </w:r>
      <w:r>
        <w:t>3</w:t>
      </w:r>
      <w:r w:rsidR="00CE1844">
        <w:t>¢</w:t>
      </w:r>
      <w:r>
        <w:t xml:space="preserve"> for premium</w:t>
      </w:r>
      <w:r w:rsidR="00CE1844">
        <w:t xml:space="preserve"> motor gasoline</w:t>
      </w:r>
      <w:r>
        <w:t xml:space="preserve">. </w:t>
      </w:r>
    </w:p>
    <w:p w14:paraId="04FFDB26" w14:textId="779AC9E4" w:rsidR="00CE1844" w:rsidRDefault="00CE1844" w:rsidP="009F3147">
      <w:pPr>
        <w:pStyle w:val="Caption"/>
      </w:pPr>
      <w:r>
        <w:t xml:space="preserve">Figure 9. </w:t>
      </w:r>
      <w:r w:rsidR="007D78CE">
        <w:t>A</w:t>
      </w:r>
      <w:r>
        <w:t>verage weekly national prices between EIA and OPIS data (both unweight</w:t>
      </w:r>
      <w:r w:rsidR="001A77D2">
        <w:t>ed) for midgrade motor gasoline (302 stations)</w:t>
      </w:r>
    </w:p>
    <w:p w14:paraId="3428E613" w14:textId="77777777" w:rsidR="00037E7C" w:rsidRDefault="00037E7C" w:rsidP="00EA1C8E">
      <w:r>
        <w:rPr>
          <w:noProof/>
        </w:rPr>
        <w:drawing>
          <wp:inline distT="0" distB="0" distL="0" distR="0" wp14:anchorId="13C2F06B" wp14:editId="1F3F0788">
            <wp:extent cx="5771408" cy="2567940"/>
            <wp:effectExtent l="0" t="0" r="127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AFCE5D" w14:textId="310A2A2D" w:rsidR="009C3ACC" w:rsidRDefault="00CE1844" w:rsidP="009F3147">
      <w:pPr>
        <w:pStyle w:val="Caption"/>
      </w:pPr>
      <w:r>
        <w:t xml:space="preserve">Figure </w:t>
      </w:r>
      <w:r w:rsidR="005A4700">
        <w:t>10</w:t>
      </w:r>
      <w:r>
        <w:t xml:space="preserve">. </w:t>
      </w:r>
      <w:r w:rsidR="007D78CE">
        <w:t>A</w:t>
      </w:r>
      <w:r>
        <w:t xml:space="preserve">verage weekly national prices between EIA and OPIS data (both unweighted) for premium motor gasoline </w:t>
      </w:r>
      <w:r w:rsidR="009C3ACC">
        <w:t>(298 stations)</w:t>
      </w:r>
    </w:p>
    <w:p w14:paraId="00E670B9" w14:textId="7FC4F68C" w:rsidR="008F6CC6" w:rsidRPr="003E5FD5" w:rsidRDefault="009C3ACC" w:rsidP="003A7331">
      <w:pPr>
        <w:rPr>
          <w:highlight w:val="yellow"/>
        </w:rPr>
      </w:pPr>
      <w:r>
        <w:rPr>
          <w:noProof/>
        </w:rPr>
        <w:drawing>
          <wp:inline distT="0" distB="0" distL="0" distR="0" wp14:anchorId="2D0E821C" wp14:editId="73C7633F">
            <wp:extent cx="5788550" cy="2441050"/>
            <wp:effectExtent l="0" t="0" r="3175"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A6251C" w14:textId="6F702BC2" w:rsidR="000F5E4E" w:rsidRDefault="000F5E4E" w:rsidP="003A7331">
      <w:pPr>
        <w:pStyle w:val="Heading4"/>
      </w:pPr>
      <w:r>
        <w:t xml:space="preserve">Estimates at the PADD, </w:t>
      </w:r>
      <w:r w:rsidR="00114932">
        <w:t>s</w:t>
      </w:r>
      <w:r>
        <w:t>tate</w:t>
      </w:r>
      <w:r w:rsidR="005A4700">
        <w:t>,</w:t>
      </w:r>
      <w:r>
        <w:t xml:space="preserve"> and </w:t>
      </w:r>
      <w:r w:rsidR="00114932">
        <w:t>c</w:t>
      </w:r>
      <w:r>
        <w:t>ity</w:t>
      </w:r>
      <w:r w:rsidR="005A4700">
        <w:t xml:space="preserve"> </w:t>
      </w:r>
      <w:r w:rsidR="00114932">
        <w:t>l</w:t>
      </w:r>
      <w:r w:rsidR="005A4700">
        <w:t>evels</w:t>
      </w:r>
    </w:p>
    <w:p w14:paraId="3E72EC22" w14:textId="0AC775BB" w:rsidR="00F76AC5" w:rsidRDefault="005A4700" w:rsidP="00C43949">
      <w:pPr>
        <w:spacing w:line="240" w:lineRule="auto"/>
      </w:pPr>
      <w:r>
        <w:t>L</w:t>
      </w:r>
      <w:r w:rsidR="008F6CC6" w:rsidRPr="008F6CC6">
        <w:t>arger price differences are apparent</w:t>
      </w:r>
      <w:r>
        <w:t xml:space="preserve"> at finer levels of geography</w:t>
      </w:r>
      <w:r w:rsidR="008F6CC6" w:rsidRPr="008F6CC6">
        <w:t xml:space="preserve">. </w:t>
      </w:r>
      <w:r>
        <w:t xml:space="preserve">Key finding </w:t>
      </w:r>
      <w:r>
        <w:rPr>
          <w:rFonts w:cs="Times New Roman"/>
        </w:rPr>
        <w:t xml:space="preserve">from the </w:t>
      </w:r>
      <w:r w:rsidR="00AA7E22">
        <w:rPr>
          <w:rFonts w:cs="Times New Roman"/>
        </w:rPr>
        <w:t>graphical analysis for PADDs</w:t>
      </w:r>
      <w:r>
        <w:rPr>
          <w:rFonts w:cs="Times New Roman"/>
        </w:rPr>
        <w:t xml:space="preserve"> are described below and depicted in Figure 11</w:t>
      </w:r>
      <w:r w:rsidR="00F76AC5">
        <w:rPr>
          <w:rFonts w:cs="Times New Roman"/>
        </w:rPr>
        <w:t xml:space="preserve"> and appendix figures </w:t>
      </w:r>
      <w:r>
        <w:rPr>
          <w:rFonts w:cs="Times New Roman"/>
        </w:rPr>
        <w:t>A.</w:t>
      </w:r>
      <w:r w:rsidR="00F76AC5">
        <w:rPr>
          <w:rFonts w:cs="Times New Roman"/>
        </w:rPr>
        <w:t>3 (highlighting key states)</w:t>
      </w:r>
      <w:r>
        <w:rPr>
          <w:rFonts w:cs="Times New Roman"/>
        </w:rPr>
        <w:t xml:space="preserve"> </w:t>
      </w:r>
      <w:r w:rsidR="00F76AC5">
        <w:rPr>
          <w:rFonts w:cs="Times New Roman"/>
        </w:rPr>
        <w:t>and A.4 (highlighting key cities)</w:t>
      </w:r>
      <w:r w:rsidR="00305A1C">
        <w:rPr>
          <w:rFonts w:cs="Times New Roman"/>
        </w:rPr>
        <w:t xml:space="preserve">. Figures </w:t>
      </w:r>
      <w:r w:rsidR="00F76AC5">
        <w:rPr>
          <w:rFonts w:cs="Times New Roman"/>
        </w:rPr>
        <w:t>in this section (and relevant section of appendix)</w:t>
      </w:r>
      <w:r w:rsidR="00C43949">
        <w:rPr>
          <w:rFonts w:cs="Times New Roman"/>
        </w:rPr>
        <w:t xml:space="preserve">, </w:t>
      </w:r>
      <w:r w:rsidR="00F76AC5">
        <w:rPr>
          <w:rFonts w:cs="Times New Roman"/>
        </w:rPr>
        <w:t xml:space="preserve">illustrate </w:t>
      </w:r>
      <w:r w:rsidR="00C43949">
        <w:rPr>
          <w:rFonts w:cs="Times New Roman"/>
        </w:rPr>
        <w:t>the difference</w:t>
      </w:r>
      <w:r w:rsidR="00F76AC5">
        <w:rPr>
          <w:rFonts w:cs="Times New Roman"/>
        </w:rPr>
        <w:t xml:space="preserve"> in average prices over time</w:t>
      </w:r>
      <w:r w:rsidR="00C43949">
        <w:rPr>
          <w:rFonts w:cs="Times New Roman"/>
        </w:rPr>
        <w:t xml:space="preserve"> between </w:t>
      </w:r>
      <w:r w:rsidR="00C43949">
        <w:t>OPIS and EIA unweighted</w:t>
      </w:r>
      <w:r w:rsidR="00F76AC5">
        <w:t xml:space="preserve"> data.</w:t>
      </w:r>
    </w:p>
    <w:p w14:paraId="2A1F5512" w14:textId="1459F26E" w:rsidR="000F5E4E" w:rsidRDefault="00F76AC5" w:rsidP="00C43949">
      <w:pPr>
        <w:spacing w:line="240" w:lineRule="auto"/>
        <w:rPr>
          <w:rFonts w:cs="Times New Roman"/>
        </w:rPr>
      </w:pPr>
      <w:r>
        <w:t>Key findings at the PADD level (refer to Figure 11 below)</w:t>
      </w:r>
      <w:r w:rsidR="00305A1C">
        <w:t>:</w:t>
      </w:r>
    </w:p>
    <w:p w14:paraId="3989658D" w14:textId="3AEAA5B3" w:rsidR="00C43949" w:rsidRDefault="00F76AC5" w:rsidP="009E44C6">
      <w:pPr>
        <w:pStyle w:val="Left05Indent"/>
        <w:numPr>
          <w:ilvl w:val="0"/>
          <w:numId w:val="7"/>
        </w:numPr>
      </w:pPr>
      <w:r>
        <w:t>P</w:t>
      </w:r>
      <w:r w:rsidR="00305A1C">
        <w:t>rice differences do not exceed 4</w:t>
      </w:r>
      <w:r>
        <w:t>¢</w:t>
      </w:r>
      <w:r w:rsidR="00305A1C">
        <w:t xml:space="preserve">. EIA and OPIS </w:t>
      </w:r>
      <w:r w:rsidR="00364CAC">
        <w:t>aggregate</w:t>
      </w:r>
      <w:r w:rsidR="00305A1C">
        <w:t xml:space="preserve"> prices are closer for regular gasoline (price differences do not exceed 3</w:t>
      </w:r>
      <w:r>
        <w:t>¢</w:t>
      </w:r>
      <w:r w:rsidR="00305A1C">
        <w:t xml:space="preserve">) compared to midgrade and premium prices. </w:t>
      </w:r>
    </w:p>
    <w:p w14:paraId="68BD9B38" w14:textId="2E0D49F9" w:rsidR="004B5B35" w:rsidRDefault="004B5B35" w:rsidP="009E44C6">
      <w:pPr>
        <w:pStyle w:val="Left05Indent"/>
        <w:numPr>
          <w:ilvl w:val="0"/>
          <w:numId w:val="7"/>
        </w:numPr>
      </w:pPr>
      <w:r>
        <w:t xml:space="preserve">Most of the differences are positive, indicating that OPIS aggregate prices are higher than EIA-878 aggregate prices. </w:t>
      </w:r>
      <w:r w:rsidR="0049525E">
        <w:t>SDSI staff</w:t>
      </w:r>
      <w:r>
        <w:t xml:space="preserve"> suspect this is due to different price definitions (cash price versus credit price). </w:t>
      </w:r>
    </w:p>
    <w:p w14:paraId="38077BAA" w14:textId="77777777" w:rsidR="00C43949" w:rsidRDefault="00C43949" w:rsidP="000F5E4E">
      <w:pPr>
        <w:spacing w:after="160" w:line="259" w:lineRule="auto"/>
        <w:rPr>
          <w:sz w:val="24"/>
          <w:szCs w:val="24"/>
        </w:rPr>
      </w:pPr>
    </w:p>
    <w:p w14:paraId="315F1CB0" w14:textId="56E3A4C2" w:rsidR="000F5E4E" w:rsidRPr="00780D66" w:rsidRDefault="000F5E4E" w:rsidP="00780D66">
      <w:pPr>
        <w:spacing w:line="240" w:lineRule="auto"/>
      </w:pPr>
      <w:r w:rsidRPr="00780D66">
        <w:t>Key findings for states and cities</w:t>
      </w:r>
      <w:r w:rsidR="00F76AC5" w:rsidRPr="00780D66">
        <w:t xml:space="preserve"> (refer to appendix Figures A.3 and A.4)</w:t>
      </w:r>
      <w:r w:rsidRPr="00780D66">
        <w:t>:</w:t>
      </w:r>
    </w:p>
    <w:p w14:paraId="07AA888F" w14:textId="77777777" w:rsidR="00852F0F" w:rsidRDefault="00852F0F" w:rsidP="009E44C6">
      <w:pPr>
        <w:pStyle w:val="Left05Indent"/>
        <w:numPr>
          <w:ilvl w:val="0"/>
          <w:numId w:val="7"/>
        </w:numPr>
      </w:pPr>
      <w:r>
        <w:t xml:space="preserve">Across all states and cities, differences between OPIS and EIA aggregate prices were generally smaller for regular gasoline in comparison to midgrade and premium. </w:t>
      </w:r>
    </w:p>
    <w:p w14:paraId="34458F92" w14:textId="66AC31FE" w:rsidR="00852F0F" w:rsidRDefault="00852F0F" w:rsidP="009E44C6">
      <w:pPr>
        <w:pStyle w:val="Left05Indent"/>
        <w:numPr>
          <w:ilvl w:val="0"/>
          <w:numId w:val="7"/>
        </w:numPr>
      </w:pPr>
      <w:r>
        <w:t xml:space="preserve">With the exception of Hawaii, price differences for all states </w:t>
      </w:r>
      <w:r w:rsidR="00963E14">
        <w:t>are</w:t>
      </w:r>
      <w:r>
        <w:t xml:space="preserve"> within 5</w:t>
      </w:r>
      <w:r w:rsidR="00F76AC5">
        <w:t>¢</w:t>
      </w:r>
      <w:r>
        <w:t xml:space="preserve">. </w:t>
      </w:r>
    </w:p>
    <w:p w14:paraId="6BA1A1AA" w14:textId="5A08741E" w:rsidR="00852F0F" w:rsidRDefault="00852F0F" w:rsidP="009E44C6">
      <w:pPr>
        <w:pStyle w:val="Left05Indent"/>
        <w:numPr>
          <w:ilvl w:val="0"/>
          <w:numId w:val="7"/>
        </w:numPr>
      </w:pPr>
      <w:r>
        <w:t>OPIS prices were generally higher for all grades in Denver, Houston, Miami, San Francisco, and Seattle and did not exceed 5</w:t>
      </w:r>
      <w:r w:rsidR="00F76AC5">
        <w:t>¢</w:t>
      </w:r>
      <w:r>
        <w:t>.</w:t>
      </w:r>
    </w:p>
    <w:p w14:paraId="32C3D77E" w14:textId="4EDB98AB" w:rsidR="00852F0F" w:rsidRPr="004B5B35" w:rsidRDefault="00852F0F" w:rsidP="009E44C6">
      <w:pPr>
        <w:pStyle w:val="Left05Indent"/>
        <w:numPr>
          <w:ilvl w:val="0"/>
          <w:numId w:val="7"/>
        </w:numPr>
        <w:rPr>
          <w:rFonts w:cs="Times New Roman"/>
        </w:rPr>
      </w:pPr>
      <w:r>
        <w:t>Chicago, Cleveland, Los Angeles</w:t>
      </w:r>
      <w:r w:rsidR="00874670">
        <w:t>,</w:t>
      </w:r>
      <w:r>
        <w:t xml:space="preserve"> and New York exhibited the largest deviations between OPIS and EIA-878 aggregate prices, however the direction of the difference</w:t>
      </w:r>
      <w:r w:rsidR="0049525E">
        <w:t>s</w:t>
      </w:r>
      <w:r>
        <w:t xml:space="preserve"> varied by city.</w:t>
      </w:r>
    </w:p>
    <w:p w14:paraId="3A8FD3AC" w14:textId="77777777" w:rsidR="00A4171E" w:rsidRDefault="00A4171E" w:rsidP="00A4171E">
      <w:pPr>
        <w:rPr>
          <w:b/>
          <w:bCs/>
          <w:noProof/>
          <w:color w:val="1396D8"/>
          <w:szCs w:val="18"/>
        </w:rPr>
      </w:pPr>
    </w:p>
    <w:p w14:paraId="5FA9DC90" w14:textId="11235C41" w:rsidR="00CC1259" w:rsidRDefault="00A4171E" w:rsidP="009F3147">
      <w:pPr>
        <w:pStyle w:val="Caption"/>
      </w:pPr>
      <w:r w:rsidRPr="00FF770E">
        <w:rPr>
          <w:noProof/>
          <w:szCs w:val="18"/>
        </w:rPr>
        <w:t xml:space="preserve">Figure </w:t>
      </w:r>
      <w:r w:rsidR="005A4700" w:rsidRPr="00FF770E">
        <w:rPr>
          <w:noProof/>
          <w:szCs w:val="18"/>
        </w:rPr>
        <w:t>11</w:t>
      </w:r>
      <w:r w:rsidRPr="00FF770E">
        <w:rPr>
          <w:noProof/>
          <w:szCs w:val="18"/>
        </w:rPr>
        <w:t>.</w:t>
      </w:r>
      <w:r>
        <w:rPr>
          <w:noProof/>
          <w:szCs w:val="18"/>
        </w:rPr>
        <w:t xml:space="preserve"> </w:t>
      </w:r>
      <w:r w:rsidR="001D5630">
        <w:t>Differences in p</w:t>
      </w:r>
      <w:r w:rsidR="00CC1259">
        <w:t>rice</w:t>
      </w:r>
      <w:r w:rsidR="001D5630">
        <w:t>s</w:t>
      </w:r>
      <w:r w:rsidR="00CC1259">
        <w:t xml:space="preserve"> between EIA</w:t>
      </w:r>
      <w:r w:rsidR="001D5630">
        <w:t xml:space="preserve"> </w:t>
      </w:r>
      <w:r w:rsidR="00CC1259">
        <w:t xml:space="preserve">and OPIS data </w:t>
      </w:r>
      <w:r w:rsidR="001D5630">
        <w:t xml:space="preserve">(both unweighted) </w:t>
      </w:r>
      <w:r w:rsidR="00CC1259">
        <w:t>by PADD for regular, midgrade</w:t>
      </w:r>
      <w:r w:rsidR="008D513B">
        <w:t>,</w:t>
      </w:r>
      <w:r w:rsidR="00CC1259">
        <w:t xml:space="preserve"> and premium gasoline</w:t>
      </w:r>
    </w:p>
    <w:p w14:paraId="3AB82E9A" w14:textId="77777777" w:rsidR="00A4171E" w:rsidRPr="00A4171E" w:rsidRDefault="00A4171E" w:rsidP="00A4171E">
      <w:pPr>
        <w:rPr>
          <w:highlight w:val="yellow"/>
        </w:rPr>
      </w:pPr>
      <w:r w:rsidRPr="00A4171E">
        <w:rPr>
          <w:b/>
          <w:bCs/>
          <w:noProof/>
          <w:color w:val="1396D8"/>
          <w:szCs w:val="18"/>
        </w:rPr>
        <w:drawing>
          <wp:inline distT="0" distB="0" distL="0" distR="0" wp14:anchorId="3C56780C" wp14:editId="52A7D548">
            <wp:extent cx="5942965" cy="4095345"/>
            <wp:effectExtent l="0" t="0" r="635" b="635"/>
            <wp:docPr id="19" name="Picture 19" descr="C:\Users\MBS\AppData\Local\Microsoft\Windows\Temporary Internet Files\Content.Outlook\U7E6GSUB\PADD price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S\AppData\Local\Microsoft\Windows\Temporary Internet Files\Content.Outlook\U7E6GSUB\PADD price differences.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8369"/>
                    <a:stretch/>
                  </pic:blipFill>
                  <pic:spPr bwMode="auto">
                    <a:xfrm>
                      <a:off x="0" y="0"/>
                      <a:ext cx="5943600" cy="4095783"/>
                    </a:xfrm>
                    <a:prstGeom prst="rect">
                      <a:avLst/>
                    </a:prstGeom>
                    <a:noFill/>
                    <a:ln>
                      <a:noFill/>
                    </a:ln>
                    <a:extLst>
                      <a:ext uri="{53640926-AAD7-44D8-BBD7-CCE9431645EC}">
                        <a14:shadowObscured xmlns:a14="http://schemas.microsoft.com/office/drawing/2010/main"/>
                      </a:ext>
                    </a:extLst>
                  </pic:spPr>
                </pic:pic>
              </a:graphicData>
            </a:graphic>
          </wp:inline>
        </w:drawing>
      </w:r>
    </w:p>
    <w:p w14:paraId="46E08E81" w14:textId="6FA0FEE3" w:rsidR="008F6CC6" w:rsidRPr="00872F5B" w:rsidRDefault="00872F5B" w:rsidP="00A4171E">
      <w:pPr>
        <w:rPr>
          <w:sz w:val="20"/>
        </w:rPr>
      </w:pPr>
      <w:r w:rsidRPr="00872F5B">
        <w:rPr>
          <w:sz w:val="20"/>
        </w:rPr>
        <w:t>Note: Difference is calculated as OPIS price minus EIA price</w:t>
      </w:r>
    </w:p>
    <w:p w14:paraId="67C779F4" w14:textId="77777777" w:rsidR="00FC319D" w:rsidRDefault="00FC319D" w:rsidP="00815D15"/>
    <w:p w14:paraId="24EA7CBE" w14:textId="77777777" w:rsidR="00AB78F3" w:rsidRDefault="00AB78F3" w:rsidP="00815D15"/>
    <w:p w14:paraId="52C03859" w14:textId="77777777" w:rsidR="00AB78F3" w:rsidRPr="0051180F" w:rsidRDefault="00AB78F3" w:rsidP="00815D15"/>
    <w:p w14:paraId="6A9E68D8" w14:textId="31C214FB" w:rsidR="0016516B" w:rsidRDefault="0016516B" w:rsidP="00E31C5D">
      <w:pPr>
        <w:pStyle w:val="Heading3"/>
      </w:pPr>
      <w:bookmarkStart w:id="19" w:name="_Toc497202522"/>
      <w:r>
        <w:t xml:space="preserve">Point-in-Time </w:t>
      </w:r>
      <w:r w:rsidR="00114932">
        <w:t>c</w:t>
      </w:r>
      <w:r>
        <w:t>omparison of EIA-878</w:t>
      </w:r>
      <w:r w:rsidR="00114932">
        <w:t xml:space="preserve"> p</w:t>
      </w:r>
      <w:r w:rsidR="00B61A95">
        <w:t xml:space="preserve">rice </w:t>
      </w:r>
      <w:r w:rsidR="00114932">
        <w:t>d</w:t>
      </w:r>
      <w:r w:rsidR="00B61A95">
        <w:t xml:space="preserve">ata </w:t>
      </w:r>
      <w:r w:rsidR="00B67C71">
        <w:t>with OPI</w:t>
      </w:r>
      <w:r w:rsidR="0019758A">
        <w:t>S</w:t>
      </w:r>
      <w:r w:rsidR="007D78CE">
        <w:t xml:space="preserve"> </w:t>
      </w:r>
      <w:r>
        <w:t>and GasBuddy</w:t>
      </w:r>
      <w:r w:rsidR="00D4071F">
        <w:t xml:space="preserve"> </w:t>
      </w:r>
      <w:r w:rsidR="00114932">
        <w:t>p</w:t>
      </w:r>
      <w:r w:rsidR="00D4071F">
        <w:t xml:space="preserve">rice </w:t>
      </w:r>
      <w:r w:rsidR="00114932">
        <w:t>d</w:t>
      </w:r>
      <w:r w:rsidR="00D4071F">
        <w:t>ata</w:t>
      </w:r>
      <w:bookmarkEnd w:id="19"/>
      <w:r w:rsidR="00D4071F">
        <w:t xml:space="preserve"> </w:t>
      </w:r>
    </w:p>
    <w:p w14:paraId="73B6F20C" w14:textId="77777777" w:rsidR="00CA0A83" w:rsidRDefault="00CA0A83" w:rsidP="0016516B"/>
    <w:p w14:paraId="31C3EFD2" w14:textId="388B49C3" w:rsidR="0019758A" w:rsidRDefault="0019758A" w:rsidP="0016516B">
      <w:r w:rsidRPr="0019758A">
        <w:t>As a final comparison</w:t>
      </w:r>
      <w:r w:rsidR="005F1080">
        <w:t>,</w:t>
      </w:r>
      <w:r w:rsidRPr="0019758A">
        <w:t xml:space="preserve"> SDSI </w:t>
      </w:r>
      <w:r w:rsidR="00E75AF4">
        <w:t xml:space="preserve">staff </w:t>
      </w:r>
      <w:r w:rsidRPr="0019758A">
        <w:t>compared EIA survey data to OPIS and GasBuddy</w:t>
      </w:r>
      <w:r w:rsidR="00B61A95">
        <w:t xml:space="preserve"> data</w:t>
      </w:r>
      <w:r w:rsidRPr="0019758A">
        <w:t xml:space="preserve"> for the one date where all three data sources </w:t>
      </w:r>
      <w:r w:rsidR="00E75AF4">
        <w:t>were available</w:t>
      </w:r>
      <w:r w:rsidRPr="0019758A">
        <w:t xml:space="preserve"> (July 31, 2017). </w:t>
      </w:r>
      <w:r>
        <w:t xml:space="preserve">Overall, EIA-878 survey data is very highly correlated with both data sources. Figures </w:t>
      </w:r>
      <w:r w:rsidR="00B61A95">
        <w:t>12</w:t>
      </w:r>
      <w:r>
        <w:t xml:space="preserve"> </w:t>
      </w:r>
      <w:r w:rsidR="00D214DB">
        <w:t>shows</w:t>
      </w:r>
      <w:r>
        <w:t xml:space="preserve"> a scatterplot of EIA-878 data plotted against OPIS and GasBuddy data for regular gasoline. In both cases, the </w:t>
      </w:r>
      <w:r w:rsidR="00E75AF4">
        <w:t>R</w:t>
      </w:r>
      <w:r w:rsidR="00E75AF4" w:rsidRPr="0030749D">
        <w:rPr>
          <w:vertAlign w:val="superscript"/>
        </w:rPr>
        <w:t>2</w:t>
      </w:r>
      <w:r w:rsidR="0030749D">
        <w:rPr>
          <w:vertAlign w:val="superscript"/>
        </w:rPr>
        <w:t xml:space="preserve"> </w:t>
      </w:r>
      <w:r w:rsidR="00616457">
        <w:t>correlation</w:t>
      </w:r>
      <w:r w:rsidR="00E75AF4">
        <w:t xml:space="preserve"> factor</w:t>
      </w:r>
      <w:r>
        <w:t xml:space="preserve"> was greater than 0.97. The correlation for GasBuddy is slightly higher than that for OPIS, likely due to better alignment with EIA</w:t>
      </w:r>
      <w:r w:rsidR="00F43276">
        <w:t>-878</w:t>
      </w:r>
      <w:r>
        <w:t xml:space="preserve"> data in term</w:t>
      </w:r>
      <w:r w:rsidR="00E75AF4">
        <w:t>s</w:t>
      </w:r>
      <w:r>
        <w:t xml:space="preserve"> of cash over credit prices. However, OPIS data had a lower rate of item missing values. </w:t>
      </w:r>
    </w:p>
    <w:p w14:paraId="5AB2EFD4" w14:textId="77777777" w:rsidR="00970656" w:rsidRDefault="00970656" w:rsidP="0016516B"/>
    <w:p w14:paraId="5C72919A" w14:textId="19DD5D54" w:rsidR="00970656" w:rsidRDefault="00970656" w:rsidP="009F3147">
      <w:pPr>
        <w:pStyle w:val="Caption"/>
      </w:pPr>
      <w:r>
        <w:t xml:space="preserve">Figure </w:t>
      </w:r>
      <w:r w:rsidR="00B61A95">
        <w:t>12</w:t>
      </w:r>
      <w:r>
        <w:t xml:space="preserve">. EIA station-level prices vs. GasBuddy </w:t>
      </w:r>
      <w:r w:rsidR="008D513B">
        <w:t>s</w:t>
      </w:r>
      <w:r>
        <w:t xml:space="preserve">tation-level </w:t>
      </w:r>
      <w:r w:rsidR="00B61A95">
        <w:t>or</w:t>
      </w:r>
      <w:r>
        <w:t xml:space="preserve"> OPIS station-level prices for July 31, 2017</w:t>
      </w:r>
      <w:r w:rsidR="007D78CE">
        <w:t>, all U.S. prices</w:t>
      </w:r>
    </w:p>
    <w:p w14:paraId="5CA55E8F" w14:textId="590BC41E" w:rsidR="00616457" w:rsidRDefault="00616457" w:rsidP="0016516B">
      <w:r>
        <w:rPr>
          <w:noProof/>
        </w:rPr>
        <w:drawing>
          <wp:inline distT="0" distB="0" distL="0" distR="0" wp14:anchorId="41EB377F" wp14:editId="317B4727">
            <wp:extent cx="2918129" cy="2822575"/>
            <wp:effectExtent l="0" t="0" r="15875"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r>
        <w:rPr>
          <w:noProof/>
        </w:rPr>
        <w:drawing>
          <wp:inline distT="0" distB="0" distL="0" distR="0" wp14:anchorId="7C35AC5F" wp14:editId="30B882B6">
            <wp:extent cx="2767054" cy="2830222"/>
            <wp:effectExtent l="0" t="0" r="14605" b="82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502D3B" w14:textId="7C45AD47" w:rsidR="00D214DB" w:rsidRDefault="00B61A95">
      <w:pPr>
        <w:spacing w:line="240" w:lineRule="auto"/>
      </w:pPr>
      <w:r>
        <w:t>Figure 13</w:t>
      </w:r>
      <w:r w:rsidR="00D214DB">
        <w:t xml:space="preserve"> below shows the unweighted average prices calculated from stations that have data available across the three sources (612 stations for regular, 435 stations for midgrade, and 435 stations for premium). The results indicate that prices calculated from these stations are within 2</w:t>
      </w:r>
      <w:r>
        <w:t>¢</w:t>
      </w:r>
      <w:r w:rsidR="00D214DB">
        <w:t xml:space="preserve"> across all </w:t>
      </w:r>
      <w:r w:rsidR="007701FC">
        <w:t>grades</w:t>
      </w:r>
      <w:r w:rsidR="00D214DB">
        <w:t xml:space="preserve">. 95% confidence intervals also overlap, indicating no statistical difference between prices calculated from GasBuddy, OPIS, and EIA sources. </w:t>
      </w:r>
      <w:r w:rsidR="00CC0153">
        <w:t xml:space="preserve">These results are also consistent when examining the distribution of regular gasoline prices at the PADD level (Figure 14). </w:t>
      </w:r>
    </w:p>
    <w:p w14:paraId="60F09B95" w14:textId="77777777" w:rsidR="00D214DB" w:rsidRDefault="00D214DB">
      <w:pPr>
        <w:spacing w:line="240" w:lineRule="auto"/>
      </w:pPr>
    </w:p>
    <w:p w14:paraId="1FE08F4F" w14:textId="77777777" w:rsidR="00B61A95" w:rsidRDefault="00B61A95">
      <w:pPr>
        <w:spacing w:line="240" w:lineRule="auto"/>
      </w:pPr>
    </w:p>
    <w:p w14:paraId="04E67A68" w14:textId="77777777" w:rsidR="00B61A95" w:rsidRDefault="00B61A95">
      <w:pPr>
        <w:spacing w:line="240" w:lineRule="auto"/>
      </w:pPr>
    </w:p>
    <w:p w14:paraId="18F29DCF" w14:textId="77777777" w:rsidR="00B61A95" w:rsidRDefault="00B61A95">
      <w:pPr>
        <w:spacing w:line="240" w:lineRule="auto"/>
      </w:pPr>
    </w:p>
    <w:p w14:paraId="35793821" w14:textId="1CB9864C" w:rsidR="00B61A95" w:rsidRPr="00AE517F" w:rsidRDefault="00B61A95" w:rsidP="009F3147">
      <w:pPr>
        <w:pStyle w:val="Caption"/>
      </w:pPr>
      <w:r w:rsidRPr="00374CD5">
        <w:t xml:space="preserve">Figure 13. </w:t>
      </w:r>
      <w:r w:rsidR="002A1564" w:rsidRPr="00374CD5">
        <w:t xml:space="preserve">Unweighted </w:t>
      </w:r>
      <w:r w:rsidR="007D78CE">
        <w:t xml:space="preserve">U.S. </w:t>
      </w:r>
      <w:r w:rsidR="002A1564" w:rsidRPr="005E0D54">
        <w:t>a</w:t>
      </w:r>
      <w:r w:rsidRPr="005E0D54">
        <w:t>verage price by gasoline grade and data source for July 31, 2017.</w:t>
      </w:r>
    </w:p>
    <w:p w14:paraId="667DDAAC" w14:textId="1BD6FBD9" w:rsidR="00D4071F" w:rsidRDefault="00D214DB">
      <w:pPr>
        <w:spacing w:line="240" w:lineRule="auto"/>
      </w:pPr>
      <w:r>
        <w:rPr>
          <w:noProof/>
        </w:rPr>
        <w:drawing>
          <wp:inline distT="0" distB="0" distL="0" distR="0" wp14:anchorId="21887180" wp14:editId="0C5C3A8E">
            <wp:extent cx="5943600" cy="3051810"/>
            <wp:effectExtent l="0" t="0" r="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5EC824" w14:textId="6AC2751F" w:rsidR="00CC0153" w:rsidRPr="00AE517F" w:rsidRDefault="00CC0153" w:rsidP="009F3147">
      <w:pPr>
        <w:pStyle w:val="Caption"/>
      </w:pPr>
      <w:r w:rsidRPr="00374CD5">
        <w:t xml:space="preserve">Figure 14. </w:t>
      </w:r>
      <w:r w:rsidRPr="005E0D54">
        <w:t>Boxplot of regular gasoline prices by PADD and data source for July 31, 2017.</w:t>
      </w:r>
    </w:p>
    <w:p w14:paraId="0CECB874" w14:textId="0AC41B11" w:rsidR="0029401D" w:rsidRDefault="004C4E17" w:rsidP="0016516B">
      <w:r>
        <w:rPr>
          <w:noProof/>
        </w:rPr>
        <mc:AlternateContent>
          <mc:Choice Requires="wps">
            <w:drawing>
              <wp:anchor distT="0" distB="0" distL="114300" distR="114300" simplePos="0" relativeHeight="251700224" behindDoc="0" locked="0" layoutInCell="1" allowOverlap="1" wp14:anchorId="77605A8B" wp14:editId="7DCCF17C">
                <wp:simplePos x="0" y="0"/>
                <wp:positionH relativeFrom="column">
                  <wp:posOffset>2843530</wp:posOffset>
                </wp:positionH>
                <wp:positionV relativeFrom="paragraph">
                  <wp:posOffset>3346483</wp:posOffset>
                </wp:positionV>
                <wp:extent cx="130629" cy="148441"/>
                <wp:effectExtent l="0" t="0" r="3175" b="4445"/>
                <wp:wrapNone/>
                <wp:docPr id="60" name="Rectangle 60"/>
                <wp:cNvGraphicFramePr/>
                <a:graphic xmlns:a="http://schemas.openxmlformats.org/drawingml/2006/main">
                  <a:graphicData uri="http://schemas.microsoft.com/office/word/2010/wordprocessingShape">
                    <wps:wsp>
                      <wps:cNvSpPr/>
                      <wps:spPr bwMode="auto">
                        <a:xfrm>
                          <a:off x="0" y="0"/>
                          <a:ext cx="130629" cy="148441"/>
                        </a:xfrm>
                        <a:prstGeom prst="rect">
                          <a:avLst/>
                        </a:prstGeom>
                        <a:solidFill>
                          <a:schemeClr val="accent4">
                            <a:lumMod val="40000"/>
                            <a:lumOff val="60000"/>
                          </a:schemeClr>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B8558F" id="Rectangle 60" o:spid="_x0000_s1026" style="position:absolute;margin-left:223.9pt;margin-top:263.5pt;width:10.3pt;height:1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" fillcolor="#ffe899 [1303]" stroked="f">
                <v:stroke joinstyle="round"/>
              </v:rect>
            </w:pict>
          </mc:Fallback>
        </mc:AlternateContent>
      </w:r>
      <w:r>
        <w:rPr>
          <w:noProof/>
        </w:rPr>
        <mc:AlternateContent>
          <mc:Choice Requires="wps">
            <w:drawing>
              <wp:anchor distT="0" distB="0" distL="114300" distR="114300" simplePos="0" relativeHeight="251699200" behindDoc="0" locked="0" layoutInCell="1" allowOverlap="1" wp14:anchorId="39F31165" wp14:editId="00A1FEF8">
                <wp:simplePos x="0" y="0"/>
                <wp:positionH relativeFrom="column">
                  <wp:posOffset>2369127</wp:posOffset>
                </wp:positionH>
                <wp:positionV relativeFrom="paragraph">
                  <wp:posOffset>3352643</wp:posOffset>
                </wp:positionV>
                <wp:extent cx="136567" cy="136303"/>
                <wp:effectExtent l="0" t="0" r="0" b="0"/>
                <wp:wrapNone/>
                <wp:docPr id="59" name="Rectangle 59"/>
                <wp:cNvGraphicFramePr/>
                <a:graphic xmlns:a="http://schemas.openxmlformats.org/drawingml/2006/main">
                  <a:graphicData uri="http://schemas.microsoft.com/office/word/2010/wordprocessingShape">
                    <wps:wsp>
                      <wps:cNvSpPr/>
                      <wps:spPr bwMode="auto">
                        <a:xfrm>
                          <a:off x="0" y="0"/>
                          <a:ext cx="136567" cy="136303"/>
                        </a:xfrm>
                        <a:prstGeom prst="rect">
                          <a:avLst/>
                        </a:prstGeom>
                        <a:solidFill>
                          <a:srgbClr val="C00000"/>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1678E5" id="Rectangle 59" o:spid="_x0000_s1026" style="position:absolute;margin-left:186.55pt;margin-top:264pt;width:10.75pt;height:1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" fillcolor="#c00000" stroked="f">
                <v:stroke joinstyle="round"/>
              </v:rect>
            </w:pict>
          </mc:Fallback>
        </mc:AlternateContent>
      </w:r>
      <w:r>
        <w:rPr>
          <w:noProof/>
        </w:rPr>
        <mc:AlternateContent>
          <mc:Choice Requires="wps">
            <w:drawing>
              <wp:anchor distT="0" distB="0" distL="114300" distR="114300" simplePos="0" relativeHeight="251698176" behindDoc="0" locked="0" layoutInCell="1" allowOverlap="1" wp14:anchorId="68BCB280" wp14:editId="204F2309">
                <wp:simplePos x="0" y="0"/>
                <wp:positionH relativeFrom="column">
                  <wp:posOffset>1804670</wp:posOffset>
                </wp:positionH>
                <wp:positionV relativeFrom="paragraph">
                  <wp:posOffset>3346705</wp:posOffset>
                </wp:positionV>
                <wp:extent cx="142504" cy="142504"/>
                <wp:effectExtent l="0" t="0" r="0" b="0"/>
                <wp:wrapNone/>
                <wp:docPr id="58" name="Rectangle 58"/>
                <wp:cNvGraphicFramePr/>
                <a:graphic xmlns:a="http://schemas.openxmlformats.org/drawingml/2006/main">
                  <a:graphicData uri="http://schemas.microsoft.com/office/word/2010/wordprocessingShape">
                    <wps:wsp>
                      <wps:cNvSpPr/>
                      <wps:spPr bwMode="auto">
                        <a:xfrm>
                          <a:off x="0" y="0"/>
                          <a:ext cx="142504" cy="142504"/>
                        </a:xfrm>
                        <a:prstGeom prst="rect">
                          <a:avLst/>
                        </a:prstGeom>
                        <a:solidFill>
                          <a:schemeClr val="accent1"/>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07643A" id="Rectangle 58" o:spid="_x0000_s1026" style="position:absolute;margin-left:142.1pt;margin-top:263.5pt;width:11.2pt;height:1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" fillcolor="#0096d7 [3204]" stroked="f">
                <v:stroke joinstyle="round"/>
              </v:rect>
            </w:pict>
          </mc:Fallback>
        </mc:AlternateContent>
      </w:r>
      <w:r>
        <w:rPr>
          <w:noProof/>
        </w:rPr>
        <mc:AlternateContent>
          <mc:Choice Requires="wps">
            <w:drawing>
              <wp:anchor distT="0" distB="0" distL="114300" distR="114300" simplePos="0" relativeHeight="251697152" behindDoc="0" locked="0" layoutInCell="1" allowOverlap="1" wp14:anchorId="3DCD8C9D" wp14:editId="3C718DA0">
                <wp:simplePos x="0" y="0"/>
                <wp:positionH relativeFrom="column">
                  <wp:posOffset>304800</wp:posOffset>
                </wp:positionH>
                <wp:positionV relativeFrom="paragraph">
                  <wp:posOffset>3284855</wp:posOffset>
                </wp:positionV>
                <wp:extent cx="5324475" cy="276225"/>
                <wp:effectExtent l="0" t="0" r="9525" b="0"/>
                <wp:wrapNone/>
                <wp:docPr id="41" name="Text Box 41"/>
                <wp:cNvGraphicFramePr/>
                <a:graphic xmlns:a="http://schemas.openxmlformats.org/drawingml/2006/main">
                  <a:graphicData uri="http://schemas.microsoft.com/office/word/2010/wordprocessingShape">
                    <wps:wsp>
                      <wps:cNvSpPr txBox="1"/>
                      <wps:spPr bwMode="auto">
                        <a:xfrm>
                          <a:off x="0" y="0"/>
                          <a:ext cx="5324475" cy="276225"/>
                        </a:xfrm>
                        <a:prstGeom prst="rect">
                          <a:avLst/>
                        </a:prstGeom>
                        <a:noFill/>
                        <a:ln w="6350">
                          <a:noFill/>
                        </a:ln>
                      </wps:spPr>
                      <wps:txbx>
                        <w:txbxContent>
                          <w:p w14:paraId="62B0DCE1" w14:textId="4FC90FF5" w:rsidR="00A878BB" w:rsidRDefault="00A878BB">
                            <w:r>
                              <w:t xml:space="preserve">                                                       OPIS         EIA         GasBuddy</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margin-left:24pt;margin-top:258.65pt;width:419.2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" filled="f" stroked="f" strokeweight=".5pt">
                <v:textbox inset="0,0,0">
                  <w:txbxContent>
                    <w:p w14:paraId="62B0DCE1" w14:textId="4FC90FF5" w:rsidR="00A878BB" w:rsidRDefault="00A878BB">
                      <w:r>
                        <w:t xml:space="preserve">                                                       OPIS         EIA         GasBuddy</w:t>
                      </w:r>
                    </w:p>
                  </w:txbxContent>
                </v:textbox>
              </v:shape>
            </w:pict>
          </mc:Fallback>
        </mc:AlternateContent>
      </w:r>
      <w:r w:rsidR="00126D41">
        <w:rPr>
          <w:noProof/>
        </w:rPr>
        <w:drawing>
          <wp:inline distT="0" distB="0" distL="0" distR="0" wp14:anchorId="02C85442" wp14:editId="16E7BDB2">
            <wp:extent cx="5508346" cy="32429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39" t="7822" r="42361" b="5044"/>
                    <a:stretch/>
                  </pic:blipFill>
                  <pic:spPr bwMode="auto">
                    <a:xfrm>
                      <a:off x="0" y="0"/>
                      <a:ext cx="5527519" cy="3254233"/>
                    </a:xfrm>
                    <a:prstGeom prst="rect">
                      <a:avLst/>
                    </a:prstGeom>
                    <a:ln>
                      <a:noFill/>
                    </a:ln>
                    <a:extLst>
                      <a:ext uri="{53640926-AAD7-44D8-BBD7-CCE9431645EC}">
                        <a14:shadowObscured xmlns:a14="http://schemas.microsoft.com/office/drawing/2010/main"/>
                      </a:ext>
                    </a:extLst>
                  </pic:spPr>
                </pic:pic>
              </a:graphicData>
            </a:graphic>
          </wp:inline>
        </w:drawing>
      </w:r>
    </w:p>
    <w:p w14:paraId="00E0A6B7" w14:textId="17312AD6" w:rsidR="00CC0153" w:rsidRDefault="00CC0153" w:rsidP="0016516B"/>
    <w:p w14:paraId="45685BE6" w14:textId="77777777" w:rsidR="00CC0153" w:rsidRDefault="00CC0153" w:rsidP="0016516B"/>
    <w:p w14:paraId="55A3458C" w14:textId="77777777" w:rsidR="00CC0153" w:rsidRDefault="00CC0153" w:rsidP="0016516B">
      <w:pPr>
        <w:sectPr w:rsidR="00CC0153" w:rsidSect="008F6837">
          <w:footerReference w:type="default" r:id="rId39"/>
          <w:pgSz w:w="12240" w:h="15840"/>
          <w:pgMar w:top="1440" w:right="1440" w:bottom="1440" w:left="1440" w:header="720" w:footer="720" w:gutter="0"/>
          <w:cols w:space="720"/>
          <w:docGrid w:linePitch="360"/>
        </w:sectPr>
      </w:pPr>
    </w:p>
    <w:p w14:paraId="2D34E95A" w14:textId="6DFCAD43" w:rsidR="00001403" w:rsidRDefault="00001403" w:rsidP="00001403">
      <w:pPr>
        <w:pStyle w:val="Heading2"/>
      </w:pPr>
      <w:bookmarkStart w:id="20" w:name="_Toc497202523"/>
      <w:r>
        <w:t xml:space="preserve">Comparing EIA and AAA </w:t>
      </w:r>
      <w:r w:rsidR="00114932">
        <w:t>c</w:t>
      </w:r>
      <w:r>
        <w:t xml:space="preserve">ity </w:t>
      </w:r>
      <w:r w:rsidR="00114932">
        <w:t>d</w:t>
      </w:r>
      <w:r>
        <w:t>efinitions</w:t>
      </w:r>
      <w:bookmarkEnd w:id="20"/>
    </w:p>
    <w:p w14:paraId="21BAB546" w14:textId="06A4FC74" w:rsidR="00001403" w:rsidRDefault="00001403" w:rsidP="00001403">
      <w:r>
        <w:t xml:space="preserve">In </w:t>
      </w:r>
      <w:r w:rsidRPr="0051180F">
        <w:rPr>
          <w:i/>
        </w:rPr>
        <w:t>Evaluation of Alternative Sources for Motor Gasoline Prices and Volumes</w:t>
      </w:r>
      <w:r>
        <w:t xml:space="preserve"> (</w:t>
      </w:r>
      <w:r w:rsidRPr="0051180F">
        <w:t>June 2017</w:t>
      </w:r>
      <w:r>
        <w:t xml:space="preserve">), EIA observed large discrepancies between the aggregate prices published by AAA and EIA’s published prices for New York City and Chicago.  </w:t>
      </w:r>
      <w:r w:rsidR="00E75AF4">
        <w:t>SDSI staff</w:t>
      </w:r>
      <w:r>
        <w:t xml:space="preserve"> investigated further to determine if the differences were due to the city definition or reporting discrepancies at the station level.</w:t>
      </w:r>
    </w:p>
    <w:p w14:paraId="5F1968E3" w14:textId="0275A451" w:rsidR="00E42138" w:rsidRDefault="00963E14" w:rsidP="00001403">
      <w:r>
        <w:t xml:space="preserve">SDSI </w:t>
      </w:r>
      <w:r w:rsidR="00E75AF4">
        <w:t>staff</w:t>
      </w:r>
      <w:r>
        <w:t xml:space="preserve"> </w:t>
      </w:r>
      <w:r w:rsidR="00A32A03">
        <w:t xml:space="preserve">identified stations that met the criteria for New York City and Chicago, based </w:t>
      </w:r>
      <w:r w:rsidR="002452E9">
        <w:t>on the EIA definition (Table 4</w:t>
      </w:r>
      <w:r w:rsidR="00E42138">
        <w:t>)</w:t>
      </w:r>
      <w:r>
        <w:t>, using the station location information provided by OPIS (full description of data appears earlier in this report)</w:t>
      </w:r>
      <w:r w:rsidR="00E42138">
        <w:t xml:space="preserve">. About 4,500 stations were identified within the EIA definition of </w:t>
      </w:r>
      <w:r w:rsidR="00BD7DC7">
        <w:t>“</w:t>
      </w:r>
      <w:r w:rsidR="00E42138">
        <w:t>New York City</w:t>
      </w:r>
      <w:r w:rsidR="00BD7DC7">
        <w:t>”</w:t>
      </w:r>
      <w:r w:rsidR="00E42138">
        <w:t xml:space="preserve"> and 3,000 were within EIA’s </w:t>
      </w:r>
      <w:r>
        <w:t>“</w:t>
      </w:r>
      <w:r w:rsidR="00E42138">
        <w:t>Chicago</w:t>
      </w:r>
      <w:r>
        <w:t>”</w:t>
      </w:r>
      <w:r w:rsidR="00E42138">
        <w:t xml:space="preserve"> definition. For the purposes of this analysis, </w:t>
      </w:r>
      <w:r w:rsidR="00E75AF4">
        <w:t>SDSI staff</w:t>
      </w:r>
      <w:r w:rsidR="00E42138">
        <w:t xml:space="preserve"> considered these stations as the census of all stations within the city definition and their</w:t>
      </w:r>
      <w:r w:rsidR="00F81D46">
        <w:t xml:space="preserve"> unweighted</w:t>
      </w:r>
      <w:r w:rsidR="00E42138">
        <w:t xml:space="preserve"> average as the population estimate. </w:t>
      </w:r>
    </w:p>
    <w:p w14:paraId="3E8BC570" w14:textId="40DAA186" w:rsidR="00E42138" w:rsidRDefault="00E42138" w:rsidP="00001403">
      <w:r>
        <w:t xml:space="preserve">The “population” estimate </w:t>
      </w:r>
      <w:r w:rsidR="00374CD5">
        <w:t xml:space="preserve">was then compared against the </w:t>
      </w:r>
      <w:r w:rsidR="00963E14">
        <w:t>three series detailed below</w:t>
      </w:r>
      <w:r w:rsidR="00374CD5">
        <w:t xml:space="preserve">. Sample size information for the series can be found in </w:t>
      </w:r>
      <w:r w:rsidR="00374CD5" w:rsidRPr="00374CD5">
        <w:t xml:space="preserve">Tables </w:t>
      </w:r>
      <w:r w:rsidR="00374CD5" w:rsidRPr="00AE517F">
        <w:t>A.4 and A.5</w:t>
      </w:r>
      <w:r w:rsidR="007D78CE">
        <w:t>.</w:t>
      </w:r>
    </w:p>
    <w:p w14:paraId="49729D78" w14:textId="4B776587" w:rsidR="00E42138" w:rsidRDefault="00E42138" w:rsidP="003677C2">
      <w:pPr>
        <w:pStyle w:val="ListParagraph"/>
      </w:pPr>
      <w:r>
        <w:t xml:space="preserve">AAA </w:t>
      </w:r>
      <w:r w:rsidR="00F81D46">
        <w:t xml:space="preserve">average </w:t>
      </w:r>
      <w:r>
        <w:t>published prices</w:t>
      </w:r>
      <w:r w:rsidR="00876693">
        <w:rPr>
          <w:rStyle w:val="FootnoteReference"/>
        </w:rPr>
        <w:footnoteReference w:id="3"/>
      </w:r>
    </w:p>
    <w:p w14:paraId="20261EE0" w14:textId="1F983538" w:rsidR="00E42138" w:rsidRDefault="00F81D46" w:rsidP="003677C2">
      <w:pPr>
        <w:pStyle w:val="ListParagraph"/>
      </w:pPr>
      <w:r>
        <w:t>Unweighted average of s</w:t>
      </w:r>
      <w:r w:rsidR="00876693">
        <w:t xml:space="preserve">tation-level </w:t>
      </w:r>
      <w:r w:rsidR="00E42138">
        <w:t>EIA prices f</w:t>
      </w:r>
      <w:r w:rsidR="00BD7DC7">
        <w:t>rom</w:t>
      </w:r>
      <w:r w:rsidR="00E42138">
        <w:t xml:space="preserve"> the EIA-OPIS matched file</w:t>
      </w:r>
    </w:p>
    <w:p w14:paraId="53BD7C51" w14:textId="22CAF135" w:rsidR="00A32A03" w:rsidRDefault="00F81D46" w:rsidP="003677C2">
      <w:pPr>
        <w:pStyle w:val="ListParagraph"/>
      </w:pPr>
      <w:r>
        <w:t>Unweighted average of s</w:t>
      </w:r>
      <w:r w:rsidR="00876693">
        <w:t xml:space="preserve">tation-level </w:t>
      </w:r>
      <w:r w:rsidR="00E42138">
        <w:t>OPIS prices from the EIA-OPIS matched file</w:t>
      </w:r>
    </w:p>
    <w:tbl>
      <w:tblPr>
        <w:tblW w:w="10226" w:type="dxa"/>
        <w:tblLook w:val="04A0" w:firstRow="1" w:lastRow="0" w:firstColumn="1" w:lastColumn="0" w:noHBand="0" w:noVBand="1"/>
      </w:tblPr>
      <w:tblGrid>
        <w:gridCol w:w="1350"/>
        <w:gridCol w:w="1170"/>
        <w:gridCol w:w="3870"/>
        <w:gridCol w:w="3836"/>
      </w:tblGrid>
      <w:tr w:rsidR="003727DC" w:rsidRPr="003727DC" w14:paraId="3BA27E3B" w14:textId="77777777" w:rsidTr="00AE517F">
        <w:trPr>
          <w:trHeight w:val="306"/>
        </w:trPr>
        <w:tc>
          <w:tcPr>
            <w:tcW w:w="10226" w:type="dxa"/>
            <w:gridSpan w:val="4"/>
            <w:tcBorders>
              <w:top w:val="nil"/>
              <w:left w:val="nil"/>
              <w:bottom w:val="nil"/>
              <w:right w:val="nil"/>
            </w:tcBorders>
            <w:shd w:val="clear" w:color="auto" w:fill="auto"/>
            <w:noWrap/>
            <w:vAlign w:val="bottom"/>
            <w:hideMark/>
          </w:tcPr>
          <w:p w14:paraId="44A9A818" w14:textId="68980D2C" w:rsidR="003727DC" w:rsidRPr="003727DC" w:rsidRDefault="002452E9" w:rsidP="00114932">
            <w:pPr>
              <w:spacing w:after="0" w:line="240" w:lineRule="auto"/>
              <w:rPr>
                <w:rFonts w:ascii="Calibri" w:eastAsia="Times New Roman" w:hAnsi="Calibri" w:cs="Times New Roman"/>
                <w:b/>
                <w:bCs/>
                <w:color w:val="0096D7"/>
                <w:sz w:val="24"/>
                <w:szCs w:val="24"/>
              </w:rPr>
            </w:pPr>
            <w:r>
              <w:rPr>
                <w:rFonts w:ascii="Calibri" w:eastAsia="Times New Roman" w:hAnsi="Calibri" w:cs="Times New Roman"/>
                <w:b/>
                <w:bCs/>
                <w:color w:val="0096D7"/>
                <w:sz w:val="24"/>
                <w:szCs w:val="24"/>
              </w:rPr>
              <w:t>Table 4</w:t>
            </w:r>
            <w:r w:rsidR="003727DC" w:rsidRPr="003727DC">
              <w:rPr>
                <w:rFonts w:ascii="Calibri" w:eastAsia="Times New Roman" w:hAnsi="Calibri" w:cs="Times New Roman"/>
                <w:b/>
                <w:bCs/>
                <w:color w:val="0096D7"/>
                <w:sz w:val="24"/>
                <w:szCs w:val="24"/>
              </w:rPr>
              <w:t xml:space="preserve">.  EIA and AAA </w:t>
            </w:r>
            <w:r w:rsidR="00114932">
              <w:rPr>
                <w:rFonts w:ascii="Calibri" w:eastAsia="Times New Roman" w:hAnsi="Calibri" w:cs="Times New Roman"/>
                <w:b/>
                <w:bCs/>
                <w:color w:val="0096D7"/>
                <w:sz w:val="24"/>
                <w:szCs w:val="24"/>
              </w:rPr>
              <w:t>c</w:t>
            </w:r>
            <w:r w:rsidR="003727DC" w:rsidRPr="003727DC">
              <w:rPr>
                <w:rFonts w:ascii="Calibri" w:eastAsia="Times New Roman" w:hAnsi="Calibri" w:cs="Times New Roman"/>
                <w:b/>
                <w:bCs/>
                <w:color w:val="0096D7"/>
                <w:sz w:val="24"/>
                <w:szCs w:val="24"/>
              </w:rPr>
              <w:t xml:space="preserve">ity </w:t>
            </w:r>
            <w:r w:rsidR="00114932">
              <w:rPr>
                <w:rFonts w:ascii="Calibri" w:eastAsia="Times New Roman" w:hAnsi="Calibri" w:cs="Times New Roman"/>
                <w:b/>
                <w:bCs/>
                <w:color w:val="0096D7"/>
                <w:sz w:val="24"/>
                <w:szCs w:val="24"/>
              </w:rPr>
              <w:t>d</w:t>
            </w:r>
            <w:r w:rsidR="003727DC" w:rsidRPr="003727DC">
              <w:rPr>
                <w:rFonts w:ascii="Calibri" w:eastAsia="Times New Roman" w:hAnsi="Calibri" w:cs="Times New Roman"/>
                <w:b/>
                <w:bCs/>
                <w:color w:val="0096D7"/>
                <w:sz w:val="24"/>
                <w:szCs w:val="24"/>
              </w:rPr>
              <w:t>efinition for New York City and Chicago</w:t>
            </w:r>
            <w:r w:rsidR="009E44C6">
              <w:rPr>
                <w:rFonts w:ascii="Calibri" w:eastAsia="Times New Roman" w:hAnsi="Calibri" w:cs="Times New Roman"/>
                <w:b/>
                <w:bCs/>
                <w:color w:val="0096D7"/>
                <w:sz w:val="24"/>
                <w:szCs w:val="24"/>
              </w:rPr>
              <w:t xml:space="preserve"> (city and metro)</w:t>
            </w:r>
            <w:r w:rsidR="00114932">
              <w:rPr>
                <w:rFonts w:ascii="Calibri" w:eastAsia="Times New Roman" w:hAnsi="Calibri" w:cs="Times New Roman"/>
                <w:b/>
                <w:bCs/>
                <w:color w:val="0096D7"/>
                <w:sz w:val="24"/>
                <w:szCs w:val="24"/>
              </w:rPr>
              <w:t>.</w:t>
            </w:r>
          </w:p>
        </w:tc>
      </w:tr>
      <w:tr w:rsidR="003727DC" w:rsidRPr="003727DC" w14:paraId="5C901DAD" w14:textId="77777777" w:rsidTr="00AE517F">
        <w:trPr>
          <w:trHeight w:val="306"/>
        </w:trPr>
        <w:tc>
          <w:tcPr>
            <w:tcW w:w="1350" w:type="dxa"/>
            <w:tcBorders>
              <w:top w:val="nil"/>
              <w:left w:val="nil"/>
              <w:bottom w:val="single" w:sz="12" w:space="0" w:color="0096D7"/>
              <w:right w:val="nil"/>
            </w:tcBorders>
            <w:shd w:val="clear" w:color="auto" w:fill="auto"/>
            <w:vAlign w:val="bottom"/>
            <w:hideMark/>
          </w:tcPr>
          <w:p w14:paraId="63D16B48" w14:textId="77777777" w:rsidR="003727DC" w:rsidRPr="003727DC" w:rsidRDefault="003727DC" w:rsidP="003727DC">
            <w:pPr>
              <w:spacing w:after="0" w:line="240" w:lineRule="auto"/>
              <w:rPr>
                <w:rFonts w:ascii="Calibri" w:eastAsia="Times New Roman" w:hAnsi="Calibri" w:cs="Times New Roman"/>
                <w:b/>
                <w:bCs/>
                <w:color w:val="000000"/>
                <w:sz w:val="18"/>
                <w:szCs w:val="18"/>
              </w:rPr>
            </w:pPr>
            <w:r w:rsidRPr="003727DC">
              <w:rPr>
                <w:rFonts w:ascii="Calibri" w:eastAsia="Times New Roman" w:hAnsi="Calibri" w:cs="Times New Roman"/>
                <w:b/>
                <w:bCs/>
                <w:color w:val="000000"/>
                <w:sz w:val="18"/>
                <w:szCs w:val="18"/>
              </w:rPr>
              <w:t>City</w:t>
            </w:r>
          </w:p>
        </w:tc>
        <w:tc>
          <w:tcPr>
            <w:tcW w:w="1170" w:type="dxa"/>
            <w:tcBorders>
              <w:top w:val="nil"/>
              <w:left w:val="nil"/>
              <w:bottom w:val="single" w:sz="12" w:space="0" w:color="0096D7"/>
              <w:right w:val="nil"/>
            </w:tcBorders>
            <w:shd w:val="clear" w:color="auto" w:fill="auto"/>
            <w:vAlign w:val="bottom"/>
            <w:hideMark/>
          </w:tcPr>
          <w:p w14:paraId="740D9ECA" w14:textId="77777777" w:rsidR="003727DC" w:rsidRPr="003727DC" w:rsidRDefault="003727DC" w:rsidP="003727DC">
            <w:pPr>
              <w:spacing w:after="0" w:line="240" w:lineRule="auto"/>
              <w:rPr>
                <w:rFonts w:ascii="Calibri" w:eastAsia="Times New Roman" w:hAnsi="Calibri" w:cs="Times New Roman"/>
                <w:b/>
                <w:bCs/>
                <w:color w:val="000000"/>
                <w:sz w:val="18"/>
                <w:szCs w:val="18"/>
              </w:rPr>
            </w:pPr>
            <w:r w:rsidRPr="003727DC">
              <w:rPr>
                <w:rFonts w:ascii="Calibri" w:eastAsia="Times New Roman" w:hAnsi="Calibri" w:cs="Times New Roman"/>
                <w:b/>
                <w:bCs/>
                <w:color w:val="000000"/>
                <w:sz w:val="18"/>
                <w:szCs w:val="18"/>
              </w:rPr>
              <w:t>State</w:t>
            </w:r>
          </w:p>
        </w:tc>
        <w:tc>
          <w:tcPr>
            <w:tcW w:w="3870" w:type="dxa"/>
            <w:tcBorders>
              <w:top w:val="nil"/>
              <w:left w:val="nil"/>
              <w:bottom w:val="single" w:sz="12" w:space="0" w:color="0096D7"/>
              <w:right w:val="nil"/>
            </w:tcBorders>
            <w:shd w:val="clear" w:color="auto" w:fill="auto"/>
            <w:vAlign w:val="bottom"/>
            <w:hideMark/>
          </w:tcPr>
          <w:p w14:paraId="4991B254" w14:textId="77777777" w:rsidR="003727DC" w:rsidRPr="003727DC" w:rsidRDefault="003727DC" w:rsidP="003727DC">
            <w:pPr>
              <w:spacing w:after="0" w:line="240" w:lineRule="auto"/>
              <w:jc w:val="center"/>
              <w:rPr>
                <w:rFonts w:ascii="Calibri" w:eastAsia="Times New Roman" w:hAnsi="Calibri" w:cs="Times New Roman"/>
                <w:b/>
                <w:bCs/>
                <w:color w:val="000000"/>
                <w:sz w:val="18"/>
                <w:szCs w:val="18"/>
              </w:rPr>
            </w:pPr>
            <w:r w:rsidRPr="003727DC">
              <w:rPr>
                <w:rFonts w:ascii="Calibri" w:eastAsia="Times New Roman" w:hAnsi="Calibri" w:cs="Times New Roman"/>
                <w:b/>
                <w:bCs/>
                <w:color w:val="000000"/>
                <w:sz w:val="18"/>
                <w:szCs w:val="18"/>
              </w:rPr>
              <w:t>EIA</w:t>
            </w:r>
          </w:p>
        </w:tc>
        <w:tc>
          <w:tcPr>
            <w:tcW w:w="3836" w:type="dxa"/>
            <w:tcBorders>
              <w:top w:val="nil"/>
              <w:left w:val="nil"/>
              <w:bottom w:val="single" w:sz="12" w:space="0" w:color="0096D7"/>
              <w:right w:val="nil"/>
            </w:tcBorders>
            <w:shd w:val="clear" w:color="auto" w:fill="auto"/>
            <w:vAlign w:val="bottom"/>
            <w:hideMark/>
          </w:tcPr>
          <w:p w14:paraId="75731F99" w14:textId="77777777" w:rsidR="003727DC" w:rsidRPr="003727DC" w:rsidRDefault="003727DC" w:rsidP="003727DC">
            <w:pPr>
              <w:spacing w:after="0" w:line="240" w:lineRule="auto"/>
              <w:jc w:val="center"/>
              <w:rPr>
                <w:rFonts w:ascii="Calibri" w:eastAsia="Times New Roman" w:hAnsi="Calibri" w:cs="Times New Roman"/>
                <w:b/>
                <w:bCs/>
                <w:color w:val="000000"/>
                <w:sz w:val="18"/>
                <w:szCs w:val="18"/>
              </w:rPr>
            </w:pPr>
            <w:r w:rsidRPr="003727DC">
              <w:rPr>
                <w:rFonts w:ascii="Calibri" w:eastAsia="Times New Roman" w:hAnsi="Calibri" w:cs="Times New Roman"/>
                <w:b/>
                <w:bCs/>
                <w:color w:val="000000"/>
                <w:sz w:val="18"/>
                <w:szCs w:val="18"/>
              </w:rPr>
              <w:t>AAA</w:t>
            </w:r>
          </w:p>
        </w:tc>
      </w:tr>
      <w:tr w:rsidR="003727DC" w:rsidRPr="003727DC" w14:paraId="0670F5D2" w14:textId="77777777" w:rsidTr="00AE517F">
        <w:trPr>
          <w:trHeight w:val="730"/>
        </w:trPr>
        <w:tc>
          <w:tcPr>
            <w:tcW w:w="1350" w:type="dxa"/>
            <w:vMerge w:val="restart"/>
            <w:tcBorders>
              <w:top w:val="nil"/>
              <w:left w:val="nil"/>
              <w:bottom w:val="dashed" w:sz="4" w:space="0" w:color="BFBFBF"/>
              <w:right w:val="nil"/>
            </w:tcBorders>
            <w:shd w:val="clear" w:color="auto" w:fill="auto"/>
            <w:vAlign w:val="center"/>
            <w:hideMark/>
          </w:tcPr>
          <w:p w14:paraId="1FCF61AC" w14:textId="77777777" w:rsidR="003727DC" w:rsidRPr="003727DC" w:rsidRDefault="003727DC" w:rsidP="003727DC">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New York City</w:t>
            </w:r>
          </w:p>
        </w:tc>
        <w:tc>
          <w:tcPr>
            <w:tcW w:w="1170" w:type="dxa"/>
            <w:tcBorders>
              <w:top w:val="nil"/>
              <w:left w:val="nil"/>
              <w:bottom w:val="dashed" w:sz="4" w:space="0" w:color="BFBFBF"/>
              <w:right w:val="nil"/>
            </w:tcBorders>
            <w:shd w:val="clear" w:color="auto" w:fill="auto"/>
            <w:vAlign w:val="center"/>
            <w:hideMark/>
          </w:tcPr>
          <w:p w14:paraId="71E2C592"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Connecticut</w:t>
            </w:r>
          </w:p>
        </w:tc>
        <w:tc>
          <w:tcPr>
            <w:tcW w:w="3870" w:type="dxa"/>
            <w:tcBorders>
              <w:top w:val="nil"/>
              <w:left w:val="nil"/>
              <w:bottom w:val="dashed" w:sz="4" w:space="0" w:color="BFBFBF"/>
              <w:right w:val="nil"/>
            </w:tcBorders>
            <w:shd w:val="clear" w:color="auto" w:fill="auto"/>
            <w:vAlign w:val="center"/>
            <w:hideMark/>
          </w:tcPr>
          <w:p w14:paraId="23C253D3" w14:textId="5746BC75"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Fairfield County, Litchfield County (partial), New Haven County (partial)</w:t>
            </w:r>
          </w:p>
        </w:tc>
        <w:tc>
          <w:tcPr>
            <w:tcW w:w="3836" w:type="dxa"/>
            <w:tcBorders>
              <w:top w:val="nil"/>
              <w:left w:val="nil"/>
              <w:bottom w:val="dashed" w:sz="4" w:space="0" w:color="BFBFBF"/>
              <w:right w:val="nil"/>
            </w:tcBorders>
            <w:shd w:val="clear" w:color="auto" w:fill="auto"/>
            <w:vAlign w:val="center"/>
            <w:hideMark/>
          </w:tcPr>
          <w:p w14:paraId="71167AC6" w14:textId="4FB8AC52" w:rsidR="003727DC" w:rsidRPr="003727DC" w:rsidRDefault="003727DC" w:rsidP="00963E14">
            <w:pPr>
              <w:spacing w:after="0" w:line="240" w:lineRule="auto"/>
              <w:rPr>
                <w:rFonts w:ascii="Calibri" w:eastAsia="Times New Roman" w:hAnsi="Calibri" w:cs="Times New Roman"/>
                <w:color w:val="000000"/>
                <w:sz w:val="18"/>
                <w:szCs w:val="18"/>
              </w:rPr>
            </w:pPr>
          </w:p>
        </w:tc>
      </w:tr>
      <w:tr w:rsidR="003727DC" w:rsidRPr="003727DC" w14:paraId="475D2FDE" w14:textId="77777777" w:rsidTr="00AE517F">
        <w:trPr>
          <w:trHeight w:val="1214"/>
        </w:trPr>
        <w:tc>
          <w:tcPr>
            <w:tcW w:w="1350" w:type="dxa"/>
            <w:vMerge/>
            <w:tcBorders>
              <w:top w:val="nil"/>
              <w:left w:val="nil"/>
              <w:bottom w:val="dashed" w:sz="4" w:space="0" w:color="BFBFBF"/>
              <w:right w:val="nil"/>
            </w:tcBorders>
            <w:vAlign w:val="center"/>
            <w:hideMark/>
          </w:tcPr>
          <w:p w14:paraId="36931E61" w14:textId="77777777" w:rsidR="003727DC" w:rsidRPr="003727DC" w:rsidRDefault="003727DC" w:rsidP="003727DC">
            <w:pPr>
              <w:spacing w:after="0" w:line="240" w:lineRule="auto"/>
              <w:rPr>
                <w:rFonts w:ascii="Calibri" w:eastAsia="Times New Roman" w:hAnsi="Calibri" w:cs="Times New Roman"/>
                <w:color w:val="000000"/>
                <w:sz w:val="18"/>
                <w:szCs w:val="18"/>
              </w:rPr>
            </w:pPr>
          </w:p>
        </w:tc>
        <w:tc>
          <w:tcPr>
            <w:tcW w:w="1170" w:type="dxa"/>
            <w:tcBorders>
              <w:top w:val="nil"/>
              <w:left w:val="nil"/>
              <w:bottom w:val="dashed" w:sz="4" w:space="0" w:color="BFBFBF"/>
              <w:right w:val="nil"/>
            </w:tcBorders>
            <w:shd w:val="clear" w:color="auto" w:fill="auto"/>
            <w:vAlign w:val="center"/>
            <w:hideMark/>
          </w:tcPr>
          <w:p w14:paraId="450145B5"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New Jersey</w:t>
            </w:r>
          </w:p>
        </w:tc>
        <w:tc>
          <w:tcPr>
            <w:tcW w:w="3870" w:type="dxa"/>
            <w:tcBorders>
              <w:top w:val="nil"/>
              <w:left w:val="nil"/>
              <w:bottom w:val="dashed" w:sz="4" w:space="0" w:color="BFBFBF"/>
              <w:right w:val="nil"/>
            </w:tcBorders>
            <w:shd w:val="clear" w:color="auto" w:fill="auto"/>
            <w:vAlign w:val="center"/>
            <w:hideMark/>
          </w:tcPr>
          <w:p w14:paraId="5CDBFBC1"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Bergen County, Essex County, Hudson County, Hunterdon County, Middlesex County, Monmouth County, Morris County, Ocean County, Passaic County, Sussex County, Union County, Somerset County</w:t>
            </w:r>
          </w:p>
        </w:tc>
        <w:tc>
          <w:tcPr>
            <w:tcW w:w="3836" w:type="dxa"/>
            <w:tcBorders>
              <w:top w:val="nil"/>
              <w:left w:val="nil"/>
              <w:bottom w:val="dashed" w:sz="4" w:space="0" w:color="BFBFBF"/>
              <w:right w:val="nil"/>
            </w:tcBorders>
            <w:shd w:val="clear" w:color="auto" w:fill="auto"/>
            <w:vAlign w:val="center"/>
            <w:hideMark/>
          </w:tcPr>
          <w:p w14:paraId="7E56147E" w14:textId="7AB79B21" w:rsidR="003727DC" w:rsidRPr="003727DC" w:rsidRDefault="003727DC" w:rsidP="00963E14">
            <w:pPr>
              <w:spacing w:after="0" w:line="240" w:lineRule="auto"/>
              <w:rPr>
                <w:rFonts w:ascii="Calibri" w:eastAsia="Times New Roman" w:hAnsi="Calibri" w:cs="Times New Roman"/>
                <w:color w:val="000000"/>
                <w:sz w:val="18"/>
                <w:szCs w:val="18"/>
              </w:rPr>
            </w:pPr>
          </w:p>
        </w:tc>
      </w:tr>
      <w:tr w:rsidR="003727DC" w:rsidRPr="003727DC" w14:paraId="7BC30C77" w14:textId="77777777" w:rsidTr="00AE517F">
        <w:trPr>
          <w:trHeight w:val="1169"/>
        </w:trPr>
        <w:tc>
          <w:tcPr>
            <w:tcW w:w="1350" w:type="dxa"/>
            <w:vMerge/>
            <w:tcBorders>
              <w:top w:val="nil"/>
              <w:left w:val="nil"/>
              <w:bottom w:val="dashed" w:sz="4" w:space="0" w:color="BFBFBF"/>
              <w:right w:val="nil"/>
            </w:tcBorders>
            <w:vAlign w:val="center"/>
            <w:hideMark/>
          </w:tcPr>
          <w:p w14:paraId="5D02287F" w14:textId="77777777" w:rsidR="003727DC" w:rsidRPr="003727DC" w:rsidRDefault="003727DC" w:rsidP="003727DC">
            <w:pPr>
              <w:spacing w:after="0" w:line="240" w:lineRule="auto"/>
              <w:rPr>
                <w:rFonts w:ascii="Calibri" w:eastAsia="Times New Roman" w:hAnsi="Calibri" w:cs="Times New Roman"/>
                <w:color w:val="000000"/>
                <w:sz w:val="18"/>
                <w:szCs w:val="18"/>
              </w:rPr>
            </w:pPr>
          </w:p>
        </w:tc>
        <w:tc>
          <w:tcPr>
            <w:tcW w:w="1170" w:type="dxa"/>
            <w:tcBorders>
              <w:top w:val="nil"/>
              <w:left w:val="nil"/>
              <w:bottom w:val="dashed" w:sz="4" w:space="0" w:color="BFBFBF"/>
              <w:right w:val="nil"/>
            </w:tcBorders>
            <w:shd w:val="clear" w:color="auto" w:fill="auto"/>
            <w:vAlign w:val="center"/>
            <w:hideMark/>
          </w:tcPr>
          <w:p w14:paraId="36D8699A"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New York</w:t>
            </w:r>
          </w:p>
        </w:tc>
        <w:tc>
          <w:tcPr>
            <w:tcW w:w="3870" w:type="dxa"/>
            <w:tcBorders>
              <w:top w:val="nil"/>
              <w:left w:val="nil"/>
              <w:bottom w:val="dashed" w:sz="4" w:space="0" w:color="BFBFBF"/>
              <w:right w:val="nil"/>
            </w:tcBorders>
            <w:shd w:val="clear" w:color="auto" w:fill="auto"/>
            <w:vAlign w:val="center"/>
            <w:hideMark/>
          </w:tcPr>
          <w:p w14:paraId="27580E24"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b/>
                <w:bCs/>
                <w:color w:val="000000"/>
                <w:sz w:val="18"/>
                <w:szCs w:val="18"/>
              </w:rPr>
              <w:t>Bronx County, Kings County</w:t>
            </w:r>
            <w:r w:rsidRPr="003727DC">
              <w:rPr>
                <w:rFonts w:ascii="Calibri" w:eastAsia="Times New Roman" w:hAnsi="Calibri" w:cs="Times New Roman"/>
                <w:color w:val="000000"/>
                <w:sz w:val="18"/>
                <w:szCs w:val="18"/>
              </w:rPr>
              <w:t xml:space="preserve">, Westchester County, Nassau County, </w:t>
            </w:r>
            <w:r w:rsidRPr="008E4E16">
              <w:rPr>
                <w:rFonts w:ascii="Calibri" w:eastAsia="Times New Roman" w:hAnsi="Calibri" w:cs="Times New Roman"/>
                <w:b/>
                <w:color w:val="000000"/>
                <w:sz w:val="18"/>
                <w:szCs w:val="18"/>
              </w:rPr>
              <w:t>New York County</w:t>
            </w:r>
            <w:r w:rsidRPr="003727DC">
              <w:rPr>
                <w:rFonts w:ascii="Calibri" w:eastAsia="Times New Roman" w:hAnsi="Calibri" w:cs="Times New Roman"/>
                <w:color w:val="000000"/>
                <w:sz w:val="18"/>
                <w:szCs w:val="18"/>
              </w:rPr>
              <w:t xml:space="preserve">, Orange County, Putnam, </w:t>
            </w:r>
            <w:r w:rsidRPr="003727DC">
              <w:rPr>
                <w:rFonts w:ascii="Calibri" w:eastAsia="Times New Roman" w:hAnsi="Calibri" w:cs="Times New Roman"/>
                <w:b/>
                <w:bCs/>
                <w:color w:val="000000"/>
                <w:sz w:val="18"/>
                <w:szCs w:val="18"/>
              </w:rPr>
              <w:t>Queens County</w:t>
            </w:r>
            <w:r w:rsidRPr="003727DC">
              <w:rPr>
                <w:rFonts w:ascii="Calibri" w:eastAsia="Times New Roman" w:hAnsi="Calibri" w:cs="Times New Roman"/>
                <w:color w:val="000000"/>
                <w:sz w:val="18"/>
                <w:szCs w:val="18"/>
              </w:rPr>
              <w:t xml:space="preserve">, </w:t>
            </w:r>
            <w:r w:rsidRPr="003727DC">
              <w:rPr>
                <w:rFonts w:ascii="Calibri" w:eastAsia="Times New Roman" w:hAnsi="Calibri" w:cs="Times New Roman"/>
                <w:b/>
                <w:bCs/>
                <w:color w:val="000000"/>
                <w:sz w:val="18"/>
                <w:szCs w:val="18"/>
              </w:rPr>
              <w:t>Richmond County</w:t>
            </w:r>
            <w:r w:rsidRPr="003727DC">
              <w:rPr>
                <w:rFonts w:ascii="Calibri" w:eastAsia="Times New Roman" w:hAnsi="Calibri" w:cs="Times New Roman"/>
                <w:color w:val="000000"/>
                <w:sz w:val="18"/>
                <w:szCs w:val="18"/>
              </w:rPr>
              <w:t>, Rockland County, Suffolk County</w:t>
            </w:r>
          </w:p>
        </w:tc>
        <w:tc>
          <w:tcPr>
            <w:tcW w:w="3836" w:type="dxa"/>
            <w:tcBorders>
              <w:top w:val="nil"/>
              <w:left w:val="nil"/>
              <w:bottom w:val="dashed" w:sz="4" w:space="0" w:color="BFBFBF"/>
              <w:right w:val="nil"/>
            </w:tcBorders>
            <w:shd w:val="clear" w:color="auto" w:fill="auto"/>
            <w:vAlign w:val="center"/>
            <w:hideMark/>
          </w:tcPr>
          <w:p w14:paraId="782342B5" w14:textId="5A449751" w:rsidR="003727DC" w:rsidRPr="003727DC" w:rsidRDefault="008E4E16" w:rsidP="008E4E16">
            <w:pPr>
              <w:spacing w:after="0" w:line="240" w:lineRule="auto"/>
              <w:rPr>
                <w:rFonts w:ascii="Calibri" w:eastAsia="Times New Roman" w:hAnsi="Calibri" w:cs="Times New Roman"/>
                <w:b/>
                <w:bCs/>
                <w:color w:val="000000"/>
                <w:sz w:val="18"/>
                <w:szCs w:val="18"/>
              </w:rPr>
            </w:pPr>
            <w:r w:rsidRPr="003727DC">
              <w:rPr>
                <w:rFonts w:ascii="Calibri" w:eastAsia="Times New Roman" w:hAnsi="Calibri" w:cs="Times New Roman"/>
                <w:b/>
                <w:bCs/>
                <w:color w:val="000000"/>
                <w:sz w:val="18"/>
                <w:szCs w:val="18"/>
              </w:rPr>
              <w:t xml:space="preserve">Bronx County, Kings County, </w:t>
            </w:r>
            <w:r w:rsidR="003727DC" w:rsidRPr="003727DC">
              <w:rPr>
                <w:rFonts w:ascii="Calibri" w:eastAsia="Times New Roman" w:hAnsi="Calibri" w:cs="Times New Roman"/>
                <w:b/>
                <w:bCs/>
                <w:color w:val="000000"/>
                <w:sz w:val="18"/>
                <w:szCs w:val="18"/>
              </w:rPr>
              <w:t>New York County, Queens County, Richmond County</w:t>
            </w:r>
          </w:p>
        </w:tc>
      </w:tr>
      <w:tr w:rsidR="003727DC" w:rsidRPr="003727DC" w14:paraId="3397053C" w14:textId="77777777" w:rsidTr="00AE517F">
        <w:trPr>
          <w:trHeight w:val="715"/>
        </w:trPr>
        <w:tc>
          <w:tcPr>
            <w:tcW w:w="1350" w:type="dxa"/>
            <w:vMerge w:val="restart"/>
            <w:tcBorders>
              <w:top w:val="nil"/>
              <w:left w:val="nil"/>
              <w:bottom w:val="dashed" w:sz="4" w:space="0" w:color="BFBFBF"/>
              <w:right w:val="nil"/>
            </w:tcBorders>
            <w:shd w:val="clear" w:color="auto" w:fill="auto"/>
            <w:vAlign w:val="center"/>
            <w:hideMark/>
          </w:tcPr>
          <w:p w14:paraId="04C23509" w14:textId="0CB8892F" w:rsidR="003727DC" w:rsidRPr="003727DC" w:rsidRDefault="003727DC" w:rsidP="00454B5C">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Chicago City</w:t>
            </w:r>
          </w:p>
        </w:tc>
        <w:tc>
          <w:tcPr>
            <w:tcW w:w="1170" w:type="dxa"/>
            <w:tcBorders>
              <w:top w:val="nil"/>
              <w:left w:val="nil"/>
              <w:bottom w:val="dashed" w:sz="4" w:space="0" w:color="BFBFBF"/>
              <w:right w:val="nil"/>
            </w:tcBorders>
            <w:shd w:val="clear" w:color="auto" w:fill="auto"/>
            <w:vAlign w:val="center"/>
            <w:hideMark/>
          </w:tcPr>
          <w:p w14:paraId="29793ADD"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Illinois</w:t>
            </w:r>
          </w:p>
        </w:tc>
        <w:tc>
          <w:tcPr>
            <w:tcW w:w="3870" w:type="dxa"/>
            <w:tcBorders>
              <w:top w:val="nil"/>
              <w:left w:val="nil"/>
              <w:bottom w:val="dashed" w:sz="4" w:space="0" w:color="BFBFBF"/>
              <w:right w:val="nil"/>
            </w:tcBorders>
            <w:shd w:val="clear" w:color="auto" w:fill="auto"/>
            <w:vAlign w:val="center"/>
            <w:hideMark/>
          </w:tcPr>
          <w:p w14:paraId="2AD40AA6"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Cook County, Du Page County, Grundy County (partial), Kane County, Kendall County (partial), Lake County, McHenry County, Will County</w:t>
            </w:r>
          </w:p>
        </w:tc>
        <w:tc>
          <w:tcPr>
            <w:tcW w:w="3836" w:type="dxa"/>
            <w:tcBorders>
              <w:top w:val="nil"/>
              <w:left w:val="nil"/>
              <w:bottom w:val="dashed" w:sz="4" w:space="0" w:color="BFBFBF"/>
              <w:right w:val="nil"/>
            </w:tcBorders>
            <w:shd w:val="clear" w:color="auto" w:fill="auto"/>
            <w:vAlign w:val="center"/>
            <w:hideMark/>
          </w:tcPr>
          <w:p w14:paraId="23A95E65" w14:textId="70C73CEB"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City of Chicago</w:t>
            </w:r>
            <w:r w:rsidR="00110259">
              <w:rPr>
                <w:rFonts w:ascii="Calibri" w:eastAsia="Times New Roman" w:hAnsi="Calibri" w:cs="Times New Roman"/>
                <w:color w:val="000000"/>
                <w:sz w:val="18"/>
                <w:szCs w:val="18"/>
              </w:rPr>
              <w:t xml:space="preserve"> (partial Cook and DuPage Counties)</w:t>
            </w:r>
          </w:p>
        </w:tc>
      </w:tr>
      <w:tr w:rsidR="003727DC" w:rsidRPr="003727DC" w14:paraId="09E29C7F" w14:textId="77777777" w:rsidTr="00AE517F">
        <w:trPr>
          <w:trHeight w:val="292"/>
        </w:trPr>
        <w:tc>
          <w:tcPr>
            <w:tcW w:w="1350" w:type="dxa"/>
            <w:vMerge/>
            <w:tcBorders>
              <w:top w:val="nil"/>
              <w:left w:val="nil"/>
              <w:bottom w:val="dashed" w:sz="4" w:space="0" w:color="BFBFBF"/>
              <w:right w:val="nil"/>
            </w:tcBorders>
            <w:vAlign w:val="center"/>
            <w:hideMark/>
          </w:tcPr>
          <w:p w14:paraId="43B09FA5" w14:textId="77777777" w:rsidR="003727DC" w:rsidRPr="003727DC" w:rsidRDefault="003727DC" w:rsidP="003727DC">
            <w:pPr>
              <w:spacing w:after="0" w:line="240" w:lineRule="auto"/>
              <w:rPr>
                <w:rFonts w:ascii="Calibri" w:eastAsia="Times New Roman" w:hAnsi="Calibri" w:cs="Times New Roman"/>
                <w:color w:val="000000"/>
                <w:sz w:val="18"/>
                <w:szCs w:val="18"/>
              </w:rPr>
            </w:pPr>
          </w:p>
        </w:tc>
        <w:tc>
          <w:tcPr>
            <w:tcW w:w="1170" w:type="dxa"/>
            <w:tcBorders>
              <w:top w:val="nil"/>
              <w:left w:val="nil"/>
              <w:bottom w:val="dashed" w:sz="4" w:space="0" w:color="BFBFBF"/>
              <w:right w:val="nil"/>
            </w:tcBorders>
            <w:shd w:val="clear" w:color="auto" w:fill="auto"/>
            <w:vAlign w:val="center"/>
            <w:hideMark/>
          </w:tcPr>
          <w:p w14:paraId="69E95667"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Indiana</w:t>
            </w:r>
          </w:p>
        </w:tc>
        <w:tc>
          <w:tcPr>
            <w:tcW w:w="3870" w:type="dxa"/>
            <w:tcBorders>
              <w:top w:val="nil"/>
              <w:left w:val="nil"/>
              <w:bottom w:val="dashed" w:sz="4" w:space="0" w:color="BFBFBF"/>
              <w:right w:val="nil"/>
            </w:tcBorders>
            <w:shd w:val="clear" w:color="auto" w:fill="auto"/>
            <w:vAlign w:val="center"/>
            <w:hideMark/>
          </w:tcPr>
          <w:p w14:paraId="37A4A8FA"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Lake County, Porter County</w:t>
            </w:r>
          </w:p>
        </w:tc>
        <w:tc>
          <w:tcPr>
            <w:tcW w:w="3836" w:type="dxa"/>
            <w:tcBorders>
              <w:top w:val="nil"/>
              <w:left w:val="nil"/>
              <w:bottom w:val="dashed" w:sz="4" w:space="0" w:color="BFBFBF"/>
              <w:right w:val="nil"/>
            </w:tcBorders>
            <w:shd w:val="clear" w:color="auto" w:fill="auto"/>
            <w:vAlign w:val="center"/>
            <w:hideMark/>
          </w:tcPr>
          <w:p w14:paraId="42F34674" w14:textId="2678EDFF" w:rsidR="003727DC" w:rsidRPr="003727DC" w:rsidRDefault="003727DC" w:rsidP="00963E14">
            <w:pPr>
              <w:spacing w:after="0" w:line="240" w:lineRule="auto"/>
              <w:rPr>
                <w:rFonts w:ascii="Calibri" w:eastAsia="Times New Roman" w:hAnsi="Calibri" w:cs="Times New Roman"/>
                <w:color w:val="000000"/>
                <w:sz w:val="18"/>
                <w:szCs w:val="18"/>
              </w:rPr>
            </w:pPr>
          </w:p>
        </w:tc>
      </w:tr>
      <w:tr w:rsidR="003727DC" w:rsidRPr="003727DC" w14:paraId="54BA9B37" w14:textId="77777777" w:rsidTr="00AE517F">
        <w:trPr>
          <w:trHeight w:val="764"/>
        </w:trPr>
        <w:tc>
          <w:tcPr>
            <w:tcW w:w="1350" w:type="dxa"/>
            <w:vMerge w:val="restart"/>
            <w:tcBorders>
              <w:top w:val="nil"/>
              <w:left w:val="nil"/>
              <w:bottom w:val="dashed" w:sz="4" w:space="0" w:color="BFBFBF"/>
              <w:right w:val="nil"/>
            </w:tcBorders>
            <w:shd w:val="clear" w:color="auto" w:fill="auto"/>
            <w:vAlign w:val="center"/>
            <w:hideMark/>
          </w:tcPr>
          <w:p w14:paraId="559A6B22" w14:textId="610B61EC" w:rsidR="003727DC" w:rsidRPr="003727DC" w:rsidRDefault="00454B5C" w:rsidP="00454B5C">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Chicago </w:t>
            </w:r>
            <w:r w:rsidR="003727DC" w:rsidRPr="003727DC">
              <w:rPr>
                <w:rFonts w:ascii="Calibri" w:eastAsia="Times New Roman" w:hAnsi="Calibri" w:cs="Times New Roman"/>
                <w:color w:val="000000"/>
                <w:sz w:val="18"/>
                <w:szCs w:val="18"/>
              </w:rPr>
              <w:t>Metro</w:t>
            </w:r>
          </w:p>
        </w:tc>
        <w:tc>
          <w:tcPr>
            <w:tcW w:w="1170" w:type="dxa"/>
            <w:tcBorders>
              <w:top w:val="nil"/>
              <w:left w:val="nil"/>
              <w:bottom w:val="dashed" w:sz="4" w:space="0" w:color="BFBFBF"/>
              <w:right w:val="nil"/>
            </w:tcBorders>
            <w:shd w:val="clear" w:color="auto" w:fill="auto"/>
            <w:vAlign w:val="center"/>
            <w:hideMark/>
          </w:tcPr>
          <w:p w14:paraId="200CDDA2"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Illinois</w:t>
            </w:r>
          </w:p>
        </w:tc>
        <w:tc>
          <w:tcPr>
            <w:tcW w:w="3870" w:type="dxa"/>
            <w:tcBorders>
              <w:top w:val="nil"/>
              <w:left w:val="nil"/>
              <w:bottom w:val="dashed" w:sz="4" w:space="0" w:color="BFBFBF"/>
              <w:right w:val="nil"/>
            </w:tcBorders>
            <w:shd w:val="clear" w:color="auto" w:fill="auto"/>
            <w:vAlign w:val="center"/>
            <w:hideMark/>
          </w:tcPr>
          <w:p w14:paraId="289F4102"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b/>
                <w:bCs/>
                <w:color w:val="000000"/>
                <w:sz w:val="18"/>
                <w:szCs w:val="18"/>
              </w:rPr>
              <w:t>Cook County, Du Page County</w:t>
            </w:r>
            <w:r w:rsidRPr="003727DC">
              <w:rPr>
                <w:rFonts w:ascii="Calibri" w:eastAsia="Times New Roman" w:hAnsi="Calibri" w:cs="Times New Roman"/>
                <w:color w:val="000000"/>
                <w:sz w:val="18"/>
                <w:szCs w:val="18"/>
              </w:rPr>
              <w:t xml:space="preserve">, Grundy County (partial), </w:t>
            </w:r>
            <w:r w:rsidRPr="003727DC">
              <w:rPr>
                <w:rFonts w:ascii="Calibri" w:eastAsia="Times New Roman" w:hAnsi="Calibri" w:cs="Times New Roman"/>
                <w:b/>
                <w:bCs/>
                <w:color w:val="000000"/>
                <w:sz w:val="18"/>
                <w:szCs w:val="18"/>
              </w:rPr>
              <w:t>Kane County</w:t>
            </w:r>
            <w:r w:rsidRPr="003727DC">
              <w:rPr>
                <w:rFonts w:ascii="Calibri" w:eastAsia="Times New Roman" w:hAnsi="Calibri" w:cs="Times New Roman"/>
                <w:color w:val="000000"/>
                <w:sz w:val="18"/>
                <w:szCs w:val="18"/>
              </w:rPr>
              <w:t xml:space="preserve">, Kendall County (partial), </w:t>
            </w:r>
            <w:r w:rsidRPr="003727DC">
              <w:rPr>
                <w:rFonts w:ascii="Calibri" w:eastAsia="Times New Roman" w:hAnsi="Calibri" w:cs="Times New Roman"/>
                <w:b/>
                <w:bCs/>
                <w:color w:val="000000"/>
                <w:sz w:val="18"/>
                <w:szCs w:val="18"/>
              </w:rPr>
              <w:t>Lake County, McHenry County, Will County</w:t>
            </w:r>
          </w:p>
        </w:tc>
        <w:tc>
          <w:tcPr>
            <w:tcW w:w="3836" w:type="dxa"/>
            <w:tcBorders>
              <w:top w:val="nil"/>
              <w:left w:val="nil"/>
              <w:bottom w:val="dashed" w:sz="4" w:space="0" w:color="BFBFBF"/>
              <w:right w:val="nil"/>
            </w:tcBorders>
            <w:shd w:val="clear" w:color="auto" w:fill="auto"/>
            <w:vAlign w:val="center"/>
            <w:hideMark/>
          </w:tcPr>
          <w:p w14:paraId="008DA333" w14:textId="762D7769" w:rsidR="003727DC" w:rsidRPr="003727DC" w:rsidRDefault="003727DC" w:rsidP="00963E14">
            <w:pPr>
              <w:spacing w:after="0" w:line="240" w:lineRule="auto"/>
              <w:rPr>
                <w:rFonts w:ascii="Calibri" w:eastAsia="Times New Roman" w:hAnsi="Calibri" w:cs="Times New Roman"/>
                <w:b/>
                <w:bCs/>
                <w:color w:val="000000"/>
                <w:sz w:val="18"/>
                <w:szCs w:val="18"/>
              </w:rPr>
            </w:pPr>
            <w:r w:rsidRPr="003727DC">
              <w:rPr>
                <w:rFonts w:ascii="Calibri" w:eastAsia="Times New Roman" w:hAnsi="Calibri" w:cs="Times New Roman"/>
                <w:b/>
                <w:bCs/>
                <w:color w:val="000000"/>
                <w:sz w:val="18"/>
                <w:szCs w:val="18"/>
              </w:rPr>
              <w:t>Cook County, DuPage County, Kane County, Lake County, McHenry County, Will County</w:t>
            </w:r>
          </w:p>
        </w:tc>
      </w:tr>
      <w:tr w:rsidR="003727DC" w:rsidRPr="003727DC" w14:paraId="547D9DB4" w14:textId="77777777" w:rsidTr="00AE517F">
        <w:trPr>
          <w:trHeight w:val="292"/>
        </w:trPr>
        <w:tc>
          <w:tcPr>
            <w:tcW w:w="1350" w:type="dxa"/>
            <w:vMerge/>
            <w:tcBorders>
              <w:top w:val="nil"/>
              <w:left w:val="nil"/>
              <w:bottom w:val="dashed" w:sz="4" w:space="0" w:color="BFBFBF"/>
              <w:right w:val="nil"/>
            </w:tcBorders>
            <w:vAlign w:val="center"/>
            <w:hideMark/>
          </w:tcPr>
          <w:p w14:paraId="15E175F6" w14:textId="77777777" w:rsidR="003727DC" w:rsidRPr="003727DC" w:rsidRDefault="003727DC" w:rsidP="003727DC">
            <w:pPr>
              <w:spacing w:after="0" w:line="240" w:lineRule="auto"/>
              <w:rPr>
                <w:rFonts w:ascii="Calibri" w:eastAsia="Times New Roman" w:hAnsi="Calibri" w:cs="Times New Roman"/>
                <w:color w:val="000000"/>
                <w:sz w:val="18"/>
                <w:szCs w:val="18"/>
              </w:rPr>
            </w:pPr>
          </w:p>
        </w:tc>
        <w:tc>
          <w:tcPr>
            <w:tcW w:w="1170" w:type="dxa"/>
            <w:tcBorders>
              <w:top w:val="nil"/>
              <w:left w:val="nil"/>
              <w:bottom w:val="dashed" w:sz="4" w:space="0" w:color="BFBFBF"/>
              <w:right w:val="nil"/>
            </w:tcBorders>
            <w:shd w:val="clear" w:color="auto" w:fill="auto"/>
            <w:vAlign w:val="center"/>
            <w:hideMark/>
          </w:tcPr>
          <w:p w14:paraId="0577094E"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Indiana</w:t>
            </w:r>
          </w:p>
        </w:tc>
        <w:tc>
          <w:tcPr>
            <w:tcW w:w="3870" w:type="dxa"/>
            <w:tcBorders>
              <w:top w:val="nil"/>
              <w:left w:val="nil"/>
              <w:bottom w:val="dashed" w:sz="4" w:space="0" w:color="BFBFBF"/>
              <w:right w:val="nil"/>
            </w:tcBorders>
            <w:shd w:val="clear" w:color="auto" w:fill="auto"/>
            <w:vAlign w:val="center"/>
            <w:hideMark/>
          </w:tcPr>
          <w:p w14:paraId="42ACABE2" w14:textId="77777777" w:rsidR="003727DC" w:rsidRPr="003727DC" w:rsidRDefault="003727DC" w:rsidP="00963E14">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Lake County, Porter County</w:t>
            </w:r>
          </w:p>
        </w:tc>
        <w:tc>
          <w:tcPr>
            <w:tcW w:w="3836" w:type="dxa"/>
            <w:tcBorders>
              <w:top w:val="nil"/>
              <w:left w:val="nil"/>
              <w:bottom w:val="nil"/>
              <w:right w:val="nil"/>
            </w:tcBorders>
            <w:shd w:val="clear" w:color="auto" w:fill="auto"/>
            <w:noWrap/>
            <w:vAlign w:val="center"/>
            <w:hideMark/>
          </w:tcPr>
          <w:p w14:paraId="754ADFEE" w14:textId="77777777" w:rsidR="003727DC" w:rsidRPr="003727DC" w:rsidRDefault="003727DC" w:rsidP="00963E14">
            <w:pPr>
              <w:spacing w:after="0" w:line="240" w:lineRule="auto"/>
              <w:rPr>
                <w:rFonts w:ascii="Calibri" w:eastAsia="Times New Roman" w:hAnsi="Calibri" w:cs="Times New Roman"/>
                <w:color w:val="000000"/>
                <w:sz w:val="18"/>
                <w:szCs w:val="18"/>
              </w:rPr>
            </w:pPr>
          </w:p>
        </w:tc>
      </w:tr>
      <w:tr w:rsidR="003727DC" w:rsidRPr="003727DC" w14:paraId="18FE0E62" w14:textId="77777777" w:rsidTr="00AE517F">
        <w:trPr>
          <w:trHeight w:val="262"/>
        </w:trPr>
        <w:tc>
          <w:tcPr>
            <w:tcW w:w="10226" w:type="dxa"/>
            <w:gridSpan w:val="4"/>
            <w:tcBorders>
              <w:top w:val="dashed" w:sz="4" w:space="0" w:color="BFBFBF"/>
              <w:left w:val="nil"/>
              <w:bottom w:val="nil"/>
              <w:right w:val="nil"/>
            </w:tcBorders>
            <w:shd w:val="clear" w:color="auto" w:fill="auto"/>
            <w:hideMark/>
          </w:tcPr>
          <w:p w14:paraId="7217E020" w14:textId="77777777" w:rsidR="003727DC" w:rsidRPr="003727DC" w:rsidRDefault="003727DC" w:rsidP="003727DC">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 xml:space="preserve">Notes: Counties used in both AAA and EIA definitions are bolded. </w:t>
            </w:r>
          </w:p>
        </w:tc>
      </w:tr>
      <w:tr w:rsidR="003727DC" w:rsidRPr="003727DC" w14:paraId="28D9AB0A" w14:textId="77777777" w:rsidTr="00AE517F">
        <w:trPr>
          <w:trHeight w:val="292"/>
        </w:trPr>
        <w:tc>
          <w:tcPr>
            <w:tcW w:w="10226" w:type="dxa"/>
            <w:gridSpan w:val="4"/>
            <w:tcBorders>
              <w:top w:val="nil"/>
              <w:left w:val="nil"/>
              <w:bottom w:val="nil"/>
              <w:right w:val="nil"/>
            </w:tcBorders>
            <w:shd w:val="clear" w:color="auto" w:fill="auto"/>
            <w:hideMark/>
          </w:tcPr>
          <w:p w14:paraId="657A88A9" w14:textId="5C5217A3" w:rsidR="003727DC" w:rsidRPr="003727DC" w:rsidRDefault="003727DC" w:rsidP="003727DC">
            <w:pPr>
              <w:spacing w:after="0" w:line="240" w:lineRule="auto"/>
              <w:rPr>
                <w:rFonts w:ascii="Calibri" w:eastAsia="Times New Roman" w:hAnsi="Calibri" w:cs="Times New Roman"/>
                <w:color w:val="000000"/>
                <w:sz w:val="18"/>
                <w:szCs w:val="18"/>
              </w:rPr>
            </w:pPr>
            <w:r w:rsidRPr="003727DC">
              <w:rPr>
                <w:rFonts w:ascii="Calibri" w:eastAsia="Times New Roman" w:hAnsi="Calibri" w:cs="Times New Roman"/>
                <w:color w:val="000000"/>
                <w:sz w:val="18"/>
                <w:szCs w:val="18"/>
              </w:rPr>
              <w:t xml:space="preserve">Source: </w:t>
            </w:r>
            <w:r w:rsidR="008D513B">
              <w:rPr>
                <w:rFonts w:ascii="Calibri" w:eastAsia="Times New Roman" w:hAnsi="Calibri" w:cs="Times New Roman"/>
                <w:color w:val="000000"/>
                <w:sz w:val="18"/>
                <w:szCs w:val="18"/>
              </w:rPr>
              <w:t xml:space="preserve">U.S. </w:t>
            </w:r>
            <w:r w:rsidRPr="003727DC">
              <w:rPr>
                <w:rFonts w:ascii="Calibri" w:eastAsia="Times New Roman" w:hAnsi="Calibri" w:cs="Times New Roman"/>
                <w:color w:val="000000"/>
                <w:sz w:val="18"/>
                <w:szCs w:val="18"/>
              </w:rPr>
              <w:t>Energy Information Administration, "</w:t>
            </w:r>
            <w:r w:rsidR="00E42138" w:rsidRPr="00E42138">
              <w:rPr>
                <w:rFonts w:ascii="Calibri" w:eastAsia="Times New Roman" w:hAnsi="Calibri" w:cs="Times New Roman"/>
                <w:color w:val="000000"/>
                <w:sz w:val="18"/>
                <w:szCs w:val="18"/>
              </w:rPr>
              <w:t>Gasoline and Diesel Fuel Update</w:t>
            </w:r>
            <w:r w:rsidRPr="003727DC">
              <w:rPr>
                <w:rFonts w:ascii="Calibri" w:eastAsia="Times New Roman" w:hAnsi="Calibri" w:cs="Times New Roman"/>
                <w:color w:val="000000"/>
                <w:sz w:val="18"/>
                <w:szCs w:val="18"/>
              </w:rPr>
              <w:t>"; Email communication with AAA</w:t>
            </w:r>
          </w:p>
        </w:tc>
      </w:tr>
    </w:tbl>
    <w:p w14:paraId="45FA34A8" w14:textId="2B19AAC5" w:rsidR="00001403" w:rsidRDefault="00E42138" w:rsidP="00AE517F">
      <w:pPr>
        <w:pStyle w:val="Heading3"/>
      </w:pPr>
      <w:bookmarkStart w:id="21" w:name="_Toc497202524"/>
      <w:r>
        <w:t>N</w:t>
      </w:r>
      <w:r w:rsidR="00001403" w:rsidRPr="00BC7590">
        <w:t>ew York City</w:t>
      </w:r>
      <w:bookmarkEnd w:id="21"/>
    </w:p>
    <w:p w14:paraId="1F234B29" w14:textId="6FC0BE36" w:rsidR="00001403" w:rsidRDefault="00001403">
      <w:r>
        <w:t>EIA</w:t>
      </w:r>
      <w:r w:rsidR="00DD6CFD">
        <w:t>’</w:t>
      </w:r>
      <w:r>
        <w:t xml:space="preserve">s definition of New York </w:t>
      </w:r>
      <w:r w:rsidR="00E40CC3">
        <w:t>C</w:t>
      </w:r>
      <w:r>
        <w:t xml:space="preserve">ity </w:t>
      </w:r>
      <w:r w:rsidR="00963E14">
        <w:t>encompasses an</w:t>
      </w:r>
      <w:r>
        <w:t xml:space="preserve"> area </w:t>
      </w:r>
      <w:r w:rsidR="00963E14">
        <w:t xml:space="preserve">much larger compared to the area covered by </w:t>
      </w:r>
      <w:r>
        <w:t xml:space="preserve">AAA’s </w:t>
      </w:r>
      <w:r w:rsidR="00A32A03">
        <w:t xml:space="preserve">definition of </w:t>
      </w:r>
      <w:r>
        <w:t xml:space="preserve">New York </w:t>
      </w:r>
      <w:r w:rsidR="00A32A03">
        <w:t>C</w:t>
      </w:r>
      <w:r>
        <w:t xml:space="preserve">ity. </w:t>
      </w:r>
      <w:r w:rsidR="00DB1CFC">
        <w:rPr>
          <w:caps/>
        </w:rPr>
        <w:t>A</w:t>
      </w:r>
      <w:r w:rsidR="00963E14">
        <w:t>nalysis revealed that t</w:t>
      </w:r>
      <w:r>
        <w:t>he gasoline price discrepancies</w:t>
      </w:r>
      <w:r w:rsidR="00963E14">
        <w:t>, between EIA and AAA</w:t>
      </w:r>
      <w:r w:rsidR="007B1F9D">
        <w:t xml:space="preserve"> (the difference between the yellow line and the brown line in Figure 15)</w:t>
      </w:r>
      <w:r w:rsidR="00963E14">
        <w:t>,</w:t>
      </w:r>
      <w:r>
        <w:t xml:space="preserve"> for regular, midgrade and premium</w:t>
      </w:r>
      <w:r w:rsidR="00963E14">
        <w:t xml:space="preserve"> gasoline</w:t>
      </w:r>
      <w:r>
        <w:t xml:space="preserve"> are largely due to the city definition issues. </w:t>
      </w:r>
      <w:r w:rsidR="00072A55">
        <w:t>As described above, the average price calculated from the full OPIS price file (blue line</w:t>
      </w:r>
      <w:r w:rsidR="00963E14">
        <w:t xml:space="preserve"> in Figure 15 following</w:t>
      </w:r>
      <w:r w:rsidR="00072A55">
        <w:t xml:space="preserve">) </w:t>
      </w:r>
      <w:r>
        <w:t xml:space="preserve">may be considered as the </w:t>
      </w:r>
      <w:r w:rsidR="007E6F77">
        <w:t>pseudo-</w:t>
      </w:r>
      <w:r>
        <w:t xml:space="preserve">census of all stations defined in </w:t>
      </w:r>
      <w:r w:rsidR="00072A55">
        <w:t xml:space="preserve">New York City. Following from that logic, the EIA/OPIS matched sample can be thought of as a </w:t>
      </w:r>
      <w:r w:rsidR="007E6F77">
        <w:t>pseudo-</w:t>
      </w:r>
      <w:r w:rsidR="00072A55">
        <w:t>random sample from the population. T</w:t>
      </w:r>
      <w:r>
        <w:t xml:space="preserve">he </w:t>
      </w:r>
      <w:r w:rsidR="00F81D46">
        <w:t>green</w:t>
      </w:r>
      <w:r>
        <w:t xml:space="preserve"> line represents the average gasoline price calculated from </w:t>
      </w:r>
      <w:r w:rsidR="00072A55">
        <w:t xml:space="preserve">OPIS data for </w:t>
      </w:r>
      <w:r>
        <w:t>those</w:t>
      </w:r>
      <w:r w:rsidR="00072A55">
        <w:t xml:space="preserve"> stations</w:t>
      </w:r>
      <w:r>
        <w:t xml:space="preserve"> </w:t>
      </w:r>
      <w:r w:rsidR="00072A55">
        <w:t xml:space="preserve">included in the EIA-878. </w:t>
      </w:r>
      <w:r>
        <w:t xml:space="preserve">These station level reporting discrepancies (mainly, the difference between the </w:t>
      </w:r>
      <w:r w:rsidR="00072A55">
        <w:t xml:space="preserve">green </w:t>
      </w:r>
      <w:r>
        <w:t xml:space="preserve">line and the </w:t>
      </w:r>
      <w:r w:rsidR="007B1F9D">
        <w:t xml:space="preserve">brown </w:t>
      </w:r>
      <w:r>
        <w:t>line</w:t>
      </w:r>
      <w:r w:rsidR="007B1F9D">
        <w:t xml:space="preserve"> in Figure 15</w:t>
      </w:r>
      <w:r>
        <w:t>) play a small role in the average gas</w:t>
      </w:r>
      <w:r w:rsidR="00072A55">
        <w:t>oline price discrepancy in the</w:t>
      </w:r>
      <w:r>
        <w:t xml:space="preserve"> 12 week span.</w:t>
      </w:r>
      <w:r w:rsidR="00072A55">
        <w:t xml:space="preserve"> Results are similar for midgrade and </w:t>
      </w:r>
      <w:r w:rsidR="00072A55" w:rsidRPr="00374CD5">
        <w:t>premium (see A.</w:t>
      </w:r>
      <w:r w:rsidR="00AB78F3">
        <w:t>5</w:t>
      </w:r>
      <w:r w:rsidR="00072A55" w:rsidRPr="00374CD5">
        <w:t xml:space="preserve"> and A.</w:t>
      </w:r>
      <w:r w:rsidR="00AB78F3">
        <w:t>6</w:t>
      </w:r>
      <w:r w:rsidR="00072A55" w:rsidRPr="00374CD5">
        <w:t>). Sample</w:t>
      </w:r>
      <w:r w:rsidR="00072A55">
        <w:t xml:space="preserve"> size information is also available in the appendix. </w:t>
      </w:r>
    </w:p>
    <w:p w14:paraId="56C4D36C" w14:textId="2F2170D9" w:rsidR="00072A55" w:rsidRDefault="002452E9" w:rsidP="009F3147">
      <w:pPr>
        <w:pStyle w:val="Caption"/>
      </w:pPr>
      <w:r>
        <w:t>Figure 15</w:t>
      </w:r>
      <w:r w:rsidR="00072A55">
        <w:t xml:space="preserve">. Average weekly </w:t>
      </w:r>
      <w:r w:rsidR="00F81D46">
        <w:t>New York City</w:t>
      </w:r>
      <w:r w:rsidR="00072A55">
        <w:t xml:space="preserve"> </w:t>
      </w:r>
      <w:r w:rsidR="00F81D46">
        <w:t xml:space="preserve">regular motor gasoline </w:t>
      </w:r>
      <w:r w:rsidR="00072A55">
        <w:t xml:space="preserve">prices </w:t>
      </w:r>
      <w:r w:rsidR="00F81D46">
        <w:t>from</w:t>
      </w:r>
      <w:r w:rsidR="00072A55">
        <w:t xml:space="preserve"> EIA, OPIS, and AAA</w:t>
      </w:r>
      <w:r w:rsidR="00114932">
        <w:t>.</w:t>
      </w:r>
      <w:r w:rsidR="00072A55">
        <w:t xml:space="preserve"> </w:t>
      </w:r>
    </w:p>
    <w:p w14:paraId="6D1F2267" w14:textId="0FD35C01" w:rsidR="00E40CC3" w:rsidRDefault="00072A55">
      <w:r>
        <w:rPr>
          <w:noProof/>
        </w:rPr>
        <w:drawing>
          <wp:inline distT="0" distB="0" distL="0" distR="0" wp14:anchorId="3A7D3DBF" wp14:editId="2AAD402B">
            <wp:extent cx="5943600" cy="2780665"/>
            <wp:effectExtent l="0" t="0" r="0" b="63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01CD08" w14:textId="77777777" w:rsidR="00001403" w:rsidRDefault="00001403" w:rsidP="00AE517F">
      <w:pPr>
        <w:pStyle w:val="Heading3"/>
      </w:pPr>
      <w:bookmarkStart w:id="22" w:name="_Toc497202525"/>
      <w:r>
        <w:t>Chicago</w:t>
      </w:r>
      <w:bookmarkEnd w:id="22"/>
    </w:p>
    <w:p w14:paraId="753F01E4" w14:textId="32713599" w:rsidR="00952AAD" w:rsidRDefault="00A32A03" w:rsidP="00952AAD">
      <w:pPr>
        <w:tabs>
          <w:tab w:val="left" w:pos="7380"/>
        </w:tabs>
      </w:pPr>
      <w:r>
        <w:t>As shown in table</w:t>
      </w:r>
      <w:r w:rsidR="00963E14">
        <w:t xml:space="preserve"> 4</w:t>
      </w:r>
      <w:r>
        <w:t xml:space="preserve"> above</w:t>
      </w:r>
      <w:r w:rsidR="00952AAD">
        <w:t xml:space="preserve">, AAA produces two estimates for Chicago: city of Chicago and Chicago </w:t>
      </w:r>
      <w:r w:rsidR="002001F5">
        <w:t>M</w:t>
      </w:r>
      <w:r w:rsidR="00952AAD">
        <w:t xml:space="preserve">etro. EIA’s definition of Chicago is closer in </w:t>
      </w:r>
      <w:r w:rsidR="00F81D46">
        <w:t>concept to AAA’s “Chicago Metro</w:t>
      </w:r>
      <w:r w:rsidR="00082945">
        <w:t>;</w:t>
      </w:r>
      <w:r w:rsidR="00F81D46">
        <w:t xml:space="preserve">” </w:t>
      </w:r>
      <w:r w:rsidR="00952AAD">
        <w:t>however, EIA covers two more partial counties in Illinois and two counties in Indiana</w:t>
      </w:r>
      <w:r w:rsidR="007E6F77">
        <w:t>, which is an area that matches the EPA Reformulated Gasoline region for Chicago</w:t>
      </w:r>
      <w:r w:rsidR="00952AAD">
        <w:t xml:space="preserve">.  </w:t>
      </w:r>
      <w:r w:rsidR="00267A94">
        <w:t xml:space="preserve">As described above, the average price calculated from the full OPIS price file (blue line in Figure 16 following) may be considered as the pseudo-census of all stations defined in Chicago. Following from that logic, the EIA/OPIS matched sample can be thought of as a pseudo-random sample from the population. </w:t>
      </w:r>
      <w:r w:rsidR="00952AAD">
        <w:t>Discrepancies in gasoline prices between EIA and AAA-Chicago Metro are largely due to the station level reporting issues</w:t>
      </w:r>
      <w:r w:rsidR="00F81D46">
        <w:t>.</w:t>
      </w:r>
      <w:r w:rsidR="00952AAD">
        <w:t xml:space="preserve"> </w:t>
      </w:r>
      <w:r w:rsidR="00F81D46">
        <w:t xml:space="preserve">The green line represents the average gasoline price calculated from OPIS data for those stations included in the EIA-878. </w:t>
      </w:r>
      <w:r w:rsidR="00072A55">
        <w:t xml:space="preserve">Results are similar for midgrade and </w:t>
      </w:r>
      <w:r w:rsidR="00072A55" w:rsidRPr="00374CD5">
        <w:t>premium (see A.</w:t>
      </w:r>
      <w:r w:rsidR="00AB78F3">
        <w:t>7</w:t>
      </w:r>
      <w:r w:rsidR="00072A55" w:rsidRPr="00374CD5">
        <w:t xml:space="preserve"> and A.</w:t>
      </w:r>
      <w:r w:rsidR="00AB78F3">
        <w:t>8</w:t>
      </w:r>
      <w:r w:rsidR="00072A55" w:rsidRPr="00374CD5">
        <w:t>). Sample</w:t>
      </w:r>
      <w:r w:rsidR="00072A55">
        <w:t xml:space="preserve"> size information is also available in the appendix.</w:t>
      </w:r>
    </w:p>
    <w:p w14:paraId="0A6A5E09" w14:textId="77777777" w:rsidR="00072A55" w:rsidRDefault="00072A55" w:rsidP="00952AAD">
      <w:pPr>
        <w:tabs>
          <w:tab w:val="left" w:pos="7380"/>
        </w:tabs>
      </w:pPr>
    </w:p>
    <w:p w14:paraId="07A7DA9A" w14:textId="30F31411" w:rsidR="00F81D46" w:rsidRDefault="002452E9" w:rsidP="009F3147">
      <w:pPr>
        <w:pStyle w:val="Caption"/>
      </w:pPr>
      <w:r>
        <w:t>Figure 16</w:t>
      </w:r>
      <w:r w:rsidR="00F81D46">
        <w:t>. Average weekly Chicago regular motor gasoline prices from EIA, OPIS, and AAA</w:t>
      </w:r>
      <w:r w:rsidR="00114932">
        <w:t>.</w:t>
      </w:r>
      <w:r w:rsidR="00F81D46">
        <w:t xml:space="preserve"> </w:t>
      </w:r>
    </w:p>
    <w:p w14:paraId="0C61AD46" w14:textId="3EA8CE7F" w:rsidR="00072A55" w:rsidRDefault="00F81D46" w:rsidP="00952AAD">
      <w:pPr>
        <w:tabs>
          <w:tab w:val="left" w:pos="7380"/>
        </w:tabs>
      </w:pPr>
      <w:r>
        <w:rPr>
          <w:noProof/>
        </w:rPr>
        <w:drawing>
          <wp:inline distT="0" distB="0" distL="0" distR="0" wp14:anchorId="6D06B7F9" wp14:editId="0165527B">
            <wp:extent cx="5943600" cy="280733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26AF8B" w14:textId="7B7931E0" w:rsidR="00001403" w:rsidRDefault="00001403" w:rsidP="00001403">
      <w:pPr>
        <w:tabs>
          <w:tab w:val="left" w:pos="7380"/>
        </w:tabs>
      </w:pPr>
    </w:p>
    <w:p w14:paraId="17294AA1" w14:textId="77777777" w:rsidR="00001403" w:rsidRDefault="00001403" w:rsidP="00001403">
      <w:pPr>
        <w:tabs>
          <w:tab w:val="left" w:pos="7380"/>
        </w:tabs>
      </w:pPr>
    </w:p>
    <w:p w14:paraId="65BBD94A" w14:textId="77777777" w:rsidR="00001403" w:rsidRDefault="00001403" w:rsidP="00AE517F"/>
    <w:p w14:paraId="128FCAF9" w14:textId="285A6BA7" w:rsidR="00001403" w:rsidRDefault="00001403" w:rsidP="00AE517F">
      <w:r>
        <w:t xml:space="preserve"> </w:t>
      </w:r>
    </w:p>
    <w:p w14:paraId="316A6569" w14:textId="77777777" w:rsidR="00001403" w:rsidRDefault="00001403" w:rsidP="00AE517F">
      <w:pPr>
        <w:pStyle w:val="Left05Indent"/>
      </w:pPr>
    </w:p>
    <w:p w14:paraId="59C13466" w14:textId="77777777" w:rsidR="00001403" w:rsidRDefault="00001403" w:rsidP="00AE517F">
      <w:pPr>
        <w:pStyle w:val="Left05Indent"/>
      </w:pPr>
    </w:p>
    <w:p w14:paraId="6404234A" w14:textId="77777777" w:rsidR="00001403" w:rsidRDefault="00001403" w:rsidP="00AE517F">
      <w:pPr>
        <w:pStyle w:val="Left05Indent"/>
      </w:pPr>
    </w:p>
    <w:p w14:paraId="0DCABFDA" w14:textId="77777777" w:rsidR="00001403" w:rsidRDefault="00001403" w:rsidP="00AE517F">
      <w:pPr>
        <w:pStyle w:val="Left05Indent"/>
      </w:pPr>
    </w:p>
    <w:p w14:paraId="362ECC3D" w14:textId="77777777" w:rsidR="00001403" w:rsidRDefault="00001403" w:rsidP="00AE517F">
      <w:pPr>
        <w:pStyle w:val="Left05Indent"/>
      </w:pPr>
    </w:p>
    <w:p w14:paraId="3C5E02EC" w14:textId="77777777" w:rsidR="00001403" w:rsidRDefault="00001403" w:rsidP="00AE517F">
      <w:pPr>
        <w:pStyle w:val="Left05Indent"/>
      </w:pPr>
    </w:p>
    <w:p w14:paraId="7DA2EB80" w14:textId="77777777" w:rsidR="00001403" w:rsidRDefault="00001403" w:rsidP="00AE517F">
      <w:pPr>
        <w:pStyle w:val="Left05Indent"/>
      </w:pPr>
    </w:p>
    <w:p w14:paraId="0A178E36" w14:textId="77777777" w:rsidR="00F81D46" w:rsidRDefault="00F81D46">
      <w:pPr>
        <w:pStyle w:val="Left05Indent"/>
        <w:sectPr w:rsidR="00F81D46" w:rsidSect="008F6837">
          <w:pgSz w:w="12240" w:h="15840"/>
          <w:pgMar w:top="1440" w:right="1440" w:bottom="1440" w:left="1440" w:header="720" w:footer="720" w:gutter="0"/>
          <w:cols w:space="720"/>
          <w:docGrid w:linePitch="360"/>
        </w:sectPr>
      </w:pPr>
    </w:p>
    <w:p w14:paraId="000FCFA0" w14:textId="77777777" w:rsidR="00F81D46" w:rsidRDefault="00F81D46" w:rsidP="00AE517F">
      <w:pPr>
        <w:pStyle w:val="Left05Indent"/>
      </w:pPr>
    </w:p>
    <w:p w14:paraId="43A6F68C" w14:textId="0F08AC29" w:rsidR="008F6837" w:rsidRPr="008F6837" w:rsidRDefault="00D4071F" w:rsidP="007832EC">
      <w:pPr>
        <w:pStyle w:val="Heading1"/>
      </w:pPr>
      <w:bookmarkStart w:id="23" w:name="_Toc497202526"/>
      <w:r>
        <w:t xml:space="preserve">Predicting Midgrade and Premium </w:t>
      </w:r>
      <w:r w:rsidR="007E1B59">
        <w:t xml:space="preserve">Motor Gasoline </w:t>
      </w:r>
      <w:r>
        <w:t>Prices</w:t>
      </w:r>
      <w:r w:rsidR="007E1B59">
        <w:t xml:space="preserve"> at the Aggregate Level</w:t>
      </w:r>
      <w:bookmarkEnd w:id="23"/>
      <w:r>
        <w:t xml:space="preserve"> </w:t>
      </w:r>
    </w:p>
    <w:p w14:paraId="12D8B717" w14:textId="5F757812" w:rsidR="0013781B" w:rsidRDefault="007E1B59" w:rsidP="00E31C5D">
      <w:pPr>
        <w:pStyle w:val="Heading2"/>
      </w:pPr>
      <w:bookmarkStart w:id="24" w:name="_Toc497202527"/>
      <w:r>
        <w:t>Background and rationale</w:t>
      </w:r>
      <w:bookmarkEnd w:id="24"/>
    </w:p>
    <w:p w14:paraId="1BFF8088" w14:textId="779A1B60" w:rsidR="007E1B59" w:rsidRDefault="007E1B59" w:rsidP="00364CAC">
      <w:r>
        <w:t>T</w:t>
      </w:r>
      <w:r w:rsidR="0013781B">
        <w:t xml:space="preserve">he first phase of the </w:t>
      </w:r>
      <w:r w:rsidR="0013781B" w:rsidRPr="007D78CE">
        <w:rPr>
          <w:i/>
        </w:rPr>
        <w:t>Evaluation of Alternative Sources for Motor Gasoline Prices and Volumes</w:t>
      </w:r>
      <w:r w:rsidR="0013781B">
        <w:t xml:space="preserve"> project</w:t>
      </w:r>
      <w:r>
        <w:t xml:space="preserve"> reported</w:t>
      </w:r>
      <w:r w:rsidR="0013781B">
        <w:t xml:space="preserve"> that price estimates for publication cells across grades are highly correlated. The highly correlated relationship was </w:t>
      </w:r>
      <w:r>
        <w:t xml:space="preserve">observed to exist between </w:t>
      </w:r>
      <w:r w:rsidR="0013781B">
        <w:t xml:space="preserve">aggregated </w:t>
      </w:r>
      <w:r>
        <w:t xml:space="preserve">price </w:t>
      </w:r>
      <w:r w:rsidR="0013781B">
        <w:t>data from EIA, AAA</w:t>
      </w:r>
      <w:r w:rsidR="002001F5">
        <w:t>,</w:t>
      </w:r>
      <w:r w:rsidR="0013781B">
        <w:t xml:space="preserve"> and GasBuddy. </w:t>
      </w:r>
      <w:r>
        <w:t xml:space="preserve">This </w:t>
      </w:r>
      <w:r w:rsidR="0013781B">
        <w:t>finding</w:t>
      </w:r>
      <w:r>
        <w:t xml:space="preserve"> led to a proposal for further research, during the second phase of the project, to predict </w:t>
      </w:r>
      <w:r w:rsidR="0013781B">
        <w:t xml:space="preserve">midgrade and premium </w:t>
      </w:r>
      <w:r>
        <w:t xml:space="preserve">motor gasoline </w:t>
      </w:r>
      <w:r w:rsidR="0013781B">
        <w:t xml:space="preserve">prices for publication cells using aggregated regular </w:t>
      </w:r>
      <w:r>
        <w:t xml:space="preserve">motor gasoline </w:t>
      </w:r>
      <w:r w:rsidR="0013781B">
        <w:t>prices</w:t>
      </w:r>
      <w:r>
        <w:t>.</w:t>
      </w:r>
      <w:r w:rsidR="0013781B">
        <w:t xml:space="preserve"> </w:t>
      </w:r>
      <w:r>
        <w:t>Specifically, the survey could collect regular motor gasoline pr</w:t>
      </w:r>
      <w:r w:rsidR="002001F5">
        <w:t>ices</w:t>
      </w:r>
      <w:r>
        <w:t xml:space="preserve"> exclusively and use them to predict midgrade and premium prices with high accuracy. </w:t>
      </w:r>
    </w:p>
    <w:p w14:paraId="11E5271B" w14:textId="1F69D464" w:rsidR="003174FF" w:rsidRDefault="007E1B59" w:rsidP="00364CAC">
      <w:r>
        <w:t>The benefits of being able to predict</w:t>
      </w:r>
      <w:r w:rsidR="0013781B">
        <w:t xml:space="preserve"> midgrade and premium prices</w:t>
      </w:r>
      <w:r>
        <w:t xml:space="preserve">, with a high level of accuracy, would diminish the scale of the EIA-878 survey operation and make it more efficient. This change would diminish the reporting burden of survey respondents, since not all gasoline outlets sell midgrade/premium gasoline in addition to regular. </w:t>
      </w:r>
      <w:r w:rsidR="003174FF">
        <w:t>Negating the need to collect data on midgrade and premium prices would decrease the sample size reducing the data collection and processing burden for the survey staff.</w:t>
      </w:r>
    </w:p>
    <w:p w14:paraId="4C42B2B6" w14:textId="6E193094" w:rsidR="0013781B" w:rsidRPr="000B7D64" w:rsidRDefault="003174FF" w:rsidP="00364CAC">
      <w:r>
        <w:t xml:space="preserve">There is also potential for more precision from model estimates than from data collected on midgrade and premium motor gasoline prices by the survey. Historical data indicate that estimates for midgrade and premium prices, derived from survey data, have higher associated standard errors </w:t>
      </w:r>
      <w:r w:rsidR="00116538">
        <w:t xml:space="preserve">than </w:t>
      </w:r>
      <w:r>
        <w:t>data associated with survey-collected regular motor gasoline prices. This may be due to generally lower numbers of reported midgrade and premium reported prices, as compared to the number of reported prices for regular motor gasoline.</w:t>
      </w:r>
      <w:r w:rsidR="0013781B" w:rsidRPr="000B7D64">
        <w:t xml:space="preserve"> </w:t>
      </w:r>
    </w:p>
    <w:p w14:paraId="57496325" w14:textId="24DF7D63" w:rsidR="0013781B" w:rsidRDefault="0013781B" w:rsidP="00E31C5D">
      <w:pPr>
        <w:pStyle w:val="Heading2"/>
      </w:pPr>
      <w:bookmarkStart w:id="25" w:name="_Toc497202528"/>
      <w:r>
        <w:t xml:space="preserve">Predicting </w:t>
      </w:r>
      <w:r w:rsidR="00114932">
        <w:t>m</w:t>
      </w:r>
      <w:r>
        <w:t xml:space="preserve">idgrade and </w:t>
      </w:r>
      <w:r w:rsidR="00114932">
        <w:t>p</w:t>
      </w:r>
      <w:r>
        <w:t xml:space="preserve">remium </w:t>
      </w:r>
      <w:r w:rsidR="00114932">
        <w:t>p</w:t>
      </w:r>
      <w:r>
        <w:t>rices with EIA</w:t>
      </w:r>
      <w:r w:rsidR="00114932">
        <w:t>-878</w:t>
      </w:r>
      <w:r>
        <w:t xml:space="preserve"> </w:t>
      </w:r>
      <w:r w:rsidR="00114932">
        <w:t>d</w:t>
      </w:r>
      <w:r>
        <w:t>ata</w:t>
      </w:r>
      <w:bookmarkEnd w:id="25"/>
    </w:p>
    <w:p w14:paraId="3E7193BA" w14:textId="05043CB7" w:rsidR="0013781B" w:rsidRDefault="0070514D" w:rsidP="00FF770E">
      <w:pPr>
        <w:rPr>
          <w:rFonts w:cs="Times New Roman"/>
        </w:rPr>
      </w:pPr>
      <w:r>
        <w:t>M</w:t>
      </w:r>
      <w:r w:rsidR="0013781B">
        <w:t xml:space="preserve">idgrade and premium prices </w:t>
      </w:r>
      <w:r>
        <w:t>were highly</w:t>
      </w:r>
      <w:r w:rsidR="0013781B">
        <w:t xml:space="preserve"> correlated with regular prices over the period from 2009 through the beginning of 2017</w:t>
      </w:r>
      <w:r>
        <w:t xml:space="preserve">; however, </w:t>
      </w:r>
      <w:r w:rsidR="0013781B">
        <w:t xml:space="preserve">the relationship patterns of midgrade and premium prices </w:t>
      </w:r>
      <w:r>
        <w:t xml:space="preserve">to </w:t>
      </w:r>
      <w:r w:rsidR="0013781B">
        <w:t>regular price change</w:t>
      </w:r>
      <w:r w:rsidR="00364CAC">
        <w:t>d</w:t>
      </w:r>
      <w:r w:rsidR="0013781B">
        <w:t xml:space="preserve"> </w:t>
      </w:r>
      <w:r>
        <w:t xml:space="preserve">near </w:t>
      </w:r>
      <w:r w:rsidR="0013781B">
        <w:t xml:space="preserve">the end of 2012. </w:t>
      </w:r>
      <w:r>
        <w:t xml:space="preserve">The change in relationship is captured in figure </w:t>
      </w:r>
      <w:r w:rsidR="00112210" w:rsidRPr="00FF770E">
        <w:t>1</w:t>
      </w:r>
      <w:r w:rsidR="00374CD5">
        <w:t>7</w:t>
      </w:r>
      <w:r>
        <w:t xml:space="preserve"> below, where a greater interval is observed between the line depicting the delta in prices between midgrade and regular</w:t>
      </w:r>
      <w:r w:rsidR="00BE35F1">
        <w:t xml:space="preserve"> and the delta in prices between premium and regular beginning</w:t>
      </w:r>
      <w:r>
        <w:t xml:space="preserve"> near the end of 2012.</w:t>
      </w:r>
      <w:r w:rsidR="0013781B">
        <w:t xml:space="preserve"> It is not clear what caused that change in the correlation patterns. </w:t>
      </w:r>
      <w:r w:rsidR="00364CAC">
        <w:t xml:space="preserve">One possibility is a </w:t>
      </w:r>
      <w:r w:rsidR="0013781B">
        <w:t>change in gasoline specification</w:t>
      </w:r>
      <w:r w:rsidR="002001F5">
        <w:t>s</w:t>
      </w:r>
      <w:r w:rsidR="0013781B">
        <w:t xml:space="preserve"> for product shipped on the Magellan </w:t>
      </w:r>
      <w:r w:rsidR="002001F5">
        <w:t>P</w:t>
      </w:r>
      <w:r w:rsidR="0013781B">
        <w:t>ipeline</w:t>
      </w:r>
      <w:r w:rsidR="00364CAC">
        <w:t xml:space="preserve"> in 2013. </w:t>
      </w:r>
      <w:r w:rsidR="00BE35F1">
        <w:t>This change resulted in</w:t>
      </w:r>
      <w:r w:rsidR="0013781B">
        <w:t xml:space="preserve"> a highly significant shift from midgrade to regular gasoline in PADD 2</w:t>
      </w:r>
      <w:r w:rsidR="00BE35F1">
        <w:t xml:space="preserve"> and may have influenced the prices.</w:t>
      </w:r>
    </w:p>
    <w:p w14:paraId="263D1B77" w14:textId="5B9B02F2" w:rsidR="0013781B" w:rsidRDefault="0013781B" w:rsidP="009F3147">
      <w:pPr>
        <w:pStyle w:val="Caption"/>
      </w:pPr>
      <w:bookmarkStart w:id="26" w:name="_Toc479832114"/>
      <w:bookmarkStart w:id="27" w:name="_Toc482607416"/>
      <w:r>
        <w:t xml:space="preserve">Figure </w:t>
      </w:r>
      <w:r w:rsidR="007E726F">
        <w:fldChar w:fldCharType="begin"/>
      </w:r>
      <w:r w:rsidR="007E726F">
        <w:instrText xml:space="preserve"> SEQ Figure \* ARABIC </w:instrText>
      </w:r>
      <w:r w:rsidR="007E726F">
        <w:fldChar w:fldCharType="separate"/>
      </w:r>
      <w:r w:rsidR="00B70687">
        <w:rPr>
          <w:noProof/>
        </w:rPr>
        <w:t>1</w:t>
      </w:r>
      <w:r w:rsidR="007E726F">
        <w:rPr>
          <w:noProof/>
        </w:rPr>
        <w:fldChar w:fldCharType="end"/>
      </w:r>
      <w:r w:rsidR="002452E9">
        <w:rPr>
          <w:noProof/>
        </w:rPr>
        <w:t>7</w:t>
      </w:r>
      <w:r>
        <w:t>. EIA</w:t>
      </w:r>
      <w:r w:rsidR="00114932">
        <w:t>-878</w:t>
      </w:r>
      <w:r>
        <w:t xml:space="preserve"> </w:t>
      </w:r>
      <w:r w:rsidR="002001F5">
        <w:t>p</w:t>
      </w:r>
      <w:r>
        <w:t xml:space="preserve">rice </w:t>
      </w:r>
      <w:r w:rsidR="002001F5">
        <w:t>d</w:t>
      </w:r>
      <w:r>
        <w:t xml:space="preserve">ifferential between </w:t>
      </w:r>
      <w:r w:rsidR="002001F5">
        <w:t>g</w:t>
      </w:r>
      <w:r>
        <w:t>rades - U.S.</w:t>
      </w:r>
      <w:bookmarkEnd w:id="26"/>
      <w:bookmarkEnd w:id="27"/>
    </w:p>
    <w:p w14:paraId="1153765B" w14:textId="77777777" w:rsidR="0013781B" w:rsidRDefault="0013781B" w:rsidP="0013781B">
      <w:pPr>
        <w:ind w:left="360"/>
        <w:jc w:val="center"/>
        <w:rPr>
          <w:rFonts w:cs="Times New Roman"/>
        </w:rPr>
      </w:pPr>
      <w:r>
        <w:rPr>
          <w:noProof/>
        </w:rPr>
        <w:drawing>
          <wp:inline distT="0" distB="0" distL="0" distR="0" wp14:anchorId="5C8C64EB" wp14:editId="11087E3D">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F03788" w14:textId="2AC687C7" w:rsidR="0013781B" w:rsidRDefault="00804B59" w:rsidP="00364CAC">
      <w:r>
        <w:t>To capture the observed change in the relationships between regular and midgrade/premium prices and generate accurate estimates, t</w:t>
      </w:r>
      <w:r w:rsidR="0013781B">
        <w:t xml:space="preserve">wo separate sets of models were developed for the periods </w:t>
      </w:r>
      <w:r>
        <w:t xml:space="preserve">of </w:t>
      </w:r>
      <w:r w:rsidR="0013781B">
        <w:t xml:space="preserve">2009-2012 and 2013-2017. The data </w:t>
      </w:r>
      <w:r>
        <w:t xml:space="preserve">used for modeling </w:t>
      </w:r>
      <w:r w:rsidR="0013781B">
        <w:t>are weekly price series</w:t>
      </w:r>
      <w:r>
        <w:t>, therefore one modeling option considered was a time s</w:t>
      </w:r>
      <w:r w:rsidR="0013781B">
        <w:t>eries model</w:t>
      </w:r>
      <w:r>
        <w:t>.</w:t>
      </w:r>
      <w:r w:rsidR="0013781B">
        <w:t xml:space="preserve"> </w:t>
      </w:r>
      <w:r>
        <w:t xml:space="preserve">However, </w:t>
      </w:r>
      <w:r w:rsidR="0013781B">
        <w:t xml:space="preserve">the weekly price movement (weekly change), influenced by supply and demand balance </w:t>
      </w:r>
      <w:r>
        <w:t xml:space="preserve">among </w:t>
      </w:r>
      <w:r w:rsidR="0013781B">
        <w:t xml:space="preserve">other factors, is quite random and shows no strong sign of seasonality and trend. Therefore, this research takes advantage of the high correlation among prices of different </w:t>
      </w:r>
      <w:r w:rsidR="0013781B" w:rsidRPr="001A77D2">
        <w:t>grades and fits the data with linear regression models</w:t>
      </w:r>
      <w:r w:rsidRPr="001A77D2">
        <w:t>, instead of a time series model</w:t>
      </w:r>
      <w:r w:rsidR="0013781B" w:rsidRPr="001A77D2">
        <w:t xml:space="preserve">. </w:t>
      </w:r>
      <w:r w:rsidR="00FB2F18" w:rsidRPr="001A77D2">
        <w:t>Figures 1</w:t>
      </w:r>
      <w:r w:rsidR="00374CD5">
        <w:t>8</w:t>
      </w:r>
      <w:r w:rsidR="00FB2F18" w:rsidRPr="001A77D2">
        <w:t>a-c below depict</w:t>
      </w:r>
      <w:r w:rsidR="0013781B" w:rsidRPr="001A77D2">
        <w:t xml:space="preserve"> scatter plots </w:t>
      </w:r>
      <w:r w:rsidR="00FB2F18" w:rsidRPr="001A77D2">
        <w:t>illustrating the</w:t>
      </w:r>
      <w:r w:rsidRPr="001A77D2">
        <w:t xml:space="preserve"> high correlation between regular motor gasoline prices and midgrade gasoline prices </w:t>
      </w:r>
      <w:r w:rsidR="00FB2F18" w:rsidRPr="001A77D2">
        <w:t xml:space="preserve">and </w:t>
      </w:r>
      <w:r w:rsidRPr="001A77D2">
        <w:t>support the rationale of using li</w:t>
      </w:r>
      <w:r w:rsidR="0013781B" w:rsidRPr="001A77D2">
        <w:t>near regression models</w:t>
      </w:r>
      <w:r w:rsidRPr="001A77D2">
        <w:t>. The depicted relationships also illustrate the need to model the two data series separately, because they follow different patterns.</w:t>
      </w:r>
      <w:r w:rsidR="0013781B">
        <w:t xml:space="preserve"> </w:t>
      </w:r>
    </w:p>
    <w:p w14:paraId="1F8F3845" w14:textId="0687894F" w:rsidR="0013781B" w:rsidRDefault="0013781B" w:rsidP="009F3147">
      <w:pPr>
        <w:pStyle w:val="Caption"/>
      </w:pPr>
      <w:r>
        <w:t xml:space="preserve">Figure </w:t>
      </w:r>
      <w:r w:rsidR="00FB2F18">
        <w:t>1</w:t>
      </w:r>
      <w:r w:rsidR="002452E9">
        <w:t>8</w:t>
      </w:r>
      <w:r w:rsidR="00FB2F18">
        <w:t>a</w:t>
      </w:r>
      <w:r>
        <w:t>. EIA</w:t>
      </w:r>
      <w:r w:rsidR="00114932">
        <w:t>-878</w:t>
      </w:r>
      <w:r>
        <w:t xml:space="preserve"> </w:t>
      </w:r>
      <w:r w:rsidR="00FB2F18">
        <w:t>m</w:t>
      </w:r>
      <w:r>
        <w:t xml:space="preserve">idgrade </w:t>
      </w:r>
      <w:r w:rsidR="00FB2F18">
        <w:t>p</w:t>
      </w:r>
      <w:r>
        <w:t xml:space="preserve">rice vs. </w:t>
      </w:r>
      <w:r w:rsidR="00FB2F18">
        <w:t>r</w:t>
      </w:r>
      <w:r>
        <w:t xml:space="preserve">egular </w:t>
      </w:r>
      <w:r w:rsidR="00FB2F18">
        <w:t>p</w:t>
      </w:r>
      <w:r>
        <w:t>rice - U.S. (2009-2017)</w:t>
      </w:r>
      <w:r w:rsidR="00114932">
        <w:t>.</w:t>
      </w:r>
    </w:p>
    <w:p w14:paraId="546E7D11" w14:textId="77777777" w:rsidR="0013781B" w:rsidRDefault="0013781B" w:rsidP="0013781B">
      <w:pPr>
        <w:ind w:left="360"/>
        <w:jc w:val="center"/>
        <w:rPr>
          <w:rFonts w:cs="Times New Roman"/>
        </w:rPr>
      </w:pPr>
      <w:r>
        <w:rPr>
          <w:noProof/>
        </w:rPr>
        <w:drawing>
          <wp:inline distT="0" distB="0" distL="0" distR="0" wp14:anchorId="0DDFAF19" wp14:editId="22500287">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C0D263" w14:textId="77777777" w:rsidR="0013781B" w:rsidRDefault="0013781B" w:rsidP="0013781B">
      <w:pPr>
        <w:ind w:left="360"/>
        <w:jc w:val="center"/>
        <w:rPr>
          <w:rFonts w:cs="Times New Roman"/>
        </w:rPr>
      </w:pPr>
    </w:p>
    <w:p w14:paraId="5953F84E" w14:textId="7E971EDA" w:rsidR="0013781B" w:rsidRDefault="0013781B" w:rsidP="009F3147">
      <w:pPr>
        <w:pStyle w:val="Caption"/>
      </w:pPr>
      <w:r>
        <w:t xml:space="preserve">Figure </w:t>
      </w:r>
      <w:r w:rsidR="00FB2F18">
        <w:t>1</w:t>
      </w:r>
      <w:r w:rsidR="002452E9">
        <w:t>8</w:t>
      </w:r>
      <w:r w:rsidR="00FB2F18">
        <w:t>b</w:t>
      </w:r>
      <w:r>
        <w:t>. EIA</w:t>
      </w:r>
      <w:r w:rsidR="00114932">
        <w:t>-878</w:t>
      </w:r>
      <w:r>
        <w:t xml:space="preserve"> </w:t>
      </w:r>
      <w:r w:rsidR="00FB2F18">
        <w:t>m</w:t>
      </w:r>
      <w:r>
        <w:t xml:space="preserve">idgrade </w:t>
      </w:r>
      <w:r w:rsidR="00FB2F18">
        <w:t>p</w:t>
      </w:r>
      <w:r>
        <w:t xml:space="preserve">rice vs. </w:t>
      </w:r>
      <w:r w:rsidR="00FB2F18">
        <w:t>r</w:t>
      </w:r>
      <w:r>
        <w:t xml:space="preserve">egular </w:t>
      </w:r>
      <w:r w:rsidR="00FB2F18">
        <w:t>p</w:t>
      </w:r>
      <w:r>
        <w:t>rice - U.S. (2009-2012)</w:t>
      </w:r>
      <w:r w:rsidR="00114932">
        <w:t>.</w:t>
      </w:r>
    </w:p>
    <w:p w14:paraId="0569A819" w14:textId="77777777" w:rsidR="0013781B" w:rsidRDefault="0013781B" w:rsidP="0013781B">
      <w:pPr>
        <w:ind w:left="360"/>
        <w:jc w:val="center"/>
        <w:rPr>
          <w:rFonts w:cs="Times New Roman"/>
        </w:rPr>
      </w:pPr>
      <w:r>
        <w:rPr>
          <w:noProof/>
        </w:rPr>
        <w:drawing>
          <wp:inline distT="0" distB="0" distL="0" distR="0" wp14:anchorId="7B7C0960" wp14:editId="6080A707">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627FCE" w14:textId="72428FE4" w:rsidR="0013781B" w:rsidRDefault="0013781B" w:rsidP="009F3147">
      <w:pPr>
        <w:pStyle w:val="Caption"/>
      </w:pPr>
      <w:r>
        <w:t xml:space="preserve">Figure </w:t>
      </w:r>
      <w:r w:rsidR="00FB2F18">
        <w:t>1</w:t>
      </w:r>
      <w:r w:rsidR="002452E9">
        <w:t>8</w:t>
      </w:r>
      <w:r w:rsidR="00FB2F18">
        <w:t>c</w:t>
      </w:r>
      <w:r>
        <w:t>. EIA</w:t>
      </w:r>
      <w:r w:rsidR="00114932">
        <w:t>-878</w:t>
      </w:r>
      <w:r>
        <w:t xml:space="preserve"> </w:t>
      </w:r>
      <w:r w:rsidR="00FB2F18">
        <w:t>m</w:t>
      </w:r>
      <w:r>
        <w:t xml:space="preserve">idgrade </w:t>
      </w:r>
      <w:r w:rsidR="00FB2F18">
        <w:t>p</w:t>
      </w:r>
      <w:r>
        <w:t xml:space="preserve">rice vs. </w:t>
      </w:r>
      <w:r w:rsidR="00FB2F18">
        <w:t>r</w:t>
      </w:r>
      <w:r>
        <w:t xml:space="preserve">egular </w:t>
      </w:r>
      <w:r w:rsidR="00FB2F18">
        <w:t>p</w:t>
      </w:r>
      <w:r>
        <w:t>rice - U.S. (2013-2017)</w:t>
      </w:r>
      <w:r w:rsidR="00114932">
        <w:t>.</w:t>
      </w:r>
    </w:p>
    <w:p w14:paraId="7ACDC891" w14:textId="77777777" w:rsidR="0013781B" w:rsidRDefault="0013781B" w:rsidP="0013781B">
      <w:pPr>
        <w:ind w:left="360"/>
        <w:jc w:val="center"/>
        <w:rPr>
          <w:rFonts w:cs="Times New Roman"/>
        </w:rPr>
      </w:pPr>
      <w:r>
        <w:rPr>
          <w:noProof/>
        </w:rPr>
        <w:drawing>
          <wp:inline distT="0" distB="0" distL="0" distR="0" wp14:anchorId="42949AD3" wp14:editId="5A045DFA">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944E7F" w14:textId="4CB6F5A5" w:rsidR="0013781B" w:rsidRDefault="00D34E74" w:rsidP="0013781B">
      <w:pPr>
        <w:ind w:left="360"/>
        <w:rPr>
          <w:rFonts w:cs="Times New Roman"/>
        </w:rPr>
      </w:pPr>
      <w:r>
        <w:rPr>
          <w:rFonts w:cs="Times New Roman"/>
        </w:rPr>
        <w:t xml:space="preserve">Results from the </w:t>
      </w:r>
      <w:r w:rsidR="0013781B">
        <w:rPr>
          <w:rFonts w:cs="Times New Roman"/>
        </w:rPr>
        <w:t>linear regression equation</w:t>
      </w:r>
      <w:r>
        <w:rPr>
          <w:rFonts w:cs="Times New Roman"/>
        </w:rPr>
        <w:t>s from</w:t>
      </w:r>
      <w:r w:rsidR="0013781B">
        <w:rPr>
          <w:rFonts w:cs="Times New Roman"/>
        </w:rPr>
        <w:t xml:space="preserve"> the midgrade </w:t>
      </w:r>
      <w:r>
        <w:rPr>
          <w:rFonts w:cs="Times New Roman"/>
        </w:rPr>
        <w:t>or the</w:t>
      </w:r>
      <w:r w:rsidR="0013781B">
        <w:rPr>
          <w:rFonts w:cs="Times New Roman"/>
        </w:rPr>
        <w:t xml:space="preserve"> premium models </w:t>
      </w:r>
      <w:r>
        <w:rPr>
          <w:rFonts w:cs="Times New Roman"/>
        </w:rPr>
        <w:t>distinctly covering either the period from 2009-2012 or from 2013-2017 show difference</w:t>
      </w:r>
      <w:r w:rsidR="001700A7">
        <w:rPr>
          <w:rFonts w:cs="Times New Roman"/>
        </w:rPr>
        <w:t>s</w:t>
      </w:r>
      <w:r>
        <w:rPr>
          <w:rFonts w:cs="Times New Roman"/>
        </w:rPr>
        <w:t xml:space="preserve"> between the values of b</w:t>
      </w:r>
      <w:r w:rsidR="0013781B">
        <w:rPr>
          <w:rFonts w:cs="Times New Roman"/>
        </w:rPr>
        <w:t>oth the intercept</w:t>
      </w:r>
      <w:r>
        <w:rPr>
          <w:rFonts w:cs="Times New Roman"/>
        </w:rPr>
        <w:t>s</w:t>
      </w:r>
      <w:r w:rsidR="0013781B">
        <w:rPr>
          <w:rFonts w:cs="Times New Roman"/>
        </w:rPr>
        <w:t xml:space="preserve"> (</w:t>
      </w:r>
      <w:r w:rsidR="0013781B" w:rsidRPr="00012666">
        <w:rPr>
          <w:rFonts w:ascii="Calibri" w:eastAsia="Times New Roman" w:hAnsi="Calibri" w:cs="Times New Roman"/>
        </w:rPr>
        <w:t>α</w:t>
      </w:r>
      <w:r w:rsidR="0013781B">
        <w:rPr>
          <w:rFonts w:ascii="Calibri" w:eastAsia="Times New Roman" w:hAnsi="Calibri" w:cs="Times New Roman"/>
        </w:rPr>
        <w:t>) and the coefficient parameter</w:t>
      </w:r>
      <w:r>
        <w:rPr>
          <w:rFonts w:ascii="Calibri" w:eastAsia="Times New Roman" w:hAnsi="Calibri" w:cs="Times New Roman"/>
        </w:rPr>
        <w:t>s</w:t>
      </w:r>
      <w:r w:rsidR="0013781B">
        <w:rPr>
          <w:rFonts w:ascii="Calibri" w:eastAsia="Times New Roman" w:hAnsi="Calibri" w:cs="Times New Roman"/>
        </w:rPr>
        <w:t xml:space="preserve"> (</w:t>
      </w:r>
      <w:r w:rsidR="0013781B" w:rsidRPr="00012666">
        <w:rPr>
          <w:rFonts w:ascii="Calibri" w:eastAsia="Times New Roman" w:hAnsi="Calibri" w:cs="Times New Roman"/>
        </w:rPr>
        <w:t>β</w:t>
      </w:r>
      <w:r w:rsidR="0013781B">
        <w:rPr>
          <w:rFonts w:ascii="Calibri" w:eastAsia="Times New Roman" w:hAnsi="Calibri" w:cs="Times New Roman"/>
        </w:rPr>
        <w:t>) of regular price</w:t>
      </w:r>
      <w:r w:rsidR="00644F4F">
        <w:rPr>
          <w:rFonts w:ascii="Calibri" w:eastAsia="Times New Roman" w:hAnsi="Calibri" w:cs="Times New Roman"/>
        </w:rPr>
        <w:t xml:space="preserve"> </w:t>
      </w:r>
      <w:r w:rsidR="00644F4F" w:rsidRPr="008E36B3">
        <w:rPr>
          <w:rFonts w:ascii="Calibri" w:eastAsia="Times New Roman" w:hAnsi="Calibri" w:cs="Times New Roman"/>
        </w:rPr>
        <w:t xml:space="preserve">(refer to the Appendix </w:t>
      </w:r>
      <w:r w:rsidR="008E36B3" w:rsidRPr="00FF770E">
        <w:rPr>
          <w:rFonts w:ascii="Calibri" w:eastAsia="Times New Roman" w:hAnsi="Calibri" w:cs="Times New Roman"/>
        </w:rPr>
        <w:t>Table A.</w:t>
      </w:r>
      <w:r w:rsidR="00374CD5">
        <w:rPr>
          <w:rFonts w:ascii="Calibri" w:eastAsia="Times New Roman" w:hAnsi="Calibri" w:cs="Times New Roman"/>
        </w:rPr>
        <w:t>6</w:t>
      </w:r>
      <w:r w:rsidR="00644F4F" w:rsidRPr="008E36B3">
        <w:rPr>
          <w:rFonts w:ascii="Calibri" w:eastAsia="Times New Roman" w:hAnsi="Calibri" w:cs="Times New Roman"/>
        </w:rPr>
        <w:t xml:space="preserve"> for t</w:t>
      </w:r>
      <w:r w:rsidRPr="008E36B3">
        <w:rPr>
          <w:rFonts w:ascii="Calibri" w:eastAsia="Times New Roman" w:hAnsi="Calibri" w:cs="Times New Roman"/>
        </w:rPr>
        <w:t>he complete list of values for the intercepts and coefficients</w:t>
      </w:r>
      <w:r w:rsidR="00644F4F" w:rsidRPr="008E36B3">
        <w:rPr>
          <w:rFonts w:ascii="Calibri" w:eastAsia="Times New Roman" w:hAnsi="Calibri" w:cs="Times New Roman"/>
        </w:rPr>
        <w:t>).</w:t>
      </w:r>
    </w:p>
    <w:p w14:paraId="2D011A3A" w14:textId="38458BB0" w:rsidR="0013781B" w:rsidRDefault="00CC7E92" w:rsidP="00644F4F">
      <w:pPr>
        <w:ind w:left="360"/>
        <w:rPr>
          <w:color w:val="1F497D"/>
        </w:rPr>
      </w:pPr>
      <w:r>
        <w:rPr>
          <w:rFonts w:cs="Times New Roman"/>
        </w:rPr>
        <w:t xml:space="preserve">Performance of the models was evaluated </w:t>
      </w:r>
      <w:r w:rsidR="00644F4F">
        <w:rPr>
          <w:rFonts w:cs="Times New Roman"/>
        </w:rPr>
        <w:t xml:space="preserve">from </w:t>
      </w:r>
      <w:r>
        <w:rPr>
          <w:rFonts w:cs="Times New Roman"/>
        </w:rPr>
        <w:t xml:space="preserve">summary statistics on the residuals </w:t>
      </w:r>
      <w:r w:rsidR="0013781B" w:rsidRPr="0087499A">
        <w:rPr>
          <w:rFonts w:cs="Times New Roman"/>
        </w:rPr>
        <w:t>(where: residual = observed value – predicted value)</w:t>
      </w:r>
      <w:r>
        <w:rPr>
          <w:rFonts w:cs="Times New Roman"/>
        </w:rPr>
        <w:t xml:space="preserve"> and the details (</w:t>
      </w:r>
      <w:r w:rsidR="0013781B" w:rsidRPr="0087499A">
        <w:rPr>
          <w:rFonts w:cs="Times New Roman"/>
        </w:rPr>
        <w:t>includ</w:t>
      </w:r>
      <w:r>
        <w:rPr>
          <w:rFonts w:cs="Times New Roman"/>
        </w:rPr>
        <w:t>ing</w:t>
      </w:r>
      <w:r w:rsidR="0013781B" w:rsidRPr="0087499A">
        <w:rPr>
          <w:rFonts w:cs="Times New Roman"/>
        </w:rPr>
        <w:t xml:space="preserve"> </w:t>
      </w:r>
      <w:r w:rsidR="0013781B">
        <w:rPr>
          <w:rFonts w:cs="Times New Roman"/>
        </w:rPr>
        <w:t>mean absolute value</w:t>
      </w:r>
      <w:r>
        <w:rPr>
          <w:rFonts w:cs="Times New Roman"/>
        </w:rPr>
        <w:t>s</w:t>
      </w:r>
      <w:r w:rsidR="0013781B">
        <w:rPr>
          <w:rFonts w:cs="Times New Roman"/>
        </w:rPr>
        <w:t xml:space="preserve">, </w:t>
      </w:r>
      <w:r w:rsidR="0013781B" w:rsidRPr="0087499A">
        <w:rPr>
          <w:rFonts w:cs="Times New Roman"/>
        </w:rPr>
        <w:t>standard deviation</w:t>
      </w:r>
      <w:r>
        <w:rPr>
          <w:rFonts w:cs="Times New Roman"/>
        </w:rPr>
        <w:t>s</w:t>
      </w:r>
      <w:r w:rsidR="0013781B" w:rsidRPr="0087499A">
        <w:rPr>
          <w:rFonts w:cs="Times New Roman"/>
        </w:rPr>
        <w:t>, minimum</w:t>
      </w:r>
      <w:r>
        <w:rPr>
          <w:rFonts w:cs="Times New Roman"/>
        </w:rPr>
        <w:t>s</w:t>
      </w:r>
      <w:r w:rsidR="0013781B" w:rsidRPr="0087499A">
        <w:rPr>
          <w:rFonts w:cs="Times New Roman"/>
        </w:rPr>
        <w:t>, and maximum</w:t>
      </w:r>
      <w:r>
        <w:rPr>
          <w:rFonts w:cs="Times New Roman"/>
        </w:rPr>
        <w:t>s</w:t>
      </w:r>
      <w:r w:rsidR="0013781B" w:rsidRPr="0087499A">
        <w:rPr>
          <w:rFonts w:cs="Times New Roman"/>
        </w:rPr>
        <w:t xml:space="preserve"> of the residuals</w:t>
      </w:r>
      <w:r>
        <w:rPr>
          <w:rFonts w:cs="Times New Roman"/>
        </w:rPr>
        <w:t xml:space="preserve">) may be found in </w:t>
      </w:r>
      <w:r w:rsidR="008E36B3">
        <w:rPr>
          <w:rFonts w:cs="Times New Roman"/>
        </w:rPr>
        <w:t>Table A.</w:t>
      </w:r>
      <w:r w:rsidR="00374CD5">
        <w:rPr>
          <w:rFonts w:cs="Times New Roman"/>
        </w:rPr>
        <w:t xml:space="preserve">7 </w:t>
      </w:r>
      <w:r w:rsidR="00116538">
        <w:rPr>
          <w:rFonts w:cs="Times New Roman"/>
        </w:rPr>
        <w:t>for 2009 - 2012</w:t>
      </w:r>
      <w:r>
        <w:rPr>
          <w:rFonts w:cs="Times New Roman"/>
        </w:rPr>
        <w:t>in the Appendix</w:t>
      </w:r>
      <w:r w:rsidR="0013781B" w:rsidRPr="0087499A">
        <w:rPr>
          <w:rFonts w:cs="Times New Roman"/>
        </w:rPr>
        <w:t xml:space="preserve">. </w:t>
      </w:r>
      <w:r>
        <w:rPr>
          <w:rFonts w:cs="Times New Roman"/>
        </w:rPr>
        <w:t>A summary of the models’ predicted values</w:t>
      </w:r>
      <w:r w:rsidR="00116538">
        <w:rPr>
          <w:rFonts w:cs="Times New Roman"/>
        </w:rPr>
        <w:t xml:space="preserve"> for 2013 - 2017</w:t>
      </w:r>
      <w:r>
        <w:rPr>
          <w:rFonts w:cs="Times New Roman"/>
        </w:rPr>
        <w:t xml:space="preserve"> may be found in </w:t>
      </w:r>
      <w:r w:rsidR="008E36B3">
        <w:rPr>
          <w:rFonts w:cs="Times New Roman"/>
        </w:rPr>
        <w:t>Table A.</w:t>
      </w:r>
      <w:r w:rsidR="00374CD5">
        <w:rPr>
          <w:rFonts w:cs="Times New Roman"/>
        </w:rPr>
        <w:t xml:space="preserve">8 </w:t>
      </w:r>
      <w:r>
        <w:rPr>
          <w:rFonts w:cs="Times New Roman"/>
        </w:rPr>
        <w:t>in the Appendix. Evaluation of the models’ performances led us to conclude the following:</w:t>
      </w:r>
    </w:p>
    <w:p w14:paraId="30C205FD" w14:textId="49DA9969" w:rsidR="0013781B" w:rsidRPr="000B7D64" w:rsidRDefault="0013781B" w:rsidP="003677C2">
      <w:pPr>
        <w:pStyle w:val="ListParagraph"/>
      </w:pPr>
      <w:r w:rsidRPr="000B7D64">
        <w:t xml:space="preserve">Models </w:t>
      </w:r>
      <w:r w:rsidR="00CC7E92">
        <w:t>covering</w:t>
      </w:r>
      <w:r w:rsidR="00CC7E92" w:rsidRPr="000B7D64">
        <w:t xml:space="preserve"> </w:t>
      </w:r>
      <w:r w:rsidRPr="000B7D64">
        <w:t xml:space="preserve">the period of 2009-2012 </w:t>
      </w:r>
      <w:r w:rsidR="00644F4F">
        <w:t xml:space="preserve">generally </w:t>
      </w:r>
      <w:r w:rsidRPr="000B7D64">
        <w:t xml:space="preserve">perform better than </w:t>
      </w:r>
      <w:r w:rsidR="00CC7E92">
        <w:t>models covering</w:t>
      </w:r>
      <w:r w:rsidRPr="000B7D64">
        <w:t xml:space="preserve"> the period of 2013-2017. Most models in the first group (2009-2012) have a mean absolute residual below 2</w:t>
      </w:r>
      <w:r w:rsidR="00C44065">
        <w:t>¢</w:t>
      </w:r>
      <w:r w:rsidRPr="000B7D64">
        <w:t xml:space="preserve"> and a residual standard deviation below 2</w:t>
      </w:r>
      <w:r w:rsidR="00C44065">
        <w:t xml:space="preserve">¢, </w:t>
      </w:r>
      <w:r w:rsidRPr="000B7D64">
        <w:t>the highest residual standard deviation is 3.5</w:t>
      </w:r>
      <w:r w:rsidR="00C44065">
        <w:t>¢</w:t>
      </w:r>
      <w:r>
        <w:t xml:space="preserve"> (New York)</w:t>
      </w:r>
      <w:r w:rsidRPr="000B7D64">
        <w:t>, and the highest extreme residual is 11</w:t>
      </w:r>
      <w:r w:rsidR="00C44065">
        <w:t>¢</w:t>
      </w:r>
      <w:r>
        <w:t xml:space="preserve"> (Chicago)</w:t>
      </w:r>
      <w:r w:rsidRPr="000B7D64">
        <w:t>. It is much more common for models in the second group (2013-2017) to have a mean absolute residual over 2</w:t>
      </w:r>
      <w:r w:rsidR="00C44065">
        <w:t>¢</w:t>
      </w:r>
      <w:r w:rsidRPr="000B7D64">
        <w:t xml:space="preserve"> and/or a residual standard deviation over 2</w:t>
      </w:r>
      <w:r w:rsidR="00C44065">
        <w:t>¢</w:t>
      </w:r>
      <w:r w:rsidRPr="000B7D64">
        <w:t>, the highest residual standard deviation is 6.7</w:t>
      </w:r>
      <w:r w:rsidR="00C44065">
        <w:t>¢</w:t>
      </w:r>
      <w:r>
        <w:t xml:space="preserve"> (Chicago)</w:t>
      </w:r>
      <w:r w:rsidRPr="000B7D64">
        <w:t>, and the highest extreme residual is 20.2</w:t>
      </w:r>
      <w:r w:rsidR="00C44065">
        <w:t>¢</w:t>
      </w:r>
      <w:r>
        <w:t xml:space="preserve"> (Chicago)</w:t>
      </w:r>
      <w:r w:rsidRPr="000B7D64">
        <w:t xml:space="preserve">. The less fluctuation of the price differential series over the period of 2009-2012 shown in </w:t>
      </w:r>
      <w:r w:rsidR="00B65C47">
        <w:t>Figure 1</w:t>
      </w:r>
      <w:r w:rsidR="00F35A36">
        <w:t>7</w:t>
      </w:r>
      <w:r w:rsidRPr="000B7D64">
        <w:t xml:space="preserve"> is the main reason for this finding.</w:t>
      </w:r>
    </w:p>
    <w:p w14:paraId="46E3D7CD" w14:textId="23978F31" w:rsidR="0013781B" w:rsidRPr="000B7D64" w:rsidRDefault="0013781B" w:rsidP="003677C2">
      <w:pPr>
        <w:pStyle w:val="ListParagraph"/>
      </w:pPr>
      <w:r w:rsidRPr="000B7D64">
        <w:t xml:space="preserve">Midgrade models perform better than premium models. For most pairs of midgrade and premium models </w:t>
      </w:r>
      <w:r w:rsidR="00CC7E92">
        <w:t xml:space="preserve">(refer to </w:t>
      </w:r>
      <w:r w:rsidR="00B65C47">
        <w:t>Tables A.</w:t>
      </w:r>
      <w:r w:rsidR="00374CD5">
        <w:t>7</w:t>
      </w:r>
      <w:r w:rsidR="00B65C47">
        <w:t xml:space="preserve"> and A.</w:t>
      </w:r>
      <w:r w:rsidR="00374CD5">
        <w:t>8</w:t>
      </w:r>
      <w:r w:rsidR="00CC7E92">
        <w:t xml:space="preserve"> in the Appendix)</w:t>
      </w:r>
      <w:r w:rsidR="00B65C47">
        <w:t xml:space="preserve"> </w:t>
      </w:r>
      <w:r w:rsidRPr="000B7D64">
        <w:t xml:space="preserve">the three statistics </w:t>
      </w:r>
      <w:r w:rsidR="00116538">
        <w:t>for a</w:t>
      </w:r>
      <w:r w:rsidRPr="000B7D64">
        <w:t xml:space="preserve"> midgrade model are lower than those of its corresponding premium model. The fact that </w:t>
      </w:r>
      <w:r w:rsidR="00116538">
        <w:t xml:space="preserve">the </w:t>
      </w:r>
      <w:r w:rsidRPr="000B7D64">
        <w:t xml:space="preserve">midgrade minus </w:t>
      </w:r>
      <w:r w:rsidR="00116538">
        <w:t xml:space="preserve">the </w:t>
      </w:r>
      <w:r w:rsidRPr="000B7D64">
        <w:t>regular series in general fluctuated</w:t>
      </w:r>
      <w:r w:rsidR="00116538">
        <w:t xml:space="preserve"> less</w:t>
      </w:r>
      <w:r w:rsidRPr="000B7D64">
        <w:t xml:space="preserve"> than the premium minus </w:t>
      </w:r>
      <w:r w:rsidR="00116538">
        <w:t xml:space="preserve">the </w:t>
      </w:r>
      <w:r w:rsidRPr="000B7D64">
        <w:t>regular series contributes to this finding.</w:t>
      </w:r>
    </w:p>
    <w:p w14:paraId="391AE907" w14:textId="0039F7C9" w:rsidR="0013781B" w:rsidRDefault="0013781B" w:rsidP="00F35A36">
      <w:pPr>
        <w:pStyle w:val="ListParagraph"/>
      </w:pPr>
      <w:r>
        <w:t>M</w:t>
      </w:r>
      <w:r w:rsidRPr="006F3044">
        <w:t>odels for big regions (U</w:t>
      </w:r>
      <w:r>
        <w:t>.</w:t>
      </w:r>
      <w:r w:rsidRPr="006F3044">
        <w:t>S</w:t>
      </w:r>
      <w:r>
        <w:t>.</w:t>
      </w:r>
      <w:r w:rsidRPr="006F3044">
        <w:t xml:space="preserve"> and PADDs) perform better than models for small regions (states and cities). </w:t>
      </w:r>
      <w:r>
        <w:t xml:space="preserve">In both </w:t>
      </w:r>
      <w:r w:rsidR="00B65C47">
        <w:t>Tables A.</w:t>
      </w:r>
      <w:r w:rsidR="00374CD5">
        <w:t>7</w:t>
      </w:r>
      <w:r w:rsidR="00B65C47">
        <w:t xml:space="preserve"> and A.</w:t>
      </w:r>
      <w:r w:rsidR="00374CD5">
        <w:t>8</w:t>
      </w:r>
      <w:r>
        <w:t xml:space="preserve">, the statistics of the models </w:t>
      </w:r>
      <w:r w:rsidR="00F35A36">
        <w:t>(mean a</w:t>
      </w:r>
      <w:r w:rsidR="00F35A36" w:rsidRPr="00F35A36">
        <w:t xml:space="preserve">bsolute </w:t>
      </w:r>
      <w:r w:rsidR="00F35A36">
        <w:t>v</w:t>
      </w:r>
      <w:r w:rsidR="00F35A36" w:rsidRPr="00F35A36">
        <w:t>alue</w:t>
      </w:r>
      <w:r w:rsidR="00F35A36">
        <w:t>, s</w:t>
      </w:r>
      <w:r w:rsidR="00F35A36" w:rsidRPr="00F35A36">
        <w:t xml:space="preserve">tandard </w:t>
      </w:r>
      <w:r w:rsidR="00F35A36">
        <w:t>d</w:t>
      </w:r>
      <w:r w:rsidR="00F35A36" w:rsidRPr="00F35A36">
        <w:t>eviation</w:t>
      </w:r>
      <w:r w:rsidR="00F35A36">
        <w:t>, m</w:t>
      </w:r>
      <w:r w:rsidR="00F35A36" w:rsidRPr="00F35A36">
        <w:t>inimum</w:t>
      </w:r>
      <w:r w:rsidR="00F35A36">
        <w:t>, and m</w:t>
      </w:r>
      <w:r w:rsidR="00F35A36" w:rsidRPr="00F35A36">
        <w:t>aximum</w:t>
      </w:r>
      <w:r w:rsidR="00F35A36">
        <w:t xml:space="preserve">) </w:t>
      </w:r>
      <w:r>
        <w:t xml:space="preserve">for U.S. and PADDs are significantly lower than those for states and cities, in general. The reason for this finding is that the fluctuation of price differentials for large regions are usually lower than those for small regions. </w:t>
      </w:r>
    </w:p>
    <w:p w14:paraId="009EDC82" w14:textId="60DD0BF9" w:rsidR="0013781B" w:rsidRDefault="0013781B" w:rsidP="00E31C5D">
      <w:pPr>
        <w:pStyle w:val="Heading2"/>
      </w:pPr>
      <w:bookmarkStart w:id="28" w:name="_Toc497202529"/>
      <w:r>
        <w:t xml:space="preserve">Predicting </w:t>
      </w:r>
      <w:r w:rsidR="00114932">
        <w:t>m</w:t>
      </w:r>
      <w:r>
        <w:t xml:space="preserve">idgrade and </w:t>
      </w:r>
      <w:r w:rsidR="00114932">
        <w:t>p</w:t>
      </w:r>
      <w:r>
        <w:t xml:space="preserve">remium </w:t>
      </w:r>
      <w:r w:rsidR="00114932">
        <w:t>p</w:t>
      </w:r>
      <w:r>
        <w:t xml:space="preserve">rices with AAA </w:t>
      </w:r>
      <w:r w:rsidR="00114932">
        <w:t>d</w:t>
      </w:r>
      <w:r>
        <w:t>ata</w:t>
      </w:r>
      <w:bookmarkEnd w:id="28"/>
    </w:p>
    <w:p w14:paraId="26E170E9" w14:textId="5299A218" w:rsidR="0013781B" w:rsidRDefault="00643E6B" w:rsidP="0013057B">
      <w:r>
        <w:t>SDSI staff</w:t>
      </w:r>
      <w:r w:rsidR="0084307B">
        <w:t xml:space="preserve"> also attempted to predict midgrade and premium gasoline prices from regular gasoline prices </w:t>
      </w:r>
      <w:r w:rsidR="007953A4">
        <w:t xml:space="preserve">(state and city averages) </w:t>
      </w:r>
      <w:r w:rsidR="0084307B">
        <w:t xml:space="preserve">reported by AAA. </w:t>
      </w:r>
      <w:r w:rsidR="00CC6F8F">
        <w:t>In general, the overall performance of the AAA data models are similar to that of the EIA</w:t>
      </w:r>
      <w:r w:rsidR="00F43276">
        <w:t>-878</w:t>
      </w:r>
      <w:r w:rsidR="00CC6F8F">
        <w:t xml:space="preserve"> data models. There is no evidence to suggest that AAA regular prices are better at predicting midgrade and premium prices than regular prices collected by EIA. In fact, there are notable instances of models from AAA prices having higher standard deviations and appearance of extreme value statistics in the prediction residuals (refer to values from the Chicago and Cleveland models in </w:t>
      </w:r>
      <w:r w:rsidR="00B65C47">
        <w:t>Table A.</w:t>
      </w:r>
      <w:r w:rsidR="00374CD5">
        <w:t xml:space="preserve">9 </w:t>
      </w:r>
      <w:r w:rsidR="00CC6F8F">
        <w:t>in the Appendix).</w:t>
      </w:r>
      <w:r w:rsidR="0013781B">
        <w:t xml:space="preserve"> </w:t>
      </w:r>
    </w:p>
    <w:p w14:paraId="3FDDD96F" w14:textId="35BA715D" w:rsidR="0013781B" w:rsidRPr="00D34492" w:rsidRDefault="0013781B" w:rsidP="00E31C5D">
      <w:pPr>
        <w:pStyle w:val="Heading2"/>
        <w:rPr>
          <w:rFonts w:cs="Times New Roman"/>
        </w:rPr>
      </w:pPr>
      <w:bookmarkStart w:id="29" w:name="_Toc497202530"/>
      <w:r>
        <w:t xml:space="preserve">Predicting AAA </w:t>
      </w:r>
      <w:r w:rsidR="00114932">
        <w:t>m</w:t>
      </w:r>
      <w:r>
        <w:t xml:space="preserve">idgrade and </w:t>
      </w:r>
      <w:r w:rsidR="00114932">
        <w:t>p</w:t>
      </w:r>
      <w:r>
        <w:t xml:space="preserve">remium </w:t>
      </w:r>
      <w:r w:rsidR="00114932">
        <w:t>p</w:t>
      </w:r>
      <w:r>
        <w:t>rices with EIA</w:t>
      </w:r>
      <w:r w:rsidR="00114932">
        <w:t>-878 r</w:t>
      </w:r>
      <w:r>
        <w:t xml:space="preserve">egular </w:t>
      </w:r>
      <w:r w:rsidR="00114932">
        <w:t>p</w:t>
      </w:r>
      <w:r>
        <w:t>rices</w:t>
      </w:r>
      <w:bookmarkEnd w:id="29"/>
    </w:p>
    <w:p w14:paraId="3CEB446D" w14:textId="04F7FCEE" w:rsidR="0013781B" w:rsidRDefault="0013057B" w:rsidP="0013057B">
      <w:r>
        <w:t xml:space="preserve">SDSI also researched the feasibility of collecting only regular gasoline prices and relying on models to produce estimates for midgrade and premium. In this case, an outside data source would be needed to periodically validate the models and evaluate </w:t>
      </w:r>
      <w:r w:rsidR="001059C4">
        <w:t>the quality of the estimated values.</w:t>
      </w:r>
      <w:r>
        <w:t xml:space="preserve"> In this case, midgrade and premium prices from AAA can be used as a benchmark to assess the quality of model estimates.</w:t>
      </w:r>
      <w:r w:rsidR="001059C4">
        <w:t xml:space="preserve"> Models predicting midgrade and premium AAA prices from EIA regular prices were assembled and assessed as potential tools for validation estimation of midgrade and premium prices. </w:t>
      </w:r>
    </w:p>
    <w:p w14:paraId="28ACDFEB" w14:textId="6AEC4DE7" w:rsidR="0013781B" w:rsidRDefault="001059C4" w:rsidP="0013057B">
      <w:r>
        <w:t>Overall, the performance of these models was not as robust as performance of models drawing on data from a single source, such as either the all-EIA</w:t>
      </w:r>
      <w:r w:rsidR="00F43276">
        <w:t>-878</w:t>
      </w:r>
      <w:r>
        <w:t xml:space="preserve"> data models or the all-AAA data models (</w:t>
      </w:r>
      <w:r w:rsidR="00A962F9">
        <w:t>Table A.</w:t>
      </w:r>
      <w:r w:rsidR="00374CD5">
        <w:t xml:space="preserve">10 </w:t>
      </w:r>
      <w:r>
        <w:t>in the Appendix).</w:t>
      </w:r>
      <w:r w:rsidR="0013781B">
        <w:t xml:space="preserve"> The </w:t>
      </w:r>
      <w:r>
        <w:t>decrease in performance in these models is likely due to lower correlations between</w:t>
      </w:r>
      <w:r w:rsidR="0013781B">
        <w:t xml:space="preserve"> prices from different sources across grades</w:t>
      </w:r>
      <w:r>
        <w:t xml:space="preserve"> compared to prices from a single source (data not shown).</w:t>
      </w:r>
    </w:p>
    <w:p w14:paraId="6140D3AB" w14:textId="3FB06124" w:rsidR="00B0703A" w:rsidRPr="00B0703A" w:rsidRDefault="00B0703A" w:rsidP="006C58AE">
      <w:pPr>
        <w:pStyle w:val="Heading1"/>
      </w:pPr>
      <w:bookmarkStart w:id="30" w:name="_Toc497202531"/>
      <w:r>
        <w:t>Predicting Midgrade and Premium Motor Gasoline Prices at the Station Level</w:t>
      </w:r>
      <w:bookmarkEnd w:id="30"/>
    </w:p>
    <w:p w14:paraId="2D8DBFC5" w14:textId="4C9BBA60" w:rsidR="003B09B3" w:rsidRDefault="00B0703A" w:rsidP="0096620E">
      <w:pPr>
        <w:pStyle w:val="Heading2"/>
      </w:pPr>
      <w:bookmarkStart w:id="31" w:name="_Toc497202532"/>
      <w:r>
        <w:t>Background and rationale for leveraging external data to identify potential useful gasoline price predictors using a regression tree</w:t>
      </w:r>
      <w:r w:rsidR="004278BF">
        <w:t>.</w:t>
      </w:r>
      <w:bookmarkEnd w:id="31"/>
    </w:p>
    <w:p w14:paraId="6A2CC6E8" w14:textId="0906F138" w:rsidR="004278BF" w:rsidRDefault="0046040A" w:rsidP="006C58AE">
      <w:r>
        <w:t xml:space="preserve">Despite an observed high correlation between regular motor </w:t>
      </w:r>
      <w:r w:rsidR="006775A5">
        <w:t>gasoline</w:t>
      </w:r>
      <w:r>
        <w:t xml:space="preserve"> prices and</w:t>
      </w:r>
      <w:r w:rsidR="004278BF">
        <w:t xml:space="preserve"> </w:t>
      </w:r>
      <w:r>
        <w:t>midgrade or</w:t>
      </w:r>
      <w:r w:rsidR="004278BF">
        <w:t xml:space="preserve"> premium prices, it is intuitive to assume that there are other factors that may impact these prices, at the station level, and would therefore play a useful role in predicting these prices. SDSI staff undertook a research effort to identify some of these factors and investigate their potential utility. A variety of factors were considered and were subsequently narrowed down to a set for which data could be obtained for inclusion in a </w:t>
      </w:r>
      <w:r w:rsidR="004278BF" w:rsidRPr="001A77D2">
        <w:t>regression tree (</w:t>
      </w:r>
      <w:r w:rsidR="001A77D2" w:rsidRPr="001A77D2">
        <w:t xml:space="preserve">see </w:t>
      </w:r>
      <w:r w:rsidR="001700A7">
        <w:t>A</w:t>
      </w:r>
      <w:r w:rsidR="001A77D2" w:rsidRPr="001A77D2">
        <w:t xml:space="preserve">ppendix </w:t>
      </w:r>
      <w:r w:rsidR="001700A7">
        <w:t>T</w:t>
      </w:r>
      <w:r w:rsidR="001A77D2" w:rsidRPr="001A77D2">
        <w:t>able A.</w:t>
      </w:r>
      <w:r w:rsidR="00AB78F3">
        <w:t>9</w:t>
      </w:r>
      <w:r w:rsidR="004278BF" w:rsidRPr="001A77D2">
        <w:t>).</w:t>
      </w:r>
    </w:p>
    <w:p w14:paraId="6058FD77" w14:textId="50FAF1AF" w:rsidR="00FF04D4" w:rsidRDefault="00B0703A" w:rsidP="0096620E">
      <w:pPr>
        <w:pStyle w:val="Heading2"/>
      </w:pPr>
      <w:bookmarkStart w:id="32" w:name="_Toc497202533"/>
      <w:r>
        <w:t xml:space="preserve">Methods and </w:t>
      </w:r>
      <w:r w:rsidR="00114932">
        <w:t>k</w:t>
      </w:r>
      <w:r>
        <w:t>ey findings</w:t>
      </w:r>
      <w:r w:rsidR="004278BF">
        <w:t>.</w:t>
      </w:r>
      <w:bookmarkEnd w:id="32"/>
    </w:p>
    <w:p w14:paraId="7345D277" w14:textId="0EE8E5EF" w:rsidR="00707ADF" w:rsidRDefault="00707ADF" w:rsidP="00707ADF">
      <w:r w:rsidRPr="00A9018B">
        <w:t xml:space="preserve">Regression trees are </w:t>
      </w:r>
      <w:r>
        <w:t>a popular</w:t>
      </w:r>
      <w:r w:rsidRPr="00A9018B">
        <w:t xml:space="preserve"> </w:t>
      </w:r>
      <w:r>
        <w:t>variation</w:t>
      </w:r>
      <w:r w:rsidRPr="00A9018B">
        <w:t xml:space="preserve"> of decision trees, a machine-learning technique used for predictive modeling. In particular, they are used for models in which the dependent variable takes ordered discrete or continuous values. Because of this characteristic, regression trees are commonly used to approximate real-valued functions from data, rather than for classification purposes as other types of decision trees. An advantage of using regression trees is that they allow independent (or input) variables to be a mixture of numerous continuous and categorical variables, while maintaining simplicity and efficiency. In fact, a key reason for using regression trees is their interpretability.</w:t>
      </w:r>
      <w:r w:rsidR="00F82B29">
        <w:rPr>
          <w:rStyle w:val="FootnoteReference"/>
        </w:rPr>
        <w:footnoteReference w:id="4"/>
      </w:r>
    </w:p>
    <w:p w14:paraId="74DA3C3C" w14:textId="71B66D24" w:rsidR="00707ADF" w:rsidRDefault="00707ADF" w:rsidP="006C58AE">
      <w:r>
        <w:t>The prediction models are obtained through ‘binary recursive partitioning’, an algorithm which iteratively splits the data space into mutually exclusive regions – or “branches” – which get smaller as the process moves forward.</w:t>
      </w:r>
      <w:r w:rsidR="00166CC9">
        <w:rPr>
          <w:rStyle w:val="FootnoteReference"/>
        </w:rPr>
        <w:footnoteReference w:id="5"/>
      </w:r>
      <w:r>
        <w:t xml:space="preserve"> Each branch originates from a “node” of the tree, which is a logical test on an input variable. As the method moves down each branch, the models are constructed by fitting a simple linear prediction model to each of the partitions of the data space. Typically, regression tree modelers then use the root mean squared error (RMSE) or mean absolute error (MAE) as prediction error metrics.</w:t>
      </w:r>
      <w:r w:rsidR="00166CC9">
        <w:rPr>
          <w:rStyle w:val="FootnoteReference"/>
        </w:rPr>
        <w:footnoteReference w:id="6"/>
      </w:r>
      <w:r>
        <w:t xml:space="preserve"> This iterative partitioning technique allows to represent the result graphically as a decision tree, thus making the results easy to interpret.</w:t>
      </w:r>
    </w:p>
    <w:p w14:paraId="2290904E" w14:textId="430D0FA7" w:rsidR="004278BF" w:rsidRDefault="004278BF" w:rsidP="006C58AE">
      <w:r>
        <w:t>The most complete set of</w:t>
      </w:r>
      <w:r w:rsidR="00533667">
        <w:t xml:space="preserve"> EIA-878</w:t>
      </w:r>
      <w:r>
        <w:t xml:space="preserve"> weekly data was identified for each regression tree by </w:t>
      </w:r>
      <w:r w:rsidR="007C3E55">
        <w:t>selecting</w:t>
      </w:r>
      <w:r>
        <w:t xml:space="preserve"> the week with the least missing values of midgrade and premium gasoline prices, respectively. The data from the week of March 20, 2017 was identified as having the fewest </w:t>
      </w:r>
      <w:r w:rsidR="009F3147">
        <w:t xml:space="preserve">missing observations </w:t>
      </w:r>
      <w:r>
        <w:t xml:space="preserve">(32 missing values </w:t>
      </w:r>
      <w:r w:rsidR="004D0582">
        <w:t>for premium gasoline prices and 44 missing values for midgrade gasoline prices</w:t>
      </w:r>
      <w:r>
        <w:t xml:space="preserve">). In each instance, data points with missing values </w:t>
      </w:r>
      <w:r w:rsidR="00233524">
        <w:t xml:space="preserve">for </w:t>
      </w:r>
      <w:r>
        <w:t xml:space="preserve">either midgrade gasoline prices </w:t>
      </w:r>
      <w:r w:rsidR="00454FF2">
        <w:t xml:space="preserve">or </w:t>
      </w:r>
      <w:r>
        <w:t>premium gasoline prices, depending on the model, were excluded</w:t>
      </w:r>
      <w:r w:rsidR="00275F33">
        <w:t>, so that a complete set of outcomes could be leveraged by the regression tree to identify useful relationships.</w:t>
      </w:r>
      <w:r w:rsidR="001B7A2E">
        <w:t xml:space="preserve"> The process to obtain the best regression trees for both the midgrade and the premium motor gasoline data was similar and the procedure will be described mostly for premium gasoline, with key differences to midgrade gasoline </w:t>
      </w:r>
      <w:r w:rsidR="007C3E55">
        <w:t>highlighted</w:t>
      </w:r>
      <w:r w:rsidR="001B7A2E">
        <w:t xml:space="preserve"> when necessary.</w:t>
      </w:r>
    </w:p>
    <w:p w14:paraId="48ABA428" w14:textId="15DF8460" w:rsidR="007C3E55" w:rsidRDefault="001B7A2E" w:rsidP="006C58AE">
      <w:r>
        <w:t>Initially the data set was divided into training and test set</w:t>
      </w:r>
      <w:r w:rsidR="000D430E">
        <w:t>s</w:t>
      </w:r>
      <w:r>
        <w:t xml:space="preserve"> using random assignment</w:t>
      </w:r>
      <w:r w:rsidR="007C3E55">
        <w:t>.</w:t>
      </w:r>
      <w:r>
        <w:t xml:space="preserve"> The regression tree was subsequently utilized to select variables of interest from the training data set and then applied to the test data set to determine similarities and differences in variables selected. </w:t>
      </w:r>
      <w:r w:rsidR="007C3E55">
        <w:t>Variables used in the construction of the regression tree from the training set included ‘median household income,’ ‘percent of population in labor force,’ ‘number of registered vehicles,’ ‘price of regular motor gasoline,’ and ‘vehicle miles traveled.’  The variables included in the regression tree from the test data set included ‘median household income,’ ‘percent of population in labor force,’ ‘price of regular motor gasoline,’ and ‘population estimate’ and did not include ‘number of registered vehicles’ or ‘vehicle miles traveled.’</w:t>
      </w:r>
    </w:p>
    <w:p w14:paraId="47D40831" w14:textId="73752696" w:rsidR="00FC2A4C" w:rsidRDefault="001B7A2E" w:rsidP="006C58AE">
      <w:r>
        <w:t>Following this initial assessment the regression tree was applied to the full data set</w:t>
      </w:r>
      <w:r w:rsidR="00827AB6">
        <w:t xml:space="preserve"> from March 20, 2017</w:t>
      </w:r>
      <w:r>
        <w:t xml:space="preserve"> (without missing price values, as described earlier) and reviewed to identify the </w:t>
      </w:r>
      <w:r w:rsidR="00FC2A4C">
        <w:t>smallest</w:t>
      </w:r>
      <w:r>
        <w:t xml:space="preserve"> complexity parameter</w:t>
      </w:r>
      <w:r w:rsidR="00FC2A4C">
        <w:t xml:space="preserve"> (CP). The ‘best’ CP was included in the procedure to </w:t>
      </w:r>
      <w:r>
        <w:t>produce a ‘prune</w:t>
      </w:r>
      <w:r w:rsidR="00FC2A4C">
        <w:t>d’ tree with the number of variables limited by the ability of the ‘best’ CP to increase the overall R</w:t>
      </w:r>
      <w:r w:rsidR="00FC2A4C">
        <w:rPr>
          <w:vertAlign w:val="superscript"/>
        </w:rPr>
        <w:t>2</w:t>
      </w:r>
      <w:r w:rsidR="00FC2A4C">
        <w:t xml:space="preserve"> value of the model</w:t>
      </w:r>
      <w:r>
        <w:t xml:space="preserve">. </w:t>
      </w:r>
      <w:r w:rsidR="00FC2A4C">
        <w:t>The variables identified by the regression tree procedure utilizing the ‘best’ CP included ‘median household income,’ ‘percent of population in labor force,’ ‘population estimate,’ ‘number of registered vehicles,’ ‘price of regular motor gasoline,’ and ‘vehicle miles traveled’ in both midgrade and premium gasoline models</w:t>
      </w:r>
      <w:r w:rsidR="0040134A">
        <w:t xml:space="preserve"> and pruning the trees reduced the values of their RMSE (0.08 and 0.12 for midgrade and premium, respectively)</w:t>
      </w:r>
      <w:r w:rsidR="00FC2A4C">
        <w:t>.</w:t>
      </w:r>
      <w:r w:rsidR="000A39F0">
        <w:t xml:space="preserve"> Other variables included in the pruned tree were indicator variables marking observations belonging to specific </w:t>
      </w:r>
      <w:r w:rsidR="0046040A">
        <w:t xml:space="preserve">PADDs or </w:t>
      </w:r>
      <w:r w:rsidR="000A39F0">
        <w:t>states and these differed depending on the weekly feed from which the data were obtained.</w:t>
      </w:r>
      <w:r w:rsidR="00FC2A4C">
        <w:t xml:space="preserve"> </w:t>
      </w:r>
      <w:r w:rsidR="0040134A">
        <w:t>The cumulative R</w:t>
      </w:r>
      <w:r w:rsidR="0040134A">
        <w:rPr>
          <w:vertAlign w:val="superscript"/>
        </w:rPr>
        <w:t>2</w:t>
      </w:r>
      <w:r w:rsidR="0040134A">
        <w:t xml:space="preserve"> values for the midgrade and premium gasoline models were 0.85 and 0.81, respectively. Graphs of the residuals from both tree models are included in the Appendix </w:t>
      </w:r>
      <w:r w:rsidR="00A2187C">
        <w:t>Figures A.</w:t>
      </w:r>
      <w:r w:rsidR="00AB78F3">
        <w:t>9</w:t>
      </w:r>
      <w:r w:rsidR="00A2187C">
        <w:t xml:space="preserve"> and A.</w:t>
      </w:r>
      <w:r w:rsidR="00AB78F3">
        <w:t>10</w:t>
      </w:r>
      <w:r w:rsidR="0040134A">
        <w:t>.</w:t>
      </w:r>
      <w:r w:rsidR="000A39F0">
        <w:t xml:space="preserve"> The two figures below depict the final pruned trees.</w:t>
      </w:r>
    </w:p>
    <w:p w14:paraId="1382ABBC" w14:textId="4DFB7DC5" w:rsidR="003871B1" w:rsidRDefault="003871B1" w:rsidP="006C58AE"/>
    <w:p w14:paraId="0B4B0242" w14:textId="77777777" w:rsidR="003871B1" w:rsidRDefault="003871B1" w:rsidP="006C58AE"/>
    <w:p w14:paraId="3106CBD0" w14:textId="77777777" w:rsidR="003871B1" w:rsidRDefault="003871B1" w:rsidP="006C58AE"/>
    <w:p w14:paraId="723DA143" w14:textId="77777777" w:rsidR="003B09B3" w:rsidRDefault="003B09B3" w:rsidP="006C58AE"/>
    <w:p w14:paraId="41607290" w14:textId="77777777" w:rsidR="003B09B3" w:rsidRDefault="003B09B3" w:rsidP="006C58AE"/>
    <w:p w14:paraId="2C17D575" w14:textId="77777777" w:rsidR="003B09B3" w:rsidRDefault="003B09B3" w:rsidP="006C58AE"/>
    <w:p w14:paraId="2964A67F" w14:textId="77777777" w:rsidR="003B09B3" w:rsidRDefault="003B09B3" w:rsidP="006C58AE"/>
    <w:p w14:paraId="15542A6F" w14:textId="77777777" w:rsidR="003B09B3" w:rsidRDefault="003B09B3" w:rsidP="006C58AE"/>
    <w:p w14:paraId="58ECA510" w14:textId="77777777" w:rsidR="003B09B3" w:rsidRDefault="003B09B3" w:rsidP="006C58AE"/>
    <w:p w14:paraId="09852E42" w14:textId="77777777" w:rsidR="003B09B3" w:rsidRDefault="003B09B3" w:rsidP="006C58AE"/>
    <w:p w14:paraId="554C4C7A" w14:textId="77777777" w:rsidR="003B09B3" w:rsidRDefault="003B09B3" w:rsidP="006C58AE"/>
    <w:p w14:paraId="6B1ECE7E" w14:textId="77777777" w:rsidR="003B09B3" w:rsidRDefault="003B09B3" w:rsidP="006C58AE"/>
    <w:p w14:paraId="1D1358A8" w14:textId="6433391F" w:rsidR="000A39F0" w:rsidRPr="0096620E" w:rsidRDefault="000A39F0" w:rsidP="006C58AE">
      <w:pPr>
        <w:rPr>
          <w:b/>
          <w:bCs/>
          <w:color w:val="1396D8"/>
        </w:rPr>
      </w:pPr>
      <w:r w:rsidRPr="0096620E">
        <w:rPr>
          <w:b/>
          <w:bCs/>
          <w:color w:val="1396D8"/>
        </w:rPr>
        <w:t>Figure</w:t>
      </w:r>
      <w:r w:rsidR="003871B1" w:rsidRPr="0096620E">
        <w:rPr>
          <w:b/>
          <w:bCs/>
          <w:color w:val="1396D8"/>
        </w:rPr>
        <w:t xml:space="preserve"> 1</w:t>
      </w:r>
      <w:r w:rsidR="002452E9" w:rsidRPr="0096620E">
        <w:rPr>
          <w:b/>
          <w:bCs/>
          <w:color w:val="1396D8"/>
        </w:rPr>
        <w:t>9</w:t>
      </w:r>
      <w:r w:rsidR="003871B1" w:rsidRPr="0096620E">
        <w:rPr>
          <w:b/>
          <w:bCs/>
          <w:color w:val="1396D8"/>
        </w:rPr>
        <w:t>. Depiction of the pruned tree, based on inclusion of the ‘best’ CP value</w:t>
      </w:r>
      <w:r w:rsidRPr="0096620E">
        <w:rPr>
          <w:b/>
          <w:bCs/>
          <w:color w:val="1396D8"/>
        </w:rPr>
        <w:t xml:space="preserve"> </w:t>
      </w:r>
      <w:r w:rsidR="003871B1" w:rsidRPr="0096620E">
        <w:rPr>
          <w:b/>
          <w:bCs/>
          <w:color w:val="1396D8"/>
        </w:rPr>
        <w:t xml:space="preserve">in the model, for </w:t>
      </w:r>
      <w:r w:rsidR="000773A6" w:rsidRPr="0096620E">
        <w:rPr>
          <w:b/>
          <w:bCs/>
          <w:color w:val="1396D8"/>
        </w:rPr>
        <w:t>midgrade</w:t>
      </w:r>
      <w:r w:rsidR="003871B1" w:rsidRPr="0096620E">
        <w:rPr>
          <w:b/>
          <w:bCs/>
          <w:color w:val="1396D8"/>
        </w:rPr>
        <w:t xml:space="preserve"> motor gasoline prices</w:t>
      </w:r>
      <w:r w:rsidRPr="0096620E">
        <w:rPr>
          <w:b/>
          <w:bCs/>
          <w:color w:val="1396D8"/>
        </w:rPr>
        <w:t>.</w:t>
      </w:r>
    </w:p>
    <w:p w14:paraId="7E03BA85" w14:textId="71AE9302" w:rsidR="000A39F0" w:rsidRDefault="000773A6" w:rsidP="006C58AE">
      <w:r>
        <w:rPr>
          <w:noProof/>
        </w:rPr>
        <w:drawing>
          <wp:inline distT="0" distB="0" distL="0" distR="0" wp14:anchorId="306872CD" wp14:editId="7BD0BD44">
            <wp:extent cx="5605153" cy="7253763"/>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ee_Midgrad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06148" cy="7255050"/>
                    </a:xfrm>
                    <a:prstGeom prst="rect">
                      <a:avLst/>
                    </a:prstGeom>
                  </pic:spPr>
                </pic:pic>
              </a:graphicData>
            </a:graphic>
          </wp:inline>
        </w:drawing>
      </w:r>
    </w:p>
    <w:p w14:paraId="4D31953B" w14:textId="77777777" w:rsidR="000A39F0" w:rsidRDefault="000A39F0" w:rsidP="006C58AE"/>
    <w:p w14:paraId="61B2ACAF" w14:textId="0F5306F2" w:rsidR="003871B1" w:rsidRPr="0096620E" w:rsidRDefault="003871B1" w:rsidP="003871B1">
      <w:pPr>
        <w:rPr>
          <w:b/>
          <w:bCs/>
          <w:color w:val="1396D8"/>
        </w:rPr>
      </w:pPr>
      <w:r w:rsidRPr="0096620E">
        <w:rPr>
          <w:b/>
          <w:bCs/>
          <w:color w:val="1396D8"/>
        </w:rPr>
        <w:t xml:space="preserve">Figure </w:t>
      </w:r>
      <w:r w:rsidR="002452E9" w:rsidRPr="0096620E">
        <w:rPr>
          <w:b/>
          <w:bCs/>
          <w:color w:val="1396D8"/>
        </w:rPr>
        <w:t>20</w:t>
      </w:r>
      <w:r w:rsidRPr="0096620E">
        <w:rPr>
          <w:b/>
          <w:bCs/>
          <w:color w:val="1396D8"/>
        </w:rPr>
        <w:t>. Depiction of the pruned tree, based on inclusion of the ‘best’ CP value in the model, for premium motor gasoline prices.</w:t>
      </w:r>
    </w:p>
    <w:p w14:paraId="63412383" w14:textId="210AB979" w:rsidR="000773A6" w:rsidRDefault="000773A6" w:rsidP="001666E9">
      <w:r>
        <w:rPr>
          <w:noProof/>
        </w:rPr>
        <w:drawing>
          <wp:inline distT="0" distB="0" distL="0" distR="0" wp14:anchorId="676BEC61" wp14:editId="016874A2">
            <wp:extent cx="5597569" cy="7243948"/>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ee_Premiu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98183" cy="7244742"/>
                    </a:xfrm>
                    <a:prstGeom prst="rect">
                      <a:avLst/>
                    </a:prstGeom>
                  </pic:spPr>
                </pic:pic>
              </a:graphicData>
            </a:graphic>
          </wp:inline>
        </w:drawing>
      </w:r>
    </w:p>
    <w:p w14:paraId="081DBCFB" w14:textId="77777777" w:rsidR="000773A6" w:rsidRDefault="000773A6" w:rsidP="001666E9"/>
    <w:p w14:paraId="1B3E51B6" w14:textId="12C84904" w:rsidR="001B7A2E" w:rsidRDefault="007866A8" w:rsidP="001666E9">
      <w:r>
        <w:t>The primary purpose for the regression tree procedures was to identify variables with the most utility in predicting midgrade and premium gasoline prices at the station level</w:t>
      </w:r>
      <w:r w:rsidR="00FE5868">
        <w:t>,</w:t>
      </w:r>
      <w:r>
        <w:t xml:space="preserve"> and th</w:t>
      </w:r>
      <w:r w:rsidR="00FE5868">
        <w:t>e</w:t>
      </w:r>
      <w:r>
        <w:t>s</w:t>
      </w:r>
      <w:r w:rsidR="00FE5868">
        <w:t>e</w:t>
      </w:r>
      <w:r>
        <w:t xml:space="preserve"> </w:t>
      </w:r>
      <w:r w:rsidR="00FE5868">
        <w:t>observations were</w:t>
      </w:r>
      <w:r>
        <w:t xml:space="preserve"> tested by including the variables identified by the regression trees in linear regression models for both midgrade and premium motor gasoline prices. </w:t>
      </w:r>
      <w:r w:rsidR="009F5138">
        <w:t>A number of the variables were found to be significant for predicting either midgrade or premium motor gasoline prices; however, these</w:t>
      </w:r>
      <w:r w:rsidR="009F3147">
        <w:t xml:space="preserve"> variables</w:t>
      </w:r>
      <w:r w:rsidR="009F5138">
        <w:t xml:space="preserve"> were not all consistently present in models for different weeks. </w:t>
      </w:r>
    </w:p>
    <w:p w14:paraId="2110CEFC" w14:textId="34F25D72" w:rsidR="009F5138" w:rsidRDefault="009F5138" w:rsidP="001666E9">
      <w:r>
        <w:t>It seems that indicator variables marking presence of observations in different states or PADDs were oftentimes more significant than continuous variables selected by the regression tree at the earlier nodes (for example, number of registered vehicles); however, excluding these indicator variables consistently elevated the significance of the other variables in the linear models for any of the weeks considered.</w:t>
      </w:r>
    </w:p>
    <w:p w14:paraId="004367D1" w14:textId="663CAD5B" w:rsidR="009F5138" w:rsidRDefault="009F5138" w:rsidP="001666E9">
      <w:r>
        <w:t xml:space="preserve">It is important to note that the linear models signify the first step in the process of using additional, external data sources to more accurately predict the prices of midgrade and premium gasoline. This report does not </w:t>
      </w:r>
      <w:r w:rsidR="00FE5868">
        <w:t>attempt</w:t>
      </w:r>
      <w:r>
        <w:t xml:space="preserve"> to suggest that these models are the most accurate; it only seeks to point out a wealth of additional</w:t>
      </w:r>
      <w:r w:rsidR="00FE5868">
        <w:t>,</w:t>
      </w:r>
      <w:r>
        <w:t xml:space="preserve"> external data that </w:t>
      </w:r>
      <w:r w:rsidR="00FE5868">
        <w:t>could</w:t>
      </w:r>
      <w:r>
        <w:t xml:space="preserve"> be utilized to predict these prices and which has not been utilized prior to this undertaking. Future research in this area should return to the regression tree models and more closely examine the relationships being identified for all of the weeks of price data that has been made available by OPIS. One possible approach may be to </w:t>
      </w:r>
      <w:r w:rsidR="00316286">
        <w:t>limit the regression trees to a certain number of nodes that would select variables consistently for the different weeks of price data and subsequently use these in future models to predict midgrade and premium gasoline prices. The analysis in this section demonstrates a successful first step to moving beyond existing methodology and leveraging the relationships between prices and a variety of variables available from external data sources that have not been considered prior to this undertaking.</w:t>
      </w:r>
    </w:p>
    <w:p w14:paraId="7FD9CF9C" w14:textId="12EAF1F5" w:rsidR="000806A8" w:rsidRDefault="000806A8" w:rsidP="001666E9"/>
    <w:p w14:paraId="1687A540" w14:textId="77777777" w:rsidR="00275F33" w:rsidRDefault="00275F33" w:rsidP="001666E9"/>
    <w:p w14:paraId="4F169318" w14:textId="77777777" w:rsidR="004278BF" w:rsidRDefault="004278BF" w:rsidP="001666E9"/>
    <w:p w14:paraId="259971E0" w14:textId="77777777" w:rsidR="004278BF" w:rsidRPr="005F1A78" w:rsidRDefault="004278BF" w:rsidP="001666E9"/>
    <w:p w14:paraId="5EA7D499" w14:textId="77777777" w:rsidR="008F6837" w:rsidRDefault="008F6837" w:rsidP="008F6837"/>
    <w:p w14:paraId="59328B2E" w14:textId="77777777" w:rsidR="000E683D" w:rsidRPr="0051180F" w:rsidRDefault="000E683D" w:rsidP="00B96A33"/>
    <w:p w14:paraId="03125143" w14:textId="77777777" w:rsidR="00F1549B" w:rsidRPr="0051180F" w:rsidRDefault="00F1549B" w:rsidP="00B96A33">
      <w:pPr>
        <w:rPr>
          <w:rFonts w:asciiTheme="majorHAnsi" w:eastAsiaTheme="majorEastAsia" w:hAnsiTheme="majorHAnsi" w:cstheme="majorBidi"/>
          <w:b/>
          <w:bCs/>
          <w:color w:val="1396D8"/>
          <w:sz w:val="32"/>
          <w:szCs w:val="28"/>
        </w:rPr>
      </w:pPr>
      <w:r w:rsidRPr="0051180F">
        <w:br w:type="page"/>
      </w:r>
    </w:p>
    <w:p w14:paraId="70C419E1" w14:textId="1DCECD56" w:rsidR="000E683D" w:rsidRPr="0051180F" w:rsidRDefault="00B256CD" w:rsidP="007832EC">
      <w:pPr>
        <w:pStyle w:val="Heading1"/>
      </w:pPr>
      <w:bookmarkStart w:id="33" w:name="_Toc497202534"/>
      <w:r w:rsidRPr="0051180F">
        <w:t>Discussion</w:t>
      </w:r>
      <w:r w:rsidR="004605C9">
        <w:t xml:space="preserve"> and Recommendations</w:t>
      </w:r>
      <w:bookmarkEnd w:id="33"/>
    </w:p>
    <w:p w14:paraId="2E21C2D4" w14:textId="77777777" w:rsidR="00BB269B" w:rsidRPr="0051180F" w:rsidRDefault="00BB269B" w:rsidP="007F001B">
      <w:pPr>
        <w:spacing w:after="0" w:line="240" w:lineRule="auto"/>
      </w:pPr>
    </w:p>
    <w:p w14:paraId="71D9B50B" w14:textId="4738AA3C" w:rsidR="009029E5" w:rsidRDefault="009029E5" w:rsidP="009029E5">
      <w:pPr>
        <w:pStyle w:val="Heading2"/>
      </w:pPr>
      <w:bookmarkStart w:id="34" w:name="_Toc497202535"/>
      <w:r>
        <w:t xml:space="preserve">Data </w:t>
      </w:r>
      <w:r w:rsidR="00114932">
        <w:t>q</w:t>
      </w:r>
      <w:r>
        <w:t xml:space="preserve">uality of </w:t>
      </w:r>
      <w:r w:rsidR="00114932">
        <w:t>t</w:t>
      </w:r>
      <w:r>
        <w:t>hird-</w:t>
      </w:r>
      <w:r w:rsidR="00114932">
        <w:t>p</w:t>
      </w:r>
      <w:r>
        <w:t xml:space="preserve">arty </w:t>
      </w:r>
      <w:r w:rsidR="00114932">
        <w:t>s</w:t>
      </w:r>
      <w:r>
        <w:t>ources and</w:t>
      </w:r>
      <w:r w:rsidR="00114932">
        <w:t xml:space="preserve"> i</w:t>
      </w:r>
      <w:r w:rsidRPr="0051180F">
        <w:t xml:space="preserve">ncorporation </w:t>
      </w:r>
      <w:r>
        <w:t>into EIA-878</w:t>
      </w:r>
      <w:bookmarkEnd w:id="34"/>
    </w:p>
    <w:p w14:paraId="4803683F" w14:textId="77777777" w:rsidR="009029E5" w:rsidRDefault="009029E5" w:rsidP="009029E5">
      <w:pPr>
        <w:spacing w:after="0" w:line="240" w:lineRule="auto"/>
        <w:rPr>
          <w:highlight w:val="yellow"/>
        </w:rPr>
      </w:pPr>
    </w:p>
    <w:p w14:paraId="45C31F77" w14:textId="2AA10A06" w:rsidR="009029E5" w:rsidRPr="00003668" w:rsidRDefault="009029E5" w:rsidP="009029E5">
      <w:pPr>
        <w:spacing w:after="0" w:line="240" w:lineRule="auto"/>
      </w:pPr>
      <w:r>
        <w:t>Statistical</w:t>
      </w:r>
      <w:r w:rsidRPr="00003668">
        <w:t xml:space="preserve"> agencies </w:t>
      </w:r>
      <w:r>
        <w:t xml:space="preserve">across the federal government </w:t>
      </w:r>
      <w:r w:rsidRPr="00003668">
        <w:t xml:space="preserve">have a strong interest and directed effort to investigate the use of alternative and blended data. </w:t>
      </w:r>
      <w:r>
        <w:t xml:space="preserve">This report documents one potential application of combining commercial data from OPIS and GasBuddy with traditional survey-based methods used on the EIA-878. Below, key findings and recommendations </w:t>
      </w:r>
      <w:r w:rsidR="00FE5868">
        <w:t xml:space="preserve">are presented </w:t>
      </w:r>
      <w:r>
        <w:t xml:space="preserve">from this analysis. </w:t>
      </w:r>
      <w:r w:rsidR="00FE5868">
        <w:t>The findings and recommendations</w:t>
      </w:r>
      <w:r>
        <w:t xml:space="preserve"> conclude with suggestions</w:t>
      </w:r>
      <w:r w:rsidRPr="00003668">
        <w:t xml:space="preserve"> </w:t>
      </w:r>
      <w:r>
        <w:t xml:space="preserve">for </w:t>
      </w:r>
      <w:r w:rsidRPr="00003668">
        <w:t xml:space="preserve">future research efforts to enhance EIA’s data collection and publication efforts. </w:t>
      </w:r>
    </w:p>
    <w:p w14:paraId="7659E453" w14:textId="77777777" w:rsidR="009029E5" w:rsidRPr="00BD2361" w:rsidRDefault="009029E5" w:rsidP="001666E9">
      <w:pPr>
        <w:pStyle w:val="Heading3"/>
      </w:pPr>
      <w:bookmarkStart w:id="35" w:name="_Toc497202536"/>
      <w:r w:rsidRPr="00003668">
        <w:t>Assessment of data quality in commercial data</w:t>
      </w:r>
      <w:bookmarkEnd w:id="35"/>
    </w:p>
    <w:p w14:paraId="71992BB3" w14:textId="14E09FAC" w:rsidR="009029E5" w:rsidRPr="00154B57" w:rsidRDefault="009029E5" w:rsidP="009029E5">
      <w:r>
        <w:t xml:space="preserve">SDSI assessed OPIS and GasBuddy on a number of indicators of data quality. Both OPIS and GasBuddy exhibited high </w:t>
      </w:r>
      <w:r w:rsidRPr="00154B57">
        <w:t xml:space="preserve">levels of coverage </w:t>
      </w:r>
      <w:r w:rsidR="00233524">
        <w:t xml:space="preserve">compared </w:t>
      </w:r>
      <w:r w:rsidRPr="00154B57">
        <w:t xml:space="preserve">with the current EIA-878 sample. OPIS price feeds </w:t>
      </w:r>
      <w:r>
        <w:t xml:space="preserve">were internally consistent in terms of both station information and prices, as well as highly correlated with </w:t>
      </w:r>
      <w:r w:rsidRPr="00154B57">
        <w:t xml:space="preserve">GasBuddy prices. Analysis </w:t>
      </w:r>
      <w:r>
        <w:t>also s</w:t>
      </w:r>
      <w:r w:rsidRPr="00154B57">
        <w:t>uggests an added value of purchasing data from OPIS rather than obtaining GasBu</w:t>
      </w:r>
      <w:r>
        <w:t xml:space="preserve">ddy prices via web based methods in terms of item missing data. </w:t>
      </w:r>
    </w:p>
    <w:p w14:paraId="1C2E736E" w14:textId="4FBF56E1" w:rsidR="009029E5" w:rsidRDefault="009029E5" w:rsidP="009029E5">
      <w:r w:rsidRPr="00154B57">
        <w:t xml:space="preserve">Neither </w:t>
      </w:r>
      <w:r>
        <w:t>third-party data source supplied</w:t>
      </w:r>
      <w:r w:rsidRPr="00154B57">
        <w:t xml:space="preserve"> information to explain item or unit nonresponse, such as availability of midgrade/premium gasoline</w:t>
      </w:r>
      <w:r w:rsidR="0083661A">
        <w:t xml:space="preserve"> or </w:t>
      </w:r>
      <w:r w:rsidRPr="00154B57">
        <w:t>temporary or permanent station closure</w:t>
      </w:r>
      <w:r>
        <w:t>s</w:t>
      </w:r>
      <w:r w:rsidR="0083661A">
        <w:t>. GasBuddy does collect information on power outages or lack of supply, but only extreme circumstances.</w:t>
      </w:r>
      <w:r w:rsidR="0083661A">
        <w:rPr>
          <w:rStyle w:val="FootnoteReference"/>
        </w:rPr>
        <w:footnoteReference w:id="7"/>
      </w:r>
      <w:r w:rsidR="0083661A">
        <w:t xml:space="preserve"> </w:t>
      </w:r>
      <w:r>
        <w:t xml:space="preserve">Third-party sources also did not provide transparent information on data collection, processing, and validation. </w:t>
      </w:r>
    </w:p>
    <w:p w14:paraId="3D0F111D" w14:textId="28137E0F" w:rsidR="009029E5" w:rsidRDefault="009029E5" w:rsidP="001666E9">
      <w:pPr>
        <w:pStyle w:val="Heading3"/>
      </w:pPr>
      <w:bookmarkStart w:id="36" w:name="_Toc497202537"/>
      <w:r w:rsidRPr="00C3411A">
        <w:t xml:space="preserve">Comparability of </w:t>
      </w:r>
      <w:r>
        <w:t>e</w:t>
      </w:r>
      <w:r w:rsidRPr="00C3411A">
        <w:t>stimates</w:t>
      </w:r>
      <w:bookmarkEnd w:id="36"/>
      <w:r>
        <w:t xml:space="preserve"> </w:t>
      </w:r>
    </w:p>
    <w:p w14:paraId="06104A53" w14:textId="1E737723" w:rsidR="009029E5" w:rsidRDefault="009029E5" w:rsidP="009029E5">
      <w:r>
        <w:t xml:space="preserve">OPIS, GasBuddy, and EIA differed on a number of key issues that affected measurement, including price definition, data collection mode, and reference period for the prices. Despite these differences, </w:t>
      </w:r>
      <w:r w:rsidRPr="009F4B33">
        <w:t xml:space="preserve">EIA and OPIS regular gasoline prices </w:t>
      </w:r>
      <w:r w:rsidR="00FB63AA">
        <w:t>were within 5</w:t>
      </w:r>
      <w:r w:rsidR="00FB63AA" w:rsidRPr="00741A3F">
        <w:t>¢</w:t>
      </w:r>
      <w:r w:rsidR="00FB63AA">
        <w:t xml:space="preserve"> for almost half of the EIA-878 sample (45%). Prices </w:t>
      </w:r>
      <w:r w:rsidRPr="009F4B33">
        <w:t>matched exactly for 22% of EIA-878 stations</w:t>
      </w:r>
      <w:r>
        <w:t xml:space="preserve"> over the 12 week study period</w:t>
      </w:r>
      <w:r w:rsidR="007D78CE">
        <w:t xml:space="preserve"> for regular grade gasoline</w:t>
      </w:r>
      <w:r>
        <w:t xml:space="preserve">. Correlations between EIA and third-party data were also very strong, particularly for regular gasoline prices. </w:t>
      </w:r>
    </w:p>
    <w:p w14:paraId="39FFFBE3" w14:textId="63E7992F" w:rsidR="009029E5" w:rsidRDefault="009029E5" w:rsidP="009029E5">
      <w:r>
        <w:t xml:space="preserve">When comparisons </w:t>
      </w:r>
      <w:r w:rsidR="00C45B87">
        <w:t xml:space="preserve">are limited </w:t>
      </w:r>
      <w:r>
        <w:t>to stations reporting across both EIA-878 and OPIS, national and PADD level estimates were within 1</w:t>
      </w:r>
      <w:r w:rsidRPr="00741A3F">
        <w:t>¢</w:t>
      </w:r>
      <w:r>
        <w:t xml:space="preserve"> and 4</w:t>
      </w:r>
      <w:r w:rsidRPr="00741A3F">
        <w:t>¢</w:t>
      </w:r>
      <w:r w:rsidR="007701FC">
        <w:t xml:space="preserve"> cents</w:t>
      </w:r>
      <w:r w:rsidR="00767FE5">
        <w:t>, respectively,</w:t>
      </w:r>
      <w:r w:rsidR="007701FC">
        <w:t xml:space="preserve"> across all grades</w:t>
      </w:r>
      <w:r>
        <w:t xml:space="preserve"> over the 12 week study period. OPIS prices were generally higher at the national and PADD level, likely due to the utilization of credit prices rather than cash prices. City and state-level estimates exhibited larger differences, however, this is likely due to small sample sizes within the publication cells. </w:t>
      </w:r>
    </w:p>
    <w:p w14:paraId="2C6F13F9" w14:textId="0D03134A" w:rsidR="009029E5" w:rsidRDefault="009029E5" w:rsidP="009029E5">
      <w:pPr>
        <w:pStyle w:val="Heading2"/>
      </w:pPr>
      <w:bookmarkStart w:id="37" w:name="_Toc497202538"/>
      <w:r w:rsidRPr="0051180F">
        <w:t xml:space="preserve">Modeling </w:t>
      </w:r>
      <w:r w:rsidR="00114932">
        <w:t>m</w:t>
      </w:r>
      <w:r w:rsidRPr="0051180F">
        <w:t xml:space="preserve">idgrade and </w:t>
      </w:r>
      <w:r w:rsidR="00114932">
        <w:t>p</w:t>
      </w:r>
      <w:r w:rsidRPr="0051180F">
        <w:t>remium</w:t>
      </w:r>
      <w:r>
        <w:t xml:space="preserve"> </w:t>
      </w:r>
      <w:r w:rsidR="00114932">
        <w:t>p</w:t>
      </w:r>
      <w:r>
        <w:t xml:space="preserve">rices from </w:t>
      </w:r>
      <w:r w:rsidR="00114932">
        <w:t>r</w:t>
      </w:r>
      <w:r>
        <w:t xml:space="preserve">egular </w:t>
      </w:r>
      <w:r w:rsidR="00114932">
        <w:t>p</w:t>
      </w:r>
      <w:r>
        <w:t>rices</w:t>
      </w:r>
      <w:bookmarkEnd w:id="37"/>
    </w:p>
    <w:p w14:paraId="7F856562" w14:textId="565C7C91" w:rsidR="009029E5" w:rsidRDefault="009029E5" w:rsidP="009029E5">
      <w:r>
        <w:t xml:space="preserve">Previous research indicated a high level of correlation between regular, midgrade, and premium gasoline prices. In this report, SDSI designed and executed several approaches to leverage this relationship and examine the feasibility of predicting midgrade and premium prices using regular gasoline price data. </w:t>
      </w:r>
    </w:p>
    <w:p w14:paraId="3B8F502C" w14:textId="235A1189" w:rsidR="009029E5" w:rsidRDefault="009029E5" w:rsidP="009029E5">
      <w:r>
        <w:t xml:space="preserve">Using aggregate data from 2013 </w:t>
      </w:r>
      <w:r w:rsidR="00523363">
        <w:t>to</w:t>
      </w:r>
      <w:r>
        <w:t xml:space="preserve"> 2017, </w:t>
      </w:r>
      <w:r>
        <w:rPr>
          <w:rFonts w:cs="Times New Roman"/>
        </w:rPr>
        <w:t>EIA</w:t>
      </w:r>
      <w:r w:rsidR="00F43276">
        <w:rPr>
          <w:rFonts w:cs="Times New Roman"/>
        </w:rPr>
        <w:t>-878</w:t>
      </w:r>
      <w:r>
        <w:rPr>
          <w:rFonts w:cs="Times New Roman"/>
        </w:rPr>
        <w:t>-based models had lower error measures than AAA data-based models. In some selected cities and states, EIA</w:t>
      </w:r>
      <w:r w:rsidR="00F43276">
        <w:rPr>
          <w:rFonts w:cs="Times New Roman"/>
        </w:rPr>
        <w:t>-878</w:t>
      </w:r>
      <w:r>
        <w:rPr>
          <w:rFonts w:cs="Times New Roman"/>
        </w:rPr>
        <w:t xml:space="preserve">-based models had a moderate or high level of error measurement, indicating these models should be only used if their potential prediction errors remain below EIA’s desired threshold. </w:t>
      </w:r>
      <w:r>
        <w:t>Even though using a mixture of EIA regular prices and AAA midgrade and premium prices is one possibility in the future, the accuracy of the estimates for some publication cells might not reach desired level.</w:t>
      </w:r>
    </w:p>
    <w:p w14:paraId="04036D4C" w14:textId="515F8817" w:rsidR="009029E5" w:rsidRDefault="009029E5" w:rsidP="009029E5">
      <w:pPr>
        <w:rPr>
          <w:rFonts w:cs="Times New Roman"/>
        </w:rPr>
      </w:pPr>
      <w:r w:rsidRPr="001666E9">
        <w:rPr>
          <w:rFonts w:cs="Times New Roman"/>
        </w:rPr>
        <w:t xml:space="preserve"> </w:t>
      </w:r>
      <w:r>
        <w:rPr>
          <w:rFonts w:cs="Times New Roman"/>
        </w:rPr>
        <w:t xml:space="preserve">SDSI </w:t>
      </w:r>
      <w:r w:rsidR="008763C8">
        <w:rPr>
          <w:rFonts w:cs="Times New Roman"/>
        </w:rPr>
        <w:t xml:space="preserve">utilized </w:t>
      </w:r>
      <w:r>
        <w:rPr>
          <w:rFonts w:cs="Times New Roman"/>
        </w:rPr>
        <w:t xml:space="preserve">regression tree models, a novel approach for attempting to predict midgrade and premium motor gasoline prices, in an effort to advance efforts towards utilizing alternative or blended data. </w:t>
      </w:r>
      <w:r w:rsidR="00523363">
        <w:rPr>
          <w:rFonts w:cs="Times New Roman"/>
        </w:rPr>
        <w:t>The</w:t>
      </w:r>
      <w:r>
        <w:rPr>
          <w:rFonts w:cs="Times New Roman"/>
        </w:rPr>
        <w:t xml:space="preserve"> findings from this initial research effort are very encouraging in that</w:t>
      </w:r>
      <w:r w:rsidR="00C45B87">
        <w:rPr>
          <w:rFonts w:cs="Times New Roman"/>
        </w:rPr>
        <w:t xml:space="preserve"> SDSI staff</w:t>
      </w:r>
      <w:r w:rsidR="00F43276">
        <w:rPr>
          <w:rFonts w:cs="Times New Roman"/>
        </w:rPr>
        <w:t xml:space="preserve"> </w:t>
      </w:r>
      <w:r>
        <w:rPr>
          <w:rFonts w:cs="Times New Roman"/>
        </w:rPr>
        <w:t xml:space="preserve">have successfully identified variables from external data sources that </w:t>
      </w:r>
      <w:r w:rsidR="008763C8">
        <w:rPr>
          <w:rFonts w:cs="Times New Roman"/>
        </w:rPr>
        <w:t>function as good indicators, in conjunction with prices of regular motor gasoline, for predicting midgrade and premium prices. The conclusions from these preliminary models suggest that it would be worthwhile to continue investing effort into the endeavor to develop robust prediction models that leverage outside data sources along with EIA-878 survey data.</w:t>
      </w:r>
    </w:p>
    <w:p w14:paraId="077DEC81" w14:textId="54939CE6" w:rsidR="009029E5" w:rsidRDefault="009029E5" w:rsidP="009029E5">
      <w:pPr>
        <w:pStyle w:val="Heading2"/>
      </w:pPr>
      <w:bookmarkStart w:id="38" w:name="_Toc497202539"/>
      <w:r>
        <w:t>Recommendations</w:t>
      </w:r>
      <w:bookmarkEnd w:id="38"/>
    </w:p>
    <w:p w14:paraId="04E6C52B" w14:textId="43E3CBB0" w:rsidR="009029E5" w:rsidRDefault="009029E5" w:rsidP="009029E5">
      <w:pPr>
        <w:spacing w:line="240" w:lineRule="auto"/>
      </w:pPr>
      <w:r>
        <w:t>This research suggests that</w:t>
      </w:r>
      <w:r w:rsidR="0096620E">
        <w:t xml:space="preserve"> there may be various options for incorporating the use of OPIS and/or GasBuddy data with EIA-878. </w:t>
      </w:r>
      <w:r>
        <w:t>Below</w:t>
      </w:r>
      <w:r w:rsidR="00C45B87">
        <w:t xml:space="preserve">, </w:t>
      </w:r>
      <w:r>
        <w:t>options for incorporating third-party data sources into the EIA-878</w:t>
      </w:r>
      <w:r w:rsidR="00C45B87">
        <w:t xml:space="preserve"> are discussed</w:t>
      </w:r>
      <w:r>
        <w:t xml:space="preserve">, starting with the most conservative approach. </w:t>
      </w:r>
    </w:p>
    <w:p w14:paraId="2426ADDB" w14:textId="1B64085F" w:rsidR="009029E5" w:rsidRDefault="009029E5" w:rsidP="003677C2">
      <w:pPr>
        <w:pStyle w:val="ListParagraph"/>
      </w:pPr>
      <w:r w:rsidRPr="002C0097">
        <w:rPr>
          <w:b/>
        </w:rPr>
        <w:t>Validation Tool:</w:t>
      </w:r>
      <w:r>
        <w:t xml:space="preserve"> T</w:t>
      </w:r>
      <w:r w:rsidRPr="007157A2">
        <w:t>his study</w:t>
      </w:r>
      <w:r>
        <w:t xml:space="preserve"> demonstrated the</w:t>
      </w:r>
      <w:r w:rsidRPr="007157A2">
        <w:t xml:space="preserve"> ability of </w:t>
      </w:r>
      <w:r>
        <w:t xml:space="preserve">third-party </w:t>
      </w:r>
      <w:r w:rsidRPr="007157A2">
        <w:t xml:space="preserve">data to </w:t>
      </w:r>
      <w:r>
        <w:t xml:space="preserve">identify price discrepancies. By using third-party data for validation in real-time, potential reporting errors could be identified and investigated during data collection, improving data quality for EIA-878.  Both AAA aggregate prices and GasBuddy station level data are already leveraged as a part of the EIA-878 validation process. SDSI could develop tools to leverage these data sources further during validation in an automated fashion. </w:t>
      </w:r>
    </w:p>
    <w:p w14:paraId="7AE87CFA" w14:textId="77777777" w:rsidR="009029E5" w:rsidRDefault="009029E5" w:rsidP="003677C2">
      <w:pPr>
        <w:pStyle w:val="ListParagraph"/>
      </w:pPr>
      <w:r w:rsidRPr="002C0097">
        <w:rPr>
          <w:b/>
        </w:rPr>
        <w:t>Imputation</w:t>
      </w:r>
      <w:r>
        <w:t xml:space="preserve">: The high levels of comparability between survey and commercial data also may support new methods for handling missing data. A sizeable proportion of stations supplied the same regular prices to both EIA-878 and OPIS during the 12 week study period. EIA could identify these stations on the EIA-878 data files and utilize OPIS prices, rather than model-based imputation, in cases of nonresponse. </w:t>
      </w:r>
    </w:p>
    <w:p w14:paraId="7E924F6B" w14:textId="1B53FF7A" w:rsidR="00AB78F3" w:rsidRPr="00AB78F3" w:rsidRDefault="009029E5" w:rsidP="00AB78F3">
      <w:pPr>
        <w:pStyle w:val="ListParagraph"/>
        <w:rPr>
          <w:rFonts w:ascii="Calibri" w:hAnsi="Calibri"/>
          <w:color w:val="1F497D"/>
        </w:rPr>
      </w:pPr>
      <w:r w:rsidRPr="006E1E95">
        <w:rPr>
          <w:b/>
        </w:rPr>
        <w:t>Replace survey data coll</w:t>
      </w:r>
      <w:r>
        <w:rPr>
          <w:b/>
        </w:rPr>
        <w:t xml:space="preserve">ection with third-party sources for selected stations: </w:t>
      </w:r>
      <w:r>
        <w:t>About 22% of regular stations supplied the same prices to both EIA-878 and OPIS</w:t>
      </w:r>
      <w:r w:rsidR="007D78CE">
        <w:t xml:space="preserve"> during the study period</w:t>
      </w:r>
      <w:r>
        <w:t xml:space="preserve">. To reduce respondent burden, EIA could suspend </w:t>
      </w:r>
      <w:r w:rsidRPr="003677C2">
        <w:t xml:space="preserve">data collection from these stations and instead purchase from OPIS to develop weekly price estimates. </w:t>
      </w:r>
      <w:r w:rsidR="003677C2">
        <w:rPr>
          <w:rFonts w:ascii="Calibri" w:hAnsi="Calibri"/>
        </w:rPr>
        <w:t>This will involve cost/</w:t>
      </w:r>
      <w:r w:rsidR="003677C2" w:rsidRPr="003677C2">
        <w:rPr>
          <w:rFonts w:ascii="Calibri" w:hAnsi="Calibri"/>
        </w:rPr>
        <w:t>trade off considerations before a decision can be made.  Further, more work is needed to investigate if these “regular” reporters have other abilities to provide EIA</w:t>
      </w:r>
      <w:r w:rsidR="007D78CE">
        <w:rPr>
          <w:rFonts w:ascii="Calibri" w:hAnsi="Calibri"/>
        </w:rPr>
        <w:t xml:space="preserve"> with </w:t>
      </w:r>
      <w:r w:rsidR="003677C2" w:rsidRPr="003677C2">
        <w:rPr>
          <w:rFonts w:ascii="Calibri" w:hAnsi="Calibri"/>
        </w:rPr>
        <w:t>data automatically as they do with OPIS.</w:t>
      </w:r>
    </w:p>
    <w:p w14:paraId="2102DBDC" w14:textId="4DFDC464" w:rsidR="009029E5" w:rsidRPr="00AB78F3" w:rsidRDefault="009029E5" w:rsidP="00AB78F3">
      <w:pPr>
        <w:pStyle w:val="ListParagraph"/>
        <w:rPr>
          <w:rFonts w:ascii="Calibri" w:hAnsi="Calibri"/>
          <w:color w:val="1F497D"/>
        </w:rPr>
      </w:pPr>
      <w:r w:rsidRPr="00AB78F3">
        <w:rPr>
          <w:b/>
        </w:rPr>
        <w:t xml:space="preserve">Hybrid approach: </w:t>
      </w:r>
      <w:r>
        <w:t>The current EIA-878 consists of approximately 800 stations, and the next planned sample is anticipated to increase to 1,000 station</w:t>
      </w:r>
      <w:r w:rsidR="008763C8">
        <w:t>s</w:t>
      </w:r>
      <w:r>
        <w:t>. In future iterations, EIA could further expand the sample size and utilize both commercial and survey data collection in tandem, increasing the number of states and cities with published estimates and decreasing sampling variability. In this paradigm, EIA could designate some stations to report via traditional survey-based methods, while relying on third-party data for other</w:t>
      </w:r>
      <w:r w:rsidR="00FE3DF1">
        <w:t>s</w:t>
      </w:r>
      <w:r>
        <w:t xml:space="preserve">. </w:t>
      </w:r>
      <w:r w:rsidR="003B4FAC">
        <w:t xml:space="preserve">The distinction could be made at random or geographically. If the latter, EIA could publish some areas as “EIA-878” states/cities, and other areas as “third-party” states/cities. </w:t>
      </w:r>
      <w:r>
        <w:t>Alternatively, EIA could use third-party data sources as the default and then follow-up with any stations with missing data u</w:t>
      </w:r>
      <w:r w:rsidR="003677C2">
        <w:t xml:space="preserve">sing a survey data collection.  While EIA could utilize third-party sources for price data, there is no known third-party source for motor gasoline volumes, which are used in deriving both estimates and standard errors. </w:t>
      </w:r>
      <w:r>
        <w:t>Further methodological research is needed in this area, as well as an understanding of cost implications</w:t>
      </w:r>
      <w:r w:rsidR="00FB5F5F">
        <w:t>, legal restrictions on republishing third-party data,</w:t>
      </w:r>
      <w:r w:rsidR="0061425C">
        <w:t xml:space="preserve"> and the needs of the data user community</w:t>
      </w:r>
      <w:r>
        <w:t xml:space="preserve">.  </w:t>
      </w:r>
    </w:p>
    <w:p w14:paraId="05B95D65" w14:textId="77777777" w:rsidR="009029E5" w:rsidRDefault="009029E5" w:rsidP="009029E5">
      <w:pPr>
        <w:rPr>
          <w:rFonts w:cs="Times New Roman"/>
        </w:rPr>
      </w:pPr>
    </w:p>
    <w:p w14:paraId="33409055" w14:textId="6113B90B" w:rsidR="009029E5" w:rsidRDefault="009029E5" w:rsidP="009029E5">
      <w:pPr>
        <w:pStyle w:val="Heading1"/>
      </w:pPr>
      <w:bookmarkStart w:id="39" w:name="_Toc497202540"/>
      <w:r>
        <w:t xml:space="preserve">Future </w:t>
      </w:r>
      <w:r w:rsidR="00114932">
        <w:t>A</w:t>
      </w:r>
      <w:r>
        <w:t xml:space="preserve">reas for </w:t>
      </w:r>
      <w:r w:rsidR="00114932">
        <w:t>R</w:t>
      </w:r>
      <w:r>
        <w:t>esearch</w:t>
      </w:r>
      <w:bookmarkEnd w:id="39"/>
    </w:p>
    <w:p w14:paraId="4EEDDFE6" w14:textId="77777777" w:rsidR="009029E5" w:rsidRDefault="009029E5" w:rsidP="009029E5">
      <w:r>
        <w:t xml:space="preserve">Future work includes the following: </w:t>
      </w:r>
    </w:p>
    <w:p w14:paraId="16B35E49" w14:textId="7663EF6B" w:rsidR="009029E5" w:rsidRDefault="009029E5" w:rsidP="003677C2">
      <w:pPr>
        <w:pStyle w:val="ListParagraph"/>
      </w:pPr>
      <w:r>
        <w:t>Extend OPIS subscription and continue price monitoring</w:t>
      </w:r>
      <w:r w:rsidR="008763C8">
        <w:t xml:space="preserve"> to validate current conclusions about OPIS price data</w:t>
      </w:r>
      <w:r>
        <w:t>.</w:t>
      </w:r>
    </w:p>
    <w:p w14:paraId="7A34E74A" w14:textId="3B02EF54" w:rsidR="009029E5" w:rsidRDefault="008763C8" w:rsidP="003677C2">
      <w:pPr>
        <w:pStyle w:val="ListParagraph"/>
      </w:pPr>
      <w:r>
        <w:t xml:space="preserve">In contrast to the current report, which only examines GasBuddy prices from a single point in time, SDSI can collect GasBuddy prices, both across weeks and at multiple times during the day, in an effort to examine this data’s internal consistency and correlation with EIA-878 over time. </w:t>
      </w:r>
    </w:p>
    <w:p w14:paraId="5A99FABE" w14:textId="12EE28A8" w:rsidR="009029E5" w:rsidRDefault="009029E5" w:rsidP="003677C2">
      <w:pPr>
        <w:pStyle w:val="ListParagraph"/>
      </w:pPr>
      <w:r>
        <w:t xml:space="preserve">Continue research on modeling midgrade and premium prices using regular prices </w:t>
      </w:r>
      <w:r w:rsidR="008763C8">
        <w:t xml:space="preserve">from </w:t>
      </w:r>
      <w:r>
        <w:t>the OPIS price feeds</w:t>
      </w:r>
      <w:r w:rsidR="008763C8">
        <w:t xml:space="preserve"> in conjunction with relevant variables from external data sources already identified in this report</w:t>
      </w:r>
      <w:r>
        <w:t>. The</w:t>
      </w:r>
      <w:r w:rsidR="008763C8">
        <w:t xml:space="preserve"> OPIS </w:t>
      </w:r>
      <w:r>
        <w:t>datasets consist of prices from approximately 110,000 stations</w:t>
      </w:r>
      <w:r w:rsidR="008763C8">
        <w:t>, a number much larger than the EIA-878 sample,</w:t>
      </w:r>
      <w:r>
        <w:t xml:space="preserve"> and </w:t>
      </w:r>
      <w:r w:rsidR="008763C8">
        <w:t xml:space="preserve">should be leveraged to </w:t>
      </w:r>
      <w:r>
        <w:t>develop more robust model</w:t>
      </w:r>
      <w:r w:rsidR="008763C8">
        <w:t>s</w:t>
      </w:r>
      <w:r>
        <w:t xml:space="preserve">. </w:t>
      </w:r>
    </w:p>
    <w:p w14:paraId="430E21C0" w14:textId="5900CDA8" w:rsidR="008763C8" w:rsidRDefault="008763C8" w:rsidP="003677C2">
      <w:pPr>
        <w:pStyle w:val="ListParagraph"/>
      </w:pPr>
      <w:r>
        <w:t>Continue investigating relationships between relevant variables and gasoline prices initiated in this report in an effort to develop robust prediction models</w:t>
      </w:r>
    </w:p>
    <w:p w14:paraId="103193D3" w14:textId="071695F2" w:rsidR="008763C8" w:rsidRDefault="008763C8" w:rsidP="003677C2">
      <w:pPr>
        <w:pStyle w:val="ListParagraph"/>
      </w:pPr>
      <w:r>
        <w:t>Continue exploring additional modeling options to take to advance the current state of research into predicting prices at the station level.</w:t>
      </w:r>
    </w:p>
    <w:p w14:paraId="60352469" w14:textId="77777777" w:rsidR="009029E5" w:rsidRDefault="009029E5" w:rsidP="003677C2">
      <w:pPr>
        <w:pStyle w:val="ListParagraph"/>
      </w:pPr>
      <w:r>
        <w:t>Collect OPIS and GasBuddy data during times of supply shortages or weather events and compare to EIA-878 data.</w:t>
      </w:r>
    </w:p>
    <w:p w14:paraId="606677B9" w14:textId="77777777" w:rsidR="008D64F0" w:rsidRDefault="008D64F0" w:rsidP="008D64F0"/>
    <w:p w14:paraId="7F7F9955" w14:textId="77777777" w:rsidR="006928B1" w:rsidRDefault="006928B1" w:rsidP="006928B1"/>
    <w:p w14:paraId="63C5B105" w14:textId="77777777" w:rsidR="00382CF7" w:rsidRDefault="00382CF7" w:rsidP="006928B1"/>
    <w:p w14:paraId="322501C8" w14:textId="77777777" w:rsidR="00382CF7" w:rsidRDefault="00382CF7" w:rsidP="006928B1"/>
    <w:p w14:paraId="31B37AAB" w14:textId="77777777" w:rsidR="00382CF7" w:rsidRDefault="00382CF7" w:rsidP="006928B1"/>
    <w:p w14:paraId="4D75C691" w14:textId="77777777" w:rsidR="00382CF7" w:rsidRDefault="00382CF7" w:rsidP="006928B1"/>
    <w:p w14:paraId="171E5033" w14:textId="77777777" w:rsidR="003B09B3" w:rsidRDefault="003B09B3" w:rsidP="006928B1"/>
    <w:p w14:paraId="50C21DE3" w14:textId="77777777" w:rsidR="00382CF7" w:rsidRDefault="00382CF7" w:rsidP="006928B1"/>
    <w:p w14:paraId="31B2C16F" w14:textId="77777777" w:rsidR="00382CF7" w:rsidRDefault="00382CF7" w:rsidP="006928B1"/>
    <w:p w14:paraId="5A6CD6E0" w14:textId="77777777" w:rsidR="00382CF7" w:rsidRDefault="00382CF7" w:rsidP="006928B1">
      <w:pPr>
        <w:sectPr w:rsidR="00382CF7" w:rsidSect="008F6837">
          <w:pgSz w:w="12240" w:h="15840"/>
          <w:pgMar w:top="1440" w:right="1440" w:bottom="1440" w:left="1440" w:header="720" w:footer="720" w:gutter="0"/>
          <w:cols w:space="720"/>
          <w:docGrid w:linePitch="360"/>
        </w:sectPr>
      </w:pPr>
    </w:p>
    <w:p w14:paraId="0BA05AA7" w14:textId="77777777" w:rsidR="00382CF7" w:rsidRDefault="00382CF7" w:rsidP="000E683D">
      <w:pPr>
        <w:spacing w:line="240" w:lineRule="auto"/>
        <w:rPr>
          <w:noProof/>
        </w:rPr>
      </w:pPr>
    </w:p>
    <w:p w14:paraId="6C5FA454" w14:textId="3A5CBD62" w:rsidR="00DB65A1" w:rsidRPr="0051180F" w:rsidRDefault="00382CF7" w:rsidP="007832EC">
      <w:pPr>
        <w:pStyle w:val="Heading1"/>
      </w:pPr>
      <w:bookmarkStart w:id="40" w:name="_Toc497202541"/>
      <w:r>
        <w:t>Appendix</w:t>
      </w:r>
      <w:bookmarkEnd w:id="40"/>
    </w:p>
    <w:p w14:paraId="70BD2CFA" w14:textId="77777777" w:rsidR="00382CF7" w:rsidRDefault="00382CF7" w:rsidP="00415B41">
      <w:pPr>
        <w:spacing w:after="0" w:line="240" w:lineRule="auto"/>
        <w:rPr>
          <w:rFonts w:ascii="Arial" w:eastAsia="Times New Roman" w:hAnsi="Arial" w:cs="Arial"/>
          <w:b/>
          <w:bCs/>
          <w:color w:val="000000"/>
          <w:sz w:val="20"/>
          <w:szCs w:val="20"/>
        </w:rPr>
      </w:pPr>
    </w:p>
    <w:p w14:paraId="2473605E" w14:textId="0DAA5211" w:rsidR="00382CF7" w:rsidRDefault="00382CF7" w:rsidP="009F3147">
      <w:pPr>
        <w:pStyle w:val="Caption"/>
        <w:rPr>
          <w:noProof/>
        </w:rPr>
      </w:pPr>
      <w:r w:rsidRPr="001A77D2">
        <w:rPr>
          <w:noProof/>
        </w:rPr>
        <w:t>Table A.1</w:t>
      </w:r>
      <w:r w:rsidR="00AC69C0" w:rsidRPr="001A77D2">
        <w:rPr>
          <w:noProof/>
        </w:rPr>
        <w:t xml:space="preserve"> </w:t>
      </w:r>
      <w:r w:rsidR="00A045A5" w:rsidRPr="001A77D2">
        <w:rPr>
          <w:noProof/>
        </w:rPr>
        <w:t>Total n</w:t>
      </w:r>
      <w:r w:rsidR="00AC69C0" w:rsidRPr="001A77D2">
        <w:rPr>
          <w:noProof/>
        </w:rPr>
        <w:t xml:space="preserve">umber of stations included in weekly OPIS feeds and number </w:t>
      </w:r>
      <w:r w:rsidR="00A045A5" w:rsidRPr="001A77D2">
        <w:rPr>
          <w:noProof/>
        </w:rPr>
        <w:t>of</w:t>
      </w:r>
      <w:r w:rsidR="00AC69C0" w:rsidRPr="001A77D2">
        <w:rPr>
          <w:noProof/>
        </w:rPr>
        <w:t xml:space="preserve"> stations in common between</w:t>
      </w:r>
      <w:r w:rsidR="00A045A5" w:rsidRPr="001A77D2">
        <w:rPr>
          <w:noProof/>
        </w:rPr>
        <w:t xml:space="preserve"> different weekly feeds.</w:t>
      </w:r>
    </w:p>
    <w:tbl>
      <w:tblPr>
        <w:tblW w:w="12555" w:type="dxa"/>
        <w:tblLook w:val="04A0" w:firstRow="1" w:lastRow="0" w:firstColumn="1" w:lastColumn="0" w:noHBand="0" w:noVBand="1"/>
      </w:tblPr>
      <w:tblGrid>
        <w:gridCol w:w="990"/>
        <w:gridCol w:w="990"/>
        <w:gridCol w:w="1080"/>
        <w:gridCol w:w="1080"/>
        <w:gridCol w:w="900"/>
        <w:gridCol w:w="990"/>
        <w:gridCol w:w="990"/>
        <w:gridCol w:w="990"/>
        <w:gridCol w:w="795"/>
        <w:gridCol w:w="960"/>
        <w:gridCol w:w="900"/>
        <w:gridCol w:w="900"/>
        <w:gridCol w:w="990"/>
      </w:tblGrid>
      <w:tr w:rsidR="00EC3E64" w:rsidRPr="00382CF7" w14:paraId="4154FE7B" w14:textId="77777777" w:rsidTr="00D710D8">
        <w:trPr>
          <w:trHeight w:val="285"/>
        </w:trPr>
        <w:tc>
          <w:tcPr>
            <w:tcW w:w="990" w:type="dxa"/>
            <w:tcBorders>
              <w:top w:val="single" w:sz="4" w:space="0" w:color="auto"/>
              <w:left w:val="nil"/>
              <w:bottom w:val="nil"/>
              <w:right w:val="nil"/>
            </w:tcBorders>
            <w:shd w:val="clear" w:color="auto" w:fill="auto"/>
            <w:noWrap/>
            <w:vAlign w:val="bottom"/>
            <w:hideMark/>
          </w:tcPr>
          <w:p w14:paraId="420203CF" w14:textId="77777777" w:rsidR="00382CF7" w:rsidRPr="00382CF7" w:rsidRDefault="00382CF7" w:rsidP="00382CF7">
            <w:pPr>
              <w:spacing w:after="0" w:line="240" w:lineRule="auto"/>
              <w:rPr>
                <w:rFonts w:ascii="Arial" w:eastAsia="Times New Roman" w:hAnsi="Arial" w:cs="Arial"/>
                <w:b/>
                <w:bCs/>
                <w:color w:val="000000"/>
                <w:sz w:val="16"/>
                <w:szCs w:val="16"/>
              </w:rPr>
            </w:pPr>
          </w:p>
        </w:tc>
        <w:tc>
          <w:tcPr>
            <w:tcW w:w="990" w:type="dxa"/>
            <w:tcBorders>
              <w:top w:val="single" w:sz="4" w:space="0" w:color="auto"/>
              <w:left w:val="nil"/>
              <w:bottom w:val="nil"/>
              <w:right w:val="nil"/>
            </w:tcBorders>
            <w:shd w:val="clear" w:color="auto" w:fill="auto"/>
            <w:noWrap/>
            <w:vAlign w:val="bottom"/>
            <w:hideMark/>
          </w:tcPr>
          <w:p w14:paraId="6258F1C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15-May-17</w:t>
            </w:r>
          </w:p>
        </w:tc>
        <w:tc>
          <w:tcPr>
            <w:tcW w:w="1080" w:type="dxa"/>
            <w:tcBorders>
              <w:top w:val="single" w:sz="4" w:space="0" w:color="auto"/>
              <w:left w:val="nil"/>
              <w:bottom w:val="nil"/>
              <w:right w:val="nil"/>
            </w:tcBorders>
            <w:shd w:val="clear" w:color="auto" w:fill="auto"/>
            <w:noWrap/>
            <w:vAlign w:val="bottom"/>
            <w:hideMark/>
          </w:tcPr>
          <w:p w14:paraId="093FD6A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22-May-17</w:t>
            </w:r>
          </w:p>
        </w:tc>
        <w:tc>
          <w:tcPr>
            <w:tcW w:w="1080" w:type="dxa"/>
            <w:tcBorders>
              <w:top w:val="single" w:sz="4" w:space="0" w:color="auto"/>
              <w:left w:val="nil"/>
              <w:bottom w:val="nil"/>
              <w:right w:val="nil"/>
            </w:tcBorders>
            <w:shd w:val="clear" w:color="auto" w:fill="auto"/>
            <w:noWrap/>
            <w:vAlign w:val="bottom"/>
            <w:hideMark/>
          </w:tcPr>
          <w:p w14:paraId="711B88F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29-May-17</w:t>
            </w:r>
          </w:p>
        </w:tc>
        <w:tc>
          <w:tcPr>
            <w:tcW w:w="900" w:type="dxa"/>
            <w:tcBorders>
              <w:top w:val="single" w:sz="4" w:space="0" w:color="auto"/>
              <w:left w:val="nil"/>
              <w:bottom w:val="nil"/>
              <w:right w:val="nil"/>
            </w:tcBorders>
            <w:shd w:val="clear" w:color="auto" w:fill="auto"/>
            <w:noWrap/>
            <w:vAlign w:val="bottom"/>
            <w:hideMark/>
          </w:tcPr>
          <w:p w14:paraId="4861FE3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5-Jun-17</w:t>
            </w:r>
          </w:p>
        </w:tc>
        <w:tc>
          <w:tcPr>
            <w:tcW w:w="990" w:type="dxa"/>
            <w:tcBorders>
              <w:top w:val="single" w:sz="4" w:space="0" w:color="auto"/>
              <w:left w:val="nil"/>
              <w:bottom w:val="nil"/>
              <w:right w:val="nil"/>
            </w:tcBorders>
            <w:shd w:val="clear" w:color="auto" w:fill="auto"/>
            <w:noWrap/>
            <w:vAlign w:val="bottom"/>
            <w:hideMark/>
          </w:tcPr>
          <w:p w14:paraId="72633EE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12-Jun-17</w:t>
            </w:r>
          </w:p>
        </w:tc>
        <w:tc>
          <w:tcPr>
            <w:tcW w:w="990" w:type="dxa"/>
            <w:tcBorders>
              <w:top w:val="single" w:sz="4" w:space="0" w:color="auto"/>
              <w:left w:val="nil"/>
              <w:bottom w:val="nil"/>
              <w:right w:val="nil"/>
            </w:tcBorders>
            <w:shd w:val="clear" w:color="auto" w:fill="auto"/>
            <w:noWrap/>
            <w:vAlign w:val="bottom"/>
            <w:hideMark/>
          </w:tcPr>
          <w:p w14:paraId="64710E7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19-Jun-17</w:t>
            </w:r>
          </w:p>
        </w:tc>
        <w:tc>
          <w:tcPr>
            <w:tcW w:w="990" w:type="dxa"/>
            <w:tcBorders>
              <w:top w:val="single" w:sz="4" w:space="0" w:color="auto"/>
              <w:left w:val="nil"/>
              <w:bottom w:val="nil"/>
              <w:right w:val="nil"/>
            </w:tcBorders>
            <w:shd w:val="clear" w:color="auto" w:fill="auto"/>
            <w:noWrap/>
            <w:vAlign w:val="bottom"/>
            <w:hideMark/>
          </w:tcPr>
          <w:p w14:paraId="6044D075"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26-Jun-17</w:t>
            </w:r>
          </w:p>
        </w:tc>
        <w:tc>
          <w:tcPr>
            <w:tcW w:w="795" w:type="dxa"/>
            <w:tcBorders>
              <w:top w:val="single" w:sz="4" w:space="0" w:color="auto"/>
              <w:left w:val="nil"/>
              <w:bottom w:val="nil"/>
              <w:right w:val="nil"/>
            </w:tcBorders>
            <w:shd w:val="clear" w:color="auto" w:fill="auto"/>
            <w:noWrap/>
            <w:vAlign w:val="bottom"/>
            <w:hideMark/>
          </w:tcPr>
          <w:p w14:paraId="4AFE018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3-Jul-17</w:t>
            </w:r>
          </w:p>
        </w:tc>
        <w:tc>
          <w:tcPr>
            <w:tcW w:w="960" w:type="dxa"/>
            <w:tcBorders>
              <w:top w:val="single" w:sz="4" w:space="0" w:color="auto"/>
              <w:left w:val="nil"/>
              <w:bottom w:val="nil"/>
              <w:right w:val="nil"/>
            </w:tcBorders>
            <w:shd w:val="clear" w:color="auto" w:fill="auto"/>
            <w:noWrap/>
            <w:vAlign w:val="bottom"/>
            <w:hideMark/>
          </w:tcPr>
          <w:p w14:paraId="0D8E716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10-Jul-17</w:t>
            </w:r>
          </w:p>
        </w:tc>
        <w:tc>
          <w:tcPr>
            <w:tcW w:w="900" w:type="dxa"/>
            <w:tcBorders>
              <w:top w:val="single" w:sz="4" w:space="0" w:color="auto"/>
              <w:left w:val="nil"/>
              <w:bottom w:val="nil"/>
              <w:right w:val="nil"/>
            </w:tcBorders>
            <w:shd w:val="clear" w:color="auto" w:fill="auto"/>
            <w:noWrap/>
            <w:vAlign w:val="bottom"/>
            <w:hideMark/>
          </w:tcPr>
          <w:p w14:paraId="2CA0C3C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17-Jul-17</w:t>
            </w:r>
          </w:p>
        </w:tc>
        <w:tc>
          <w:tcPr>
            <w:tcW w:w="900" w:type="dxa"/>
            <w:tcBorders>
              <w:top w:val="single" w:sz="4" w:space="0" w:color="auto"/>
              <w:left w:val="nil"/>
              <w:bottom w:val="nil"/>
              <w:right w:val="nil"/>
            </w:tcBorders>
            <w:shd w:val="clear" w:color="auto" w:fill="auto"/>
            <w:noWrap/>
            <w:vAlign w:val="bottom"/>
            <w:hideMark/>
          </w:tcPr>
          <w:p w14:paraId="2E83507B"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24-Jul-17</w:t>
            </w:r>
          </w:p>
        </w:tc>
        <w:tc>
          <w:tcPr>
            <w:tcW w:w="990" w:type="dxa"/>
            <w:tcBorders>
              <w:top w:val="single" w:sz="4" w:space="0" w:color="auto"/>
              <w:left w:val="nil"/>
              <w:bottom w:val="nil"/>
              <w:right w:val="nil"/>
            </w:tcBorders>
            <w:shd w:val="clear" w:color="auto" w:fill="auto"/>
            <w:noWrap/>
            <w:vAlign w:val="bottom"/>
            <w:hideMark/>
          </w:tcPr>
          <w:p w14:paraId="7EB35872"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31-Jul-17</w:t>
            </w:r>
          </w:p>
        </w:tc>
      </w:tr>
      <w:tr w:rsidR="00EC3E64" w:rsidRPr="00382CF7" w14:paraId="37A50171" w14:textId="77777777" w:rsidTr="00D710D8">
        <w:trPr>
          <w:trHeight w:val="285"/>
        </w:trPr>
        <w:tc>
          <w:tcPr>
            <w:tcW w:w="990" w:type="dxa"/>
            <w:tcBorders>
              <w:top w:val="nil"/>
              <w:left w:val="nil"/>
              <w:bottom w:val="nil"/>
              <w:right w:val="nil"/>
            </w:tcBorders>
            <w:shd w:val="clear" w:color="auto" w:fill="auto"/>
            <w:noWrap/>
            <w:vAlign w:val="bottom"/>
            <w:hideMark/>
          </w:tcPr>
          <w:p w14:paraId="74B39244"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15-May-17</w:t>
            </w:r>
          </w:p>
        </w:tc>
        <w:tc>
          <w:tcPr>
            <w:tcW w:w="990" w:type="dxa"/>
            <w:tcBorders>
              <w:top w:val="nil"/>
              <w:left w:val="nil"/>
              <w:bottom w:val="nil"/>
              <w:right w:val="nil"/>
            </w:tcBorders>
            <w:shd w:val="clear" w:color="000000" w:fill="D9D9D9"/>
            <w:noWrap/>
            <w:vAlign w:val="bottom"/>
            <w:hideMark/>
          </w:tcPr>
          <w:p w14:paraId="27FF35E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auto" w:fill="auto"/>
            <w:noWrap/>
            <w:vAlign w:val="bottom"/>
            <w:hideMark/>
          </w:tcPr>
          <w:p w14:paraId="04C3109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99,076 </w:t>
            </w:r>
          </w:p>
        </w:tc>
        <w:tc>
          <w:tcPr>
            <w:tcW w:w="1080" w:type="dxa"/>
            <w:tcBorders>
              <w:top w:val="nil"/>
              <w:left w:val="nil"/>
              <w:bottom w:val="nil"/>
              <w:right w:val="nil"/>
            </w:tcBorders>
            <w:shd w:val="clear" w:color="auto" w:fill="auto"/>
            <w:noWrap/>
            <w:vAlign w:val="bottom"/>
            <w:hideMark/>
          </w:tcPr>
          <w:p w14:paraId="4A615E5B"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94,250 </w:t>
            </w:r>
          </w:p>
        </w:tc>
        <w:tc>
          <w:tcPr>
            <w:tcW w:w="900" w:type="dxa"/>
            <w:tcBorders>
              <w:top w:val="nil"/>
              <w:left w:val="nil"/>
              <w:bottom w:val="nil"/>
              <w:right w:val="nil"/>
            </w:tcBorders>
            <w:shd w:val="clear" w:color="auto" w:fill="auto"/>
            <w:noWrap/>
            <w:vAlign w:val="bottom"/>
            <w:hideMark/>
          </w:tcPr>
          <w:p w14:paraId="146DA48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102,224 </w:t>
            </w:r>
          </w:p>
        </w:tc>
        <w:tc>
          <w:tcPr>
            <w:tcW w:w="990" w:type="dxa"/>
            <w:tcBorders>
              <w:top w:val="nil"/>
              <w:left w:val="nil"/>
              <w:bottom w:val="nil"/>
              <w:right w:val="nil"/>
            </w:tcBorders>
            <w:shd w:val="clear" w:color="auto" w:fill="auto"/>
            <w:noWrap/>
            <w:vAlign w:val="bottom"/>
            <w:hideMark/>
          </w:tcPr>
          <w:p w14:paraId="4D4E6062"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101,470 </w:t>
            </w:r>
          </w:p>
        </w:tc>
        <w:tc>
          <w:tcPr>
            <w:tcW w:w="990" w:type="dxa"/>
            <w:tcBorders>
              <w:top w:val="nil"/>
              <w:left w:val="nil"/>
              <w:bottom w:val="nil"/>
              <w:right w:val="nil"/>
            </w:tcBorders>
            <w:shd w:val="clear" w:color="auto" w:fill="auto"/>
            <w:noWrap/>
            <w:vAlign w:val="bottom"/>
            <w:hideMark/>
          </w:tcPr>
          <w:p w14:paraId="52D45B0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103,963 </w:t>
            </w:r>
          </w:p>
        </w:tc>
        <w:tc>
          <w:tcPr>
            <w:tcW w:w="990" w:type="dxa"/>
            <w:tcBorders>
              <w:top w:val="nil"/>
              <w:left w:val="nil"/>
              <w:bottom w:val="nil"/>
              <w:right w:val="nil"/>
            </w:tcBorders>
            <w:shd w:val="clear" w:color="auto" w:fill="auto"/>
            <w:noWrap/>
            <w:vAlign w:val="bottom"/>
            <w:hideMark/>
          </w:tcPr>
          <w:p w14:paraId="37B5FE8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103,923 </w:t>
            </w:r>
          </w:p>
        </w:tc>
        <w:tc>
          <w:tcPr>
            <w:tcW w:w="795" w:type="dxa"/>
            <w:tcBorders>
              <w:top w:val="nil"/>
              <w:left w:val="nil"/>
              <w:bottom w:val="nil"/>
              <w:right w:val="nil"/>
            </w:tcBorders>
            <w:shd w:val="clear" w:color="auto" w:fill="auto"/>
            <w:noWrap/>
            <w:vAlign w:val="bottom"/>
            <w:hideMark/>
          </w:tcPr>
          <w:p w14:paraId="5BF3589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103,728 </w:t>
            </w:r>
          </w:p>
        </w:tc>
        <w:tc>
          <w:tcPr>
            <w:tcW w:w="960" w:type="dxa"/>
            <w:tcBorders>
              <w:top w:val="nil"/>
              <w:left w:val="nil"/>
              <w:bottom w:val="nil"/>
              <w:right w:val="nil"/>
            </w:tcBorders>
            <w:shd w:val="clear" w:color="auto" w:fill="auto"/>
            <w:noWrap/>
            <w:vAlign w:val="bottom"/>
            <w:hideMark/>
          </w:tcPr>
          <w:p w14:paraId="219A6BE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103,832 </w:t>
            </w:r>
          </w:p>
        </w:tc>
        <w:tc>
          <w:tcPr>
            <w:tcW w:w="900" w:type="dxa"/>
            <w:tcBorders>
              <w:top w:val="nil"/>
              <w:left w:val="nil"/>
              <w:bottom w:val="nil"/>
              <w:right w:val="nil"/>
            </w:tcBorders>
            <w:shd w:val="clear" w:color="auto" w:fill="auto"/>
            <w:noWrap/>
            <w:vAlign w:val="bottom"/>
            <w:hideMark/>
          </w:tcPr>
          <w:p w14:paraId="3C29541B"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103,758 </w:t>
            </w:r>
          </w:p>
        </w:tc>
        <w:tc>
          <w:tcPr>
            <w:tcW w:w="900" w:type="dxa"/>
            <w:tcBorders>
              <w:top w:val="nil"/>
              <w:left w:val="nil"/>
              <w:bottom w:val="nil"/>
              <w:right w:val="nil"/>
            </w:tcBorders>
            <w:shd w:val="clear" w:color="auto" w:fill="auto"/>
            <w:noWrap/>
            <w:vAlign w:val="bottom"/>
            <w:hideMark/>
          </w:tcPr>
          <w:p w14:paraId="188C609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103,165 </w:t>
            </w:r>
          </w:p>
        </w:tc>
        <w:tc>
          <w:tcPr>
            <w:tcW w:w="990" w:type="dxa"/>
            <w:tcBorders>
              <w:top w:val="nil"/>
              <w:left w:val="nil"/>
              <w:bottom w:val="nil"/>
              <w:right w:val="nil"/>
            </w:tcBorders>
            <w:shd w:val="clear" w:color="auto" w:fill="auto"/>
            <w:noWrap/>
            <w:vAlign w:val="bottom"/>
            <w:hideMark/>
          </w:tcPr>
          <w:p w14:paraId="5C6206A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103,283 </w:t>
            </w:r>
          </w:p>
        </w:tc>
      </w:tr>
      <w:tr w:rsidR="00EC3E64" w:rsidRPr="00382CF7" w14:paraId="23A3E7EC" w14:textId="77777777" w:rsidTr="00D710D8">
        <w:trPr>
          <w:trHeight w:val="285"/>
        </w:trPr>
        <w:tc>
          <w:tcPr>
            <w:tcW w:w="990" w:type="dxa"/>
            <w:tcBorders>
              <w:top w:val="nil"/>
              <w:left w:val="nil"/>
              <w:bottom w:val="nil"/>
              <w:right w:val="nil"/>
            </w:tcBorders>
            <w:shd w:val="clear" w:color="auto" w:fill="auto"/>
            <w:noWrap/>
            <w:vAlign w:val="bottom"/>
            <w:hideMark/>
          </w:tcPr>
          <w:p w14:paraId="5035134F"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22-May-17</w:t>
            </w:r>
          </w:p>
        </w:tc>
        <w:tc>
          <w:tcPr>
            <w:tcW w:w="990" w:type="dxa"/>
            <w:tcBorders>
              <w:top w:val="nil"/>
              <w:left w:val="nil"/>
              <w:bottom w:val="nil"/>
              <w:right w:val="nil"/>
            </w:tcBorders>
            <w:shd w:val="clear" w:color="000000" w:fill="D9D9D9"/>
            <w:noWrap/>
            <w:vAlign w:val="bottom"/>
            <w:hideMark/>
          </w:tcPr>
          <w:p w14:paraId="1F328D9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716E0C0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auto" w:fill="auto"/>
            <w:noWrap/>
            <w:vAlign w:val="bottom"/>
            <w:hideMark/>
          </w:tcPr>
          <w:p w14:paraId="25CF66C5"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94,544 </w:t>
            </w:r>
          </w:p>
        </w:tc>
        <w:tc>
          <w:tcPr>
            <w:tcW w:w="900" w:type="dxa"/>
            <w:tcBorders>
              <w:top w:val="nil"/>
              <w:left w:val="nil"/>
              <w:bottom w:val="nil"/>
              <w:right w:val="nil"/>
            </w:tcBorders>
            <w:shd w:val="clear" w:color="auto" w:fill="auto"/>
            <w:noWrap/>
            <w:vAlign w:val="bottom"/>
            <w:hideMark/>
          </w:tcPr>
          <w:p w14:paraId="20A6565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102,398 </w:t>
            </w:r>
          </w:p>
        </w:tc>
        <w:tc>
          <w:tcPr>
            <w:tcW w:w="990" w:type="dxa"/>
            <w:tcBorders>
              <w:top w:val="nil"/>
              <w:left w:val="nil"/>
              <w:bottom w:val="nil"/>
              <w:right w:val="nil"/>
            </w:tcBorders>
            <w:shd w:val="clear" w:color="auto" w:fill="auto"/>
            <w:noWrap/>
            <w:vAlign w:val="bottom"/>
            <w:hideMark/>
          </w:tcPr>
          <w:p w14:paraId="284AA84A"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101,520 </w:t>
            </w:r>
          </w:p>
        </w:tc>
        <w:tc>
          <w:tcPr>
            <w:tcW w:w="990" w:type="dxa"/>
            <w:tcBorders>
              <w:top w:val="nil"/>
              <w:left w:val="nil"/>
              <w:bottom w:val="nil"/>
              <w:right w:val="nil"/>
            </w:tcBorders>
            <w:shd w:val="clear" w:color="auto" w:fill="auto"/>
            <w:noWrap/>
            <w:vAlign w:val="bottom"/>
            <w:hideMark/>
          </w:tcPr>
          <w:p w14:paraId="5326D53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104,063 </w:t>
            </w:r>
          </w:p>
        </w:tc>
        <w:tc>
          <w:tcPr>
            <w:tcW w:w="990" w:type="dxa"/>
            <w:tcBorders>
              <w:top w:val="nil"/>
              <w:left w:val="nil"/>
              <w:bottom w:val="nil"/>
              <w:right w:val="nil"/>
            </w:tcBorders>
            <w:shd w:val="clear" w:color="auto" w:fill="auto"/>
            <w:noWrap/>
            <w:vAlign w:val="bottom"/>
            <w:hideMark/>
          </w:tcPr>
          <w:p w14:paraId="13CE202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103,934 </w:t>
            </w:r>
          </w:p>
        </w:tc>
        <w:tc>
          <w:tcPr>
            <w:tcW w:w="795" w:type="dxa"/>
            <w:tcBorders>
              <w:top w:val="nil"/>
              <w:left w:val="nil"/>
              <w:bottom w:val="nil"/>
              <w:right w:val="nil"/>
            </w:tcBorders>
            <w:shd w:val="clear" w:color="auto" w:fill="auto"/>
            <w:noWrap/>
            <w:vAlign w:val="bottom"/>
            <w:hideMark/>
          </w:tcPr>
          <w:p w14:paraId="65B55AF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103,793 </w:t>
            </w:r>
          </w:p>
        </w:tc>
        <w:tc>
          <w:tcPr>
            <w:tcW w:w="960" w:type="dxa"/>
            <w:tcBorders>
              <w:top w:val="nil"/>
              <w:left w:val="nil"/>
              <w:bottom w:val="nil"/>
              <w:right w:val="nil"/>
            </w:tcBorders>
            <w:shd w:val="clear" w:color="auto" w:fill="auto"/>
            <w:noWrap/>
            <w:vAlign w:val="bottom"/>
            <w:hideMark/>
          </w:tcPr>
          <w:p w14:paraId="796F1F1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103,857 </w:t>
            </w:r>
          </w:p>
        </w:tc>
        <w:tc>
          <w:tcPr>
            <w:tcW w:w="900" w:type="dxa"/>
            <w:tcBorders>
              <w:top w:val="nil"/>
              <w:left w:val="nil"/>
              <w:bottom w:val="nil"/>
              <w:right w:val="nil"/>
            </w:tcBorders>
            <w:shd w:val="clear" w:color="auto" w:fill="auto"/>
            <w:noWrap/>
            <w:vAlign w:val="bottom"/>
            <w:hideMark/>
          </w:tcPr>
          <w:p w14:paraId="370907D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103,833 </w:t>
            </w:r>
          </w:p>
        </w:tc>
        <w:tc>
          <w:tcPr>
            <w:tcW w:w="900" w:type="dxa"/>
            <w:tcBorders>
              <w:top w:val="nil"/>
              <w:left w:val="nil"/>
              <w:bottom w:val="nil"/>
              <w:right w:val="nil"/>
            </w:tcBorders>
            <w:shd w:val="clear" w:color="auto" w:fill="auto"/>
            <w:noWrap/>
            <w:vAlign w:val="bottom"/>
            <w:hideMark/>
          </w:tcPr>
          <w:p w14:paraId="707E32B2"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103,260 </w:t>
            </w:r>
          </w:p>
        </w:tc>
        <w:tc>
          <w:tcPr>
            <w:tcW w:w="990" w:type="dxa"/>
            <w:tcBorders>
              <w:top w:val="nil"/>
              <w:left w:val="nil"/>
              <w:bottom w:val="nil"/>
              <w:right w:val="nil"/>
            </w:tcBorders>
            <w:shd w:val="clear" w:color="auto" w:fill="auto"/>
            <w:noWrap/>
            <w:vAlign w:val="bottom"/>
            <w:hideMark/>
          </w:tcPr>
          <w:p w14:paraId="346BB8F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103,283 </w:t>
            </w:r>
          </w:p>
        </w:tc>
      </w:tr>
      <w:tr w:rsidR="00EC3E64" w:rsidRPr="00382CF7" w14:paraId="7EC9A0F2" w14:textId="77777777" w:rsidTr="00D710D8">
        <w:trPr>
          <w:trHeight w:val="285"/>
        </w:trPr>
        <w:tc>
          <w:tcPr>
            <w:tcW w:w="990" w:type="dxa"/>
            <w:tcBorders>
              <w:top w:val="nil"/>
              <w:left w:val="nil"/>
              <w:bottom w:val="nil"/>
              <w:right w:val="nil"/>
            </w:tcBorders>
            <w:shd w:val="clear" w:color="auto" w:fill="auto"/>
            <w:noWrap/>
            <w:vAlign w:val="bottom"/>
            <w:hideMark/>
          </w:tcPr>
          <w:p w14:paraId="62051CCD"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29-May-17</w:t>
            </w:r>
          </w:p>
        </w:tc>
        <w:tc>
          <w:tcPr>
            <w:tcW w:w="990" w:type="dxa"/>
            <w:tcBorders>
              <w:top w:val="nil"/>
              <w:left w:val="nil"/>
              <w:bottom w:val="nil"/>
              <w:right w:val="nil"/>
            </w:tcBorders>
            <w:shd w:val="clear" w:color="000000" w:fill="D9D9D9"/>
            <w:noWrap/>
            <w:vAlign w:val="bottom"/>
            <w:hideMark/>
          </w:tcPr>
          <w:p w14:paraId="792EDD0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15E25FB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287EA0D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1CEDE64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97,475 </w:t>
            </w:r>
          </w:p>
        </w:tc>
        <w:tc>
          <w:tcPr>
            <w:tcW w:w="990" w:type="dxa"/>
            <w:tcBorders>
              <w:top w:val="nil"/>
              <w:left w:val="nil"/>
              <w:bottom w:val="nil"/>
              <w:right w:val="nil"/>
            </w:tcBorders>
            <w:shd w:val="clear" w:color="auto" w:fill="auto"/>
            <w:noWrap/>
            <w:vAlign w:val="bottom"/>
            <w:hideMark/>
          </w:tcPr>
          <w:p w14:paraId="6DA8CB4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96,631 </w:t>
            </w:r>
          </w:p>
        </w:tc>
        <w:tc>
          <w:tcPr>
            <w:tcW w:w="990" w:type="dxa"/>
            <w:tcBorders>
              <w:top w:val="nil"/>
              <w:left w:val="nil"/>
              <w:bottom w:val="nil"/>
              <w:right w:val="nil"/>
            </w:tcBorders>
            <w:shd w:val="clear" w:color="auto" w:fill="auto"/>
            <w:noWrap/>
            <w:vAlign w:val="bottom"/>
            <w:hideMark/>
          </w:tcPr>
          <w:p w14:paraId="7F8C0CB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98,825 </w:t>
            </w:r>
          </w:p>
        </w:tc>
        <w:tc>
          <w:tcPr>
            <w:tcW w:w="990" w:type="dxa"/>
            <w:tcBorders>
              <w:top w:val="nil"/>
              <w:left w:val="nil"/>
              <w:bottom w:val="nil"/>
              <w:right w:val="nil"/>
            </w:tcBorders>
            <w:shd w:val="clear" w:color="auto" w:fill="auto"/>
            <w:noWrap/>
            <w:vAlign w:val="bottom"/>
            <w:hideMark/>
          </w:tcPr>
          <w:p w14:paraId="3AD05D6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98,769 </w:t>
            </w:r>
          </w:p>
        </w:tc>
        <w:tc>
          <w:tcPr>
            <w:tcW w:w="795" w:type="dxa"/>
            <w:tcBorders>
              <w:top w:val="nil"/>
              <w:left w:val="nil"/>
              <w:bottom w:val="nil"/>
              <w:right w:val="nil"/>
            </w:tcBorders>
            <w:shd w:val="clear" w:color="auto" w:fill="auto"/>
            <w:noWrap/>
            <w:vAlign w:val="bottom"/>
            <w:hideMark/>
          </w:tcPr>
          <w:p w14:paraId="669B6C8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98,728 </w:t>
            </w:r>
          </w:p>
        </w:tc>
        <w:tc>
          <w:tcPr>
            <w:tcW w:w="960" w:type="dxa"/>
            <w:tcBorders>
              <w:top w:val="nil"/>
              <w:left w:val="nil"/>
              <w:bottom w:val="nil"/>
              <w:right w:val="nil"/>
            </w:tcBorders>
            <w:shd w:val="clear" w:color="auto" w:fill="auto"/>
            <w:noWrap/>
            <w:vAlign w:val="bottom"/>
            <w:hideMark/>
          </w:tcPr>
          <w:p w14:paraId="739EDDB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98,750 </w:t>
            </w:r>
          </w:p>
        </w:tc>
        <w:tc>
          <w:tcPr>
            <w:tcW w:w="900" w:type="dxa"/>
            <w:tcBorders>
              <w:top w:val="nil"/>
              <w:left w:val="nil"/>
              <w:bottom w:val="nil"/>
              <w:right w:val="nil"/>
            </w:tcBorders>
            <w:shd w:val="clear" w:color="auto" w:fill="auto"/>
            <w:noWrap/>
            <w:vAlign w:val="bottom"/>
            <w:hideMark/>
          </w:tcPr>
          <w:p w14:paraId="30ACA68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98,630 </w:t>
            </w:r>
          </w:p>
        </w:tc>
        <w:tc>
          <w:tcPr>
            <w:tcW w:w="900" w:type="dxa"/>
            <w:tcBorders>
              <w:top w:val="nil"/>
              <w:left w:val="nil"/>
              <w:bottom w:val="nil"/>
              <w:right w:val="nil"/>
            </w:tcBorders>
            <w:shd w:val="clear" w:color="auto" w:fill="auto"/>
            <w:noWrap/>
            <w:vAlign w:val="bottom"/>
            <w:hideMark/>
          </w:tcPr>
          <w:p w14:paraId="6A7E267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98,124 </w:t>
            </w:r>
          </w:p>
        </w:tc>
        <w:tc>
          <w:tcPr>
            <w:tcW w:w="990" w:type="dxa"/>
            <w:tcBorders>
              <w:top w:val="nil"/>
              <w:left w:val="nil"/>
              <w:bottom w:val="nil"/>
              <w:right w:val="nil"/>
            </w:tcBorders>
            <w:shd w:val="clear" w:color="auto" w:fill="auto"/>
            <w:noWrap/>
            <w:vAlign w:val="bottom"/>
            <w:hideMark/>
          </w:tcPr>
          <w:p w14:paraId="0495B83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98,185 </w:t>
            </w:r>
          </w:p>
        </w:tc>
      </w:tr>
      <w:tr w:rsidR="00EC3E64" w:rsidRPr="00382CF7" w14:paraId="56450BBD" w14:textId="77777777" w:rsidTr="00D710D8">
        <w:trPr>
          <w:trHeight w:val="285"/>
        </w:trPr>
        <w:tc>
          <w:tcPr>
            <w:tcW w:w="990" w:type="dxa"/>
            <w:tcBorders>
              <w:top w:val="nil"/>
              <w:left w:val="nil"/>
              <w:bottom w:val="nil"/>
              <w:right w:val="nil"/>
            </w:tcBorders>
            <w:shd w:val="clear" w:color="auto" w:fill="auto"/>
            <w:noWrap/>
            <w:vAlign w:val="bottom"/>
            <w:hideMark/>
          </w:tcPr>
          <w:p w14:paraId="18306B3D"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5-Jun-17</w:t>
            </w:r>
          </w:p>
        </w:tc>
        <w:tc>
          <w:tcPr>
            <w:tcW w:w="990" w:type="dxa"/>
            <w:tcBorders>
              <w:top w:val="nil"/>
              <w:left w:val="nil"/>
              <w:bottom w:val="nil"/>
              <w:right w:val="nil"/>
            </w:tcBorders>
            <w:shd w:val="clear" w:color="000000" w:fill="D9D9D9"/>
            <w:noWrap/>
            <w:vAlign w:val="bottom"/>
            <w:hideMark/>
          </w:tcPr>
          <w:p w14:paraId="148EB87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424659C8"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1FEF373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3726A9A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auto" w:fill="auto"/>
            <w:noWrap/>
            <w:vAlign w:val="bottom"/>
            <w:hideMark/>
          </w:tcPr>
          <w:p w14:paraId="61472FA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106,598 </w:t>
            </w:r>
          </w:p>
        </w:tc>
        <w:tc>
          <w:tcPr>
            <w:tcW w:w="990" w:type="dxa"/>
            <w:tcBorders>
              <w:top w:val="nil"/>
              <w:left w:val="nil"/>
              <w:bottom w:val="nil"/>
              <w:right w:val="nil"/>
            </w:tcBorders>
            <w:shd w:val="clear" w:color="auto" w:fill="auto"/>
            <w:noWrap/>
            <w:vAlign w:val="bottom"/>
            <w:hideMark/>
          </w:tcPr>
          <w:p w14:paraId="02FB03AA"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109,665 </w:t>
            </w:r>
          </w:p>
        </w:tc>
        <w:tc>
          <w:tcPr>
            <w:tcW w:w="990" w:type="dxa"/>
            <w:tcBorders>
              <w:top w:val="nil"/>
              <w:left w:val="nil"/>
              <w:bottom w:val="nil"/>
              <w:right w:val="nil"/>
            </w:tcBorders>
            <w:shd w:val="clear" w:color="auto" w:fill="auto"/>
            <w:noWrap/>
            <w:vAlign w:val="bottom"/>
            <w:hideMark/>
          </w:tcPr>
          <w:p w14:paraId="72C851D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109,541 </w:t>
            </w:r>
          </w:p>
        </w:tc>
        <w:tc>
          <w:tcPr>
            <w:tcW w:w="795" w:type="dxa"/>
            <w:tcBorders>
              <w:top w:val="nil"/>
              <w:left w:val="nil"/>
              <w:bottom w:val="nil"/>
              <w:right w:val="nil"/>
            </w:tcBorders>
            <w:shd w:val="clear" w:color="auto" w:fill="auto"/>
            <w:noWrap/>
            <w:vAlign w:val="bottom"/>
            <w:hideMark/>
          </w:tcPr>
          <w:p w14:paraId="09F9ABF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109,169 </w:t>
            </w:r>
          </w:p>
        </w:tc>
        <w:tc>
          <w:tcPr>
            <w:tcW w:w="960" w:type="dxa"/>
            <w:tcBorders>
              <w:top w:val="nil"/>
              <w:left w:val="nil"/>
              <w:bottom w:val="nil"/>
              <w:right w:val="nil"/>
            </w:tcBorders>
            <w:shd w:val="clear" w:color="auto" w:fill="auto"/>
            <w:noWrap/>
            <w:vAlign w:val="bottom"/>
            <w:hideMark/>
          </w:tcPr>
          <w:p w14:paraId="4A45CB2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109,262 </w:t>
            </w:r>
          </w:p>
        </w:tc>
        <w:tc>
          <w:tcPr>
            <w:tcW w:w="900" w:type="dxa"/>
            <w:tcBorders>
              <w:top w:val="nil"/>
              <w:left w:val="nil"/>
              <w:bottom w:val="nil"/>
              <w:right w:val="nil"/>
            </w:tcBorders>
            <w:shd w:val="clear" w:color="auto" w:fill="auto"/>
            <w:noWrap/>
            <w:vAlign w:val="bottom"/>
            <w:hideMark/>
          </w:tcPr>
          <w:p w14:paraId="728FCDD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109,308 </w:t>
            </w:r>
          </w:p>
        </w:tc>
        <w:tc>
          <w:tcPr>
            <w:tcW w:w="900" w:type="dxa"/>
            <w:tcBorders>
              <w:top w:val="nil"/>
              <w:left w:val="nil"/>
              <w:bottom w:val="nil"/>
              <w:right w:val="nil"/>
            </w:tcBorders>
            <w:shd w:val="clear" w:color="auto" w:fill="auto"/>
            <w:noWrap/>
            <w:vAlign w:val="bottom"/>
            <w:hideMark/>
          </w:tcPr>
          <w:p w14:paraId="11D8AB2B"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108,576 </w:t>
            </w:r>
          </w:p>
        </w:tc>
        <w:tc>
          <w:tcPr>
            <w:tcW w:w="990" w:type="dxa"/>
            <w:tcBorders>
              <w:top w:val="nil"/>
              <w:left w:val="nil"/>
              <w:bottom w:val="nil"/>
              <w:right w:val="nil"/>
            </w:tcBorders>
            <w:shd w:val="clear" w:color="auto" w:fill="auto"/>
            <w:noWrap/>
            <w:vAlign w:val="bottom"/>
            <w:hideMark/>
          </w:tcPr>
          <w:p w14:paraId="402B400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108,694 </w:t>
            </w:r>
          </w:p>
        </w:tc>
      </w:tr>
      <w:tr w:rsidR="00EC3E64" w:rsidRPr="00382CF7" w14:paraId="7BA77A2B" w14:textId="77777777" w:rsidTr="00D710D8">
        <w:trPr>
          <w:trHeight w:val="285"/>
        </w:trPr>
        <w:tc>
          <w:tcPr>
            <w:tcW w:w="990" w:type="dxa"/>
            <w:tcBorders>
              <w:top w:val="nil"/>
              <w:left w:val="nil"/>
              <w:bottom w:val="nil"/>
              <w:right w:val="nil"/>
            </w:tcBorders>
            <w:shd w:val="clear" w:color="auto" w:fill="auto"/>
            <w:noWrap/>
            <w:vAlign w:val="bottom"/>
            <w:hideMark/>
          </w:tcPr>
          <w:p w14:paraId="31E02368"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12-Jun-17</w:t>
            </w:r>
          </w:p>
        </w:tc>
        <w:tc>
          <w:tcPr>
            <w:tcW w:w="990" w:type="dxa"/>
            <w:tcBorders>
              <w:top w:val="nil"/>
              <w:left w:val="nil"/>
              <w:bottom w:val="nil"/>
              <w:right w:val="nil"/>
            </w:tcBorders>
            <w:shd w:val="clear" w:color="000000" w:fill="D9D9D9"/>
            <w:noWrap/>
            <w:vAlign w:val="bottom"/>
            <w:hideMark/>
          </w:tcPr>
          <w:p w14:paraId="7EBB2D2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6DBF882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67D83F4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6E00564A"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1DFB4A5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auto" w:fill="auto"/>
            <w:noWrap/>
            <w:vAlign w:val="bottom"/>
            <w:hideMark/>
          </w:tcPr>
          <w:p w14:paraId="4C60F128"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108,738 </w:t>
            </w:r>
          </w:p>
        </w:tc>
        <w:tc>
          <w:tcPr>
            <w:tcW w:w="990" w:type="dxa"/>
            <w:tcBorders>
              <w:top w:val="nil"/>
              <w:left w:val="nil"/>
              <w:bottom w:val="nil"/>
              <w:right w:val="nil"/>
            </w:tcBorders>
            <w:shd w:val="clear" w:color="auto" w:fill="auto"/>
            <w:noWrap/>
            <w:vAlign w:val="bottom"/>
            <w:hideMark/>
          </w:tcPr>
          <w:p w14:paraId="3E1072C8"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108,670 </w:t>
            </w:r>
          </w:p>
        </w:tc>
        <w:tc>
          <w:tcPr>
            <w:tcW w:w="795" w:type="dxa"/>
            <w:tcBorders>
              <w:top w:val="nil"/>
              <w:left w:val="nil"/>
              <w:bottom w:val="nil"/>
              <w:right w:val="nil"/>
            </w:tcBorders>
            <w:shd w:val="clear" w:color="auto" w:fill="auto"/>
            <w:noWrap/>
            <w:vAlign w:val="bottom"/>
            <w:hideMark/>
          </w:tcPr>
          <w:p w14:paraId="1810480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108,340 </w:t>
            </w:r>
          </w:p>
        </w:tc>
        <w:tc>
          <w:tcPr>
            <w:tcW w:w="960" w:type="dxa"/>
            <w:tcBorders>
              <w:top w:val="nil"/>
              <w:left w:val="nil"/>
              <w:bottom w:val="nil"/>
              <w:right w:val="nil"/>
            </w:tcBorders>
            <w:shd w:val="clear" w:color="auto" w:fill="auto"/>
            <w:noWrap/>
            <w:vAlign w:val="bottom"/>
            <w:hideMark/>
          </w:tcPr>
          <w:p w14:paraId="43A851E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108,468 </w:t>
            </w:r>
          </w:p>
        </w:tc>
        <w:tc>
          <w:tcPr>
            <w:tcW w:w="900" w:type="dxa"/>
            <w:tcBorders>
              <w:top w:val="nil"/>
              <w:left w:val="nil"/>
              <w:bottom w:val="nil"/>
              <w:right w:val="nil"/>
            </w:tcBorders>
            <w:shd w:val="clear" w:color="auto" w:fill="auto"/>
            <w:noWrap/>
            <w:vAlign w:val="bottom"/>
            <w:hideMark/>
          </w:tcPr>
          <w:p w14:paraId="2B5A82C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108,454 </w:t>
            </w:r>
          </w:p>
        </w:tc>
        <w:tc>
          <w:tcPr>
            <w:tcW w:w="900" w:type="dxa"/>
            <w:tcBorders>
              <w:top w:val="nil"/>
              <w:left w:val="nil"/>
              <w:bottom w:val="nil"/>
              <w:right w:val="nil"/>
            </w:tcBorders>
            <w:shd w:val="clear" w:color="auto" w:fill="auto"/>
            <w:noWrap/>
            <w:vAlign w:val="bottom"/>
            <w:hideMark/>
          </w:tcPr>
          <w:p w14:paraId="4A56E14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107,737 </w:t>
            </w:r>
          </w:p>
        </w:tc>
        <w:tc>
          <w:tcPr>
            <w:tcW w:w="990" w:type="dxa"/>
            <w:tcBorders>
              <w:top w:val="nil"/>
              <w:left w:val="nil"/>
              <w:bottom w:val="nil"/>
              <w:right w:val="nil"/>
            </w:tcBorders>
            <w:shd w:val="clear" w:color="auto" w:fill="auto"/>
            <w:noWrap/>
            <w:vAlign w:val="bottom"/>
            <w:hideMark/>
          </w:tcPr>
          <w:p w14:paraId="020E5A3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107,726 </w:t>
            </w:r>
          </w:p>
        </w:tc>
      </w:tr>
      <w:tr w:rsidR="00EC3E64" w:rsidRPr="00382CF7" w14:paraId="190E2594" w14:textId="77777777" w:rsidTr="00D710D8">
        <w:trPr>
          <w:trHeight w:val="285"/>
        </w:trPr>
        <w:tc>
          <w:tcPr>
            <w:tcW w:w="990" w:type="dxa"/>
            <w:tcBorders>
              <w:top w:val="nil"/>
              <w:left w:val="nil"/>
              <w:bottom w:val="nil"/>
              <w:right w:val="nil"/>
            </w:tcBorders>
            <w:shd w:val="clear" w:color="auto" w:fill="auto"/>
            <w:noWrap/>
            <w:vAlign w:val="bottom"/>
            <w:hideMark/>
          </w:tcPr>
          <w:p w14:paraId="6306B86F"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19-Jun-17</w:t>
            </w:r>
          </w:p>
        </w:tc>
        <w:tc>
          <w:tcPr>
            <w:tcW w:w="990" w:type="dxa"/>
            <w:tcBorders>
              <w:top w:val="nil"/>
              <w:left w:val="nil"/>
              <w:bottom w:val="nil"/>
              <w:right w:val="nil"/>
            </w:tcBorders>
            <w:shd w:val="clear" w:color="000000" w:fill="D9D9D9"/>
            <w:noWrap/>
            <w:vAlign w:val="bottom"/>
            <w:hideMark/>
          </w:tcPr>
          <w:p w14:paraId="13DE71F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57C7AD75"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2256445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6288611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2502BFD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7586BCA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auto" w:fill="auto"/>
            <w:noWrap/>
            <w:vAlign w:val="bottom"/>
            <w:hideMark/>
          </w:tcPr>
          <w:p w14:paraId="4D001DD2"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112,888 </w:t>
            </w:r>
          </w:p>
        </w:tc>
        <w:tc>
          <w:tcPr>
            <w:tcW w:w="795" w:type="dxa"/>
            <w:tcBorders>
              <w:top w:val="nil"/>
              <w:left w:val="nil"/>
              <w:bottom w:val="nil"/>
              <w:right w:val="nil"/>
            </w:tcBorders>
            <w:shd w:val="clear" w:color="auto" w:fill="auto"/>
            <w:noWrap/>
            <w:vAlign w:val="bottom"/>
            <w:hideMark/>
          </w:tcPr>
          <w:p w14:paraId="1884E25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112,466 </w:t>
            </w:r>
          </w:p>
        </w:tc>
        <w:tc>
          <w:tcPr>
            <w:tcW w:w="960" w:type="dxa"/>
            <w:tcBorders>
              <w:top w:val="nil"/>
              <w:left w:val="nil"/>
              <w:bottom w:val="nil"/>
              <w:right w:val="nil"/>
            </w:tcBorders>
            <w:shd w:val="clear" w:color="auto" w:fill="auto"/>
            <w:noWrap/>
            <w:vAlign w:val="bottom"/>
            <w:hideMark/>
          </w:tcPr>
          <w:p w14:paraId="3CEB463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112,543 </w:t>
            </w:r>
          </w:p>
        </w:tc>
        <w:tc>
          <w:tcPr>
            <w:tcW w:w="900" w:type="dxa"/>
            <w:tcBorders>
              <w:top w:val="nil"/>
              <w:left w:val="nil"/>
              <w:bottom w:val="nil"/>
              <w:right w:val="nil"/>
            </w:tcBorders>
            <w:shd w:val="clear" w:color="auto" w:fill="auto"/>
            <w:noWrap/>
            <w:vAlign w:val="bottom"/>
            <w:hideMark/>
          </w:tcPr>
          <w:p w14:paraId="28F2AC4A"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112,585 </w:t>
            </w:r>
          </w:p>
        </w:tc>
        <w:tc>
          <w:tcPr>
            <w:tcW w:w="900" w:type="dxa"/>
            <w:tcBorders>
              <w:top w:val="nil"/>
              <w:left w:val="nil"/>
              <w:bottom w:val="nil"/>
              <w:right w:val="nil"/>
            </w:tcBorders>
            <w:shd w:val="clear" w:color="auto" w:fill="auto"/>
            <w:noWrap/>
            <w:vAlign w:val="bottom"/>
            <w:hideMark/>
          </w:tcPr>
          <w:p w14:paraId="00C85EB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111,610 </w:t>
            </w:r>
          </w:p>
        </w:tc>
        <w:tc>
          <w:tcPr>
            <w:tcW w:w="990" w:type="dxa"/>
            <w:tcBorders>
              <w:top w:val="nil"/>
              <w:left w:val="nil"/>
              <w:bottom w:val="nil"/>
              <w:right w:val="nil"/>
            </w:tcBorders>
            <w:shd w:val="clear" w:color="auto" w:fill="auto"/>
            <w:noWrap/>
            <w:vAlign w:val="bottom"/>
            <w:hideMark/>
          </w:tcPr>
          <w:p w14:paraId="21E63F1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111,684 </w:t>
            </w:r>
          </w:p>
        </w:tc>
      </w:tr>
      <w:tr w:rsidR="00EC3E64" w:rsidRPr="00382CF7" w14:paraId="1E26EF05" w14:textId="77777777" w:rsidTr="00D710D8">
        <w:trPr>
          <w:trHeight w:val="285"/>
        </w:trPr>
        <w:tc>
          <w:tcPr>
            <w:tcW w:w="990" w:type="dxa"/>
            <w:tcBorders>
              <w:top w:val="nil"/>
              <w:left w:val="nil"/>
              <w:bottom w:val="nil"/>
              <w:right w:val="nil"/>
            </w:tcBorders>
            <w:shd w:val="clear" w:color="auto" w:fill="auto"/>
            <w:noWrap/>
            <w:vAlign w:val="bottom"/>
            <w:hideMark/>
          </w:tcPr>
          <w:p w14:paraId="4EC458CC"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26-Jun-17</w:t>
            </w:r>
          </w:p>
        </w:tc>
        <w:tc>
          <w:tcPr>
            <w:tcW w:w="990" w:type="dxa"/>
            <w:tcBorders>
              <w:top w:val="nil"/>
              <w:left w:val="nil"/>
              <w:bottom w:val="nil"/>
              <w:right w:val="nil"/>
            </w:tcBorders>
            <w:shd w:val="clear" w:color="000000" w:fill="D9D9D9"/>
            <w:noWrap/>
            <w:vAlign w:val="bottom"/>
            <w:hideMark/>
          </w:tcPr>
          <w:p w14:paraId="5D8F6AE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620416F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51F1409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2F48CD28"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16F3569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104EB222"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361487D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795" w:type="dxa"/>
            <w:tcBorders>
              <w:top w:val="nil"/>
              <w:left w:val="nil"/>
              <w:bottom w:val="nil"/>
              <w:right w:val="nil"/>
            </w:tcBorders>
            <w:shd w:val="clear" w:color="auto" w:fill="auto"/>
            <w:noWrap/>
            <w:vAlign w:val="bottom"/>
            <w:hideMark/>
          </w:tcPr>
          <w:p w14:paraId="4CAAF8A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112,670 </w:t>
            </w:r>
          </w:p>
        </w:tc>
        <w:tc>
          <w:tcPr>
            <w:tcW w:w="960" w:type="dxa"/>
            <w:tcBorders>
              <w:top w:val="nil"/>
              <w:left w:val="nil"/>
              <w:bottom w:val="nil"/>
              <w:right w:val="nil"/>
            </w:tcBorders>
            <w:shd w:val="clear" w:color="auto" w:fill="auto"/>
            <w:noWrap/>
            <w:vAlign w:val="bottom"/>
            <w:hideMark/>
          </w:tcPr>
          <w:p w14:paraId="5611DA1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112,718 </w:t>
            </w:r>
          </w:p>
        </w:tc>
        <w:tc>
          <w:tcPr>
            <w:tcW w:w="900" w:type="dxa"/>
            <w:tcBorders>
              <w:top w:val="nil"/>
              <w:left w:val="nil"/>
              <w:bottom w:val="nil"/>
              <w:right w:val="nil"/>
            </w:tcBorders>
            <w:shd w:val="clear" w:color="auto" w:fill="auto"/>
            <w:noWrap/>
            <w:vAlign w:val="bottom"/>
            <w:hideMark/>
          </w:tcPr>
          <w:p w14:paraId="05E8596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112,738 </w:t>
            </w:r>
          </w:p>
        </w:tc>
        <w:tc>
          <w:tcPr>
            <w:tcW w:w="900" w:type="dxa"/>
            <w:tcBorders>
              <w:top w:val="nil"/>
              <w:left w:val="nil"/>
              <w:bottom w:val="nil"/>
              <w:right w:val="nil"/>
            </w:tcBorders>
            <w:shd w:val="clear" w:color="auto" w:fill="auto"/>
            <w:noWrap/>
            <w:vAlign w:val="bottom"/>
            <w:hideMark/>
          </w:tcPr>
          <w:p w14:paraId="3DBAB556"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111,749 </w:t>
            </w:r>
          </w:p>
        </w:tc>
        <w:tc>
          <w:tcPr>
            <w:tcW w:w="990" w:type="dxa"/>
            <w:tcBorders>
              <w:top w:val="nil"/>
              <w:left w:val="nil"/>
              <w:bottom w:val="nil"/>
              <w:right w:val="nil"/>
            </w:tcBorders>
            <w:shd w:val="clear" w:color="auto" w:fill="auto"/>
            <w:noWrap/>
            <w:vAlign w:val="bottom"/>
            <w:hideMark/>
          </w:tcPr>
          <w:p w14:paraId="3ECB73D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111,710 </w:t>
            </w:r>
          </w:p>
        </w:tc>
      </w:tr>
      <w:tr w:rsidR="00EC3E64" w:rsidRPr="00382CF7" w14:paraId="480D9A33" w14:textId="77777777" w:rsidTr="00D710D8">
        <w:trPr>
          <w:trHeight w:val="285"/>
        </w:trPr>
        <w:tc>
          <w:tcPr>
            <w:tcW w:w="990" w:type="dxa"/>
            <w:tcBorders>
              <w:top w:val="nil"/>
              <w:left w:val="nil"/>
              <w:bottom w:val="nil"/>
              <w:right w:val="nil"/>
            </w:tcBorders>
            <w:shd w:val="clear" w:color="auto" w:fill="auto"/>
            <w:noWrap/>
            <w:vAlign w:val="bottom"/>
            <w:hideMark/>
          </w:tcPr>
          <w:p w14:paraId="56AC6157"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3-Jul-17</w:t>
            </w:r>
          </w:p>
        </w:tc>
        <w:tc>
          <w:tcPr>
            <w:tcW w:w="990" w:type="dxa"/>
            <w:tcBorders>
              <w:top w:val="nil"/>
              <w:left w:val="nil"/>
              <w:bottom w:val="nil"/>
              <w:right w:val="nil"/>
            </w:tcBorders>
            <w:shd w:val="clear" w:color="000000" w:fill="D9D9D9"/>
            <w:noWrap/>
            <w:vAlign w:val="bottom"/>
            <w:hideMark/>
          </w:tcPr>
          <w:p w14:paraId="2E1F2E3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7D3D6F4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38E34C4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02F1933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08A9558A"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63433738"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24AA56F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795" w:type="dxa"/>
            <w:tcBorders>
              <w:top w:val="nil"/>
              <w:left w:val="nil"/>
              <w:bottom w:val="nil"/>
              <w:right w:val="nil"/>
            </w:tcBorders>
            <w:shd w:val="clear" w:color="000000" w:fill="D9D9D9"/>
            <w:noWrap/>
            <w:vAlign w:val="bottom"/>
            <w:hideMark/>
          </w:tcPr>
          <w:p w14:paraId="35D8424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60" w:type="dxa"/>
            <w:tcBorders>
              <w:top w:val="nil"/>
              <w:left w:val="nil"/>
              <w:bottom w:val="nil"/>
              <w:right w:val="nil"/>
            </w:tcBorders>
            <w:shd w:val="clear" w:color="auto" w:fill="auto"/>
            <w:noWrap/>
            <w:vAlign w:val="bottom"/>
            <w:hideMark/>
          </w:tcPr>
          <w:p w14:paraId="4472E51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112,665 </w:t>
            </w:r>
          </w:p>
        </w:tc>
        <w:tc>
          <w:tcPr>
            <w:tcW w:w="900" w:type="dxa"/>
            <w:tcBorders>
              <w:top w:val="nil"/>
              <w:left w:val="nil"/>
              <w:bottom w:val="nil"/>
              <w:right w:val="nil"/>
            </w:tcBorders>
            <w:shd w:val="clear" w:color="auto" w:fill="auto"/>
            <w:noWrap/>
            <w:vAlign w:val="bottom"/>
            <w:hideMark/>
          </w:tcPr>
          <w:p w14:paraId="06CAD07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112,631 </w:t>
            </w:r>
          </w:p>
        </w:tc>
        <w:tc>
          <w:tcPr>
            <w:tcW w:w="900" w:type="dxa"/>
            <w:tcBorders>
              <w:top w:val="nil"/>
              <w:left w:val="nil"/>
              <w:bottom w:val="nil"/>
              <w:right w:val="nil"/>
            </w:tcBorders>
            <w:shd w:val="clear" w:color="auto" w:fill="auto"/>
            <w:noWrap/>
            <w:vAlign w:val="bottom"/>
            <w:hideMark/>
          </w:tcPr>
          <w:p w14:paraId="2DAD02E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111,566 </w:t>
            </w:r>
          </w:p>
        </w:tc>
        <w:tc>
          <w:tcPr>
            <w:tcW w:w="990" w:type="dxa"/>
            <w:tcBorders>
              <w:top w:val="nil"/>
              <w:left w:val="nil"/>
              <w:bottom w:val="nil"/>
              <w:right w:val="nil"/>
            </w:tcBorders>
            <w:shd w:val="clear" w:color="auto" w:fill="auto"/>
            <w:noWrap/>
            <w:vAlign w:val="bottom"/>
            <w:hideMark/>
          </w:tcPr>
          <w:p w14:paraId="6156552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111,596 </w:t>
            </w:r>
          </w:p>
        </w:tc>
      </w:tr>
      <w:tr w:rsidR="00EC3E64" w:rsidRPr="00382CF7" w14:paraId="0DB21A32" w14:textId="77777777" w:rsidTr="00D710D8">
        <w:trPr>
          <w:trHeight w:val="285"/>
        </w:trPr>
        <w:tc>
          <w:tcPr>
            <w:tcW w:w="990" w:type="dxa"/>
            <w:tcBorders>
              <w:top w:val="nil"/>
              <w:left w:val="nil"/>
              <w:bottom w:val="nil"/>
              <w:right w:val="nil"/>
            </w:tcBorders>
            <w:shd w:val="clear" w:color="auto" w:fill="auto"/>
            <w:noWrap/>
            <w:vAlign w:val="bottom"/>
            <w:hideMark/>
          </w:tcPr>
          <w:p w14:paraId="4CE178FC"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10-Jul-17</w:t>
            </w:r>
          </w:p>
        </w:tc>
        <w:tc>
          <w:tcPr>
            <w:tcW w:w="990" w:type="dxa"/>
            <w:tcBorders>
              <w:top w:val="nil"/>
              <w:left w:val="nil"/>
              <w:bottom w:val="nil"/>
              <w:right w:val="nil"/>
            </w:tcBorders>
            <w:shd w:val="clear" w:color="000000" w:fill="D9D9D9"/>
            <w:noWrap/>
            <w:vAlign w:val="bottom"/>
            <w:hideMark/>
          </w:tcPr>
          <w:p w14:paraId="00EB28F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588EBE1B"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771FE4C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1D97A85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5E21DE8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5463DC5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16086E3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795" w:type="dxa"/>
            <w:tcBorders>
              <w:top w:val="nil"/>
              <w:left w:val="nil"/>
              <w:bottom w:val="nil"/>
              <w:right w:val="nil"/>
            </w:tcBorders>
            <w:shd w:val="clear" w:color="000000" w:fill="D9D9D9"/>
            <w:noWrap/>
            <w:vAlign w:val="bottom"/>
            <w:hideMark/>
          </w:tcPr>
          <w:p w14:paraId="5C7801F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60" w:type="dxa"/>
            <w:tcBorders>
              <w:top w:val="nil"/>
              <w:left w:val="nil"/>
              <w:bottom w:val="nil"/>
              <w:right w:val="nil"/>
            </w:tcBorders>
            <w:shd w:val="clear" w:color="000000" w:fill="D9D9D9"/>
            <w:noWrap/>
            <w:vAlign w:val="bottom"/>
            <w:hideMark/>
          </w:tcPr>
          <w:p w14:paraId="02EFB14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4071B1A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112,940 </w:t>
            </w:r>
          </w:p>
        </w:tc>
        <w:tc>
          <w:tcPr>
            <w:tcW w:w="900" w:type="dxa"/>
            <w:tcBorders>
              <w:top w:val="nil"/>
              <w:left w:val="nil"/>
              <w:bottom w:val="nil"/>
              <w:right w:val="nil"/>
            </w:tcBorders>
            <w:shd w:val="clear" w:color="auto" w:fill="auto"/>
            <w:noWrap/>
            <w:vAlign w:val="bottom"/>
            <w:hideMark/>
          </w:tcPr>
          <w:p w14:paraId="64B88BD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111,848 </w:t>
            </w:r>
          </w:p>
        </w:tc>
        <w:tc>
          <w:tcPr>
            <w:tcW w:w="990" w:type="dxa"/>
            <w:tcBorders>
              <w:top w:val="nil"/>
              <w:left w:val="nil"/>
              <w:bottom w:val="nil"/>
              <w:right w:val="nil"/>
            </w:tcBorders>
            <w:shd w:val="clear" w:color="auto" w:fill="auto"/>
            <w:noWrap/>
            <w:vAlign w:val="bottom"/>
            <w:hideMark/>
          </w:tcPr>
          <w:p w14:paraId="16D893F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111,819 </w:t>
            </w:r>
          </w:p>
        </w:tc>
      </w:tr>
      <w:tr w:rsidR="00EC3E64" w:rsidRPr="00382CF7" w14:paraId="66A7B382" w14:textId="77777777" w:rsidTr="00D710D8">
        <w:trPr>
          <w:trHeight w:val="285"/>
        </w:trPr>
        <w:tc>
          <w:tcPr>
            <w:tcW w:w="990" w:type="dxa"/>
            <w:tcBorders>
              <w:top w:val="nil"/>
              <w:left w:val="nil"/>
              <w:bottom w:val="nil"/>
              <w:right w:val="nil"/>
            </w:tcBorders>
            <w:shd w:val="clear" w:color="auto" w:fill="auto"/>
            <w:noWrap/>
            <w:vAlign w:val="bottom"/>
            <w:hideMark/>
          </w:tcPr>
          <w:p w14:paraId="04A39602"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17-Jul-17</w:t>
            </w:r>
          </w:p>
        </w:tc>
        <w:tc>
          <w:tcPr>
            <w:tcW w:w="990" w:type="dxa"/>
            <w:tcBorders>
              <w:top w:val="nil"/>
              <w:left w:val="nil"/>
              <w:bottom w:val="nil"/>
              <w:right w:val="nil"/>
            </w:tcBorders>
            <w:shd w:val="clear" w:color="000000" w:fill="D9D9D9"/>
            <w:noWrap/>
            <w:vAlign w:val="bottom"/>
            <w:hideMark/>
          </w:tcPr>
          <w:p w14:paraId="12BE73CA"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2F6CD48A"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7D2288E5"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30EAC66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39CB52F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48398705"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61FDAFB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795" w:type="dxa"/>
            <w:tcBorders>
              <w:top w:val="nil"/>
              <w:left w:val="nil"/>
              <w:bottom w:val="nil"/>
              <w:right w:val="nil"/>
            </w:tcBorders>
            <w:shd w:val="clear" w:color="000000" w:fill="D9D9D9"/>
            <w:noWrap/>
            <w:vAlign w:val="bottom"/>
            <w:hideMark/>
          </w:tcPr>
          <w:p w14:paraId="5C4BFF9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60" w:type="dxa"/>
            <w:tcBorders>
              <w:top w:val="nil"/>
              <w:left w:val="nil"/>
              <w:bottom w:val="nil"/>
              <w:right w:val="nil"/>
            </w:tcBorders>
            <w:shd w:val="clear" w:color="000000" w:fill="D9D9D9"/>
            <w:noWrap/>
            <w:vAlign w:val="bottom"/>
            <w:hideMark/>
          </w:tcPr>
          <w:p w14:paraId="6A98149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675B10E4"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2BA3D678"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112,164 </w:t>
            </w:r>
          </w:p>
        </w:tc>
        <w:tc>
          <w:tcPr>
            <w:tcW w:w="990" w:type="dxa"/>
            <w:tcBorders>
              <w:top w:val="nil"/>
              <w:left w:val="nil"/>
              <w:bottom w:val="nil"/>
              <w:right w:val="nil"/>
            </w:tcBorders>
            <w:shd w:val="clear" w:color="auto" w:fill="auto"/>
            <w:noWrap/>
            <w:vAlign w:val="bottom"/>
            <w:hideMark/>
          </w:tcPr>
          <w:p w14:paraId="476772B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112,094 </w:t>
            </w:r>
          </w:p>
        </w:tc>
      </w:tr>
      <w:tr w:rsidR="00EC3E64" w:rsidRPr="00382CF7" w14:paraId="50DD1ADF" w14:textId="77777777" w:rsidTr="00D710D8">
        <w:trPr>
          <w:trHeight w:val="285"/>
        </w:trPr>
        <w:tc>
          <w:tcPr>
            <w:tcW w:w="990" w:type="dxa"/>
            <w:tcBorders>
              <w:top w:val="nil"/>
              <w:left w:val="nil"/>
              <w:bottom w:val="nil"/>
              <w:right w:val="nil"/>
            </w:tcBorders>
            <w:shd w:val="clear" w:color="auto" w:fill="auto"/>
            <w:noWrap/>
            <w:vAlign w:val="bottom"/>
            <w:hideMark/>
          </w:tcPr>
          <w:p w14:paraId="4A9E7FCE"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24-Jul-17</w:t>
            </w:r>
          </w:p>
        </w:tc>
        <w:tc>
          <w:tcPr>
            <w:tcW w:w="990" w:type="dxa"/>
            <w:tcBorders>
              <w:top w:val="nil"/>
              <w:left w:val="nil"/>
              <w:bottom w:val="nil"/>
              <w:right w:val="nil"/>
            </w:tcBorders>
            <w:shd w:val="clear" w:color="000000" w:fill="D9D9D9"/>
            <w:noWrap/>
            <w:vAlign w:val="bottom"/>
            <w:hideMark/>
          </w:tcPr>
          <w:p w14:paraId="3D99EC2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5505B11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nil"/>
              <w:right w:val="nil"/>
            </w:tcBorders>
            <w:shd w:val="clear" w:color="000000" w:fill="D9D9D9"/>
            <w:noWrap/>
            <w:vAlign w:val="bottom"/>
            <w:hideMark/>
          </w:tcPr>
          <w:p w14:paraId="5666C0A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3EF99A9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08AC571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5696DF95"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000000" w:fill="D9D9D9"/>
            <w:noWrap/>
            <w:vAlign w:val="bottom"/>
            <w:hideMark/>
          </w:tcPr>
          <w:p w14:paraId="750C2E1E"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795" w:type="dxa"/>
            <w:tcBorders>
              <w:top w:val="nil"/>
              <w:left w:val="nil"/>
              <w:bottom w:val="nil"/>
              <w:right w:val="nil"/>
            </w:tcBorders>
            <w:shd w:val="clear" w:color="000000" w:fill="D9D9D9"/>
            <w:noWrap/>
            <w:vAlign w:val="bottom"/>
            <w:hideMark/>
          </w:tcPr>
          <w:p w14:paraId="6F5230AD"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60" w:type="dxa"/>
            <w:tcBorders>
              <w:top w:val="nil"/>
              <w:left w:val="nil"/>
              <w:bottom w:val="nil"/>
              <w:right w:val="nil"/>
            </w:tcBorders>
            <w:shd w:val="clear" w:color="000000" w:fill="D9D9D9"/>
            <w:noWrap/>
            <w:vAlign w:val="bottom"/>
            <w:hideMark/>
          </w:tcPr>
          <w:p w14:paraId="3F225FB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24C008D1"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761EF90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nil"/>
              <w:right w:val="nil"/>
            </w:tcBorders>
            <w:shd w:val="clear" w:color="auto" w:fill="auto"/>
            <w:noWrap/>
            <w:vAlign w:val="bottom"/>
            <w:hideMark/>
          </w:tcPr>
          <w:p w14:paraId="1D43E60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xml:space="preserve">   111,565 </w:t>
            </w:r>
          </w:p>
        </w:tc>
      </w:tr>
      <w:tr w:rsidR="00EC3E64" w:rsidRPr="00382CF7" w14:paraId="0F6937EB" w14:textId="77777777" w:rsidTr="00D710D8">
        <w:trPr>
          <w:trHeight w:val="285"/>
        </w:trPr>
        <w:tc>
          <w:tcPr>
            <w:tcW w:w="990" w:type="dxa"/>
            <w:tcBorders>
              <w:top w:val="nil"/>
              <w:left w:val="nil"/>
              <w:bottom w:val="single" w:sz="4" w:space="0" w:color="auto"/>
              <w:right w:val="nil"/>
            </w:tcBorders>
            <w:shd w:val="clear" w:color="auto" w:fill="auto"/>
            <w:noWrap/>
            <w:vAlign w:val="bottom"/>
            <w:hideMark/>
          </w:tcPr>
          <w:p w14:paraId="4D5CC5E9" w14:textId="77777777" w:rsidR="00382CF7" w:rsidRPr="00382CF7" w:rsidRDefault="00382CF7" w:rsidP="00382CF7">
            <w:pPr>
              <w:spacing w:after="0" w:line="240" w:lineRule="auto"/>
              <w:jc w:val="right"/>
              <w:rPr>
                <w:rFonts w:ascii="Arial" w:eastAsia="Times New Roman" w:hAnsi="Arial" w:cs="Arial"/>
                <w:color w:val="000000"/>
                <w:sz w:val="16"/>
                <w:szCs w:val="16"/>
              </w:rPr>
            </w:pPr>
            <w:r w:rsidRPr="00382CF7">
              <w:rPr>
                <w:rFonts w:ascii="Arial" w:eastAsia="Times New Roman" w:hAnsi="Arial" w:cs="Arial"/>
                <w:color w:val="000000"/>
                <w:sz w:val="16"/>
                <w:szCs w:val="16"/>
              </w:rPr>
              <w:t>31-Jul-17</w:t>
            </w:r>
          </w:p>
        </w:tc>
        <w:tc>
          <w:tcPr>
            <w:tcW w:w="990" w:type="dxa"/>
            <w:tcBorders>
              <w:top w:val="nil"/>
              <w:left w:val="nil"/>
              <w:bottom w:val="single" w:sz="4" w:space="0" w:color="auto"/>
              <w:right w:val="nil"/>
            </w:tcBorders>
            <w:shd w:val="clear" w:color="000000" w:fill="D9D9D9"/>
            <w:noWrap/>
            <w:vAlign w:val="bottom"/>
            <w:hideMark/>
          </w:tcPr>
          <w:p w14:paraId="7B2160D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single" w:sz="4" w:space="0" w:color="auto"/>
              <w:right w:val="nil"/>
            </w:tcBorders>
            <w:shd w:val="clear" w:color="000000" w:fill="D9D9D9"/>
            <w:noWrap/>
            <w:vAlign w:val="bottom"/>
            <w:hideMark/>
          </w:tcPr>
          <w:p w14:paraId="4A8E3410"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1080" w:type="dxa"/>
            <w:tcBorders>
              <w:top w:val="nil"/>
              <w:left w:val="nil"/>
              <w:bottom w:val="single" w:sz="4" w:space="0" w:color="auto"/>
              <w:right w:val="nil"/>
            </w:tcBorders>
            <w:shd w:val="clear" w:color="000000" w:fill="D9D9D9"/>
            <w:noWrap/>
            <w:vAlign w:val="bottom"/>
            <w:hideMark/>
          </w:tcPr>
          <w:p w14:paraId="4C7016C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single" w:sz="4" w:space="0" w:color="auto"/>
              <w:right w:val="nil"/>
            </w:tcBorders>
            <w:shd w:val="clear" w:color="000000" w:fill="D9D9D9"/>
            <w:noWrap/>
            <w:vAlign w:val="bottom"/>
            <w:hideMark/>
          </w:tcPr>
          <w:p w14:paraId="0326259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single" w:sz="4" w:space="0" w:color="auto"/>
              <w:right w:val="nil"/>
            </w:tcBorders>
            <w:shd w:val="clear" w:color="000000" w:fill="D9D9D9"/>
            <w:noWrap/>
            <w:vAlign w:val="bottom"/>
            <w:hideMark/>
          </w:tcPr>
          <w:p w14:paraId="697CB0C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single" w:sz="4" w:space="0" w:color="auto"/>
              <w:right w:val="nil"/>
            </w:tcBorders>
            <w:shd w:val="clear" w:color="000000" w:fill="D9D9D9"/>
            <w:noWrap/>
            <w:vAlign w:val="bottom"/>
            <w:hideMark/>
          </w:tcPr>
          <w:p w14:paraId="6F9782FC"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single" w:sz="4" w:space="0" w:color="auto"/>
              <w:right w:val="nil"/>
            </w:tcBorders>
            <w:shd w:val="clear" w:color="000000" w:fill="D9D9D9"/>
            <w:noWrap/>
            <w:vAlign w:val="bottom"/>
            <w:hideMark/>
          </w:tcPr>
          <w:p w14:paraId="2288FE9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795" w:type="dxa"/>
            <w:tcBorders>
              <w:top w:val="nil"/>
              <w:left w:val="nil"/>
              <w:bottom w:val="single" w:sz="4" w:space="0" w:color="auto"/>
              <w:right w:val="nil"/>
            </w:tcBorders>
            <w:shd w:val="clear" w:color="000000" w:fill="D9D9D9"/>
            <w:noWrap/>
            <w:vAlign w:val="bottom"/>
            <w:hideMark/>
          </w:tcPr>
          <w:p w14:paraId="7C9B1F25"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60" w:type="dxa"/>
            <w:tcBorders>
              <w:top w:val="nil"/>
              <w:left w:val="nil"/>
              <w:bottom w:val="single" w:sz="4" w:space="0" w:color="auto"/>
              <w:right w:val="nil"/>
            </w:tcBorders>
            <w:shd w:val="clear" w:color="000000" w:fill="D9D9D9"/>
            <w:noWrap/>
            <w:vAlign w:val="bottom"/>
            <w:hideMark/>
          </w:tcPr>
          <w:p w14:paraId="6606D529"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single" w:sz="4" w:space="0" w:color="auto"/>
              <w:right w:val="nil"/>
            </w:tcBorders>
            <w:shd w:val="clear" w:color="000000" w:fill="D9D9D9"/>
            <w:noWrap/>
            <w:vAlign w:val="bottom"/>
            <w:hideMark/>
          </w:tcPr>
          <w:p w14:paraId="2F2C7683"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00" w:type="dxa"/>
            <w:tcBorders>
              <w:top w:val="nil"/>
              <w:left w:val="nil"/>
              <w:bottom w:val="single" w:sz="4" w:space="0" w:color="auto"/>
              <w:right w:val="nil"/>
            </w:tcBorders>
            <w:shd w:val="clear" w:color="000000" w:fill="D9D9D9"/>
            <w:noWrap/>
            <w:vAlign w:val="bottom"/>
            <w:hideMark/>
          </w:tcPr>
          <w:p w14:paraId="57CB59A7"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c>
          <w:tcPr>
            <w:tcW w:w="990" w:type="dxa"/>
            <w:tcBorders>
              <w:top w:val="nil"/>
              <w:left w:val="nil"/>
              <w:bottom w:val="single" w:sz="4" w:space="0" w:color="auto"/>
              <w:right w:val="nil"/>
            </w:tcBorders>
            <w:shd w:val="clear" w:color="000000" w:fill="D9D9D9"/>
            <w:noWrap/>
            <w:vAlign w:val="bottom"/>
            <w:hideMark/>
          </w:tcPr>
          <w:p w14:paraId="2F3B423F" w14:textId="77777777" w:rsidR="00382CF7" w:rsidRPr="00382CF7" w:rsidRDefault="00382CF7" w:rsidP="00FB5311">
            <w:pPr>
              <w:spacing w:after="0" w:line="240" w:lineRule="auto"/>
              <w:rPr>
                <w:rFonts w:ascii="Arial" w:eastAsia="Times New Roman" w:hAnsi="Arial" w:cs="Arial"/>
                <w:color w:val="000000"/>
                <w:sz w:val="16"/>
                <w:szCs w:val="16"/>
              </w:rPr>
            </w:pPr>
            <w:r w:rsidRPr="00382CF7">
              <w:rPr>
                <w:rFonts w:ascii="Arial" w:eastAsia="Times New Roman" w:hAnsi="Arial" w:cs="Arial"/>
                <w:color w:val="000000"/>
                <w:sz w:val="16"/>
                <w:szCs w:val="16"/>
              </w:rPr>
              <w:t> </w:t>
            </w:r>
          </w:p>
        </w:tc>
      </w:tr>
      <w:tr w:rsidR="00D710D8" w:rsidRPr="00D710D8" w14:paraId="31E6796E" w14:textId="77777777" w:rsidTr="00D710D8">
        <w:trPr>
          <w:trHeight w:val="285"/>
        </w:trPr>
        <w:tc>
          <w:tcPr>
            <w:tcW w:w="990" w:type="dxa"/>
            <w:tcBorders>
              <w:top w:val="single" w:sz="4" w:space="0" w:color="auto"/>
              <w:left w:val="nil"/>
              <w:bottom w:val="nil"/>
              <w:right w:val="nil"/>
            </w:tcBorders>
            <w:shd w:val="clear" w:color="auto" w:fill="auto"/>
            <w:noWrap/>
            <w:vAlign w:val="bottom"/>
            <w:hideMark/>
          </w:tcPr>
          <w:p w14:paraId="1E5F27BB" w14:textId="6DA49606" w:rsidR="00D710D8" w:rsidRPr="00D710D8" w:rsidRDefault="00D710D8" w:rsidP="00D710D8">
            <w:pPr>
              <w:spacing w:after="0" w:line="240" w:lineRule="auto"/>
              <w:jc w:val="right"/>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Total </w:t>
            </w:r>
          </w:p>
        </w:tc>
        <w:tc>
          <w:tcPr>
            <w:tcW w:w="990" w:type="dxa"/>
            <w:tcBorders>
              <w:top w:val="single" w:sz="4" w:space="0" w:color="auto"/>
              <w:left w:val="nil"/>
              <w:bottom w:val="nil"/>
              <w:right w:val="nil"/>
            </w:tcBorders>
            <w:shd w:val="clear" w:color="auto" w:fill="auto"/>
            <w:noWrap/>
            <w:vAlign w:val="bottom"/>
            <w:hideMark/>
          </w:tcPr>
          <w:p w14:paraId="4383F38C"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107,277 </w:t>
            </w:r>
          </w:p>
        </w:tc>
        <w:tc>
          <w:tcPr>
            <w:tcW w:w="1080" w:type="dxa"/>
            <w:tcBorders>
              <w:top w:val="single" w:sz="4" w:space="0" w:color="auto"/>
              <w:left w:val="nil"/>
              <w:bottom w:val="nil"/>
              <w:right w:val="nil"/>
            </w:tcBorders>
            <w:shd w:val="clear" w:color="auto" w:fill="auto"/>
            <w:noWrap/>
            <w:vAlign w:val="bottom"/>
            <w:hideMark/>
          </w:tcPr>
          <w:p w14:paraId="38231332"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107,263 </w:t>
            </w:r>
          </w:p>
        </w:tc>
        <w:tc>
          <w:tcPr>
            <w:tcW w:w="1080" w:type="dxa"/>
            <w:tcBorders>
              <w:top w:val="single" w:sz="4" w:space="0" w:color="auto"/>
              <w:left w:val="nil"/>
              <w:bottom w:val="nil"/>
              <w:right w:val="nil"/>
            </w:tcBorders>
            <w:shd w:val="clear" w:color="auto" w:fill="auto"/>
            <w:noWrap/>
            <w:vAlign w:val="bottom"/>
            <w:hideMark/>
          </w:tcPr>
          <w:p w14:paraId="34A43257"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101,418 </w:t>
            </w:r>
          </w:p>
        </w:tc>
        <w:tc>
          <w:tcPr>
            <w:tcW w:w="900" w:type="dxa"/>
            <w:tcBorders>
              <w:top w:val="single" w:sz="4" w:space="0" w:color="auto"/>
              <w:left w:val="nil"/>
              <w:bottom w:val="nil"/>
              <w:right w:val="nil"/>
            </w:tcBorders>
            <w:shd w:val="clear" w:color="auto" w:fill="auto"/>
            <w:noWrap/>
            <w:vAlign w:val="bottom"/>
            <w:hideMark/>
          </w:tcPr>
          <w:p w14:paraId="1A2C10E5"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113,550 </w:t>
            </w:r>
          </w:p>
        </w:tc>
        <w:tc>
          <w:tcPr>
            <w:tcW w:w="990" w:type="dxa"/>
            <w:tcBorders>
              <w:top w:val="single" w:sz="4" w:space="0" w:color="auto"/>
              <w:left w:val="nil"/>
              <w:bottom w:val="nil"/>
              <w:right w:val="nil"/>
            </w:tcBorders>
            <w:shd w:val="clear" w:color="auto" w:fill="auto"/>
            <w:noWrap/>
            <w:vAlign w:val="bottom"/>
            <w:hideMark/>
          </w:tcPr>
          <w:p w14:paraId="2790DA24"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112,350 </w:t>
            </w:r>
          </w:p>
        </w:tc>
        <w:tc>
          <w:tcPr>
            <w:tcW w:w="990" w:type="dxa"/>
            <w:tcBorders>
              <w:top w:val="single" w:sz="4" w:space="0" w:color="auto"/>
              <w:left w:val="nil"/>
              <w:bottom w:val="nil"/>
              <w:right w:val="nil"/>
            </w:tcBorders>
            <w:shd w:val="clear" w:color="auto" w:fill="auto"/>
            <w:noWrap/>
            <w:vAlign w:val="bottom"/>
            <w:hideMark/>
          </w:tcPr>
          <w:p w14:paraId="7B0D4C59"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117,537 </w:t>
            </w:r>
          </w:p>
        </w:tc>
        <w:tc>
          <w:tcPr>
            <w:tcW w:w="990" w:type="dxa"/>
            <w:tcBorders>
              <w:top w:val="single" w:sz="4" w:space="0" w:color="auto"/>
              <w:left w:val="nil"/>
              <w:bottom w:val="nil"/>
              <w:right w:val="nil"/>
            </w:tcBorders>
            <w:shd w:val="clear" w:color="auto" w:fill="auto"/>
            <w:noWrap/>
            <w:vAlign w:val="bottom"/>
            <w:hideMark/>
          </w:tcPr>
          <w:p w14:paraId="4836F827"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117,620 </w:t>
            </w:r>
          </w:p>
        </w:tc>
        <w:tc>
          <w:tcPr>
            <w:tcW w:w="795" w:type="dxa"/>
            <w:tcBorders>
              <w:top w:val="single" w:sz="4" w:space="0" w:color="auto"/>
              <w:left w:val="nil"/>
              <w:bottom w:val="nil"/>
              <w:right w:val="nil"/>
            </w:tcBorders>
            <w:shd w:val="clear" w:color="auto" w:fill="auto"/>
            <w:noWrap/>
            <w:vAlign w:val="bottom"/>
            <w:hideMark/>
          </w:tcPr>
          <w:p w14:paraId="7FDAD9E3"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117,285 </w:t>
            </w:r>
          </w:p>
        </w:tc>
        <w:tc>
          <w:tcPr>
            <w:tcW w:w="960" w:type="dxa"/>
            <w:tcBorders>
              <w:top w:val="single" w:sz="4" w:space="0" w:color="auto"/>
              <w:left w:val="nil"/>
              <w:bottom w:val="nil"/>
              <w:right w:val="nil"/>
            </w:tcBorders>
            <w:shd w:val="clear" w:color="auto" w:fill="auto"/>
            <w:noWrap/>
            <w:vAlign w:val="bottom"/>
            <w:hideMark/>
          </w:tcPr>
          <w:p w14:paraId="09E5E4FC"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117,481 </w:t>
            </w:r>
          </w:p>
        </w:tc>
        <w:tc>
          <w:tcPr>
            <w:tcW w:w="900" w:type="dxa"/>
            <w:tcBorders>
              <w:top w:val="single" w:sz="4" w:space="0" w:color="auto"/>
              <w:left w:val="nil"/>
              <w:bottom w:val="nil"/>
              <w:right w:val="nil"/>
            </w:tcBorders>
            <w:shd w:val="clear" w:color="auto" w:fill="auto"/>
            <w:noWrap/>
            <w:vAlign w:val="bottom"/>
            <w:hideMark/>
          </w:tcPr>
          <w:p w14:paraId="538E536A"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117,713 </w:t>
            </w:r>
          </w:p>
        </w:tc>
        <w:tc>
          <w:tcPr>
            <w:tcW w:w="900" w:type="dxa"/>
            <w:tcBorders>
              <w:top w:val="single" w:sz="4" w:space="0" w:color="auto"/>
              <w:left w:val="nil"/>
              <w:bottom w:val="nil"/>
              <w:right w:val="nil"/>
            </w:tcBorders>
            <w:shd w:val="clear" w:color="auto" w:fill="auto"/>
            <w:noWrap/>
            <w:vAlign w:val="bottom"/>
            <w:hideMark/>
          </w:tcPr>
          <w:p w14:paraId="1622E85F"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116,517 </w:t>
            </w:r>
          </w:p>
        </w:tc>
        <w:tc>
          <w:tcPr>
            <w:tcW w:w="990" w:type="dxa"/>
            <w:tcBorders>
              <w:top w:val="single" w:sz="4" w:space="0" w:color="auto"/>
              <w:left w:val="nil"/>
              <w:bottom w:val="nil"/>
              <w:right w:val="nil"/>
            </w:tcBorders>
            <w:shd w:val="clear" w:color="auto" w:fill="auto"/>
            <w:noWrap/>
            <w:vAlign w:val="bottom"/>
            <w:hideMark/>
          </w:tcPr>
          <w:p w14:paraId="54393657" w14:textId="77777777" w:rsidR="00D710D8" w:rsidRPr="00D710D8" w:rsidRDefault="00D710D8" w:rsidP="0083661A">
            <w:pPr>
              <w:spacing w:after="0" w:line="240" w:lineRule="auto"/>
              <w:rPr>
                <w:rFonts w:ascii="Arial" w:eastAsia="Times New Roman" w:hAnsi="Arial" w:cs="Arial"/>
                <w:b/>
                <w:color w:val="000000"/>
                <w:sz w:val="16"/>
                <w:szCs w:val="16"/>
              </w:rPr>
            </w:pPr>
            <w:r w:rsidRPr="00D710D8">
              <w:rPr>
                <w:rFonts w:ascii="Arial" w:eastAsia="Times New Roman" w:hAnsi="Arial" w:cs="Arial"/>
                <w:b/>
                <w:color w:val="000000"/>
                <w:sz w:val="16"/>
                <w:szCs w:val="16"/>
              </w:rPr>
              <w:t xml:space="preserve">   116,643 </w:t>
            </w:r>
          </w:p>
        </w:tc>
      </w:tr>
    </w:tbl>
    <w:p w14:paraId="5DC985DD" w14:textId="77777777" w:rsidR="00382CF7" w:rsidRDefault="00382CF7" w:rsidP="00415B41">
      <w:pPr>
        <w:spacing w:after="0" w:line="240" w:lineRule="auto"/>
        <w:rPr>
          <w:rFonts w:ascii="Arial" w:eastAsia="Times New Roman" w:hAnsi="Arial" w:cs="Arial"/>
          <w:b/>
          <w:bCs/>
          <w:color w:val="000000"/>
          <w:sz w:val="20"/>
          <w:szCs w:val="20"/>
        </w:rPr>
      </w:pPr>
    </w:p>
    <w:p w14:paraId="17214887" w14:textId="7BE6B773" w:rsidR="00382CF7" w:rsidRPr="001666E9" w:rsidRDefault="00382CF7" w:rsidP="00415B41">
      <w:pPr>
        <w:spacing w:after="0" w:line="240" w:lineRule="auto"/>
        <w:rPr>
          <w:rFonts w:ascii="Arial" w:eastAsia="Times New Roman" w:hAnsi="Arial" w:cs="Arial"/>
          <w:bCs/>
          <w:color w:val="000000"/>
          <w:sz w:val="16"/>
          <w:szCs w:val="16"/>
        </w:rPr>
      </w:pPr>
      <w:r w:rsidRPr="001666E9">
        <w:rPr>
          <w:rFonts w:ascii="Arial" w:eastAsia="Times New Roman" w:hAnsi="Arial" w:cs="Arial"/>
          <w:bCs/>
          <w:color w:val="000000"/>
          <w:sz w:val="16"/>
          <w:szCs w:val="16"/>
        </w:rPr>
        <w:t>Source: OPIS weekly price feeds from May 15</w:t>
      </w:r>
      <w:r w:rsidR="004072DE">
        <w:rPr>
          <w:rFonts w:ascii="Arial" w:eastAsia="Times New Roman" w:hAnsi="Arial" w:cs="Arial"/>
          <w:bCs/>
          <w:color w:val="000000"/>
          <w:sz w:val="16"/>
          <w:szCs w:val="16"/>
        </w:rPr>
        <w:t>,</w:t>
      </w:r>
      <w:r w:rsidRPr="001666E9">
        <w:rPr>
          <w:rFonts w:ascii="Arial" w:eastAsia="Times New Roman" w:hAnsi="Arial" w:cs="Arial"/>
          <w:bCs/>
          <w:color w:val="000000"/>
          <w:sz w:val="16"/>
          <w:szCs w:val="16"/>
        </w:rPr>
        <w:t xml:space="preserve"> 2017- July 31, 2017. If multiple feeds were available for the date, SDSI selected the feed as of 12:00 p.m.</w:t>
      </w:r>
    </w:p>
    <w:p w14:paraId="59B7F59E" w14:textId="77777777" w:rsidR="00382CF7" w:rsidRDefault="00382CF7" w:rsidP="00415B41">
      <w:pPr>
        <w:spacing w:after="0" w:line="240" w:lineRule="auto"/>
        <w:rPr>
          <w:rFonts w:ascii="Arial" w:eastAsia="Times New Roman" w:hAnsi="Arial" w:cs="Arial"/>
          <w:b/>
          <w:bCs/>
          <w:color w:val="000000"/>
          <w:sz w:val="20"/>
          <w:szCs w:val="20"/>
        </w:rPr>
      </w:pPr>
    </w:p>
    <w:p w14:paraId="2C7803A8" w14:textId="77777777" w:rsidR="003B09B3" w:rsidRDefault="003B09B3" w:rsidP="00415B41">
      <w:pPr>
        <w:spacing w:after="0" w:line="240" w:lineRule="auto"/>
        <w:rPr>
          <w:rFonts w:ascii="Arial" w:eastAsia="Times New Roman" w:hAnsi="Arial" w:cs="Arial"/>
          <w:b/>
          <w:bCs/>
          <w:color w:val="000000"/>
          <w:sz w:val="20"/>
          <w:szCs w:val="20"/>
        </w:rPr>
        <w:sectPr w:rsidR="003B09B3" w:rsidSect="003B09B3">
          <w:pgSz w:w="15840" w:h="12240" w:orient="landscape"/>
          <w:pgMar w:top="1440" w:right="1440" w:bottom="1440" w:left="1440" w:header="720" w:footer="720" w:gutter="0"/>
          <w:cols w:space="720"/>
          <w:docGrid w:linePitch="360"/>
        </w:sectPr>
      </w:pPr>
    </w:p>
    <w:p w14:paraId="3B74C012" w14:textId="4A23AFEA" w:rsidR="00C2021F" w:rsidRPr="001A77D2" w:rsidRDefault="00C2021F" w:rsidP="009F3147">
      <w:pPr>
        <w:pStyle w:val="Caption"/>
        <w:rPr>
          <w:noProof/>
        </w:rPr>
      </w:pPr>
      <w:r w:rsidRPr="001A77D2">
        <w:rPr>
          <w:noProof/>
        </w:rPr>
        <w:t>Figure A.1. Station-level OPIS prices vs. station-level GasBuddy midgrade gasoline prices for July 31, 2017</w:t>
      </w:r>
      <w:r w:rsidR="007D78CE">
        <w:rPr>
          <w:noProof/>
        </w:rPr>
        <w:t>, U.S. stations</w:t>
      </w:r>
      <w:r w:rsidR="00114932">
        <w:rPr>
          <w:noProof/>
        </w:rPr>
        <w:t>.</w:t>
      </w:r>
      <w:r w:rsidRPr="001A77D2">
        <w:rPr>
          <w:noProof/>
        </w:rPr>
        <w:t xml:space="preserve"> </w:t>
      </w:r>
    </w:p>
    <w:p w14:paraId="2467473E" w14:textId="6ACEA23E" w:rsidR="00C2021F" w:rsidRPr="00C2021F" w:rsidRDefault="00C2021F" w:rsidP="00C2021F">
      <w:r>
        <w:rPr>
          <w:noProof/>
        </w:rPr>
        <w:drawing>
          <wp:inline distT="0" distB="0" distL="0" distR="0" wp14:anchorId="14330F39" wp14:editId="110B6D93">
            <wp:extent cx="5971430" cy="3259455"/>
            <wp:effectExtent l="0" t="0" r="10795"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607A54F" w14:textId="7E775B38" w:rsidR="00C2021F" w:rsidRPr="003B09B3" w:rsidRDefault="003B09B3" w:rsidP="00415B41">
      <w:pPr>
        <w:spacing w:after="0" w:line="240" w:lineRule="auto"/>
        <w:rPr>
          <w:rFonts w:ascii="Arial" w:eastAsia="Times New Roman" w:hAnsi="Arial" w:cs="Arial"/>
          <w:bCs/>
          <w:color w:val="000000"/>
          <w:sz w:val="16"/>
          <w:szCs w:val="16"/>
        </w:rPr>
      </w:pPr>
      <w:r w:rsidRPr="003B09B3">
        <w:rPr>
          <w:rFonts w:ascii="Arial" w:eastAsia="Times New Roman" w:hAnsi="Arial" w:cs="Arial"/>
          <w:bCs/>
          <w:color w:val="000000"/>
          <w:sz w:val="16"/>
          <w:szCs w:val="16"/>
        </w:rPr>
        <w:t>Note: GasBuddy cash price used when available</w:t>
      </w:r>
    </w:p>
    <w:p w14:paraId="73A7DD5B" w14:textId="77777777" w:rsidR="00C2021F" w:rsidRDefault="00C2021F" w:rsidP="00415B41">
      <w:pPr>
        <w:spacing w:after="0" w:line="240" w:lineRule="auto"/>
        <w:rPr>
          <w:rFonts w:ascii="Arial" w:eastAsia="Times New Roman" w:hAnsi="Arial" w:cs="Arial"/>
          <w:b/>
          <w:bCs/>
          <w:color w:val="000000"/>
          <w:sz w:val="20"/>
          <w:szCs w:val="20"/>
        </w:rPr>
      </w:pPr>
    </w:p>
    <w:p w14:paraId="09E3EE36" w14:textId="77777777" w:rsidR="00C2021F" w:rsidRDefault="00C2021F" w:rsidP="00415B41">
      <w:pPr>
        <w:spacing w:after="0" w:line="240" w:lineRule="auto"/>
        <w:rPr>
          <w:rFonts w:ascii="Arial" w:eastAsia="Times New Roman" w:hAnsi="Arial" w:cs="Arial"/>
          <w:b/>
          <w:bCs/>
          <w:color w:val="000000"/>
          <w:sz w:val="20"/>
          <w:szCs w:val="20"/>
        </w:rPr>
      </w:pPr>
    </w:p>
    <w:p w14:paraId="08F95633" w14:textId="3A6E699A" w:rsidR="00C2021F" w:rsidRPr="001A77D2" w:rsidRDefault="00C2021F" w:rsidP="009F3147">
      <w:pPr>
        <w:pStyle w:val="Caption"/>
        <w:rPr>
          <w:noProof/>
        </w:rPr>
      </w:pPr>
      <w:r w:rsidRPr="001A77D2">
        <w:rPr>
          <w:noProof/>
        </w:rPr>
        <w:t>Figure A.2. Station-level OPIS prices vs. station-level GasBuddy premium gasoline prices for July 31, 2017</w:t>
      </w:r>
      <w:r w:rsidR="007D78CE">
        <w:rPr>
          <w:noProof/>
        </w:rPr>
        <w:t>, U.S. stations</w:t>
      </w:r>
      <w:r w:rsidR="00114932">
        <w:rPr>
          <w:noProof/>
        </w:rPr>
        <w:t>.</w:t>
      </w:r>
      <w:r w:rsidRPr="001A77D2">
        <w:rPr>
          <w:noProof/>
        </w:rPr>
        <w:t xml:space="preserve"> </w:t>
      </w:r>
    </w:p>
    <w:p w14:paraId="19784131" w14:textId="77777777" w:rsidR="00AF0280" w:rsidRDefault="00AF0280" w:rsidP="00415B41">
      <w:pPr>
        <w:spacing w:after="0" w:line="240" w:lineRule="auto"/>
        <w:rPr>
          <w:rFonts w:ascii="Arial" w:eastAsia="Times New Roman" w:hAnsi="Arial" w:cs="Arial"/>
          <w:b/>
          <w:bCs/>
          <w:color w:val="000000"/>
          <w:sz w:val="20"/>
          <w:szCs w:val="20"/>
        </w:rPr>
      </w:pPr>
    </w:p>
    <w:p w14:paraId="3569BFF4" w14:textId="62D2F1DC" w:rsidR="00AF0280" w:rsidRDefault="00C2021F" w:rsidP="00415B41">
      <w:pPr>
        <w:spacing w:after="0" w:line="240" w:lineRule="auto"/>
        <w:rPr>
          <w:rFonts w:ascii="Arial" w:eastAsia="Times New Roman" w:hAnsi="Arial" w:cs="Arial"/>
          <w:b/>
          <w:bCs/>
          <w:color w:val="000000"/>
          <w:sz w:val="20"/>
          <w:szCs w:val="20"/>
        </w:rPr>
      </w:pPr>
      <w:r>
        <w:rPr>
          <w:noProof/>
        </w:rPr>
        <w:drawing>
          <wp:inline distT="0" distB="0" distL="0" distR="0" wp14:anchorId="51955F49" wp14:editId="06C55FCF">
            <wp:extent cx="5955527" cy="3363402"/>
            <wp:effectExtent l="0" t="0" r="7620" b="889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460ED1" w14:textId="77777777" w:rsidR="003B09B3" w:rsidRPr="003B09B3" w:rsidRDefault="003B09B3" w:rsidP="003B09B3">
      <w:pPr>
        <w:spacing w:after="0" w:line="240" w:lineRule="auto"/>
        <w:rPr>
          <w:rFonts w:ascii="Arial" w:eastAsia="Times New Roman" w:hAnsi="Arial" w:cs="Arial"/>
          <w:bCs/>
          <w:color w:val="000000"/>
          <w:sz w:val="16"/>
          <w:szCs w:val="16"/>
        </w:rPr>
      </w:pPr>
      <w:r w:rsidRPr="003B09B3">
        <w:rPr>
          <w:rFonts w:ascii="Arial" w:eastAsia="Times New Roman" w:hAnsi="Arial" w:cs="Arial"/>
          <w:bCs/>
          <w:color w:val="000000"/>
          <w:sz w:val="16"/>
          <w:szCs w:val="16"/>
        </w:rPr>
        <w:t>Note: GasBuddy cash price used when available</w:t>
      </w:r>
    </w:p>
    <w:p w14:paraId="34F5D499" w14:textId="77777777" w:rsidR="00AF0280" w:rsidRDefault="00AF0280" w:rsidP="00415B41">
      <w:pPr>
        <w:spacing w:after="0" w:line="240" w:lineRule="auto"/>
        <w:rPr>
          <w:rFonts w:ascii="Arial" w:eastAsia="Times New Roman" w:hAnsi="Arial" w:cs="Arial"/>
          <w:b/>
          <w:bCs/>
          <w:color w:val="000000"/>
          <w:sz w:val="20"/>
          <w:szCs w:val="20"/>
        </w:rPr>
      </w:pPr>
    </w:p>
    <w:tbl>
      <w:tblPr>
        <w:tblW w:w="9098" w:type="dxa"/>
        <w:tblLook w:val="04A0" w:firstRow="1" w:lastRow="0" w:firstColumn="1" w:lastColumn="0" w:noHBand="0" w:noVBand="1"/>
      </w:tblPr>
      <w:tblGrid>
        <w:gridCol w:w="8478"/>
        <w:gridCol w:w="620"/>
      </w:tblGrid>
      <w:tr w:rsidR="00643E91" w:rsidRPr="0028581D" w14:paraId="493936EC" w14:textId="77777777" w:rsidTr="007242D7">
        <w:trPr>
          <w:gridAfter w:val="1"/>
          <w:wAfter w:w="620" w:type="dxa"/>
          <w:trHeight w:val="300"/>
        </w:trPr>
        <w:tc>
          <w:tcPr>
            <w:tcW w:w="8478" w:type="dxa"/>
            <w:tcBorders>
              <w:top w:val="nil"/>
              <w:left w:val="nil"/>
              <w:bottom w:val="nil"/>
              <w:right w:val="nil"/>
            </w:tcBorders>
            <w:shd w:val="clear" w:color="auto" w:fill="auto"/>
            <w:vAlign w:val="bottom"/>
            <w:hideMark/>
          </w:tcPr>
          <w:p w14:paraId="1C5A248F" w14:textId="45454E8B" w:rsidR="00643E91" w:rsidRPr="00643E91" w:rsidRDefault="00643E91" w:rsidP="009F3147">
            <w:pPr>
              <w:pStyle w:val="Caption"/>
              <w:rPr>
                <w:noProof/>
              </w:rPr>
            </w:pPr>
            <w:r w:rsidRPr="00643E91">
              <w:rPr>
                <w:noProof/>
              </w:rPr>
              <w:t xml:space="preserve">Table </w:t>
            </w:r>
            <w:r>
              <w:rPr>
                <w:noProof/>
              </w:rPr>
              <w:t>A.</w:t>
            </w:r>
            <w:r w:rsidRPr="00643E91">
              <w:rPr>
                <w:noProof/>
              </w:rPr>
              <w:t xml:space="preserve">2 Summary of matched EIA and OPIS </w:t>
            </w:r>
            <w:r>
              <w:rPr>
                <w:noProof/>
              </w:rPr>
              <w:t>midgrade</w:t>
            </w:r>
            <w:r w:rsidRPr="00643E91">
              <w:rPr>
                <w:noProof/>
              </w:rPr>
              <w:t xml:space="preserve"> gasoline price data for 12</w:t>
            </w:r>
            <w:r w:rsidR="0077495B">
              <w:rPr>
                <w:noProof/>
              </w:rPr>
              <w:t>-</w:t>
            </w:r>
            <w:r w:rsidRPr="00643E91">
              <w:rPr>
                <w:noProof/>
              </w:rPr>
              <w:t>week study</w:t>
            </w:r>
            <w:r w:rsidR="00114932">
              <w:rPr>
                <w:noProof/>
              </w:rPr>
              <w:t>.</w:t>
            </w:r>
            <w:r w:rsidRPr="00643E91">
              <w:rPr>
                <w:noProof/>
              </w:rPr>
              <w:t xml:space="preserve"> </w:t>
            </w:r>
          </w:p>
        </w:tc>
      </w:tr>
      <w:tr w:rsidR="00415B41" w:rsidRPr="00AC69C0" w14:paraId="49DBE087" w14:textId="77777777" w:rsidTr="007242D7">
        <w:trPr>
          <w:gridAfter w:val="1"/>
          <w:wAfter w:w="620" w:type="dxa"/>
          <w:trHeight w:val="300"/>
        </w:trPr>
        <w:tc>
          <w:tcPr>
            <w:tcW w:w="8478" w:type="dxa"/>
            <w:tcBorders>
              <w:top w:val="nil"/>
              <w:left w:val="nil"/>
              <w:bottom w:val="nil"/>
              <w:right w:val="nil"/>
            </w:tcBorders>
            <w:shd w:val="clear" w:color="auto" w:fill="auto"/>
            <w:vAlign w:val="bottom"/>
          </w:tcPr>
          <w:tbl>
            <w:tblPr>
              <w:tblW w:w="8262" w:type="dxa"/>
              <w:tblLook w:val="04A0" w:firstRow="1" w:lastRow="0" w:firstColumn="1" w:lastColumn="0" w:noHBand="0" w:noVBand="1"/>
            </w:tblPr>
            <w:tblGrid>
              <w:gridCol w:w="4932"/>
              <w:gridCol w:w="720"/>
              <w:gridCol w:w="2610"/>
            </w:tblGrid>
            <w:tr w:rsidR="007242D7" w:rsidRPr="00280643" w14:paraId="7E8C3B22" w14:textId="77777777" w:rsidTr="00DE7135">
              <w:trPr>
                <w:trHeight w:val="360"/>
              </w:trPr>
              <w:tc>
                <w:tcPr>
                  <w:tcW w:w="4932" w:type="dxa"/>
                  <w:tcBorders>
                    <w:top w:val="nil"/>
                    <w:left w:val="nil"/>
                    <w:bottom w:val="single" w:sz="12" w:space="0" w:color="0096D7"/>
                    <w:right w:val="nil"/>
                  </w:tcBorders>
                  <w:shd w:val="clear" w:color="auto" w:fill="auto"/>
                  <w:vAlign w:val="bottom"/>
                  <w:hideMark/>
                </w:tcPr>
                <w:p w14:paraId="0A3A6817"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c>
                <w:tcPr>
                  <w:tcW w:w="720" w:type="dxa"/>
                  <w:tcBorders>
                    <w:top w:val="nil"/>
                    <w:left w:val="nil"/>
                    <w:bottom w:val="single" w:sz="12" w:space="0" w:color="0096D7"/>
                    <w:right w:val="nil"/>
                  </w:tcBorders>
                  <w:shd w:val="clear" w:color="auto" w:fill="auto"/>
                  <w:vAlign w:val="bottom"/>
                  <w:hideMark/>
                </w:tcPr>
                <w:p w14:paraId="7DB7ED3A" w14:textId="77777777" w:rsidR="007242D7" w:rsidRPr="00280643" w:rsidRDefault="007242D7" w:rsidP="007242D7">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w:t>
                  </w:r>
                </w:p>
              </w:tc>
              <w:tc>
                <w:tcPr>
                  <w:tcW w:w="2610" w:type="dxa"/>
                  <w:tcBorders>
                    <w:top w:val="nil"/>
                    <w:left w:val="nil"/>
                    <w:bottom w:val="single" w:sz="12" w:space="0" w:color="0096D7"/>
                    <w:right w:val="nil"/>
                  </w:tcBorders>
                  <w:shd w:val="clear" w:color="auto" w:fill="auto"/>
                  <w:vAlign w:val="bottom"/>
                  <w:hideMark/>
                </w:tcPr>
                <w:p w14:paraId="1414D717" w14:textId="77777777" w:rsidR="007242D7" w:rsidRPr="00280643" w:rsidRDefault="007242D7" w:rsidP="007242D7">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Percent of non</w:t>
                  </w:r>
                  <w:r>
                    <w:rPr>
                      <w:rFonts w:ascii="Calibri" w:eastAsia="Times New Roman" w:hAnsi="Calibri" w:cs="Times New Roman"/>
                      <w:b/>
                      <w:bCs/>
                      <w:color w:val="000000"/>
                      <w:sz w:val="18"/>
                      <w:szCs w:val="18"/>
                    </w:rPr>
                    <w:t>-</w:t>
                  </w:r>
                  <w:r w:rsidRPr="00280643">
                    <w:rPr>
                      <w:rFonts w:ascii="Calibri" w:eastAsia="Times New Roman" w:hAnsi="Calibri" w:cs="Times New Roman"/>
                      <w:b/>
                      <w:bCs/>
                      <w:color w:val="000000"/>
                      <w:sz w:val="18"/>
                      <w:szCs w:val="18"/>
                    </w:rPr>
                    <w:t>missing data</w:t>
                  </w:r>
                </w:p>
              </w:tc>
            </w:tr>
            <w:tr w:rsidR="007242D7" w:rsidRPr="00280643" w14:paraId="40D7D355" w14:textId="77777777" w:rsidTr="00DE7135">
              <w:trPr>
                <w:trHeight w:val="285"/>
              </w:trPr>
              <w:tc>
                <w:tcPr>
                  <w:tcW w:w="4932" w:type="dxa"/>
                  <w:tcBorders>
                    <w:top w:val="nil"/>
                    <w:left w:val="nil"/>
                    <w:bottom w:val="single" w:sz="4" w:space="0" w:color="BFBFBF"/>
                    <w:right w:val="nil"/>
                  </w:tcBorders>
                  <w:shd w:val="clear" w:color="auto" w:fill="auto"/>
                  <w:noWrap/>
                  <w:vAlign w:val="center"/>
                  <w:hideMark/>
                </w:tcPr>
                <w:p w14:paraId="64C586E1" w14:textId="163C4891" w:rsidR="007242D7" w:rsidRPr="00280643" w:rsidRDefault="007242D7" w:rsidP="007242D7">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Number of stations selling midgrade</w:t>
                  </w:r>
                  <w:r w:rsidRPr="00280643">
                    <w:rPr>
                      <w:rFonts w:ascii="Calibri" w:eastAsia="Times New Roman" w:hAnsi="Calibri" w:cs="Times New Roman"/>
                      <w:b/>
                      <w:bCs/>
                      <w:color w:val="000000"/>
                      <w:sz w:val="18"/>
                      <w:szCs w:val="18"/>
                    </w:rPr>
                    <w:t xml:space="preserve"> gasoline</w:t>
                  </w:r>
                </w:p>
              </w:tc>
              <w:tc>
                <w:tcPr>
                  <w:tcW w:w="720" w:type="dxa"/>
                  <w:tcBorders>
                    <w:top w:val="nil"/>
                    <w:left w:val="nil"/>
                    <w:bottom w:val="single" w:sz="4" w:space="0" w:color="BFBFBF"/>
                    <w:right w:val="nil"/>
                  </w:tcBorders>
                  <w:shd w:val="clear" w:color="auto" w:fill="auto"/>
                  <w:noWrap/>
                  <w:vAlign w:val="center"/>
                  <w:hideMark/>
                </w:tcPr>
                <w:p w14:paraId="08D44593" w14:textId="77777777" w:rsidR="007242D7" w:rsidRPr="00280643" w:rsidRDefault="007242D7" w:rsidP="007242D7">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802</w:t>
                  </w:r>
                </w:p>
              </w:tc>
              <w:tc>
                <w:tcPr>
                  <w:tcW w:w="2610" w:type="dxa"/>
                  <w:tcBorders>
                    <w:top w:val="nil"/>
                    <w:left w:val="nil"/>
                    <w:bottom w:val="single" w:sz="4" w:space="0" w:color="BFBFBF"/>
                    <w:right w:val="nil"/>
                  </w:tcBorders>
                  <w:shd w:val="clear" w:color="auto" w:fill="auto"/>
                  <w:noWrap/>
                  <w:vAlign w:val="center"/>
                  <w:hideMark/>
                </w:tcPr>
                <w:p w14:paraId="527DD817"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7242D7" w:rsidRPr="00280643" w14:paraId="6A958A0E" w14:textId="77777777" w:rsidTr="00DE7135">
              <w:trPr>
                <w:trHeight w:val="593"/>
              </w:trPr>
              <w:tc>
                <w:tcPr>
                  <w:tcW w:w="4932" w:type="dxa"/>
                  <w:tcBorders>
                    <w:top w:val="single" w:sz="4" w:space="0" w:color="0096D7"/>
                    <w:left w:val="nil"/>
                    <w:bottom w:val="single" w:sz="4" w:space="0" w:color="BFBFBF"/>
                    <w:right w:val="nil"/>
                  </w:tcBorders>
                  <w:shd w:val="clear" w:color="auto" w:fill="auto"/>
                  <w:vAlign w:val="bottom"/>
                  <w:hideMark/>
                </w:tcPr>
                <w:p w14:paraId="32D329B7"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Number of stations with non</w:t>
                  </w:r>
                  <w:r>
                    <w:rPr>
                      <w:rFonts w:ascii="Calibri" w:eastAsia="Times New Roman" w:hAnsi="Calibri" w:cs="Times New Roman"/>
                      <w:b/>
                      <w:bCs/>
                      <w:color w:val="000000"/>
                      <w:sz w:val="18"/>
                      <w:szCs w:val="18"/>
                    </w:rPr>
                    <w:t>-</w:t>
                  </w:r>
                  <w:r w:rsidRPr="00280643">
                    <w:rPr>
                      <w:rFonts w:ascii="Calibri" w:eastAsia="Times New Roman" w:hAnsi="Calibri" w:cs="Times New Roman"/>
                      <w:b/>
                      <w:bCs/>
                      <w:color w:val="000000"/>
                      <w:sz w:val="18"/>
                      <w:szCs w:val="18"/>
                    </w:rPr>
                    <w:t>missing EIA-878 and OPIS data over 12 week study period</w:t>
                  </w:r>
                </w:p>
              </w:tc>
              <w:tc>
                <w:tcPr>
                  <w:tcW w:w="720" w:type="dxa"/>
                  <w:tcBorders>
                    <w:top w:val="single" w:sz="4" w:space="0" w:color="0096D7"/>
                    <w:left w:val="nil"/>
                    <w:bottom w:val="single" w:sz="4" w:space="0" w:color="BFBFBF"/>
                    <w:right w:val="nil"/>
                  </w:tcBorders>
                  <w:shd w:val="clear" w:color="auto" w:fill="auto"/>
                  <w:vAlign w:val="bottom"/>
                  <w:hideMark/>
                </w:tcPr>
                <w:p w14:paraId="69F4100B" w14:textId="71B523F6" w:rsidR="007242D7" w:rsidRPr="00280643" w:rsidRDefault="007242D7" w:rsidP="007242D7">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302</w:t>
                  </w:r>
                </w:p>
              </w:tc>
              <w:tc>
                <w:tcPr>
                  <w:tcW w:w="2610" w:type="dxa"/>
                  <w:tcBorders>
                    <w:top w:val="single" w:sz="4" w:space="0" w:color="0096D7"/>
                    <w:left w:val="nil"/>
                    <w:bottom w:val="single" w:sz="4" w:space="0" w:color="BFBFBF"/>
                    <w:right w:val="nil"/>
                  </w:tcBorders>
                  <w:shd w:val="clear" w:color="auto" w:fill="auto"/>
                  <w:vAlign w:val="bottom"/>
                  <w:hideMark/>
                </w:tcPr>
                <w:p w14:paraId="53186989"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7242D7" w:rsidRPr="00280643" w14:paraId="3FF6AB08" w14:textId="77777777" w:rsidTr="00DE7135">
              <w:trPr>
                <w:trHeight w:val="300"/>
              </w:trPr>
              <w:tc>
                <w:tcPr>
                  <w:tcW w:w="4932" w:type="dxa"/>
                  <w:tcBorders>
                    <w:top w:val="nil"/>
                    <w:left w:val="nil"/>
                    <w:bottom w:val="dashed" w:sz="4" w:space="0" w:color="BFBFBF"/>
                    <w:right w:val="nil"/>
                  </w:tcBorders>
                  <w:shd w:val="clear" w:color="auto" w:fill="auto"/>
                  <w:vAlign w:val="bottom"/>
                  <w:hideMark/>
                </w:tcPr>
                <w:p w14:paraId="05DE1A66" w14:textId="77777777" w:rsidR="007242D7" w:rsidRPr="00280643" w:rsidRDefault="007242D7" w:rsidP="00FB5311">
                  <w:pPr>
                    <w:spacing w:after="0" w:line="240" w:lineRule="auto"/>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Exact Match</w:t>
                  </w:r>
                </w:p>
              </w:tc>
              <w:tc>
                <w:tcPr>
                  <w:tcW w:w="720" w:type="dxa"/>
                  <w:tcBorders>
                    <w:top w:val="nil"/>
                    <w:left w:val="nil"/>
                    <w:bottom w:val="dashed" w:sz="4" w:space="0" w:color="BFBFBF"/>
                    <w:right w:val="nil"/>
                  </w:tcBorders>
                  <w:shd w:val="clear" w:color="auto" w:fill="auto"/>
                  <w:vAlign w:val="bottom"/>
                  <w:hideMark/>
                </w:tcPr>
                <w:p w14:paraId="34A77054" w14:textId="7F37D826"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58</w:t>
                  </w:r>
                </w:p>
              </w:tc>
              <w:tc>
                <w:tcPr>
                  <w:tcW w:w="2610" w:type="dxa"/>
                  <w:tcBorders>
                    <w:top w:val="nil"/>
                    <w:left w:val="nil"/>
                    <w:bottom w:val="dashed" w:sz="4" w:space="0" w:color="BFBFBF"/>
                    <w:right w:val="nil"/>
                  </w:tcBorders>
                  <w:shd w:val="clear" w:color="auto" w:fill="auto"/>
                  <w:vAlign w:val="bottom"/>
                  <w:hideMark/>
                </w:tcPr>
                <w:p w14:paraId="168D25FA" w14:textId="643946CA"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19</w:t>
                  </w:r>
                  <w:r w:rsidRPr="00280643">
                    <w:rPr>
                      <w:rFonts w:ascii="Calibri" w:eastAsia="Times New Roman" w:hAnsi="Calibri" w:cs="Times New Roman"/>
                      <w:color w:val="000000"/>
                      <w:sz w:val="18"/>
                      <w:szCs w:val="18"/>
                    </w:rPr>
                    <w:t>%</w:t>
                  </w:r>
                </w:p>
              </w:tc>
            </w:tr>
            <w:tr w:rsidR="007242D7" w:rsidRPr="00280643" w14:paraId="3098372E" w14:textId="77777777" w:rsidTr="00DE7135">
              <w:trPr>
                <w:trHeight w:val="300"/>
              </w:trPr>
              <w:tc>
                <w:tcPr>
                  <w:tcW w:w="4932" w:type="dxa"/>
                  <w:tcBorders>
                    <w:top w:val="nil"/>
                    <w:left w:val="nil"/>
                    <w:bottom w:val="dashed" w:sz="4" w:space="0" w:color="BFBFBF"/>
                    <w:right w:val="nil"/>
                  </w:tcBorders>
                  <w:shd w:val="clear" w:color="auto" w:fill="auto"/>
                  <w:noWrap/>
                  <w:hideMark/>
                </w:tcPr>
                <w:p w14:paraId="750C291F" w14:textId="77777777" w:rsidR="007242D7" w:rsidRPr="00280643" w:rsidRDefault="007242D7" w:rsidP="00FB5311">
                  <w:pPr>
                    <w:spacing w:after="0" w:line="240" w:lineRule="auto"/>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Non Match</w:t>
                  </w:r>
                </w:p>
              </w:tc>
              <w:tc>
                <w:tcPr>
                  <w:tcW w:w="720" w:type="dxa"/>
                  <w:tcBorders>
                    <w:top w:val="nil"/>
                    <w:left w:val="nil"/>
                    <w:bottom w:val="dashed" w:sz="4" w:space="0" w:color="BFBFBF"/>
                    <w:right w:val="nil"/>
                  </w:tcBorders>
                  <w:shd w:val="clear" w:color="auto" w:fill="auto"/>
                  <w:vAlign w:val="bottom"/>
                  <w:hideMark/>
                </w:tcPr>
                <w:p w14:paraId="6E927495" w14:textId="7BEAC806"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244</w:t>
                  </w:r>
                </w:p>
              </w:tc>
              <w:tc>
                <w:tcPr>
                  <w:tcW w:w="2610" w:type="dxa"/>
                  <w:tcBorders>
                    <w:top w:val="nil"/>
                    <w:left w:val="nil"/>
                    <w:bottom w:val="dashed" w:sz="4" w:space="0" w:color="BFBFBF"/>
                    <w:right w:val="nil"/>
                  </w:tcBorders>
                  <w:shd w:val="clear" w:color="auto" w:fill="auto"/>
                  <w:vAlign w:val="bottom"/>
                  <w:hideMark/>
                </w:tcPr>
                <w:p w14:paraId="038F6EBF" w14:textId="186F024C"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81</w:t>
                  </w:r>
                  <w:r w:rsidRPr="00280643">
                    <w:rPr>
                      <w:rFonts w:ascii="Calibri" w:eastAsia="Times New Roman" w:hAnsi="Calibri" w:cs="Times New Roman"/>
                      <w:color w:val="000000"/>
                      <w:sz w:val="18"/>
                      <w:szCs w:val="18"/>
                    </w:rPr>
                    <w:t>%</w:t>
                  </w:r>
                </w:p>
              </w:tc>
            </w:tr>
            <w:tr w:rsidR="007242D7" w:rsidRPr="00280643" w14:paraId="37D22B0B" w14:textId="77777777" w:rsidTr="00DE7135">
              <w:trPr>
                <w:trHeight w:val="300"/>
              </w:trPr>
              <w:tc>
                <w:tcPr>
                  <w:tcW w:w="4932" w:type="dxa"/>
                  <w:tcBorders>
                    <w:top w:val="nil"/>
                    <w:left w:val="nil"/>
                    <w:bottom w:val="dashed" w:sz="4" w:space="0" w:color="BFBFBF"/>
                    <w:right w:val="nil"/>
                  </w:tcBorders>
                  <w:shd w:val="clear" w:color="auto" w:fill="auto"/>
                  <w:vAlign w:val="bottom"/>
                  <w:hideMark/>
                </w:tcPr>
                <w:p w14:paraId="5A89B67A"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Total Row</w:t>
                  </w:r>
                </w:p>
              </w:tc>
              <w:tc>
                <w:tcPr>
                  <w:tcW w:w="720" w:type="dxa"/>
                  <w:tcBorders>
                    <w:top w:val="nil"/>
                    <w:left w:val="nil"/>
                    <w:bottom w:val="dashed" w:sz="4" w:space="0" w:color="BFBFBF"/>
                    <w:right w:val="nil"/>
                  </w:tcBorders>
                  <w:shd w:val="clear" w:color="auto" w:fill="auto"/>
                  <w:vAlign w:val="bottom"/>
                  <w:hideMark/>
                </w:tcPr>
                <w:p w14:paraId="702A4D32" w14:textId="5A2B21D3" w:rsidR="007242D7" w:rsidRPr="00280643" w:rsidRDefault="007242D7" w:rsidP="007242D7">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302</w:t>
                  </w:r>
                </w:p>
              </w:tc>
              <w:tc>
                <w:tcPr>
                  <w:tcW w:w="2610" w:type="dxa"/>
                  <w:tcBorders>
                    <w:top w:val="nil"/>
                    <w:left w:val="nil"/>
                    <w:bottom w:val="dashed" w:sz="4" w:space="0" w:color="BFBFBF"/>
                    <w:right w:val="nil"/>
                  </w:tcBorders>
                  <w:shd w:val="clear" w:color="auto" w:fill="auto"/>
                  <w:vAlign w:val="bottom"/>
                  <w:hideMark/>
                </w:tcPr>
                <w:p w14:paraId="21E06011" w14:textId="77777777" w:rsidR="007242D7" w:rsidRPr="00280643" w:rsidRDefault="007242D7" w:rsidP="007242D7">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100%</w:t>
                  </w:r>
                </w:p>
              </w:tc>
            </w:tr>
            <w:tr w:rsidR="007242D7" w:rsidRPr="00280643" w14:paraId="1D7C3721" w14:textId="77777777" w:rsidTr="00DE7135">
              <w:trPr>
                <w:trHeight w:val="300"/>
              </w:trPr>
              <w:tc>
                <w:tcPr>
                  <w:tcW w:w="4932" w:type="dxa"/>
                  <w:tcBorders>
                    <w:top w:val="single" w:sz="4" w:space="0" w:color="0096D7"/>
                    <w:left w:val="nil"/>
                    <w:bottom w:val="single" w:sz="4" w:space="0" w:color="BFBFBF"/>
                    <w:right w:val="nil"/>
                  </w:tcBorders>
                  <w:shd w:val="clear" w:color="auto" w:fill="auto"/>
                  <w:vAlign w:val="bottom"/>
                  <w:hideMark/>
                </w:tcPr>
                <w:p w14:paraId="14CA07AF"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Non Match</w:t>
                  </w:r>
                </w:p>
              </w:tc>
              <w:tc>
                <w:tcPr>
                  <w:tcW w:w="720" w:type="dxa"/>
                  <w:tcBorders>
                    <w:top w:val="single" w:sz="4" w:space="0" w:color="0096D7"/>
                    <w:left w:val="nil"/>
                    <w:bottom w:val="single" w:sz="4" w:space="0" w:color="BFBFBF"/>
                    <w:right w:val="nil"/>
                  </w:tcBorders>
                  <w:shd w:val="clear" w:color="auto" w:fill="auto"/>
                  <w:vAlign w:val="bottom"/>
                  <w:hideMark/>
                </w:tcPr>
                <w:p w14:paraId="25959161"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c>
                <w:tcPr>
                  <w:tcW w:w="2610" w:type="dxa"/>
                  <w:tcBorders>
                    <w:top w:val="single" w:sz="4" w:space="0" w:color="0096D7"/>
                    <w:left w:val="nil"/>
                    <w:bottom w:val="single" w:sz="4" w:space="0" w:color="BFBFBF"/>
                    <w:right w:val="nil"/>
                  </w:tcBorders>
                  <w:shd w:val="clear" w:color="auto" w:fill="auto"/>
                  <w:vAlign w:val="bottom"/>
                  <w:hideMark/>
                </w:tcPr>
                <w:p w14:paraId="75F6F0AE"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7242D7" w:rsidRPr="00280643" w14:paraId="08695601" w14:textId="77777777" w:rsidTr="00DE7135">
              <w:trPr>
                <w:trHeight w:val="300"/>
              </w:trPr>
              <w:tc>
                <w:tcPr>
                  <w:tcW w:w="4932" w:type="dxa"/>
                  <w:tcBorders>
                    <w:top w:val="nil"/>
                    <w:left w:val="nil"/>
                    <w:bottom w:val="dashed" w:sz="4" w:space="0" w:color="BFBFBF"/>
                    <w:right w:val="nil"/>
                  </w:tcBorders>
                  <w:shd w:val="clear" w:color="auto" w:fill="auto"/>
                  <w:vAlign w:val="bottom"/>
                  <w:hideMark/>
                </w:tcPr>
                <w:p w14:paraId="415BA077"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5¢</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7327C6E6" w14:textId="5651E16D"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72</w:t>
                  </w:r>
                </w:p>
              </w:tc>
              <w:tc>
                <w:tcPr>
                  <w:tcW w:w="2610" w:type="dxa"/>
                  <w:tcBorders>
                    <w:top w:val="nil"/>
                    <w:left w:val="nil"/>
                    <w:bottom w:val="dashed" w:sz="4" w:space="0" w:color="BFBFBF"/>
                    <w:right w:val="nil"/>
                  </w:tcBorders>
                  <w:shd w:val="clear" w:color="auto" w:fill="auto"/>
                  <w:vAlign w:val="bottom"/>
                  <w:hideMark/>
                </w:tcPr>
                <w:p w14:paraId="5806654E" w14:textId="2A52D810"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24</w:t>
                  </w:r>
                  <w:r w:rsidRPr="00280643">
                    <w:rPr>
                      <w:rFonts w:ascii="Calibri" w:eastAsia="Times New Roman" w:hAnsi="Calibri" w:cs="Times New Roman"/>
                      <w:color w:val="000000"/>
                      <w:sz w:val="18"/>
                      <w:szCs w:val="18"/>
                    </w:rPr>
                    <w:t>%</w:t>
                  </w:r>
                </w:p>
              </w:tc>
            </w:tr>
            <w:tr w:rsidR="007242D7" w:rsidRPr="00280643" w14:paraId="4E19E789" w14:textId="77777777" w:rsidTr="00DE7135">
              <w:trPr>
                <w:trHeight w:val="360"/>
              </w:trPr>
              <w:tc>
                <w:tcPr>
                  <w:tcW w:w="4932" w:type="dxa"/>
                  <w:tcBorders>
                    <w:top w:val="nil"/>
                    <w:left w:val="nil"/>
                    <w:bottom w:val="dashed" w:sz="4" w:space="0" w:color="BFBFBF"/>
                    <w:right w:val="nil"/>
                  </w:tcBorders>
                  <w:shd w:val="clear" w:color="auto" w:fill="auto"/>
                  <w:vAlign w:val="bottom"/>
                  <w:hideMark/>
                </w:tcPr>
                <w:p w14:paraId="4C1510B8"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10¢</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5F2F5110" w14:textId="6445FD45"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54</w:t>
                  </w:r>
                </w:p>
              </w:tc>
              <w:tc>
                <w:tcPr>
                  <w:tcW w:w="2610" w:type="dxa"/>
                  <w:tcBorders>
                    <w:top w:val="nil"/>
                    <w:left w:val="nil"/>
                    <w:bottom w:val="dashed" w:sz="4" w:space="0" w:color="BFBFBF"/>
                    <w:right w:val="nil"/>
                  </w:tcBorders>
                  <w:shd w:val="clear" w:color="auto" w:fill="auto"/>
                  <w:vAlign w:val="bottom"/>
                  <w:hideMark/>
                </w:tcPr>
                <w:p w14:paraId="3545B412" w14:textId="77777777" w:rsidR="007242D7" w:rsidRPr="00280643" w:rsidRDefault="007242D7" w:rsidP="007242D7">
                  <w:pPr>
                    <w:spacing w:after="0" w:line="240" w:lineRule="auto"/>
                    <w:jc w:val="right"/>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18%</w:t>
                  </w:r>
                </w:p>
              </w:tc>
            </w:tr>
            <w:tr w:rsidR="007242D7" w:rsidRPr="00280643" w14:paraId="19B54F5A" w14:textId="77777777" w:rsidTr="00DE7135">
              <w:trPr>
                <w:trHeight w:val="360"/>
              </w:trPr>
              <w:tc>
                <w:tcPr>
                  <w:tcW w:w="4932" w:type="dxa"/>
                  <w:tcBorders>
                    <w:top w:val="nil"/>
                    <w:left w:val="nil"/>
                    <w:bottom w:val="dashed" w:sz="4" w:space="0" w:color="BFBFBF"/>
                    <w:right w:val="nil"/>
                  </w:tcBorders>
                  <w:shd w:val="clear" w:color="auto" w:fill="auto"/>
                  <w:vAlign w:val="bottom"/>
                  <w:hideMark/>
                </w:tcPr>
                <w:p w14:paraId="52D45A2B"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15¢</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379416F0" w14:textId="0E532121"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66</w:t>
                  </w:r>
                </w:p>
              </w:tc>
              <w:tc>
                <w:tcPr>
                  <w:tcW w:w="2610" w:type="dxa"/>
                  <w:tcBorders>
                    <w:top w:val="nil"/>
                    <w:left w:val="nil"/>
                    <w:bottom w:val="dashed" w:sz="4" w:space="0" w:color="BFBFBF"/>
                    <w:right w:val="nil"/>
                  </w:tcBorders>
                  <w:shd w:val="clear" w:color="auto" w:fill="auto"/>
                  <w:vAlign w:val="bottom"/>
                  <w:hideMark/>
                </w:tcPr>
                <w:p w14:paraId="4740BD91" w14:textId="3D9C09B7"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22</w:t>
                  </w:r>
                  <w:r w:rsidRPr="00280643">
                    <w:rPr>
                      <w:rFonts w:ascii="Calibri" w:eastAsia="Times New Roman" w:hAnsi="Calibri" w:cs="Times New Roman"/>
                      <w:color w:val="000000"/>
                      <w:sz w:val="18"/>
                      <w:szCs w:val="18"/>
                    </w:rPr>
                    <w:t>%</w:t>
                  </w:r>
                </w:p>
              </w:tc>
            </w:tr>
            <w:tr w:rsidR="007242D7" w:rsidRPr="00280643" w14:paraId="0513DD4A" w14:textId="77777777" w:rsidTr="00DE7135">
              <w:trPr>
                <w:trHeight w:val="315"/>
              </w:trPr>
              <w:tc>
                <w:tcPr>
                  <w:tcW w:w="4932" w:type="dxa"/>
                  <w:tcBorders>
                    <w:top w:val="nil"/>
                    <w:left w:val="nil"/>
                    <w:bottom w:val="dashed" w:sz="4" w:space="0" w:color="BFBFBF"/>
                    <w:right w:val="nil"/>
                  </w:tcBorders>
                  <w:shd w:val="clear" w:color="auto" w:fill="auto"/>
                  <w:vAlign w:val="bottom"/>
                  <w:hideMark/>
                </w:tcPr>
                <w:p w14:paraId="5BB1E3D8"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At least one instance of 15¢</w:t>
                  </w:r>
                  <w:r w:rsidRPr="00280643">
                    <w:rPr>
                      <w:rFonts w:eastAsia="Times New Roman" w:cs="Arial"/>
                      <w:color w:val="000000"/>
                      <w:sz w:val="18"/>
                      <w:szCs w:val="18"/>
                    </w:rPr>
                    <w:t xml:space="preserve"> difference or more</w:t>
                  </w:r>
                </w:p>
              </w:tc>
              <w:tc>
                <w:tcPr>
                  <w:tcW w:w="720" w:type="dxa"/>
                  <w:tcBorders>
                    <w:top w:val="nil"/>
                    <w:left w:val="nil"/>
                    <w:bottom w:val="dashed" w:sz="4" w:space="0" w:color="BFBFBF"/>
                    <w:right w:val="nil"/>
                  </w:tcBorders>
                  <w:shd w:val="clear" w:color="auto" w:fill="auto"/>
                  <w:vAlign w:val="bottom"/>
                  <w:hideMark/>
                </w:tcPr>
                <w:p w14:paraId="527EBF7E" w14:textId="4BAA8C48"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52</w:t>
                  </w:r>
                </w:p>
              </w:tc>
              <w:tc>
                <w:tcPr>
                  <w:tcW w:w="2610" w:type="dxa"/>
                  <w:tcBorders>
                    <w:top w:val="nil"/>
                    <w:left w:val="nil"/>
                    <w:bottom w:val="dashed" w:sz="4" w:space="0" w:color="BFBFBF"/>
                    <w:right w:val="nil"/>
                  </w:tcBorders>
                  <w:shd w:val="clear" w:color="auto" w:fill="auto"/>
                  <w:vAlign w:val="bottom"/>
                  <w:hideMark/>
                </w:tcPr>
                <w:p w14:paraId="63851F6F" w14:textId="262D7AE9" w:rsidR="007242D7" w:rsidRPr="00280643" w:rsidRDefault="007242D7" w:rsidP="007242D7">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r w:rsidRPr="00280643">
                    <w:rPr>
                      <w:rFonts w:ascii="Calibri" w:eastAsia="Times New Roman" w:hAnsi="Calibri" w:cs="Times New Roman"/>
                      <w:color w:val="000000"/>
                      <w:sz w:val="18"/>
                      <w:szCs w:val="18"/>
                    </w:rPr>
                    <w:t>7%</w:t>
                  </w:r>
                </w:p>
              </w:tc>
            </w:tr>
            <w:tr w:rsidR="007242D7" w:rsidRPr="00280643" w14:paraId="0A2F7854" w14:textId="77777777" w:rsidTr="00DE7135">
              <w:trPr>
                <w:trHeight w:val="315"/>
              </w:trPr>
              <w:tc>
                <w:tcPr>
                  <w:tcW w:w="4932" w:type="dxa"/>
                  <w:tcBorders>
                    <w:top w:val="nil"/>
                    <w:left w:val="nil"/>
                    <w:bottom w:val="dashed" w:sz="4" w:space="0" w:color="BFBFBF"/>
                    <w:right w:val="nil"/>
                  </w:tcBorders>
                  <w:shd w:val="clear" w:color="auto" w:fill="auto"/>
                  <w:vAlign w:val="bottom"/>
                  <w:hideMark/>
                </w:tcPr>
                <w:p w14:paraId="661D0BF0" w14:textId="77777777" w:rsidR="007242D7" w:rsidRPr="00280643" w:rsidRDefault="007242D7" w:rsidP="007242D7">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Total Row</w:t>
                  </w:r>
                </w:p>
              </w:tc>
              <w:tc>
                <w:tcPr>
                  <w:tcW w:w="720" w:type="dxa"/>
                  <w:tcBorders>
                    <w:top w:val="nil"/>
                    <w:left w:val="nil"/>
                    <w:bottom w:val="dashed" w:sz="4" w:space="0" w:color="BFBFBF"/>
                    <w:right w:val="nil"/>
                  </w:tcBorders>
                  <w:shd w:val="clear" w:color="auto" w:fill="auto"/>
                  <w:vAlign w:val="bottom"/>
                  <w:hideMark/>
                </w:tcPr>
                <w:p w14:paraId="035FEEE7" w14:textId="3DC8CE15" w:rsidR="007242D7" w:rsidRPr="00280643" w:rsidRDefault="007242D7" w:rsidP="007242D7">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244</w:t>
                  </w:r>
                </w:p>
              </w:tc>
              <w:tc>
                <w:tcPr>
                  <w:tcW w:w="2610" w:type="dxa"/>
                  <w:tcBorders>
                    <w:top w:val="nil"/>
                    <w:left w:val="nil"/>
                    <w:bottom w:val="dashed" w:sz="4" w:space="0" w:color="BFBFBF"/>
                    <w:right w:val="nil"/>
                  </w:tcBorders>
                  <w:shd w:val="clear" w:color="auto" w:fill="auto"/>
                  <w:vAlign w:val="bottom"/>
                  <w:hideMark/>
                </w:tcPr>
                <w:p w14:paraId="125CB8F0" w14:textId="043667CD" w:rsidR="007242D7" w:rsidRPr="00280643" w:rsidRDefault="007242D7" w:rsidP="007242D7">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81</w:t>
                  </w:r>
                  <w:r w:rsidRPr="00280643">
                    <w:rPr>
                      <w:rFonts w:ascii="Calibri" w:eastAsia="Times New Roman" w:hAnsi="Calibri" w:cs="Times New Roman"/>
                      <w:b/>
                      <w:bCs/>
                      <w:color w:val="000000"/>
                      <w:sz w:val="18"/>
                      <w:szCs w:val="18"/>
                    </w:rPr>
                    <w:t>%</w:t>
                  </w:r>
                </w:p>
              </w:tc>
            </w:tr>
          </w:tbl>
          <w:p w14:paraId="2C300927" w14:textId="4712024B" w:rsidR="007242D7" w:rsidRPr="007242D7" w:rsidRDefault="007242D7" w:rsidP="007242D7"/>
        </w:tc>
      </w:tr>
      <w:tr w:rsidR="00B54B88" w:rsidRPr="0028581D" w14:paraId="4457924A" w14:textId="77777777" w:rsidTr="007242D7">
        <w:trPr>
          <w:gridAfter w:val="1"/>
          <w:wAfter w:w="620" w:type="dxa"/>
          <w:trHeight w:val="300"/>
        </w:trPr>
        <w:tc>
          <w:tcPr>
            <w:tcW w:w="8478" w:type="dxa"/>
            <w:tcBorders>
              <w:top w:val="nil"/>
              <w:left w:val="nil"/>
              <w:bottom w:val="nil"/>
              <w:right w:val="nil"/>
            </w:tcBorders>
            <w:shd w:val="clear" w:color="auto" w:fill="auto"/>
            <w:vAlign w:val="bottom"/>
            <w:hideMark/>
          </w:tcPr>
          <w:p w14:paraId="05618FC3" w14:textId="77777777" w:rsidR="007242D7" w:rsidRDefault="007242D7" w:rsidP="009F3147">
            <w:pPr>
              <w:pStyle w:val="Caption"/>
              <w:rPr>
                <w:noProof/>
              </w:rPr>
            </w:pPr>
          </w:p>
          <w:p w14:paraId="0AD4E05E" w14:textId="77777777" w:rsidR="007242D7" w:rsidRDefault="007242D7" w:rsidP="009F3147">
            <w:pPr>
              <w:pStyle w:val="Caption"/>
              <w:rPr>
                <w:noProof/>
              </w:rPr>
            </w:pPr>
          </w:p>
          <w:p w14:paraId="5AA3433E" w14:textId="0EE30370" w:rsidR="00B54B88" w:rsidRPr="00643E91" w:rsidRDefault="00B54B88" w:rsidP="009F3147">
            <w:pPr>
              <w:pStyle w:val="Caption"/>
              <w:rPr>
                <w:noProof/>
              </w:rPr>
            </w:pPr>
            <w:r w:rsidRPr="00643E91">
              <w:rPr>
                <w:noProof/>
              </w:rPr>
              <w:t xml:space="preserve">Table </w:t>
            </w:r>
            <w:r>
              <w:rPr>
                <w:noProof/>
              </w:rPr>
              <w:t>A.3</w:t>
            </w:r>
            <w:r w:rsidRPr="00643E91">
              <w:rPr>
                <w:noProof/>
              </w:rPr>
              <w:t xml:space="preserve"> Summary of matched EIA and OPIS </w:t>
            </w:r>
            <w:r>
              <w:rPr>
                <w:noProof/>
              </w:rPr>
              <w:t>premium</w:t>
            </w:r>
            <w:r w:rsidRPr="00643E91">
              <w:rPr>
                <w:noProof/>
              </w:rPr>
              <w:t xml:space="preserve"> gasoline price data for 12</w:t>
            </w:r>
            <w:r w:rsidR="0077495B">
              <w:rPr>
                <w:noProof/>
              </w:rPr>
              <w:t>-</w:t>
            </w:r>
            <w:r w:rsidRPr="00643E91">
              <w:rPr>
                <w:noProof/>
              </w:rPr>
              <w:t>week study</w:t>
            </w:r>
            <w:r w:rsidR="00114932">
              <w:rPr>
                <w:noProof/>
              </w:rPr>
              <w:t>.</w:t>
            </w:r>
            <w:r w:rsidRPr="00643E91">
              <w:rPr>
                <w:noProof/>
              </w:rPr>
              <w:t xml:space="preserve"> </w:t>
            </w:r>
          </w:p>
        </w:tc>
      </w:tr>
      <w:tr w:rsidR="007242D7" w:rsidRPr="00AC69C0" w14:paraId="0792744C" w14:textId="77777777" w:rsidTr="007242D7">
        <w:trPr>
          <w:trHeight w:val="300"/>
        </w:trPr>
        <w:tc>
          <w:tcPr>
            <w:tcW w:w="9098" w:type="dxa"/>
            <w:gridSpan w:val="2"/>
            <w:tcBorders>
              <w:top w:val="nil"/>
              <w:left w:val="nil"/>
              <w:bottom w:val="nil"/>
              <w:right w:val="nil"/>
            </w:tcBorders>
            <w:shd w:val="clear" w:color="auto" w:fill="auto"/>
            <w:vAlign w:val="bottom"/>
          </w:tcPr>
          <w:tbl>
            <w:tblPr>
              <w:tblW w:w="8262" w:type="dxa"/>
              <w:tblLook w:val="04A0" w:firstRow="1" w:lastRow="0" w:firstColumn="1" w:lastColumn="0" w:noHBand="0" w:noVBand="1"/>
            </w:tblPr>
            <w:tblGrid>
              <w:gridCol w:w="4932"/>
              <w:gridCol w:w="720"/>
              <w:gridCol w:w="2610"/>
            </w:tblGrid>
            <w:tr w:rsidR="007242D7" w:rsidRPr="00280643" w14:paraId="63A46A3F" w14:textId="77777777" w:rsidTr="00DE7135">
              <w:trPr>
                <w:trHeight w:val="360"/>
              </w:trPr>
              <w:tc>
                <w:tcPr>
                  <w:tcW w:w="4932" w:type="dxa"/>
                  <w:tcBorders>
                    <w:top w:val="nil"/>
                    <w:left w:val="nil"/>
                    <w:bottom w:val="single" w:sz="12" w:space="0" w:color="0096D7"/>
                    <w:right w:val="nil"/>
                  </w:tcBorders>
                  <w:shd w:val="clear" w:color="auto" w:fill="auto"/>
                  <w:vAlign w:val="bottom"/>
                  <w:hideMark/>
                </w:tcPr>
                <w:p w14:paraId="39FA5DB4"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c>
                <w:tcPr>
                  <w:tcW w:w="720" w:type="dxa"/>
                  <w:tcBorders>
                    <w:top w:val="nil"/>
                    <w:left w:val="nil"/>
                    <w:bottom w:val="single" w:sz="12" w:space="0" w:color="0096D7"/>
                    <w:right w:val="nil"/>
                  </w:tcBorders>
                  <w:shd w:val="clear" w:color="auto" w:fill="auto"/>
                  <w:vAlign w:val="bottom"/>
                  <w:hideMark/>
                </w:tcPr>
                <w:p w14:paraId="54E9A30C" w14:textId="77777777" w:rsidR="007242D7" w:rsidRPr="00280643" w:rsidRDefault="007242D7" w:rsidP="00DE7135">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w:t>
                  </w:r>
                </w:p>
              </w:tc>
              <w:tc>
                <w:tcPr>
                  <w:tcW w:w="2610" w:type="dxa"/>
                  <w:tcBorders>
                    <w:top w:val="nil"/>
                    <w:left w:val="nil"/>
                    <w:bottom w:val="single" w:sz="12" w:space="0" w:color="0096D7"/>
                    <w:right w:val="nil"/>
                  </w:tcBorders>
                  <w:shd w:val="clear" w:color="auto" w:fill="auto"/>
                  <w:vAlign w:val="bottom"/>
                  <w:hideMark/>
                </w:tcPr>
                <w:p w14:paraId="2220E957" w14:textId="77777777" w:rsidR="007242D7" w:rsidRPr="00280643" w:rsidRDefault="007242D7" w:rsidP="00DE7135">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Percent of non</w:t>
                  </w:r>
                  <w:r>
                    <w:rPr>
                      <w:rFonts w:ascii="Calibri" w:eastAsia="Times New Roman" w:hAnsi="Calibri" w:cs="Times New Roman"/>
                      <w:b/>
                      <w:bCs/>
                      <w:color w:val="000000"/>
                      <w:sz w:val="18"/>
                      <w:szCs w:val="18"/>
                    </w:rPr>
                    <w:t>-</w:t>
                  </w:r>
                  <w:r w:rsidRPr="00280643">
                    <w:rPr>
                      <w:rFonts w:ascii="Calibri" w:eastAsia="Times New Roman" w:hAnsi="Calibri" w:cs="Times New Roman"/>
                      <w:b/>
                      <w:bCs/>
                      <w:color w:val="000000"/>
                      <w:sz w:val="18"/>
                      <w:szCs w:val="18"/>
                    </w:rPr>
                    <w:t>missing data</w:t>
                  </w:r>
                </w:p>
              </w:tc>
            </w:tr>
            <w:tr w:rsidR="007242D7" w:rsidRPr="00280643" w14:paraId="349A8824" w14:textId="77777777" w:rsidTr="00DE7135">
              <w:trPr>
                <w:trHeight w:val="285"/>
              </w:trPr>
              <w:tc>
                <w:tcPr>
                  <w:tcW w:w="4932" w:type="dxa"/>
                  <w:tcBorders>
                    <w:top w:val="nil"/>
                    <w:left w:val="nil"/>
                    <w:bottom w:val="single" w:sz="4" w:space="0" w:color="BFBFBF"/>
                    <w:right w:val="nil"/>
                  </w:tcBorders>
                  <w:shd w:val="clear" w:color="auto" w:fill="auto"/>
                  <w:noWrap/>
                  <w:vAlign w:val="center"/>
                  <w:hideMark/>
                </w:tcPr>
                <w:p w14:paraId="358CE335" w14:textId="47488318" w:rsidR="007242D7" w:rsidRPr="00280643" w:rsidRDefault="007242D7" w:rsidP="005D57EC">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 xml:space="preserve">Number of stations selling </w:t>
                  </w:r>
                  <w:r w:rsidR="005D57EC">
                    <w:rPr>
                      <w:rFonts w:ascii="Calibri" w:eastAsia="Times New Roman" w:hAnsi="Calibri" w:cs="Times New Roman"/>
                      <w:b/>
                      <w:bCs/>
                      <w:color w:val="000000"/>
                      <w:sz w:val="18"/>
                      <w:szCs w:val="18"/>
                    </w:rPr>
                    <w:t>premium</w:t>
                  </w:r>
                  <w:r w:rsidRPr="00280643">
                    <w:rPr>
                      <w:rFonts w:ascii="Calibri" w:eastAsia="Times New Roman" w:hAnsi="Calibri" w:cs="Times New Roman"/>
                      <w:b/>
                      <w:bCs/>
                      <w:color w:val="000000"/>
                      <w:sz w:val="18"/>
                      <w:szCs w:val="18"/>
                    </w:rPr>
                    <w:t xml:space="preserve"> gasoline</w:t>
                  </w:r>
                </w:p>
              </w:tc>
              <w:tc>
                <w:tcPr>
                  <w:tcW w:w="720" w:type="dxa"/>
                  <w:tcBorders>
                    <w:top w:val="nil"/>
                    <w:left w:val="nil"/>
                    <w:bottom w:val="single" w:sz="4" w:space="0" w:color="BFBFBF"/>
                    <w:right w:val="nil"/>
                  </w:tcBorders>
                  <w:shd w:val="clear" w:color="auto" w:fill="auto"/>
                  <w:noWrap/>
                  <w:vAlign w:val="center"/>
                  <w:hideMark/>
                </w:tcPr>
                <w:p w14:paraId="78F52671" w14:textId="77777777" w:rsidR="007242D7" w:rsidRPr="00280643" w:rsidRDefault="007242D7" w:rsidP="00DE7135">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802</w:t>
                  </w:r>
                </w:p>
              </w:tc>
              <w:tc>
                <w:tcPr>
                  <w:tcW w:w="2610" w:type="dxa"/>
                  <w:tcBorders>
                    <w:top w:val="nil"/>
                    <w:left w:val="nil"/>
                    <w:bottom w:val="single" w:sz="4" w:space="0" w:color="BFBFBF"/>
                    <w:right w:val="nil"/>
                  </w:tcBorders>
                  <w:shd w:val="clear" w:color="auto" w:fill="auto"/>
                  <w:noWrap/>
                  <w:vAlign w:val="center"/>
                  <w:hideMark/>
                </w:tcPr>
                <w:p w14:paraId="6FD0B41C"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7242D7" w:rsidRPr="00280643" w14:paraId="58F62B3D" w14:textId="77777777" w:rsidTr="00DE7135">
              <w:trPr>
                <w:trHeight w:val="593"/>
              </w:trPr>
              <w:tc>
                <w:tcPr>
                  <w:tcW w:w="4932" w:type="dxa"/>
                  <w:tcBorders>
                    <w:top w:val="single" w:sz="4" w:space="0" w:color="0096D7"/>
                    <w:left w:val="nil"/>
                    <w:bottom w:val="single" w:sz="4" w:space="0" w:color="BFBFBF"/>
                    <w:right w:val="nil"/>
                  </w:tcBorders>
                  <w:shd w:val="clear" w:color="auto" w:fill="auto"/>
                  <w:vAlign w:val="bottom"/>
                  <w:hideMark/>
                </w:tcPr>
                <w:p w14:paraId="27658B32"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Number of stations with non</w:t>
                  </w:r>
                  <w:r>
                    <w:rPr>
                      <w:rFonts w:ascii="Calibri" w:eastAsia="Times New Roman" w:hAnsi="Calibri" w:cs="Times New Roman"/>
                      <w:b/>
                      <w:bCs/>
                      <w:color w:val="000000"/>
                      <w:sz w:val="18"/>
                      <w:szCs w:val="18"/>
                    </w:rPr>
                    <w:t>-</w:t>
                  </w:r>
                  <w:r w:rsidRPr="00280643">
                    <w:rPr>
                      <w:rFonts w:ascii="Calibri" w:eastAsia="Times New Roman" w:hAnsi="Calibri" w:cs="Times New Roman"/>
                      <w:b/>
                      <w:bCs/>
                      <w:color w:val="000000"/>
                      <w:sz w:val="18"/>
                      <w:szCs w:val="18"/>
                    </w:rPr>
                    <w:t>missing EIA-878 and OPIS data over 12 week study period</w:t>
                  </w:r>
                </w:p>
              </w:tc>
              <w:tc>
                <w:tcPr>
                  <w:tcW w:w="720" w:type="dxa"/>
                  <w:tcBorders>
                    <w:top w:val="single" w:sz="4" w:space="0" w:color="0096D7"/>
                    <w:left w:val="nil"/>
                    <w:bottom w:val="single" w:sz="4" w:space="0" w:color="BFBFBF"/>
                    <w:right w:val="nil"/>
                  </w:tcBorders>
                  <w:shd w:val="clear" w:color="auto" w:fill="auto"/>
                  <w:vAlign w:val="bottom"/>
                  <w:hideMark/>
                </w:tcPr>
                <w:p w14:paraId="7D99C6E4" w14:textId="5A7AB184" w:rsidR="007242D7" w:rsidRPr="00280643" w:rsidRDefault="007242D7" w:rsidP="00DE7135">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298</w:t>
                  </w:r>
                </w:p>
              </w:tc>
              <w:tc>
                <w:tcPr>
                  <w:tcW w:w="2610" w:type="dxa"/>
                  <w:tcBorders>
                    <w:top w:val="single" w:sz="4" w:space="0" w:color="0096D7"/>
                    <w:left w:val="nil"/>
                    <w:bottom w:val="single" w:sz="4" w:space="0" w:color="BFBFBF"/>
                    <w:right w:val="nil"/>
                  </w:tcBorders>
                  <w:shd w:val="clear" w:color="auto" w:fill="auto"/>
                  <w:vAlign w:val="bottom"/>
                  <w:hideMark/>
                </w:tcPr>
                <w:p w14:paraId="0F700ED8"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7242D7" w:rsidRPr="00280643" w14:paraId="16452D61" w14:textId="77777777" w:rsidTr="00DE7135">
              <w:trPr>
                <w:trHeight w:val="300"/>
              </w:trPr>
              <w:tc>
                <w:tcPr>
                  <w:tcW w:w="4932" w:type="dxa"/>
                  <w:tcBorders>
                    <w:top w:val="nil"/>
                    <w:left w:val="nil"/>
                    <w:bottom w:val="dashed" w:sz="4" w:space="0" w:color="BFBFBF"/>
                    <w:right w:val="nil"/>
                  </w:tcBorders>
                  <w:shd w:val="clear" w:color="auto" w:fill="auto"/>
                  <w:vAlign w:val="bottom"/>
                  <w:hideMark/>
                </w:tcPr>
                <w:p w14:paraId="76E5BAE4" w14:textId="77777777" w:rsidR="007242D7" w:rsidRPr="00280643" w:rsidRDefault="007242D7" w:rsidP="00FB5311">
                  <w:pPr>
                    <w:spacing w:after="0" w:line="240" w:lineRule="auto"/>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Exact Match</w:t>
                  </w:r>
                </w:p>
              </w:tc>
              <w:tc>
                <w:tcPr>
                  <w:tcW w:w="720" w:type="dxa"/>
                  <w:tcBorders>
                    <w:top w:val="nil"/>
                    <w:left w:val="nil"/>
                    <w:bottom w:val="dashed" w:sz="4" w:space="0" w:color="BFBFBF"/>
                    <w:right w:val="nil"/>
                  </w:tcBorders>
                  <w:shd w:val="clear" w:color="auto" w:fill="auto"/>
                  <w:vAlign w:val="bottom"/>
                  <w:hideMark/>
                </w:tcPr>
                <w:p w14:paraId="663FC712" w14:textId="7C410FAA"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47</w:t>
                  </w:r>
                </w:p>
              </w:tc>
              <w:tc>
                <w:tcPr>
                  <w:tcW w:w="2610" w:type="dxa"/>
                  <w:tcBorders>
                    <w:top w:val="nil"/>
                    <w:left w:val="nil"/>
                    <w:bottom w:val="dashed" w:sz="4" w:space="0" w:color="BFBFBF"/>
                    <w:right w:val="nil"/>
                  </w:tcBorders>
                  <w:shd w:val="clear" w:color="auto" w:fill="auto"/>
                  <w:vAlign w:val="bottom"/>
                  <w:hideMark/>
                </w:tcPr>
                <w:p w14:paraId="37C4DC53" w14:textId="04DBB237"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16</w:t>
                  </w:r>
                  <w:r w:rsidRPr="00280643">
                    <w:rPr>
                      <w:rFonts w:ascii="Calibri" w:eastAsia="Times New Roman" w:hAnsi="Calibri" w:cs="Times New Roman"/>
                      <w:color w:val="000000"/>
                      <w:sz w:val="18"/>
                      <w:szCs w:val="18"/>
                    </w:rPr>
                    <w:t>%</w:t>
                  </w:r>
                </w:p>
              </w:tc>
            </w:tr>
            <w:tr w:rsidR="007242D7" w:rsidRPr="00280643" w14:paraId="3C13955F" w14:textId="77777777" w:rsidTr="00DE7135">
              <w:trPr>
                <w:trHeight w:val="300"/>
              </w:trPr>
              <w:tc>
                <w:tcPr>
                  <w:tcW w:w="4932" w:type="dxa"/>
                  <w:tcBorders>
                    <w:top w:val="nil"/>
                    <w:left w:val="nil"/>
                    <w:bottom w:val="dashed" w:sz="4" w:space="0" w:color="BFBFBF"/>
                    <w:right w:val="nil"/>
                  </w:tcBorders>
                  <w:shd w:val="clear" w:color="auto" w:fill="auto"/>
                  <w:noWrap/>
                  <w:hideMark/>
                </w:tcPr>
                <w:p w14:paraId="76EA91D1" w14:textId="77777777" w:rsidR="007242D7" w:rsidRPr="00280643" w:rsidRDefault="007242D7" w:rsidP="00FB5311">
                  <w:pPr>
                    <w:spacing w:after="0" w:line="240" w:lineRule="auto"/>
                    <w:rPr>
                      <w:rFonts w:ascii="Calibri" w:eastAsia="Times New Roman" w:hAnsi="Calibri" w:cs="Times New Roman"/>
                      <w:color w:val="000000"/>
                      <w:sz w:val="18"/>
                      <w:szCs w:val="18"/>
                    </w:rPr>
                  </w:pPr>
                  <w:r w:rsidRPr="00280643">
                    <w:rPr>
                      <w:rFonts w:ascii="Calibri" w:eastAsia="Times New Roman" w:hAnsi="Calibri" w:cs="Times New Roman"/>
                      <w:color w:val="000000"/>
                      <w:sz w:val="18"/>
                      <w:szCs w:val="18"/>
                    </w:rPr>
                    <w:t>Non Match</w:t>
                  </w:r>
                </w:p>
              </w:tc>
              <w:tc>
                <w:tcPr>
                  <w:tcW w:w="720" w:type="dxa"/>
                  <w:tcBorders>
                    <w:top w:val="nil"/>
                    <w:left w:val="nil"/>
                    <w:bottom w:val="dashed" w:sz="4" w:space="0" w:color="BFBFBF"/>
                    <w:right w:val="nil"/>
                  </w:tcBorders>
                  <w:shd w:val="clear" w:color="auto" w:fill="auto"/>
                  <w:vAlign w:val="bottom"/>
                  <w:hideMark/>
                </w:tcPr>
                <w:p w14:paraId="1FE8E5E1" w14:textId="758E9398"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251</w:t>
                  </w:r>
                </w:p>
              </w:tc>
              <w:tc>
                <w:tcPr>
                  <w:tcW w:w="2610" w:type="dxa"/>
                  <w:tcBorders>
                    <w:top w:val="nil"/>
                    <w:left w:val="nil"/>
                    <w:bottom w:val="dashed" w:sz="4" w:space="0" w:color="BFBFBF"/>
                    <w:right w:val="nil"/>
                  </w:tcBorders>
                  <w:shd w:val="clear" w:color="auto" w:fill="auto"/>
                  <w:vAlign w:val="bottom"/>
                  <w:hideMark/>
                </w:tcPr>
                <w:p w14:paraId="44C7B265" w14:textId="5B9FC93F"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84</w:t>
                  </w:r>
                  <w:r w:rsidRPr="00280643">
                    <w:rPr>
                      <w:rFonts w:ascii="Calibri" w:eastAsia="Times New Roman" w:hAnsi="Calibri" w:cs="Times New Roman"/>
                      <w:color w:val="000000"/>
                      <w:sz w:val="18"/>
                      <w:szCs w:val="18"/>
                    </w:rPr>
                    <w:t>%</w:t>
                  </w:r>
                </w:p>
              </w:tc>
            </w:tr>
            <w:tr w:rsidR="007242D7" w:rsidRPr="00280643" w14:paraId="7B7F543A" w14:textId="77777777" w:rsidTr="00DE7135">
              <w:trPr>
                <w:trHeight w:val="300"/>
              </w:trPr>
              <w:tc>
                <w:tcPr>
                  <w:tcW w:w="4932" w:type="dxa"/>
                  <w:tcBorders>
                    <w:top w:val="nil"/>
                    <w:left w:val="nil"/>
                    <w:bottom w:val="dashed" w:sz="4" w:space="0" w:color="BFBFBF"/>
                    <w:right w:val="nil"/>
                  </w:tcBorders>
                  <w:shd w:val="clear" w:color="auto" w:fill="auto"/>
                  <w:vAlign w:val="bottom"/>
                  <w:hideMark/>
                </w:tcPr>
                <w:p w14:paraId="56563EB1"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Total Row</w:t>
                  </w:r>
                </w:p>
              </w:tc>
              <w:tc>
                <w:tcPr>
                  <w:tcW w:w="720" w:type="dxa"/>
                  <w:tcBorders>
                    <w:top w:val="nil"/>
                    <w:left w:val="nil"/>
                    <w:bottom w:val="dashed" w:sz="4" w:space="0" w:color="BFBFBF"/>
                    <w:right w:val="nil"/>
                  </w:tcBorders>
                  <w:shd w:val="clear" w:color="auto" w:fill="auto"/>
                  <w:vAlign w:val="bottom"/>
                  <w:hideMark/>
                </w:tcPr>
                <w:p w14:paraId="45AFFCB1" w14:textId="7F4A8327" w:rsidR="007242D7" w:rsidRPr="00280643" w:rsidRDefault="007242D7" w:rsidP="00DE7135">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298</w:t>
                  </w:r>
                </w:p>
              </w:tc>
              <w:tc>
                <w:tcPr>
                  <w:tcW w:w="2610" w:type="dxa"/>
                  <w:tcBorders>
                    <w:top w:val="nil"/>
                    <w:left w:val="nil"/>
                    <w:bottom w:val="dashed" w:sz="4" w:space="0" w:color="BFBFBF"/>
                    <w:right w:val="nil"/>
                  </w:tcBorders>
                  <w:shd w:val="clear" w:color="auto" w:fill="auto"/>
                  <w:vAlign w:val="bottom"/>
                  <w:hideMark/>
                </w:tcPr>
                <w:p w14:paraId="0B7DFDD4" w14:textId="77777777" w:rsidR="007242D7" w:rsidRPr="00280643" w:rsidRDefault="007242D7" w:rsidP="00DE7135">
                  <w:pPr>
                    <w:spacing w:after="0" w:line="240" w:lineRule="auto"/>
                    <w:jc w:val="right"/>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100%</w:t>
                  </w:r>
                </w:p>
              </w:tc>
            </w:tr>
            <w:tr w:rsidR="007242D7" w:rsidRPr="00280643" w14:paraId="4B5E1A25" w14:textId="77777777" w:rsidTr="00DE7135">
              <w:trPr>
                <w:trHeight w:val="300"/>
              </w:trPr>
              <w:tc>
                <w:tcPr>
                  <w:tcW w:w="4932" w:type="dxa"/>
                  <w:tcBorders>
                    <w:top w:val="single" w:sz="4" w:space="0" w:color="0096D7"/>
                    <w:left w:val="nil"/>
                    <w:bottom w:val="single" w:sz="4" w:space="0" w:color="BFBFBF"/>
                    <w:right w:val="nil"/>
                  </w:tcBorders>
                  <w:shd w:val="clear" w:color="auto" w:fill="auto"/>
                  <w:vAlign w:val="bottom"/>
                  <w:hideMark/>
                </w:tcPr>
                <w:p w14:paraId="5ECF2756"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Non Match</w:t>
                  </w:r>
                </w:p>
              </w:tc>
              <w:tc>
                <w:tcPr>
                  <w:tcW w:w="720" w:type="dxa"/>
                  <w:tcBorders>
                    <w:top w:val="single" w:sz="4" w:space="0" w:color="0096D7"/>
                    <w:left w:val="nil"/>
                    <w:bottom w:val="single" w:sz="4" w:space="0" w:color="BFBFBF"/>
                    <w:right w:val="nil"/>
                  </w:tcBorders>
                  <w:shd w:val="clear" w:color="auto" w:fill="auto"/>
                  <w:vAlign w:val="bottom"/>
                  <w:hideMark/>
                </w:tcPr>
                <w:p w14:paraId="4C24E83B"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c>
                <w:tcPr>
                  <w:tcW w:w="2610" w:type="dxa"/>
                  <w:tcBorders>
                    <w:top w:val="single" w:sz="4" w:space="0" w:color="0096D7"/>
                    <w:left w:val="nil"/>
                    <w:bottom w:val="single" w:sz="4" w:space="0" w:color="BFBFBF"/>
                    <w:right w:val="nil"/>
                  </w:tcBorders>
                  <w:shd w:val="clear" w:color="auto" w:fill="auto"/>
                  <w:vAlign w:val="bottom"/>
                  <w:hideMark/>
                </w:tcPr>
                <w:p w14:paraId="3EEDFF0B"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 </w:t>
                  </w:r>
                </w:p>
              </w:tc>
            </w:tr>
            <w:tr w:rsidR="007242D7" w:rsidRPr="00280643" w14:paraId="5D142279" w14:textId="77777777" w:rsidTr="00DE7135">
              <w:trPr>
                <w:trHeight w:val="300"/>
              </w:trPr>
              <w:tc>
                <w:tcPr>
                  <w:tcW w:w="4932" w:type="dxa"/>
                  <w:tcBorders>
                    <w:top w:val="nil"/>
                    <w:left w:val="nil"/>
                    <w:bottom w:val="dashed" w:sz="4" w:space="0" w:color="BFBFBF"/>
                    <w:right w:val="nil"/>
                  </w:tcBorders>
                  <w:shd w:val="clear" w:color="auto" w:fill="auto"/>
                  <w:vAlign w:val="bottom"/>
                  <w:hideMark/>
                </w:tcPr>
                <w:p w14:paraId="741DCC6A"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5¢</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3637E995" w14:textId="23BABA58"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71</w:t>
                  </w:r>
                </w:p>
              </w:tc>
              <w:tc>
                <w:tcPr>
                  <w:tcW w:w="2610" w:type="dxa"/>
                  <w:tcBorders>
                    <w:top w:val="nil"/>
                    <w:left w:val="nil"/>
                    <w:bottom w:val="dashed" w:sz="4" w:space="0" w:color="BFBFBF"/>
                    <w:right w:val="nil"/>
                  </w:tcBorders>
                  <w:shd w:val="clear" w:color="auto" w:fill="auto"/>
                  <w:vAlign w:val="bottom"/>
                  <w:hideMark/>
                </w:tcPr>
                <w:p w14:paraId="1A08C256" w14:textId="194C5568"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24</w:t>
                  </w:r>
                  <w:r w:rsidRPr="00280643">
                    <w:rPr>
                      <w:rFonts w:ascii="Calibri" w:eastAsia="Times New Roman" w:hAnsi="Calibri" w:cs="Times New Roman"/>
                      <w:color w:val="000000"/>
                      <w:sz w:val="18"/>
                      <w:szCs w:val="18"/>
                    </w:rPr>
                    <w:t>%</w:t>
                  </w:r>
                </w:p>
              </w:tc>
            </w:tr>
            <w:tr w:rsidR="007242D7" w:rsidRPr="00280643" w14:paraId="06575F5F" w14:textId="77777777" w:rsidTr="00DE7135">
              <w:trPr>
                <w:trHeight w:val="360"/>
              </w:trPr>
              <w:tc>
                <w:tcPr>
                  <w:tcW w:w="4932" w:type="dxa"/>
                  <w:tcBorders>
                    <w:top w:val="nil"/>
                    <w:left w:val="nil"/>
                    <w:bottom w:val="dashed" w:sz="4" w:space="0" w:color="BFBFBF"/>
                    <w:right w:val="nil"/>
                  </w:tcBorders>
                  <w:shd w:val="clear" w:color="auto" w:fill="auto"/>
                  <w:vAlign w:val="bottom"/>
                  <w:hideMark/>
                </w:tcPr>
                <w:p w14:paraId="687B75DD"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10¢</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63658D6E" w14:textId="7B339BED"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62</w:t>
                  </w:r>
                </w:p>
              </w:tc>
              <w:tc>
                <w:tcPr>
                  <w:tcW w:w="2610" w:type="dxa"/>
                  <w:tcBorders>
                    <w:top w:val="nil"/>
                    <w:left w:val="nil"/>
                    <w:bottom w:val="dashed" w:sz="4" w:space="0" w:color="BFBFBF"/>
                    <w:right w:val="nil"/>
                  </w:tcBorders>
                  <w:shd w:val="clear" w:color="auto" w:fill="auto"/>
                  <w:vAlign w:val="bottom"/>
                  <w:hideMark/>
                </w:tcPr>
                <w:p w14:paraId="49EF8F40" w14:textId="20753D11"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21</w:t>
                  </w:r>
                  <w:r w:rsidRPr="00280643">
                    <w:rPr>
                      <w:rFonts w:ascii="Calibri" w:eastAsia="Times New Roman" w:hAnsi="Calibri" w:cs="Times New Roman"/>
                      <w:color w:val="000000"/>
                      <w:sz w:val="18"/>
                      <w:szCs w:val="18"/>
                    </w:rPr>
                    <w:t>%</w:t>
                  </w:r>
                </w:p>
              </w:tc>
            </w:tr>
            <w:tr w:rsidR="007242D7" w:rsidRPr="00280643" w14:paraId="0BBD463B" w14:textId="77777777" w:rsidTr="00DE7135">
              <w:trPr>
                <w:trHeight w:val="360"/>
              </w:trPr>
              <w:tc>
                <w:tcPr>
                  <w:tcW w:w="4932" w:type="dxa"/>
                  <w:tcBorders>
                    <w:top w:val="nil"/>
                    <w:left w:val="nil"/>
                    <w:bottom w:val="dashed" w:sz="4" w:space="0" w:color="BFBFBF"/>
                    <w:right w:val="nil"/>
                  </w:tcBorders>
                  <w:shd w:val="clear" w:color="auto" w:fill="auto"/>
                  <w:vAlign w:val="bottom"/>
                  <w:hideMark/>
                </w:tcPr>
                <w:p w14:paraId="60F2802C"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Less than 15¢</w:t>
                  </w:r>
                  <w:r w:rsidRPr="00280643">
                    <w:rPr>
                      <w:rFonts w:eastAsia="Times New Roman" w:cs="Arial"/>
                      <w:color w:val="000000"/>
                      <w:sz w:val="18"/>
                      <w:szCs w:val="18"/>
                    </w:rPr>
                    <w:t xml:space="preserve"> difference in any week</w:t>
                  </w:r>
                </w:p>
              </w:tc>
              <w:tc>
                <w:tcPr>
                  <w:tcW w:w="720" w:type="dxa"/>
                  <w:tcBorders>
                    <w:top w:val="nil"/>
                    <w:left w:val="nil"/>
                    <w:bottom w:val="dashed" w:sz="4" w:space="0" w:color="BFBFBF"/>
                    <w:right w:val="nil"/>
                  </w:tcBorders>
                  <w:shd w:val="clear" w:color="auto" w:fill="auto"/>
                  <w:vAlign w:val="bottom"/>
                  <w:hideMark/>
                </w:tcPr>
                <w:p w14:paraId="522C0ED2" w14:textId="28A309F7"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63</w:t>
                  </w:r>
                </w:p>
              </w:tc>
              <w:tc>
                <w:tcPr>
                  <w:tcW w:w="2610" w:type="dxa"/>
                  <w:tcBorders>
                    <w:top w:val="nil"/>
                    <w:left w:val="nil"/>
                    <w:bottom w:val="dashed" w:sz="4" w:space="0" w:color="BFBFBF"/>
                    <w:right w:val="nil"/>
                  </w:tcBorders>
                  <w:shd w:val="clear" w:color="auto" w:fill="auto"/>
                  <w:vAlign w:val="bottom"/>
                  <w:hideMark/>
                </w:tcPr>
                <w:p w14:paraId="7F416B46" w14:textId="3C100167"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21</w:t>
                  </w:r>
                  <w:r w:rsidRPr="00280643">
                    <w:rPr>
                      <w:rFonts w:ascii="Calibri" w:eastAsia="Times New Roman" w:hAnsi="Calibri" w:cs="Times New Roman"/>
                      <w:color w:val="000000"/>
                      <w:sz w:val="18"/>
                      <w:szCs w:val="18"/>
                    </w:rPr>
                    <w:t>%</w:t>
                  </w:r>
                </w:p>
              </w:tc>
            </w:tr>
            <w:tr w:rsidR="007242D7" w:rsidRPr="00280643" w14:paraId="3D9C515E" w14:textId="77777777" w:rsidTr="00DE7135">
              <w:trPr>
                <w:trHeight w:val="315"/>
              </w:trPr>
              <w:tc>
                <w:tcPr>
                  <w:tcW w:w="4932" w:type="dxa"/>
                  <w:tcBorders>
                    <w:top w:val="nil"/>
                    <w:left w:val="nil"/>
                    <w:bottom w:val="dashed" w:sz="4" w:space="0" w:color="BFBFBF"/>
                    <w:right w:val="nil"/>
                  </w:tcBorders>
                  <w:shd w:val="clear" w:color="auto" w:fill="auto"/>
                  <w:vAlign w:val="bottom"/>
                  <w:hideMark/>
                </w:tcPr>
                <w:p w14:paraId="773C0B30" w14:textId="77777777" w:rsidR="007242D7" w:rsidRPr="00280643" w:rsidRDefault="007242D7" w:rsidP="00FB5311">
                  <w:pPr>
                    <w:spacing w:after="0" w:line="240" w:lineRule="auto"/>
                    <w:rPr>
                      <w:rFonts w:eastAsia="Times New Roman" w:cs="Times New Roman"/>
                      <w:color w:val="000000"/>
                      <w:sz w:val="18"/>
                      <w:szCs w:val="18"/>
                    </w:rPr>
                  </w:pPr>
                  <w:r w:rsidRPr="00280643">
                    <w:rPr>
                      <w:rFonts w:eastAsia="Times New Roman" w:cs="Times New Roman"/>
                      <w:color w:val="000000"/>
                      <w:sz w:val="18"/>
                      <w:szCs w:val="18"/>
                    </w:rPr>
                    <w:t>At least one instance of 15¢</w:t>
                  </w:r>
                  <w:r w:rsidRPr="00280643">
                    <w:rPr>
                      <w:rFonts w:eastAsia="Times New Roman" w:cs="Arial"/>
                      <w:color w:val="000000"/>
                      <w:sz w:val="18"/>
                      <w:szCs w:val="18"/>
                    </w:rPr>
                    <w:t xml:space="preserve"> difference or more</w:t>
                  </w:r>
                </w:p>
              </w:tc>
              <w:tc>
                <w:tcPr>
                  <w:tcW w:w="720" w:type="dxa"/>
                  <w:tcBorders>
                    <w:top w:val="nil"/>
                    <w:left w:val="nil"/>
                    <w:bottom w:val="dashed" w:sz="4" w:space="0" w:color="BFBFBF"/>
                    <w:right w:val="nil"/>
                  </w:tcBorders>
                  <w:shd w:val="clear" w:color="auto" w:fill="auto"/>
                  <w:vAlign w:val="bottom"/>
                  <w:hideMark/>
                </w:tcPr>
                <w:p w14:paraId="558634C3" w14:textId="5B0662A3"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55</w:t>
                  </w:r>
                </w:p>
              </w:tc>
              <w:tc>
                <w:tcPr>
                  <w:tcW w:w="2610" w:type="dxa"/>
                  <w:tcBorders>
                    <w:top w:val="nil"/>
                    <w:left w:val="nil"/>
                    <w:bottom w:val="dashed" w:sz="4" w:space="0" w:color="BFBFBF"/>
                    <w:right w:val="nil"/>
                  </w:tcBorders>
                  <w:shd w:val="clear" w:color="auto" w:fill="auto"/>
                  <w:vAlign w:val="bottom"/>
                  <w:hideMark/>
                </w:tcPr>
                <w:p w14:paraId="18A2EE4A" w14:textId="424D4740" w:rsidR="007242D7" w:rsidRPr="00280643" w:rsidRDefault="007242D7" w:rsidP="00DE7135">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18</w:t>
                  </w:r>
                  <w:r w:rsidRPr="00280643">
                    <w:rPr>
                      <w:rFonts w:ascii="Calibri" w:eastAsia="Times New Roman" w:hAnsi="Calibri" w:cs="Times New Roman"/>
                      <w:color w:val="000000"/>
                      <w:sz w:val="18"/>
                      <w:szCs w:val="18"/>
                    </w:rPr>
                    <w:t>%</w:t>
                  </w:r>
                </w:p>
              </w:tc>
            </w:tr>
            <w:tr w:rsidR="007242D7" w:rsidRPr="00280643" w14:paraId="04E8D693" w14:textId="77777777" w:rsidTr="00DE7135">
              <w:trPr>
                <w:trHeight w:val="315"/>
              </w:trPr>
              <w:tc>
                <w:tcPr>
                  <w:tcW w:w="4932" w:type="dxa"/>
                  <w:tcBorders>
                    <w:top w:val="nil"/>
                    <w:left w:val="nil"/>
                    <w:bottom w:val="dashed" w:sz="4" w:space="0" w:color="BFBFBF"/>
                    <w:right w:val="nil"/>
                  </w:tcBorders>
                  <w:shd w:val="clear" w:color="auto" w:fill="auto"/>
                  <w:vAlign w:val="bottom"/>
                  <w:hideMark/>
                </w:tcPr>
                <w:p w14:paraId="30EA5DBD" w14:textId="77777777" w:rsidR="007242D7" w:rsidRPr="00280643" w:rsidRDefault="007242D7" w:rsidP="00DE7135">
                  <w:pPr>
                    <w:spacing w:after="0" w:line="240" w:lineRule="auto"/>
                    <w:rPr>
                      <w:rFonts w:ascii="Calibri" w:eastAsia="Times New Roman" w:hAnsi="Calibri" w:cs="Times New Roman"/>
                      <w:b/>
                      <w:bCs/>
                      <w:color w:val="000000"/>
                      <w:sz w:val="18"/>
                      <w:szCs w:val="18"/>
                    </w:rPr>
                  </w:pPr>
                  <w:r w:rsidRPr="00280643">
                    <w:rPr>
                      <w:rFonts w:ascii="Calibri" w:eastAsia="Times New Roman" w:hAnsi="Calibri" w:cs="Times New Roman"/>
                      <w:b/>
                      <w:bCs/>
                      <w:color w:val="000000"/>
                      <w:sz w:val="18"/>
                      <w:szCs w:val="18"/>
                    </w:rPr>
                    <w:t>Total Row</w:t>
                  </w:r>
                </w:p>
              </w:tc>
              <w:tc>
                <w:tcPr>
                  <w:tcW w:w="720" w:type="dxa"/>
                  <w:tcBorders>
                    <w:top w:val="nil"/>
                    <w:left w:val="nil"/>
                    <w:bottom w:val="dashed" w:sz="4" w:space="0" w:color="BFBFBF"/>
                    <w:right w:val="nil"/>
                  </w:tcBorders>
                  <w:shd w:val="clear" w:color="auto" w:fill="auto"/>
                  <w:vAlign w:val="bottom"/>
                  <w:hideMark/>
                </w:tcPr>
                <w:p w14:paraId="2A1AE64A" w14:textId="510153E6" w:rsidR="007242D7" w:rsidRPr="00280643" w:rsidRDefault="007242D7" w:rsidP="00DE7135">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251</w:t>
                  </w:r>
                </w:p>
              </w:tc>
              <w:tc>
                <w:tcPr>
                  <w:tcW w:w="2610" w:type="dxa"/>
                  <w:tcBorders>
                    <w:top w:val="nil"/>
                    <w:left w:val="nil"/>
                    <w:bottom w:val="dashed" w:sz="4" w:space="0" w:color="BFBFBF"/>
                    <w:right w:val="nil"/>
                  </w:tcBorders>
                  <w:shd w:val="clear" w:color="auto" w:fill="auto"/>
                  <w:vAlign w:val="bottom"/>
                  <w:hideMark/>
                </w:tcPr>
                <w:p w14:paraId="65017B6C" w14:textId="74EC0818" w:rsidR="007242D7" w:rsidRPr="00280643" w:rsidRDefault="007242D7" w:rsidP="00DE7135">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84</w:t>
                  </w:r>
                  <w:r w:rsidRPr="00280643">
                    <w:rPr>
                      <w:rFonts w:ascii="Calibri" w:eastAsia="Times New Roman" w:hAnsi="Calibri" w:cs="Times New Roman"/>
                      <w:b/>
                      <w:bCs/>
                      <w:color w:val="000000"/>
                      <w:sz w:val="18"/>
                      <w:szCs w:val="18"/>
                    </w:rPr>
                    <w:t>%</w:t>
                  </w:r>
                </w:p>
              </w:tc>
            </w:tr>
          </w:tbl>
          <w:p w14:paraId="737C6DF0" w14:textId="77777777" w:rsidR="007242D7" w:rsidRPr="007242D7" w:rsidRDefault="007242D7" w:rsidP="00DE7135"/>
        </w:tc>
      </w:tr>
    </w:tbl>
    <w:p w14:paraId="7B556D01" w14:textId="77777777" w:rsidR="00415B41" w:rsidRDefault="00415B41" w:rsidP="000E683D">
      <w:pPr>
        <w:spacing w:line="240" w:lineRule="auto"/>
        <w:rPr>
          <w:b/>
          <w:bCs/>
          <w:noProof/>
          <w:color w:val="1396D8"/>
          <w:szCs w:val="18"/>
        </w:rPr>
      </w:pPr>
    </w:p>
    <w:p w14:paraId="1743BA79" w14:textId="77777777" w:rsidR="00037E7C" w:rsidRDefault="00037E7C" w:rsidP="000E683D">
      <w:pPr>
        <w:spacing w:line="240" w:lineRule="auto"/>
        <w:rPr>
          <w:b/>
          <w:bCs/>
          <w:noProof/>
          <w:color w:val="1396D8"/>
          <w:szCs w:val="18"/>
        </w:rPr>
      </w:pPr>
    </w:p>
    <w:p w14:paraId="473CF229" w14:textId="77777777" w:rsidR="00B33059" w:rsidRDefault="00B33059" w:rsidP="000E683D">
      <w:pPr>
        <w:spacing w:line="240" w:lineRule="auto"/>
        <w:rPr>
          <w:b/>
          <w:bCs/>
          <w:noProof/>
          <w:color w:val="1396D8"/>
          <w:szCs w:val="18"/>
        </w:rPr>
      </w:pPr>
    </w:p>
    <w:p w14:paraId="0822E67D" w14:textId="77777777" w:rsidR="00B33059" w:rsidRDefault="00B33059" w:rsidP="000E683D">
      <w:pPr>
        <w:spacing w:line="240" w:lineRule="auto"/>
        <w:rPr>
          <w:b/>
          <w:bCs/>
          <w:noProof/>
          <w:color w:val="1396D8"/>
          <w:szCs w:val="18"/>
        </w:rPr>
      </w:pPr>
    </w:p>
    <w:p w14:paraId="3DF109D9" w14:textId="77777777" w:rsidR="00B33059" w:rsidRDefault="00B33059" w:rsidP="000E683D">
      <w:pPr>
        <w:spacing w:line="240" w:lineRule="auto"/>
        <w:rPr>
          <w:b/>
          <w:bCs/>
          <w:noProof/>
          <w:color w:val="1396D8"/>
          <w:szCs w:val="18"/>
        </w:rPr>
      </w:pPr>
    </w:p>
    <w:p w14:paraId="6313ABC3" w14:textId="77777777" w:rsidR="00B33059" w:rsidRDefault="00B33059" w:rsidP="000E683D">
      <w:pPr>
        <w:spacing w:line="240" w:lineRule="auto"/>
        <w:rPr>
          <w:b/>
          <w:bCs/>
          <w:noProof/>
          <w:color w:val="1396D8"/>
          <w:szCs w:val="18"/>
        </w:rPr>
      </w:pPr>
    </w:p>
    <w:p w14:paraId="04B14131" w14:textId="77777777" w:rsidR="00B33059" w:rsidRDefault="00B33059" w:rsidP="000E683D">
      <w:pPr>
        <w:spacing w:line="240" w:lineRule="auto"/>
        <w:rPr>
          <w:b/>
          <w:bCs/>
          <w:noProof/>
          <w:color w:val="1396D8"/>
          <w:szCs w:val="18"/>
        </w:rPr>
      </w:pPr>
    </w:p>
    <w:p w14:paraId="04F20C41" w14:textId="42B575E8" w:rsidR="00B33059" w:rsidRDefault="00B33059" w:rsidP="009F3147">
      <w:pPr>
        <w:pStyle w:val="Caption"/>
        <w:rPr>
          <w:noProof/>
        </w:rPr>
      </w:pPr>
      <w:r w:rsidRPr="00B33059">
        <w:rPr>
          <w:noProof/>
          <w:szCs w:val="18"/>
        </w:rPr>
        <w:t xml:space="preserve">Figure </w:t>
      </w:r>
      <w:r w:rsidR="00F76AC5">
        <w:rPr>
          <w:noProof/>
          <w:szCs w:val="18"/>
        </w:rPr>
        <w:t>A</w:t>
      </w:r>
      <w:r w:rsidRPr="00B33059">
        <w:rPr>
          <w:noProof/>
          <w:szCs w:val="18"/>
        </w:rPr>
        <w:t>.</w:t>
      </w:r>
      <w:r w:rsidR="00F76AC5">
        <w:rPr>
          <w:noProof/>
          <w:szCs w:val="18"/>
        </w:rPr>
        <w:t>3.</w:t>
      </w:r>
      <w:r w:rsidRPr="00B33059">
        <w:rPr>
          <w:noProof/>
          <w:szCs w:val="18"/>
        </w:rPr>
        <w:t xml:space="preserve"> </w:t>
      </w:r>
      <w:r w:rsidR="00DD0387">
        <w:t>Differences in prices between EIA and OPIS data (both unweighted) by selected state</w:t>
      </w:r>
      <w:r w:rsidR="0077495B">
        <w:t>s</w:t>
      </w:r>
      <w:r w:rsidR="00DD0387">
        <w:t xml:space="preserve"> for regular, midgrade</w:t>
      </w:r>
      <w:r w:rsidR="0077495B">
        <w:t>,</w:t>
      </w:r>
      <w:r w:rsidR="00DD0387">
        <w:t xml:space="preserve"> and premium gasoline.</w:t>
      </w:r>
      <w:r w:rsidR="00DD0387" w:rsidRPr="00B33059" w:rsidDel="00DD0387">
        <w:t xml:space="preserve"> </w:t>
      </w:r>
    </w:p>
    <w:p w14:paraId="1C557838" w14:textId="77777777" w:rsidR="00037E7C" w:rsidRDefault="00A4171E" w:rsidP="000E683D">
      <w:pPr>
        <w:spacing w:line="240" w:lineRule="auto"/>
        <w:rPr>
          <w:b/>
          <w:bCs/>
          <w:noProof/>
          <w:color w:val="1396D8"/>
          <w:szCs w:val="18"/>
        </w:rPr>
      </w:pPr>
      <w:r w:rsidRPr="00A4171E">
        <w:rPr>
          <w:noProof/>
        </w:rPr>
        <w:drawing>
          <wp:inline distT="0" distB="0" distL="0" distR="0" wp14:anchorId="520E06D6" wp14:editId="56B77769">
            <wp:extent cx="5943600" cy="4025109"/>
            <wp:effectExtent l="0" t="0" r="0" b="0"/>
            <wp:docPr id="20" name="Picture 20" descr="C:\Users\MBS\AppData\Local\Microsoft\Windows\Temporary Internet Files\Content.Outlook\U7E6GSUB\State price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S\AppData\Local\Microsoft\Windows\Temporary Internet Files\Content.Outlook\U7E6GSUB\State price differences.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9602"/>
                    <a:stretch/>
                  </pic:blipFill>
                  <pic:spPr bwMode="auto">
                    <a:xfrm>
                      <a:off x="0" y="0"/>
                      <a:ext cx="5943600" cy="4025109"/>
                    </a:xfrm>
                    <a:prstGeom prst="rect">
                      <a:avLst/>
                    </a:prstGeom>
                    <a:noFill/>
                    <a:ln>
                      <a:noFill/>
                    </a:ln>
                    <a:extLst>
                      <a:ext uri="{53640926-AAD7-44D8-BBD7-CCE9431645EC}">
                        <a14:shadowObscured xmlns:a14="http://schemas.microsoft.com/office/drawing/2010/main"/>
                      </a:ext>
                    </a:extLst>
                  </pic:spPr>
                </pic:pic>
              </a:graphicData>
            </a:graphic>
          </wp:inline>
        </w:drawing>
      </w:r>
    </w:p>
    <w:p w14:paraId="71E98D5A" w14:textId="77777777" w:rsidR="00872F5B" w:rsidRPr="00872F5B" w:rsidRDefault="00872F5B" w:rsidP="00872F5B">
      <w:pPr>
        <w:rPr>
          <w:sz w:val="20"/>
        </w:rPr>
      </w:pPr>
      <w:r w:rsidRPr="00872F5B">
        <w:rPr>
          <w:sz w:val="20"/>
        </w:rPr>
        <w:t>Note: Difference is calculated as OPIS price minus EIA price</w:t>
      </w:r>
    </w:p>
    <w:p w14:paraId="15F1C208" w14:textId="77777777" w:rsidR="00A4171E" w:rsidRDefault="00A4171E" w:rsidP="000E683D">
      <w:pPr>
        <w:spacing w:line="240" w:lineRule="auto"/>
        <w:rPr>
          <w:b/>
          <w:bCs/>
          <w:noProof/>
          <w:color w:val="1396D8"/>
          <w:szCs w:val="18"/>
        </w:rPr>
      </w:pPr>
    </w:p>
    <w:p w14:paraId="0824C58B" w14:textId="77777777" w:rsidR="00B33059" w:rsidRDefault="00B33059" w:rsidP="000E683D">
      <w:pPr>
        <w:spacing w:line="240" w:lineRule="auto"/>
        <w:rPr>
          <w:b/>
          <w:bCs/>
          <w:noProof/>
          <w:color w:val="1396D8"/>
          <w:szCs w:val="18"/>
        </w:rPr>
      </w:pPr>
    </w:p>
    <w:p w14:paraId="05BB1142" w14:textId="77777777" w:rsidR="00B33059" w:rsidRDefault="00B33059" w:rsidP="000E683D">
      <w:pPr>
        <w:spacing w:line="240" w:lineRule="auto"/>
        <w:rPr>
          <w:b/>
          <w:bCs/>
          <w:noProof/>
          <w:color w:val="1396D8"/>
          <w:szCs w:val="18"/>
        </w:rPr>
      </w:pPr>
    </w:p>
    <w:p w14:paraId="7491C772" w14:textId="77777777" w:rsidR="00B33059" w:rsidRDefault="00B33059" w:rsidP="000E683D">
      <w:pPr>
        <w:spacing w:line="240" w:lineRule="auto"/>
        <w:rPr>
          <w:b/>
          <w:bCs/>
          <w:noProof/>
          <w:color w:val="1396D8"/>
          <w:szCs w:val="18"/>
        </w:rPr>
      </w:pPr>
    </w:p>
    <w:p w14:paraId="179D62A4" w14:textId="77777777" w:rsidR="00B33059" w:rsidRDefault="00B33059" w:rsidP="000E683D">
      <w:pPr>
        <w:spacing w:line="240" w:lineRule="auto"/>
        <w:rPr>
          <w:b/>
          <w:bCs/>
          <w:noProof/>
          <w:color w:val="1396D8"/>
          <w:szCs w:val="18"/>
        </w:rPr>
      </w:pPr>
    </w:p>
    <w:p w14:paraId="0BDDFBBB" w14:textId="77777777" w:rsidR="00B33059" w:rsidRDefault="00B33059" w:rsidP="000E683D">
      <w:pPr>
        <w:spacing w:line="240" w:lineRule="auto"/>
        <w:rPr>
          <w:b/>
          <w:bCs/>
          <w:noProof/>
          <w:color w:val="1396D8"/>
          <w:szCs w:val="18"/>
        </w:rPr>
      </w:pPr>
    </w:p>
    <w:p w14:paraId="5E0EF9B7" w14:textId="77777777" w:rsidR="00B33059" w:rsidRDefault="00B33059" w:rsidP="000E683D">
      <w:pPr>
        <w:spacing w:line="240" w:lineRule="auto"/>
        <w:rPr>
          <w:b/>
          <w:bCs/>
          <w:noProof/>
          <w:color w:val="1396D8"/>
          <w:szCs w:val="18"/>
        </w:rPr>
      </w:pPr>
    </w:p>
    <w:p w14:paraId="7F8ED7F0" w14:textId="77777777" w:rsidR="00B33059" w:rsidRDefault="00B33059" w:rsidP="000E683D">
      <w:pPr>
        <w:spacing w:line="240" w:lineRule="auto"/>
        <w:rPr>
          <w:b/>
          <w:bCs/>
          <w:noProof/>
          <w:color w:val="1396D8"/>
          <w:szCs w:val="18"/>
        </w:rPr>
      </w:pPr>
    </w:p>
    <w:p w14:paraId="25FF190F" w14:textId="77777777" w:rsidR="00B33059" w:rsidRDefault="00B33059" w:rsidP="000E683D">
      <w:pPr>
        <w:spacing w:line="240" w:lineRule="auto"/>
        <w:rPr>
          <w:b/>
          <w:bCs/>
          <w:noProof/>
          <w:color w:val="1396D8"/>
          <w:szCs w:val="18"/>
        </w:rPr>
      </w:pPr>
    </w:p>
    <w:p w14:paraId="46712C7D" w14:textId="77777777" w:rsidR="00B33059" w:rsidRDefault="00B33059" w:rsidP="000E683D">
      <w:pPr>
        <w:spacing w:line="240" w:lineRule="auto"/>
        <w:rPr>
          <w:b/>
          <w:bCs/>
          <w:noProof/>
          <w:color w:val="1396D8"/>
          <w:szCs w:val="18"/>
        </w:rPr>
      </w:pPr>
    </w:p>
    <w:p w14:paraId="587A9999" w14:textId="7B2C5FB2" w:rsidR="00B33059" w:rsidRDefault="00B33059" w:rsidP="009F3147">
      <w:pPr>
        <w:pStyle w:val="Caption"/>
        <w:rPr>
          <w:noProof/>
        </w:rPr>
      </w:pPr>
      <w:r w:rsidRPr="00B33059">
        <w:rPr>
          <w:noProof/>
          <w:szCs w:val="18"/>
        </w:rPr>
        <w:t xml:space="preserve">Figure </w:t>
      </w:r>
      <w:r w:rsidR="00F76AC5">
        <w:rPr>
          <w:noProof/>
          <w:szCs w:val="18"/>
        </w:rPr>
        <w:t>A</w:t>
      </w:r>
      <w:r w:rsidRPr="00B33059">
        <w:rPr>
          <w:noProof/>
          <w:szCs w:val="18"/>
        </w:rPr>
        <w:t>.</w:t>
      </w:r>
      <w:r w:rsidR="00F76AC5">
        <w:rPr>
          <w:noProof/>
          <w:szCs w:val="18"/>
        </w:rPr>
        <w:t>4.</w:t>
      </w:r>
      <w:r w:rsidRPr="00B33059">
        <w:rPr>
          <w:noProof/>
          <w:szCs w:val="18"/>
        </w:rPr>
        <w:t xml:space="preserve"> </w:t>
      </w:r>
      <w:r w:rsidR="00DD0387">
        <w:t>Differences in prices between EIA and OPIS data (both unweighted) by selected cities for regular, midgrade</w:t>
      </w:r>
      <w:r w:rsidR="0077495B">
        <w:t>,</w:t>
      </w:r>
      <w:r w:rsidR="00DD0387">
        <w:t xml:space="preserve"> and premium gasoline.</w:t>
      </w:r>
    </w:p>
    <w:p w14:paraId="76AD5D88" w14:textId="77777777" w:rsidR="00A4171E" w:rsidRDefault="00A4171E" w:rsidP="000E683D">
      <w:pPr>
        <w:spacing w:line="240" w:lineRule="auto"/>
        <w:rPr>
          <w:b/>
          <w:bCs/>
          <w:noProof/>
          <w:color w:val="1396D8"/>
          <w:szCs w:val="18"/>
        </w:rPr>
      </w:pPr>
      <w:r w:rsidRPr="00A4171E">
        <w:rPr>
          <w:b/>
          <w:bCs/>
          <w:noProof/>
          <w:color w:val="1396D8"/>
          <w:szCs w:val="18"/>
        </w:rPr>
        <w:drawing>
          <wp:inline distT="0" distB="0" distL="0" distR="0" wp14:anchorId="66CFDA69" wp14:editId="366C4AD8">
            <wp:extent cx="5943409" cy="3977607"/>
            <wp:effectExtent l="0" t="0" r="635" b="4445"/>
            <wp:docPr id="21" name="Picture 21" descr="C:\Users\MBS\AppData\Local\Microsoft\Windows\Temporary Internet Files\Content.Outlook\U7E6GSUB\City price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S\AppData\Local\Microsoft\Windows\Temporary Internet Files\Content.Outlook\U7E6GSUB\City price differences.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0668"/>
                    <a:stretch/>
                  </pic:blipFill>
                  <pic:spPr bwMode="auto">
                    <a:xfrm>
                      <a:off x="0" y="0"/>
                      <a:ext cx="5943600" cy="3977735"/>
                    </a:xfrm>
                    <a:prstGeom prst="rect">
                      <a:avLst/>
                    </a:prstGeom>
                    <a:noFill/>
                    <a:ln>
                      <a:noFill/>
                    </a:ln>
                    <a:extLst>
                      <a:ext uri="{53640926-AAD7-44D8-BBD7-CCE9431645EC}">
                        <a14:shadowObscured xmlns:a14="http://schemas.microsoft.com/office/drawing/2010/main"/>
                      </a:ext>
                    </a:extLst>
                  </pic:spPr>
                </pic:pic>
              </a:graphicData>
            </a:graphic>
          </wp:inline>
        </w:drawing>
      </w:r>
    </w:p>
    <w:p w14:paraId="27E0AFD5" w14:textId="77777777" w:rsidR="00872F5B" w:rsidRPr="00872F5B" w:rsidRDefault="00872F5B" w:rsidP="00872F5B">
      <w:pPr>
        <w:rPr>
          <w:sz w:val="20"/>
        </w:rPr>
      </w:pPr>
      <w:r w:rsidRPr="00872F5B">
        <w:rPr>
          <w:sz w:val="20"/>
        </w:rPr>
        <w:t>Note: Difference is calculated as OPIS price minus EIA price</w:t>
      </w:r>
    </w:p>
    <w:p w14:paraId="73EA262F" w14:textId="77777777" w:rsidR="00037E7C" w:rsidRDefault="00037E7C" w:rsidP="000E683D">
      <w:pPr>
        <w:spacing w:line="240" w:lineRule="auto"/>
        <w:rPr>
          <w:b/>
          <w:bCs/>
          <w:noProof/>
          <w:color w:val="1396D8"/>
          <w:szCs w:val="18"/>
        </w:rPr>
      </w:pPr>
    </w:p>
    <w:p w14:paraId="78C7DBF9" w14:textId="77777777" w:rsidR="0013781B" w:rsidRDefault="0013781B" w:rsidP="0013781B">
      <w:pPr>
        <w:rPr>
          <w:rFonts w:cs="Times New Roman"/>
        </w:rPr>
      </w:pPr>
    </w:p>
    <w:p w14:paraId="47C89234" w14:textId="77777777" w:rsidR="0013781B" w:rsidRDefault="0013781B" w:rsidP="0013781B">
      <w:pPr>
        <w:ind w:left="360"/>
        <w:jc w:val="center"/>
        <w:rPr>
          <w:rFonts w:cs="Times New Roman"/>
        </w:rPr>
      </w:pPr>
    </w:p>
    <w:p w14:paraId="749DA429" w14:textId="5E8C4D9B" w:rsidR="0013781B" w:rsidRDefault="0013781B" w:rsidP="00612EC5">
      <w:pPr>
        <w:rPr>
          <w:rFonts w:cs="Times New Roman"/>
        </w:rPr>
      </w:pPr>
    </w:p>
    <w:p w14:paraId="36FE9A92" w14:textId="77777777" w:rsidR="003B09B3" w:rsidRDefault="003B09B3" w:rsidP="00612EC5">
      <w:pPr>
        <w:rPr>
          <w:rFonts w:cs="Times New Roman"/>
        </w:rPr>
      </w:pPr>
    </w:p>
    <w:p w14:paraId="607C9DD1" w14:textId="77777777" w:rsidR="003B09B3" w:rsidRDefault="003B09B3" w:rsidP="00612EC5">
      <w:pPr>
        <w:rPr>
          <w:rFonts w:cs="Times New Roman"/>
        </w:rPr>
      </w:pPr>
    </w:p>
    <w:p w14:paraId="27BF3F68" w14:textId="77777777" w:rsidR="003B09B3" w:rsidRDefault="003B09B3" w:rsidP="00612EC5">
      <w:pPr>
        <w:rPr>
          <w:rFonts w:cs="Times New Roman"/>
        </w:rPr>
      </w:pPr>
    </w:p>
    <w:p w14:paraId="12346B3E" w14:textId="77777777" w:rsidR="003B09B3" w:rsidRDefault="003B09B3" w:rsidP="00612EC5">
      <w:pPr>
        <w:rPr>
          <w:rFonts w:cs="Times New Roman"/>
        </w:rPr>
      </w:pPr>
    </w:p>
    <w:p w14:paraId="47B50AFA" w14:textId="77777777" w:rsidR="001B4F04" w:rsidRDefault="001B4F04" w:rsidP="00612EC5">
      <w:pPr>
        <w:rPr>
          <w:rFonts w:cs="Times New Roman"/>
        </w:rPr>
      </w:pPr>
    </w:p>
    <w:p w14:paraId="0002E04D" w14:textId="77777777" w:rsidR="003B09B3" w:rsidRDefault="003B09B3" w:rsidP="00612EC5">
      <w:pPr>
        <w:rPr>
          <w:rFonts w:cs="Times New Roman"/>
        </w:rPr>
      </w:pPr>
    </w:p>
    <w:p w14:paraId="096394FC" w14:textId="77777777" w:rsidR="003B09B3" w:rsidRDefault="003B09B3" w:rsidP="00612EC5">
      <w:pPr>
        <w:rPr>
          <w:rFonts w:cs="Times New Roman"/>
        </w:rPr>
      </w:pPr>
    </w:p>
    <w:p w14:paraId="62A1C61D" w14:textId="77777777" w:rsidR="005E5350" w:rsidRDefault="005E5350" w:rsidP="00612EC5">
      <w:pPr>
        <w:rPr>
          <w:rFonts w:cs="Times New Roman"/>
        </w:rPr>
        <w:sectPr w:rsidR="005E5350" w:rsidSect="008F6837">
          <w:pgSz w:w="12240" w:h="15840"/>
          <w:pgMar w:top="1440" w:right="1440" w:bottom="1440" w:left="1440" w:header="720" w:footer="720" w:gutter="0"/>
          <w:cols w:space="720"/>
          <w:docGrid w:linePitch="360"/>
        </w:sectPr>
      </w:pPr>
    </w:p>
    <w:p w14:paraId="08DB55B7" w14:textId="25F09050" w:rsidR="00823175" w:rsidRPr="00FB5311" w:rsidRDefault="00823175" w:rsidP="005E5350">
      <w:pPr>
        <w:spacing w:line="240" w:lineRule="auto"/>
        <w:rPr>
          <w:b/>
          <w:color w:val="0096D7" w:themeColor="accent1"/>
        </w:rPr>
      </w:pPr>
      <w:r w:rsidRPr="00FB5311">
        <w:rPr>
          <w:b/>
          <w:color w:val="0096D7" w:themeColor="accent1"/>
        </w:rPr>
        <w:t>Table</w:t>
      </w:r>
      <w:r w:rsidR="002452E9" w:rsidRPr="00FB5311">
        <w:rPr>
          <w:b/>
          <w:color w:val="0096D7" w:themeColor="accent1"/>
        </w:rPr>
        <w:t xml:space="preserve"> A.4</w:t>
      </w:r>
      <w:r w:rsidR="005E5350" w:rsidRPr="00FB5311">
        <w:rPr>
          <w:b/>
          <w:color w:val="0096D7" w:themeColor="accent1"/>
        </w:rPr>
        <w:t xml:space="preserve"> </w:t>
      </w:r>
      <w:r w:rsidRPr="00FB5311">
        <w:rPr>
          <w:b/>
          <w:color w:val="0096D7" w:themeColor="accent1"/>
        </w:rPr>
        <w:t>Sample sizes for New York City for OPIS (Census), EIA (Matched Sample)</w:t>
      </w:r>
      <w:r w:rsidR="004125C1" w:rsidRPr="00FB5311">
        <w:rPr>
          <w:b/>
          <w:color w:val="0096D7" w:themeColor="accent1"/>
        </w:rPr>
        <w:t>,</w:t>
      </w:r>
      <w:r w:rsidRPr="00FB5311">
        <w:rPr>
          <w:b/>
          <w:color w:val="0096D7" w:themeColor="accent1"/>
        </w:rPr>
        <w:t xml:space="preserve"> and OPIS (Matched Sample</w:t>
      </w:r>
      <w:r w:rsidR="00614466">
        <w:rPr>
          <w:b/>
          <w:color w:val="0096D7" w:themeColor="accent1"/>
        </w:rPr>
        <w:t xml:space="preserve"> to EIA</w:t>
      </w:r>
      <w:r w:rsidRPr="00FB5311">
        <w:rPr>
          <w:b/>
          <w:color w:val="0096D7" w:themeColor="accent1"/>
        </w:rPr>
        <w:t>)</w:t>
      </w:r>
      <w:r w:rsidR="00114932">
        <w:rPr>
          <w:b/>
          <w:color w:val="0096D7" w:themeColor="accent1"/>
        </w:rPr>
        <w:t>.</w:t>
      </w:r>
      <w:r w:rsidRPr="00FB5311">
        <w:rPr>
          <w:b/>
          <w:color w:val="0096D7" w:themeColor="accent1"/>
        </w:rPr>
        <w:t xml:space="preserve"> </w:t>
      </w:r>
    </w:p>
    <w:tbl>
      <w:tblPr>
        <w:tblW w:w="12140" w:type="dxa"/>
        <w:tblLook w:val="04A0" w:firstRow="1" w:lastRow="0" w:firstColumn="1" w:lastColumn="0" w:noHBand="0" w:noVBand="1"/>
      </w:tblPr>
      <w:tblGrid>
        <w:gridCol w:w="2540"/>
        <w:gridCol w:w="800"/>
        <w:gridCol w:w="800"/>
        <w:gridCol w:w="800"/>
        <w:gridCol w:w="800"/>
        <w:gridCol w:w="800"/>
        <w:gridCol w:w="800"/>
        <w:gridCol w:w="800"/>
        <w:gridCol w:w="800"/>
        <w:gridCol w:w="800"/>
        <w:gridCol w:w="800"/>
        <w:gridCol w:w="800"/>
        <w:gridCol w:w="800"/>
      </w:tblGrid>
      <w:tr w:rsidR="005E5350" w:rsidRPr="005E5350" w14:paraId="5A85FD37" w14:textId="77777777" w:rsidTr="005E5350">
        <w:trPr>
          <w:trHeight w:val="360"/>
        </w:trPr>
        <w:tc>
          <w:tcPr>
            <w:tcW w:w="2540" w:type="dxa"/>
            <w:tcBorders>
              <w:top w:val="nil"/>
              <w:left w:val="nil"/>
              <w:bottom w:val="single" w:sz="12" w:space="0" w:color="0096D7"/>
              <w:right w:val="nil"/>
            </w:tcBorders>
            <w:shd w:val="clear" w:color="auto" w:fill="auto"/>
            <w:vAlign w:val="bottom"/>
            <w:hideMark/>
          </w:tcPr>
          <w:p w14:paraId="3370B83F"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12" w:space="0" w:color="0096D7"/>
              <w:right w:val="nil"/>
            </w:tcBorders>
            <w:shd w:val="clear" w:color="auto" w:fill="auto"/>
            <w:vAlign w:val="bottom"/>
            <w:hideMark/>
          </w:tcPr>
          <w:p w14:paraId="06592820"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15-May</w:t>
            </w:r>
          </w:p>
        </w:tc>
        <w:tc>
          <w:tcPr>
            <w:tcW w:w="800" w:type="dxa"/>
            <w:tcBorders>
              <w:top w:val="nil"/>
              <w:left w:val="nil"/>
              <w:bottom w:val="single" w:sz="12" w:space="0" w:color="0096D7"/>
              <w:right w:val="nil"/>
            </w:tcBorders>
            <w:shd w:val="clear" w:color="auto" w:fill="auto"/>
            <w:vAlign w:val="bottom"/>
            <w:hideMark/>
          </w:tcPr>
          <w:p w14:paraId="256501EF"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22-May</w:t>
            </w:r>
          </w:p>
        </w:tc>
        <w:tc>
          <w:tcPr>
            <w:tcW w:w="800" w:type="dxa"/>
            <w:tcBorders>
              <w:top w:val="nil"/>
              <w:left w:val="nil"/>
              <w:bottom w:val="single" w:sz="12" w:space="0" w:color="0096D7"/>
              <w:right w:val="nil"/>
            </w:tcBorders>
            <w:shd w:val="clear" w:color="auto" w:fill="auto"/>
            <w:vAlign w:val="bottom"/>
            <w:hideMark/>
          </w:tcPr>
          <w:p w14:paraId="2F07EB0B"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29-May</w:t>
            </w:r>
          </w:p>
        </w:tc>
        <w:tc>
          <w:tcPr>
            <w:tcW w:w="800" w:type="dxa"/>
            <w:tcBorders>
              <w:top w:val="nil"/>
              <w:left w:val="nil"/>
              <w:bottom w:val="single" w:sz="12" w:space="0" w:color="0096D7"/>
              <w:right w:val="nil"/>
            </w:tcBorders>
            <w:shd w:val="clear" w:color="auto" w:fill="auto"/>
            <w:vAlign w:val="bottom"/>
            <w:hideMark/>
          </w:tcPr>
          <w:p w14:paraId="5DD0C7D5"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5-Jun</w:t>
            </w:r>
          </w:p>
        </w:tc>
        <w:tc>
          <w:tcPr>
            <w:tcW w:w="800" w:type="dxa"/>
            <w:tcBorders>
              <w:top w:val="nil"/>
              <w:left w:val="nil"/>
              <w:bottom w:val="single" w:sz="12" w:space="0" w:color="0096D7"/>
              <w:right w:val="nil"/>
            </w:tcBorders>
            <w:shd w:val="clear" w:color="auto" w:fill="auto"/>
            <w:vAlign w:val="bottom"/>
            <w:hideMark/>
          </w:tcPr>
          <w:p w14:paraId="2D8F111E"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12-Jun</w:t>
            </w:r>
          </w:p>
        </w:tc>
        <w:tc>
          <w:tcPr>
            <w:tcW w:w="800" w:type="dxa"/>
            <w:tcBorders>
              <w:top w:val="nil"/>
              <w:left w:val="nil"/>
              <w:bottom w:val="single" w:sz="12" w:space="0" w:color="0096D7"/>
              <w:right w:val="nil"/>
            </w:tcBorders>
            <w:shd w:val="clear" w:color="auto" w:fill="auto"/>
            <w:vAlign w:val="bottom"/>
            <w:hideMark/>
          </w:tcPr>
          <w:p w14:paraId="64908476"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19-Jun</w:t>
            </w:r>
          </w:p>
        </w:tc>
        <w:tc>
          <w:tcPr>
            <w:tcW w:w="800" w:type="dxa"/>
            <w:tcBorders>
              <w:top w:val="nil"/>
              <w:left w:val="nil"/>
              <w:bottom w:val="single" w:sz="12" w:space="0" w:color="0096D7"/>
              <w:right w:val="nil"/>
            </w:tcBorders>
            <w:shd w:val="clear" w:color="auto" w:fill="auto"/>
            <w:vAlign w:val="bottom"/>
            <w:hideMark/>
          </w:tcPr>
          <w:p w14:paraId="17369789"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26-Jun</w:t>
            </w:r>
          </w:p>
        </w:tc>
        <w:tc>
          <w:tcPr>
            <w:tcW w:w="800" w:type="dxa"/>
            <w:tcBorders>
              <w:top w:val="nil"/>
              <w:left w:val="nil"/>
              <w:bottom w:val="single" w:sz="12" w:space="0" w:color="0096D7"/>
              <w:right w:val="nil"/>
            </w:tcBorders>
            <w:shd w:val="clear" w:color="auto" w:fill="auto"/>
            <w:vAlign w:val="bottom"/>
            <w:hideMark/>
          </w:tcPr>
          <w:p w14:paraId="24600F21"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3-Jul</w:t>
            </w:r>
          </w:p>
        </w:tc>
        <w:tc>
          <w:tcPr>
            <w:tcW w:w="800" w:type="dxa"/>
            <w:tcBorders>
              <w:top w:val="nil"/>
              <w:left w:val="nil"/>
              <w:bottom w:val="single" w:sz="12" w:space="0" w:color="0096D7"/>
              <w:right w:val="nil"/>
            </w:tcBorders>
            <w:shd w:val="clear" w:color="auto" w:fill="auto"/>
            <w:vAlign w:val="bottom"/>
            <w:hideMark/>
          </w:tcPr>
          <w:p w14:paraId="14312CD9"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10-Jul</w:t>
            </w:r>
          </w:p>
        </w:tc>
        <w:tc>
          <w:tcPr>
            <w:tcW w:w="800" w:type="dxa"/>
            <w:tcBorders>
              <w:top w:val="nil"/>
              <w:left w:val="nil"/>
              <w:bottom w:val="single" w:sz="12" w:space="0" w:color="0096D7"/>
              <w:right w:val="nil"/>
            </w:tcBorders>
            <w:shd w:val="clear" w:color="auto" w:fill="auto"/>
            <w:vAlign w:val="bottom"/>
            <w:hideMark/>
          </w:tcPr>
          <w:p w14:paraId="3D923BBA"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17-Jul</w:t>
            </w:r>
          </w:p>
        </w:tc>
        <w:tc>
          <w:tcPr>
            <w:tcW w:w="800" w:type="dxa"/>
            <w:tcBorders>
              <w:top w:val="nil"/>
              <w:left w:val="nil"/>
              <w:bottom w:val="single" w:sz="12" w:space="0" w:color="0096D7"/>
              <w:right w:val="nil"/>
            </w:tcBorders>
            <w:shd w:val="clear" w:color="auto" w:fill="auto"/>
            <w:vAlign w:val="bottom"/>
            <w:hideMark/>
          </w:tcPr>
          <w:p w14:paraId="2E0A1F92"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24-Jul</w:t>
            </w:r>
          </w:p>
        </w:tc>
        <w:tc>
          <w:tcPr>
            <w:tcW w:w="800" w:type="dxa"/>
            <w:tcBorders>
              <w:top w:val="nil"/>
              <w:left w:val="nil"/>
              <w:bottom w:val="single" w:sz="12" w:space="0" w:color="0096D7"/>
              <w:right w:val="nil"/>
            </w:tcBorders>
            <w:shd w:val="clear" w:color="auto" w:fill="auto"/>
            <w:vAlign w:val="bottom"/>
            <w:hideMark/>
          </w:tcPr>
          <w:p w14:paraId="5569E513"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31-Jul</w:t>
            </w:r>
          </w:p>
        </w:tc>
      </w:tr>
      <w:tr w:rsidR="005E5350" w:rsidRPr="005E5350" w14:paraId="40E32ABF" w14:textId="77777777" w:rsidTr="005E5350">
        <w:trPr>
          <w:trHeight w:val="240"/>
        </w:trPr>
        <w:tc>
          <w:tcPr>
            <w:tcW w:w="2540" w:type="dxa"/>
            <w:tcBorders>
              <w:top w:val="nil"/>
              <w:left w:val="nil"/>
              <w:bottom w:val="single" w:sz="4" w:space="0" w:color="BFBFBF"/>
              <w:right w:val="nil"/>
            </w:tcBorders>
            <w:shd w:val="clear" w:color="auto" w:fill="auto"/>
            <w:noWrap/>
            <w:vAlign w:val="center"/>
            <w:hideMark/>
          </w:tcPr>
          <w:p w14:paraId="615015B9"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New York City Regular</w:t>
            </w:r>
          </w:p>
        </w:tc>
        <w:tc>
          <w:tcPr>
            <w:tcW w:w="800" w:type="dxa"/>
            <w:tcBorders>
              <w:top w:val="nil"/>
              <w:left w:val="nil"/>
              <w:bottom w:val="single" w:sz="4" w:space="0" w:color="BFBFBF"/>
              <w:right w:val="nil"/>
            </w:tcBorders>
            <w:shd w:val="clear" w:color="auto" w:fill="auto"/>
            <w:noWrap/>
            <w:vAlign w:val="center"/>
            <w:hideMark/>
          </w:tcPr>
          <w:p w14:paraId="585E45E1"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33ABA341"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5AA2B846"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2F843018"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7D35DA50"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160527DA"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5ED6822D"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664CEA16"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2FBD43D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0AE0F7B0"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738AC738"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2E099699"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r>
      <w:tr w:rsidR="005E5350" w:rsidRPr="005E5350" w14:paraId="0ED32848" w14:textId="77777777" w:rsidTr="005E5350">
        <w:trPr>
          <w:trHeight w:val="240"/>
        </w:trPr>
        <w:tc>
          <w:tcPr>
            <w:tcW w:w="2540" w:type="dxa"/>
            <w:tcBorders>
              <w:top w:val="nil"/>
              <w:left w:val="nil"/>
              <w:bottom w:val="dashed" w:sz="4" w:space="0" w:color="BFBFBF"/>
              <w:right w:val="nil"/>
            </w:tcBorders>
            <w:shd w:val="clear" w:color="auto" w:fill="auto"/>
            <w:vAlign w:val="bottom"/>
            <w:hideMark/>
          </w:tcPr>
          <w:p w14:paraId="65EBBFF2"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(Census)</w:t>
            </w:r>
          </w:p>
        </w:tc>
        <w:tc>
          <w:tcPr>
            <w:tcW w:w="800" w:type="dxa"/>
            <w:tcBorders>
              <w:top w:val="nil"/>
              <w:left w:val="nil"/>
              <w:bottom w:val="dashed" w:sz="4" w:space="0" w:color="BFBFBF"/>
              <w:right w:val="nil"/>
            </w:tcBorders>
            <w:shd w:val="clear" w:color="auto" w:fill="auto"/>
            <w:vAlign w:val="bottom"/>
            <w:hideMark/>
          </w:tcPr>
          <w:p w14:paraId="202F899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4,231 </w:t>
            </w:r>
          </w:p>
        </w:tc>
        <w:tc>
          <w:tcPr>
            <w:tcW w:w="800" w:type="dxa"/>
            <w:tcBorders>
              <w:top w:val="nil"/>
              <w:left w:val="nil"/>
              <w:bottom w:val="dashed" w:sz="4" w:space="0" w:color="BFBFBF"/>
              <w:right w:val="nil"/>
            </w:tcBorders>
            <w:shd w:val="clear" w:color="auto" w:fill="auto"/>
            <w:vAlign w:val="bottom"/>
            <w:hideMark/>
          </w:tcPr>
          <w:p w14:paraId="5ABE6E8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4,246 </w:t>
            </w:r>
          </w:p>
        </w:tc>
        <w:tc>
          <w:tcPr>
            <w:tcW w:w="800" w:type="dxa"/>
            <w:tcBorders>
              <w:top w:val="nil"/>
              <w:left w:val="nil"/>
              <w:bottom w:val="dashed" w:sz="4" w:space="0" w:color="BFBFBF"/>
              <w:right w:val="nil"/>
            </w:tcBorders>
            <w:shd w:val="clear" w:color="auto" w:fill="auto"/>
            <w:vAlign w:val="bottom"/>
            <w:hideMark/>
          </w:tcPr>
          <w:p w14:paraId="56A2F08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3,850 </w:t>
            </w:r>
          </w:p>
        </w:tc>
        <w:tc>
          <w:tcPr>
            <w:tcW w:w="800" w:type="dxa"/>
            <w:tcBorders>
              <w:top w:val="nil"/>
              <w:left w:val="nil"/>
              <w:bottom w:val="dashed" w:sz="4" w:space="0" w:color="BFBFBF"/>
              <w:right w:val="nil"/>
            </w:tcBorders>
            <w:shd w:val="clear" w:color="auto" w:fill="auto"/>
            <w:vAlign w:val="bottom"/>
            <w:hideMark/>
          </w:tcPr>
          <w:p w14:paraId="43F17F4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4,377 </w:t>
            </w:r>
          </w:p>
        </w:tc>
        <w:tc>
          <w:tcPr>
            <w:tcW w:w="800" w:type="dxa"/>
            <w:tcBorders>
              <w:top w:val="nil"/>
              <w:left w:val="nil"/>
              <w:bottom w:val="dashed" w:sz="4" w:space="0" w:color="BFBFBF"/>
              <w:right w:val="nil"/>
            </w:tcBorders>
            <w:shd w:val="clear" w:color="auto" w:fill="auto"/>
            <w:vAlign w:val="bottom"/>
            <w:hideMark/>
          </w:tcPr>
          <w:p w14:paraId="22AD58C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4,110 </w:t>
            </w:r>
          </w:p>
        </w:tc>
        <w:tc>
          <w:tcPr>
            <w:tcW w:w="800" w:type="dxa"/>
            <w:tcBorders>
              <w:top w:val="nil"/>
              <w:left w:val="nil"/>
              <w:bottom w:val="dashed" w:sz="4" w:space="0" w:color="BFBFBF"/>
              <w:right w:val="nil"/>
            </w:tcBorders>
            <w:shd w:val="clear" w:color="auto" w:fill="auto"/>
            <w:vAlign w:val="bottom"/>
            <w:hideMark/>
          </w:tcPr>
          <w:p w14:paraId="6F34BAA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4,561 </w:t>
            </w:r>
          </w:p>
        </w:tc>
        <w:tc>
          <w:tcPr>
            <w:tcW w:w="800" w:type="dxa"/>
            <w:tcBorders>
              <w:top w:val="nil"/>
              <w:left w:val="nil"/>
              <w:bottom w:val="dashed" w:sz="4" w:space="0" w:color="BFBFBF"/>
              <w:right w:val="nil"/>
            </w:tcBorders>
            <w:shd w:val="clear" w:color="auto" w:fill="auto"/>
            <w:vAlign w:val="bottom"/>
            <w:hideMark/>
          </w:tcPr>
          <w:p w14:paraId="54E8FD5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4,569 </w:t>
            </w:r>
          </w:p>
        </w:tc>
        <w:tc>
          <w:tcPr>
            <w:tcW w:w="800" w:type="dxa"/>
            <w:tcBorders>
              <w:top w:val="nil"/>
              <w:left w:val="nil"/>
              <w:bottom w:val="dashed" w:sz="4" w:space="0" w:color="BFBFBF"/>
              <w:right w:val="nil"/>
            </w:tcBorders>
            <w:shd w:val="clear" w:color="auto" w:fill="auto"/>
            <w:vAlign w:val="bottom"/>
            <w:hideMark/>
          </w:tcPr>
          <w:p w14:paraId="094B013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4,511 </w:t>
            </w:r>
          </w:p>
        </w:tc>
        <w:tc>
          <w:tcPr>
            <w:tcW w:w="800" w:type="dxa"/>
            <w:tcBorders>
              <w:top w:val="nil"/>
              <w:left w:val="nil"/>
              <w:bottom w:val="dashed" w:sz="4" w:space="0" w:color="BFBFBF"/>
              <w:right w:val="nil"/>
            </w:tcBorders>
            <w:shd w:val="clear" w:color="auto" w:fill="auto"/>
            <w:vAlign w:val="bottom"/>
            <w:hideMark/>
          </w:tcPr>
          <w:p w14:paraId="1D7B61D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4,552 </w:t>
            </w:r>
          </w:p>
        </w:tc>
        <w:tc>
          <w:tcPr>
            <w:tcW w:w="800" w:type="dxa"/>
            <w:tcBorders>
              <w:top w:val="nil"/>
              <w:left w:val="nil"/>
              <w:bottom w:val="dashed" w:sz="4" w:space="0" w:color="BFBFBF"/>
              <w:right w:val="nil"/>
            </w:tcBorders>
            <w:shd w:val="clear" w:color="auto" w:fill="auto"/>
            <w:vAlign w:val="bottom"/>
            <w:hideMark/>
          </w:tcPr>
          <w:p w14:paraId="216474E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4,552 </w:t>
            </w:r>
          </w:p>
        </w:tc>
        <w:tc>
          <w:tcPr>
            <w:tcW w:w="800" w:type="dxa"/>
            <w:tcBorders>
              <w:top w:val="nil"/>
              <w:left w:val="nil"/>
              <w:bottom w:val="dashed" w:sz="4" w:space="0" w:color="BFBFBF"/>
              <w:right w:val="nil"/>
            </w:tcBorders>
            <w:shd w:val="clear" w:color="auto" w:fill="auto"/>
            <w:vAlign w:val="bottom"/>
            <w:hideMark/>
          </w:tcPr>
          <w:p w14:paraId="25E5A3E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4,497 </w:t>
            </w:r>
          </w:p>
        </w:tc>
        <w:tc>
          <w:tcPr>
            <w:tcW w:w="800" w:type="dxa"/>
            <w:tcBorders>
              <w:top w:val="nil"/>
              <w:left w:val="nil"/>
              <w:bottom w:val="dashed" w:sz="4" w:space="0" w:color="BFBFBF"/>
              <w:right w:val="nil"/>
            </w:tcBorders>
            <w:shd w:val="clear" w:color="auto" w:fill="auto"/>
            <w:vAlign w:val="bottom"/>
            <w:hideMark/>
          </w:tcPr>
          <w:p w14:paraId="75CE850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4,479 </w:t>
            </w:r>
          </w:p>
        </w:tc>
      </w:tr>
      <w:tr w:rsidR="005E5350" w:rsidRPr="005E5350" w14:paraId="6279F33A" w14:textId="77777777" w:rsidTr="005E5350">
        <w:trPr>
          <w:trHeight w:val="240"/>
        </w:trPr>
        <w:tc>
          <w:tcPr>
            <w:tcW w:w="2540" w:type="dxa"/>
            <w:tcBorders>
              <w:top w:val="nil"/>
              <w:left w:val="nil"/>
              <w:bottom w:val="dashed" w:sz="4" w:space="0" w:color="BFBFBF"/>
              <w:right w:val="nil"/>
            </w:tcBorders>
            <w:shd w:val="clear" w:color="auto" w:fill="auto"/>
            <w:noWrap/>
            <w:hideMark/>
          </w:tcPr>
          <w:p w14:paraId="55BCFCA4"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EIA (Matched Sample)</w:t>
            </w:r>
          </w:p>
        </w:tc>
        <w:tc>
          <w:tcPr>
            <w:tcW w:w="800" w:type="dxa"/>
            <w:tcBorders>
              <w:top w:val="nil"/>
              <w:left w:val="nil"/>
              <w:bottom w:val="dashed" w:sz="4" w:space="0" w:color="BFBFBF"/>
              <w:right w:val="nil"/>
            </w:tcBorders>
            <w:shd w:val="clear" w:color="auto" w:fill="auto"/>
            <w:vAlign w:val="bottom"/>
            <w:hideMark/>
          </w:tcPr>
          <w:p w14:paraId="4E34F90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6142F03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60054F6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46C521A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13A9C73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734C228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4AD592E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7E72479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01306BB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39A1A7B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09AB2B7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06AE297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29 </w:t>
            </w:r>
          </w:p>
        </w:tc>
      </w:tr>
      <w:tr w:rsidR="005E5350" w:rsidRPr="005E5350" w14:paraId="785098CC" w14:textId="77777777" w:rsidTr="005E5350">
        <w:trPr>
          <w:trHeight w:val="240"/>
        </w:trPr>
        <w:tc>
          <w:tcPr>
            <w:tcW w:w="2540" w:type="dxa"/>
            <w:tcBorders>
              <w:top w:val="nil"/>
              <w:left w:val="nil"/>
              <w:bottom w:val="dashed" w:sz="4" w:space="0" w:color="BFBFBF"/>
              <w:right w:val="nil"/>
            </w:tcBorders>
            <w:shd w:val="clear" w:color="auto" w:fill="auto"/>
            <w:noWrap/>
            <w:hideMark/>
          </w:tcPr>
          <w:p w14:paraId="7B74E3F7" w14:textId="18DD26B8"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(Matched Sample</w:t>
            </w:r>
            <w:r w:rsidR="00614466">
              <w:rPr>
                <w:rFonts w:ascii="Calibri" w:eastAsia="Times New Roman" w:hAnsi="Calibri" w:cs="Times New Roman"/>
                <w:color w:val="000000"/>
                <w:sz w:val="18"/>
                <w:szCs w:val="18"/>
              </w:rPr>
              <w:t xml:space="preserve"> to EIA</w:t>
            </w:r>
            <w:r w:rsidRPr="005E5350">
              <w:rPr>
                <w:rFonts w:ascii="Calibri" w:eastAsia="Times New Roman" w:hAnsi="Calibri" w:cs="Times New Roman"/>
                <w:color w:val="000000"/>
                <w:sz w:val="18"/>
                <w:szCs w:val="18"/>
              </w:rPr>
              <w:t>)</w:t>
            </w:r>
          </w:p>
        </w:tc>
        <w:tc>
          <w:tcPr>
            <w:tcW w:w="800" w:type="dxa"/>
            <w:tcBorders>
              <w:top w:val="nil"/>
              <w:left w:val="nil"/>
              <w:bottom w:val="dashed" w:sz="4" w:space="0" w:color="BFBFBF"/>
              <w:right w:val="nil"/>
            </w:tcBorders>
            <w:shd w:val="clear" w:color="auto" w:fill="auto"/>
            <w:vAlign w:val="bottom"/>
            <w:hideMark/>
          </w:tcPr>
          <w:p w14:paraId="4E5A6A2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24 </w:t>
            </w:r>
          </w:p>
        </w:tc>
        <w:tc>
          <w:tcPr>
            <w:tcW w:w="800" w:type="dxa"/>
            <w:tcBorders>
              <w:top w:val="nil"/>
              <w:left w:val="nil"/>
              <w:bottom w:val="dashed" w:sz="4" w:space="0" w:color="BFBFBF"/>
              <w:right w:val="nil"/>
            </w:tcBorders>
            <w:shd w:val="clear" w:color="auto" w:fill="auto"/>
            <w:vAlign w:val="bottom"/>
            <w:hideMark/>
          </w:tcPr>
          <w:p w14:paraId="7DA7118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23 </w:t>
            </w:r>
          </w:p>
        </w:tc>
        <w:tc>
          <w:tcPr>
            <w:tcW w:w="800" w:type="dxa"/>
            <w:tcBorders>
              <w:top w:val="nil"/>
              <w:left w:val="nil"/>
              <w:bottom w:val="dashed" w:sz="4" w:space="0" w:color="BFBFBF"/>
              <w:right w:val="nil"/>
            </w:tcBorders>
            <w:shd w:val="clear" w:color="auto" w:fill="auto"/>
            <w:vAlign w:val="bottom"/>
            <w:hideMark/>
          </w:tcPr>
          <w:p w14:paraId="0D58BDE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21 </w:t>
            </w:r>
          </w:p>
        </w:tc>
        <w:tc>
          <w:tcPr>
            <w:tcW w:w="800" w:type="dxa"/>
            <w:tcBorders>
              <w:top w:val="nil"/>
              <w:left w:val="nil"/>
              <w:bottom w:val="dashed" w:sz="4" w:space="0" w:color="BFBFBF"/>
              <w:right w:val="nil"/>
            </w:tcBorders>
            <w:shd w:val="clear" w:color="auto" w:fill="auto"/>
            <w:vAlign w:val="bottom"/>
            <w:hideMark/>
          </w:tcPr>
          <w:p w14:paraId="207996E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27 </w:t>
            </w:r>
          </w:p>
        </w:tc>
        <w:tc>
          <w:tcPr>
            <w:tcW w:w="800" w:type="dxa"/>
            <w:tcBorders>
              <w:top w:val="nil"/>
              <w:left w:val="nil"/>
              <w:bottom w:val="dashed" w:sz="4" w:space="0" w:color="BFBFBF"/>
              <w:right w:val="nil"/>
            </w:tcBorders>
            <w:shd w:val="clear" w:color="auto" w:fill="auto"/>
            <w:vAlign w:val="bottom"/>
            <w:hideMark/>
          </w:tcPr>
          <w:p w14:paraId="739E721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24 </w:t>
            </w:r>
          </w:p>
        </w:tc>
        <w:tc>
          <w:tcPr>
            <w:tcW w:w="800" w:type="dxa"/>
            <w:tcBorders>
              <w:top w:val="nil"/>
              <w:left w:val="nil"/>
              <w:bottom w:val="dashed" w:sz="4" w:space="0" w:color="BFBFBF"/>
              <w:right w:val="nil"/>
            </w:tcBorders>
            <w:shd w:val="clear" w:color="auto" w:fill="auto"/>
            <w:vAlign w:val="bottom"/>
            <w:hideMark/>
          </w:tcPr>
          <w:p w14:paraId="208C686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27 </w:t>
            </w:r>
          </w:p>
        </w:tc>
        <w:tc>
          <w:tcPr>
            <w:tcW w:w="800" w:type="dxa"/>
            <w:tcBorders>
              <w:top w:val="nil"/>
              <w:left w:val="nil"/>
              <w:bottom w:val="dashed" w:sz="4" w:space="0" w:color="BFBFBF"/>
              <w:right w:val="nil"/>
            </w:tcBorders>
            <w:shd w:val="clear" w:color="auto" w:fill="auto"/>
            <w:vAlign w:val="bottom"/>
            <w:hideMark/>
          </w:tcPr>
          <w:p w14:paraId="458CFA6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28 </w:t>
            </w:r>
          </w:p>
        </w:tc>
        <w:tc>
          <w:tcPr>
            <w:tcW w:w="800" w:type="dxa"/>
            <w:tcBorders>
              <w:top w:val="nil"/>
              <w:left w:val="nil"/>
              <w:bottom w:val="dashed" w:sz="4" w:space="0" w:color="BFBFBF"/>
              <w:right w:val="nil"/>
            </w:tcBorders>
            <w:shd w:val="clear" w:color="auto" w:fill="auto"/>
            <w:vAlign w:val="bottom"/>
            <w:hideMark/>
          </w:tcPr>
          <w:p w14:paraId="4C6E040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27 </w:t>
            </w:r>
          </w:p>
        </w:tc>
        <w:tc>
          <w:tcPr>
            <w:tcW w:w="800" w:type="dxa"/>
            <w:tcBorders>
              <w:top w:val="nil"/>
              <w:left w:val="nil"/>
              <w:bottom w:val="dashed" w:sz="4" w:space="0" w:color="BFBFBF"/>
              <w:right w:val="nil"/>
            </w:tcBorders>
            <w:shd w:val="clear" w:color="auto" w:fill="auto"/>
            <w:vAlign w:val="bottom"/>
            <w:hideMark/>
          </w:tcPr>
          <w:p w14:paraId="339C46A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26 </w:t>
            </w:r>
          </w:p>
        </w:tc>
        <w:tc>
          <w:tcPr>
            <w:tcW w:w="800" w:type="dxa"/>
            <w:tcBorders>
              <w:top w:val="nil"/>
              <w:left w:val="nil"/>
              <w:bottom w:val="dashed" w:sz="4" w:space="0" w:color="BFBFBF"/>
              <w:right w:val="nil"/>
            </w:tcBorders>
            <w:shd w:val="clear" w:color="auto" w:fill="auto"/>
            <w:vAlign w:val="bottom"/>
            <w:hideMark/>
          </w:tcPr>
          <w:p w14:paraId="0D4F0F3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26 </w:t>
            </w:r>
          </w:p>
        </w:tc>
        <w:tc>
          <w:tcPr>
            <w:tcW w:w="800" w:type="dxa"/>
            <w:tcBorders>
              <w:top w:val="nil"/>
              <w:left w:val="nil"/>
              <w:bottom w:val="dashed" w:sz="4" w:space="0" w:color="BFBFBF"/>
              <w:right w:val="nil"/>
            </w:tcBorders>
            <w:shd w:val="clear" w:color="auto" w:fill="auto"/>
            <w:vAlign w:val="bottom"/>
            <w:hideMark/>
          </w:tcPr>
          <w:p w14:paraId="2D06B02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27 </w:t>
            </w:r>
          </w:p>
        </w:tc>
        <w:tc>
          <w:tcPr>
            <w:tcW w:w="800" w:type="dxa"/>
            <w:tcBorders>
              <w:top w:val="nil"/>
              <w:left w:val="nil"/>
              <w:bottom w:val="dashed" w:sz="4" w:space="0" w:color="BFBFBF"/>
              <w:right w:val="nil"/>
            </w:tcBorders>
            <w:shd w:val="clear" w:color="auto" w:fill="auto"/>
            <w:vAlign w:val="bottom"/>
            <w:hideMark/>
          </w:tcPr>
          <w:p w14:paraId="74A1A55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24 </w:t>
            </w:r>
          </w:p>
        </w:tc>
      </w:tr>
      <w:tr w:rsidR="005E5350" w:rsidRPr="005E5350" w14:paraId="41084060" w14:textId="77777777" w:rsidTr="005E5350">
        <w:trPr>
          <w:trHeight w:val="240"/>
        </w:trPr>
        <w:tc>
          <w:tcPr>
            <w:tcW w:w="2540" w:type="dxa"/>
            <w:tcBorders>
              <w:top w:val="single" w:sz="4" w:space="0" w:color="0096D7"/>
              <w:left w:val="nil"/>
              <w:bottom w:val="single" w:sz="4" w:space="0" w:color="BFBFBF"/>
              <w:right w:val="nil"/>
            </w:tcBorders>
            <w:shd w:val="clear" w:color="auto" w:fill="auto"/>
            <w:noWrap/>
            <w:vAlign w:val="center"/>
            <w:hideMark/>
          </w:tcPr>
          <w:p w14:paraId="4702D21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New York City Midgrade</w:t>
            </w:r>
          </w:p>
        </w:tc>
        <w:tc>
          <w:tcPr>
            <w:tcW w:w="800" w:type="dxa"/>
            <w:tcBorders>
              <w:top w:val="single" w:sz="4" w:space="0" w:color="0096D7"/>
              <w:left w:val="nil"/>
              <w:bottom w:val="single" w:sz="4" w:space="0" w:color="BFBFBF"/>
              <w:right w:val="nil"/>
            </w:tcBorders>
            <w:shd w:val="clear" w:color="auto" w:fill="auto"/>
            <w:vAlign w:val="bottom"/>
            <w:hideMark/>
          </w:tcPr>
          <w:p w14:paraId="5243235C"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74B05A2F"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2C80AE24"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5FA578A9"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6A12E69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722486EA"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7E58C65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2EBD6028"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21E97B4"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5AAE9E91"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78061A22"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1D25750D"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r>
      <w:tr w:rsidR="005E5350" w:rsidRPr="005E5350" w14:paraId="4A3E1038" w14:textId="77777777" w:rsidTr="005E5350">
        <w:trPr>
          <w:trHeight w:val="240"/>
        </w:trPr>
        <w:tc>
          <w:tcPr>
            <w:tcW w:w="2540" w:type="dxa"/>
            <w:tcBorders>
              <w:top w:val="nil"/>
              <w:left w:val="nil"/>
              <w:bottom w:val="dashed" w:sz="4" w:space="0" w:color="BFBFBF"/>
              <w:right w:val="nil"/>
            </w:tcBorders>
            <w:shd w:val="clear" w:color="auto" w:fill="auto"/>
            <w:vAlign w:val="bottom"/>
            <w:hideMark/>
          </w:tcPr>
          <w:p w14:paraId="749A75BE"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(Census)</w:t>
            </w:r>
          </w:p>
        </w:tc>
        <w:tc>
          <w:tcPr>
            <w:tcW w:w="800" w:type="dxa"/>
            <w:tcBorders>
              <w:top w:val="nil"/>
              <w:left w:val="nil"/>
              <w:bottom w:val="dashed" w:sz="4" w:space="0" w:color="BFBFBF"/>
              <w:right w:val="nil"/>
            </w:tcBorders>
            <w:shd w:val="clear" w:color="auto" w:fill="auto"/>
            <w:vAlign w:val="bottom"/>
            <w:hideMark/>
          </w:tcPr>
          <w:p w14:paraId="64A3F62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2,735 </w:t>
            </w:r>
          </w:p>
        </w:tc>
        <w:tc>
          <w:tcPr>
            <w:tcW w:w="800" w:type="dxa"/>
            <w:tcBorders>
              <w:top w:val="nil"/>
              <w:left w:val="nil"/>
              <w:bottom w:val="dashed" w:sz="4" w:space="0" w:color="BFBFBF"/>
              <w:right w:val="nil"/>
            </w:tcBorders>
            <w:shd w:val="clear" w:color="auto" w:fill="auto"/>
            <w:vAlign w:val="bottom"/>
            <w:hideMark/>
          </w:tcPr>
          <w:p w14:paraId="01281BC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2,679 </w:t>
            </w:r>
          </w:p>
        </w:tc>
        <w:tc>
          <w:tcPr>
            <w:tcW w:w="800" w:type="dxa"/>
            <w:tcBorders>
              <w:top w:val="nil"/>
              <w:left w:val="nil"/>
              <w:bottom w:val="dashed" w:sz="4" w:space="0" w:color="BFBFBF"/>
              <w:right w:val="nil"/>
            </w:tcBorders>
            <w:shd w:val="clear" w:color="auto" w:fill="auto"/>
            <w:vAlign w:val="bottom"/>
            <w:hideMark/>
          </w:tcPr>
          <w:p w14:paraId="7ABF602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2,405 </w:t>
            </w:r>
          </w:p>
        </w:tc>
        <w:tc>
          <w:tcPr>
            <w:tcW w:w="800" w:type="dxa"/>
            <w:tcBorders>
              <w:top w:val="nil"/>
              <w:left w:val="nil"/>
              <w:bottom w:val="dashed" w:sz="4" w:space="0" w:color="BFBFBF"/>
              <w:right w:val="nil"/>
            </w:tcBorders>
            <w:shd w:val="clear" w:color="auto" w:fill="auto"/>
            <w:vAlign w:val="bottom"/>
            <w:hideMark/>
          </w:tcPr>
          <w:p w14:paraId="1AD9EDA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2,902 </w:t>
            </w:r>
          </w:p>
        </w:tc>
        <w:tc>
          <w:tcPr>
            <w:tcW w:w="800" w:type="dxa"/>
            <w:tcBorders>
              <w:top w:val="nil"/>
              <w:left w:val="nil"/>
              <w:bottom w:val="dashed" w:sz="4" w:space="0" w:color="BFBFBF"/>
              <w:right w:val="nil"/>
            </w:tcBorders>
            <w:shd w:val="clear" w:color="auto" w:fill="auto"/>
            <w:vAlign w:val="bottom"/>
            <w:hideMark/>
          </w:tcPr>
          <w:p w14:paraId="357FDBF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2,616 </w:t>
            </w:r>
          </w:p>
        </w:tc>
        <w:tc>
          <w:tcPr>
            <w:tcW w:w="800" w:type="dxa"/>
            <w:tcBorders>
              <w:top w:val="nil"/>
              <w:left w:val="nil"/>
              <w:bottom w:val="dashed" w:sz="4" w:space="0" w:color="BFBFBF"/>
              <w:right w:val="nil"/>
            </w:tcBorders>
            <w:shd w:val="clear" w:color="auto" w:fill="auto"/>
            <w:vAlign w:val="bottom"/>
            <w:hideMark/>
          </w:tcPr>
          <w:p w14:paraId="05257B1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3,042 </w:t>
            </w:r>
          </w:p>
        </w:tc>
        <w:tc>
          <w:tcPr>
            <w:tcW w:w="800" w:type="dxa"/>
            <w:tcBorders>
              <w:top w:val="nil"/>
              <w:left w:val="nil"/>
              <w:bottom w:val="dashed" w:sz="4" w:space="0" w:color="BFBFBF"/>
              <w:right w:val="nil"/>
            </w:tcBorders>
            <w:shd w:val="clear" w:color="auto" w:fill="auto"/>
            <w:vAlign w:val="bottom"/>
            <w:hideMark/>
          </w:tcPr>
          <w:p w14:paraId="09EF6F8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3,045 </w:t>
            </w:r>
          </w:p>
        </w:tc>
        <w:tc>
          <w:tcPr>
            <w:tcW w:w="800" w:type="dxa"/>
            <w:tcBorders>
              <w:top w:val="nil"/>
              <w:left w:val="nil"/>
              <w:bottom w:val="dashed" w:sz="4" w:space="0" w:color="BFBFBF"/>
              <w:right w:val="nil"/>
            </w:tcBorders>
            <w:shd w:val="clear" w:color="auto" w:fill="auto"/>
            <w:vAlign w:val="bottom"/>
            <w:hideMark/>
          </w:tcPr>
          <w:p w14:paraId="41966FE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3,045 </w:t>
            </w:r>
          </w:p>
        </w:tc>
        <w:tc>
          <w:tcPr>
            <w:tcW w:w="800" w:type="dxa"/>
            <w:tcBorders>
              <w:top w:val="nil"/>
              <w:left w:val="nil"/>
              <w:bottom w:val="dashed" w:sz="4" w:space="0" w:color="BFBFBF"/>
              <w:right w:val="nil"/>
            </w:tcBorders>
            <w:shd w:val="clear" w:color="auto" w:fill="auto"/>
            <w:vAlign w:val="bottom"/>
            <w:hideMark/>
          </w:tcPr>
          <w:p w14:paraId="434FACF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3,098 </w:t>
            </w:r>
          </w:p>
        </w:tc>
        <w:tc>
          <w:tcPr>
            <w:tcW w:w="800" w:type="dxa"/>
            <w:tcBorders>
              <w:top w:val="nil"/>
              <w:left w:val="nil"/>
              <w:bottom w:val="dashed" w:sz="4" w:space="0" w:color="BFBFBF"/>
              <w:right w:val="nil"/>
            </w:tcBorders>
            <w:shd w:val="clear" w:color="auto" w:fill="auto"/>
            <w:vAlign w:val="bottom"/>
            <w:hideMark/>
          </w:tcPr>
          <w:p w14:paraId="62AA399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3,125 </w:t>
            </w:r>
          </w:p>
        </w:tc>
        <w:tc>
          <w:tcPr>
            <w:tcW w:w="800" w:type="dxa"/>
            <w:tcBorders>
              <w:top w:val="nil"/>
              <w:left w:val="nil"/>
              <w:bottom w:val="dashed" w:sz="4" w:space="0" w:color="BFBFBF"/>
              <w:right w:val="nil"/>
            </w:tcBorders>
            <w:shd w:val="clear" w:color="auto" w:fill="auto"/>
            <w:vAlign w:val="bottom"/>
            <w:hideMark/>
          </w:tcPr>
          <w:p w14:paraId="377158B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3,047 </w:t>
            </w:r>
          </w:p>
        </w:tc>
        <w:tc>
          <w:tcPr>
            <w:tcW w:w="800" w:type="dxa"/>
            <w:tcBorders>
              <w:top w:val="nil"/>
              <w:left w:val="nil"/>
              <w:bottom w:val="dashed" w:sz="4" w:space="0" w:color="BFBFBF"/>
              <w:right w:val="nil"/>
            </w:tcBorders>
            <w:shd w:val="clear" w:color="auto" w:fill="auto"/>
            <w:vAlign w:val="bottom"/>
            <w:hideMark/>
          </w:tcPr>
          <w:p w14:paraId="126510B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3,104 </w:t>
            </w:r>
          </w:p>
        </w:tc>
      </w:tr>
      <w:tr w:rsidR="005E5350" w:rsidRPr="005E5350" w14:paraId="7594A83B" w14:textId="77777777" w:rsidTr="005E5350">
        <w:trPr>
          <w:trHeight w:val="240"/>
        </w:trPr>
        <w:tc>
          <w:tcPr>
            <w:tcW w:w="2540" w:type="dxa"/>
            <w:tcBorders>
              <w:top w:val="nil"/>
              <w:left w:val="nil"/>
              <w:bottom w:val="dashed" w:sz="4" w:space="0" w:color="BFBFBF"/>
              <w:right w:val="nil"/>
            </w:tcBorders>
            <w:shd w:val="clear" w:color="auto" w:fill="auto"/>
            <w:noWrap/>
            <w:hideMark/>
          </w:tcPr>
          <w:p w14:paraId="4A011DD8"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EIA (Matched Sample)</w:t>
            </w:r>
          </w:p>
        </w:tc>
        <w:tc>
          <w:tcPr>
            <w:tcW w:w="800" w:type="dxa"/>
            <w:tcBorders>
              <w:top w:val="nil"/>
              <w:left w:val="nil"/>
              <w:bottom w:val="dashed" w:sz="4" w:space="0" w:color="BFBFBF"/>
              <w:right w:val="nil"/>
            </w:tcBorders>
            <w:shd w:val="clear" w:color="auto" w:fill="auto"/>
            <w:vAlign w:val="bottom"/>
            <w:hideMark/>
          </w:tcPr>
          <w:p w14:paraId="27E2B7B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3FAED5E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3151B4E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2695A03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552F39F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0FCF7B1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25B3053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5FDAF3B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6DC518F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3D5C636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1C5E109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5FAFC7E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29 </w:t>
            </w:r>
          </w:p>
        </w:tc>
      </w:tr>
      <w:tr w:rsidR="005E5350" w:rsidRPr="005E5350" w14:paraId="1CF841CA" w14:textId="77777777" w:rsidTr="005E5350">
        <w:trPr>
          <w:trHeight w:val="240"/>
        </w:trPr>
        <w:tc>
          <w:tcPr>
            <w:tcW w:w="2540" w:type="dxa"/>
            <w:tcBorders>
              <w:top w:val="nil"/>
              <w:left w:val="nil"/>
              <w:bottom w:val="dashed" w:sz="4" w:space="0" w:color="BFBFBF"/>
              <w:right w:val="nil"/>
            </w:tcBorders>
            <w:shd w:val="clear" w:color="auto" w:fill="auto"/>
            <w:noWrap/>
            <w:hideMark/>
          </w:tcPr>
          <w:p w14:paraId="6306CBEE" w14:textId="3509ADB8" w:rsidR="005E5350" w:rsidRPr="005E5350" w:rsidRDefault="00614466"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(Matched Sample</w:t>
            </w:r>
            <w:r>
              <w:rPr>
                <w:rFonts w:ascii="Calibri" w:eastAsia="Times New Roman" w:hAnsi="Calibri" w:cs="Times New Roman"/>
                <w:color w:val="000000"/>
                <w:sz w:val="18"/>
                <w:szCs w:val="18"/>
              </w:rPr>
              <w:t xml:space="preserve"> to EIA</w:t>
            </w:r>
            <w:r w:rsidRPr="005E5350">
              <w:rPr>
                <w:rFonts w:ascii="Calibri" w:eastAsia="Times New Roman" w:hAnsi="Calibri" w:cs="Times New Roman"/>
                <w:color w:val="000000"/>
                <w:sz w:val="18"/>
                <w:szCs w:val="18"/>
              </w:rPr>
              <w:t>)</w:t>
            </w:r>
          </w:p>
        </w:tc>
        <w:tc>
          <w:tcPr>
            <w:tcW w:w="800" w:type="dxa"/>
            <w:tcBorders>
              <w:top w:val="nil"/>
              <w:left w:val="nil"/>
              <w:bottom w:val="dashed" w:sz="4" w:space="0" w:color="BFBFBF"/>
              <w:right w:val="nil"/>
            </w:tcBorders>
            <w:shd w:val="clear" w:color="auto" w:fill="auto"/>
            <w:vAlign w:val="bottom"/>
            <w:hideMark/>
          </w:tcPr>
          <w:p w14:paraId="16CA43E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 </w:t>
            </w:r>
          </w:p>
        </w:tc>
        <w:tc>
          <w:tcPr>
            <w:tcW w:w="800" w:type="dxa"/>
            <w:tcBorders>
              <w:top w:val="nil"/>
              <w:left w:val="nil"/>
              <w:bottom w:val="dashed" w:sz="4" w:space="0" w:color="BFBFBF"/>
              <w:right w:val="nil"/>
            </w:tcBorders>
            <w:shd w:val="clear" w:color="auto" w:fill="auto"/>
            <w:vAlign w:val="bottom"/>
            <w:hideMark/>
          </w:tcPr>
          <w:p w14:paraId="689BB19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 </w:t>
            </w:r>
          </w:p>
        </w:tc>
        <w:tc>
          <w:tcPr>
            <w:tcW w:w="800" w:type="dxa"/>
            <w:tcBorders>
              <w:top w:val="nil"/>
              <w:left w:val="nil"/>
              <w:bottom w:val="dashed" w:sz="4" w:space="0" w:color="BFBFBF"/>
              <w:right w:val="nil"/>
            </w:tcBorders>
            <w:shd w:val="clear" w:color="auto" w:fill="auto"/>
            <w:vAlign w:val="bottom"/>
            <w:hideMark/>
          </w:tcPr>
          <w:p w14:paraId="37F98C7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9 </w:t>
            </w:r>
          </w:p>
        </w:tc>
        <w:tc>
          <w:tcPr>
            <w:tcW w:w="800" w:type="dxa"/>
            <w:tcBorders>
              <w:top w:val="nil"/>
              <w:left w:val="nil"/>
              <w:bottom w:val="dashed" w:sz="4" w:space="0" w:color="BFBFBF"/>
              <w:right w:val="nil"/>
            </w:tcBorders>
            <w:shd w:val="clear" w:color="auto" w:fill="auto"/>
            <w:vAlign w:val="bottom"/>
            <w:hideMark/>
          </w:tcPr>
          <w:p w14:paraId="7B8E35B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19 </w:t>
            </w:r>
          </w:p>
        </w:tc>
        <w:tc>
          <w:tcPr>
            <w:tcW w:w="800" w:type="dxa"/>
            <w:tcBorders>
              <w:top w:val="nil"/>
              <w:left w:val="nil"/>
              <w:bottom w:val="dashed" w:sz="4" w:space="0" w:color="BFBFBF"/>
              <w:right w:val="nil"/>
            </w:tcBorders>
            <w:shd w:val="clear" w:color="auto" w:fill="auto"/>
            <w:vAlign w:val="bottom"/>
            <w:hideMark/>
          </w:tcPr>
          <w:p w14:paraId="19AFF68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19 </w:t>
            </w:r>
          </w:p>
        </w:tc>
        <w:tc>
          <w:tcPr>
            <w:tcW w:w="800" w:type="dxa"/>
            <w:tcBorders>
              <w:top w:val="nil"/>
              <w:left w:val="nil"/>
              <w:bottom w:val="dashed" w:sz="4" w:space="0" w:color="BFBFBF"/>
              <w:right w:val="nil"/>
            </w:tcBorders>
            <w:shd w:val="clear" w:color="auto" w:fill="auto"/>
            <w:vAlign w:val="bottom"/>
            <w:hideMark/>
          </w:tcPr>
          <w:p w14:paraId="0E90E69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21 </w:t>
            </w:r>
          </w:p>
        </w:tc>
        <w:tc>
          <w:tcPr>
            <w:tcW w:w="800" w:type="dxa"/>
            <w:tcBorders>
              <w:top w:val="nil"/>
              <w:left w:val="nil"/>
              <w:bottom w:val="dashed" w:sz="4" w:space="0" w:color="BFBFBF"/>
              <w:right w:val="nil"/>
            </w:tcBorders>
            <w:shd w:val="clear" w:color="auto" w:fill="auto"/>
            <w:vAlign w:val="bottom"/>
            <w:hideMark/>
          </w:tcPr>
          <w:p w14:paraId="67EC0BD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24 </w:t>
            </w:r>
          </w:p>
        </w:tc>
        <w:tc>
          <w:tcPr>
            <w:tcW w:w="800" w:type="dxa"/>
            <w:tcBorders>
              <w:top w:val="nil"/>
              <w:left w:val="nil"/>
              <w:bottom w:val="dashed" w:sz="4" w:space="0" w:color="BFBFBF"/>
              <w:right w:val="nil"/>
            </w:tcBorders>
            <w:shd w:val="clear" w:color="auto" w:fill="auto"/>
            <w:vAlign w:val="bottom"/>
            <w:hideMark/>
          </w:tcPr>
          <w:p w14:paraId="659046F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20 </w:t>
            </w:r>
          </w:p>
        </w:tc>
        <w:tc>
          <w:tcPr>
            <w:tcW w:w="800" w:type="dxa"/>
            <w:tcBorders>
              <w:top w:val="nil"/>
              <w:left w:val="nil"/>
              <w:bottom w:val="dashed" w:sz="4" w:space="0" w:color="BFBFBF"/>
              <w:right w:val="nil"/>
            </w:tcBorders>
            <w:shd w:val="clear" w:color="auto" w:fill="auto"/>
            <w:vAlign w:val="bottom"/>
            <w:hideMark/>
          </w:tcPr>
          <w:p w14:paraId="6B008E6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19 </w:t>
            </w:r>
          </w:p>
        </w:tc>
        <w:tc>
          <w:tcPr>
            <w:tcW w:w="800" w:type="dxa"/>
            <w:tcBorders>
              <w:top w:val="nil"/>
              <w:left w:val="nil"/>
              <w:bottom w:val="dashed" w:sz="4" w:space="0" w:color="BFBFBF"/>
              <w:right w:val="nil"/>
            </w:tcBorders>
            <w:shd w:val="clear" w:color="auto" w:fill="auto"/>
            <w:vAlign w:val="bottom"/>
            <w:hideMark/>
          </w:tcPr>
          <w:p w14:paraId="0F65247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20 </w:t>
            </w:r>
          </w:p>
        </w:tc>
        <w:tc>
          <w:tcPr>
            <w:tcW w:w="800" w:type="dxa"/>
            <w:tcBorders>
              <w:top w:val="nil"/>
              <w:left w:val="nil"/>
              <w:bottom w:val="dashed" w:sz="4" w:space="0" w:color="BFBFBF"/>
              <w:right w:val="nil"/>
            </w:tcBorders>
            <w:shd w:val="clear" w:color="auto" w:fill="auto"/>
            <w:vAlign w:val="bottom"/>
            <w:hideMark/>
          </w:tcPr>
          <w:p w14:paraId="3634077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21 </w:t>
            </w:r>
          </w:p>
        </w:tc>
        <w:tc>
          <w:tcPr>
            <w:tcW w:w="800" w:type="dxa"/>
            <w:tcBorders>
              <w:top w:val="nil"/>
              <w:left w:val="nil"/>
              <w:bottom w:val="dashed" w:sz="4" w:space="0" w:color="BFBFBF"/>
              <w:right w:val="nil"/>
            </w:tcBorders>
            <w:shd w:val="clear" w:color="auto" w:fill="auto"/>
            <w:vAlign w:val="bottom"/>
            <w:hideMark/>
          </w:tcPr>
          <w:p w14:paraId="050E9F0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20 </w:t>
            </w:r>
          </w:p>
        </w:tc>
      </w:tr>
      <w:tr w:rsidR="005E5350" w:rsidRPr="005E5350" w14:paraId="6AD799B9" w14:textId="77777777" w:rsidTr="005E5350">
        <w:trPr>
          <w:trHeight w:val="240"/>
        </w:trPr>
        <w:tc>
          <w:tcPr>
            <w:tcW w:w="2540" w:type="dxa"/>
            <w:tcBorders>
              <w:top w:val="single" w:sz="4" w:space="0" w:color="0096D7"/>
              <w:left w:val="nil"/>
              <w:bottom w:val="single" w:sz="4" w:space="0" w:color="BFBFBF"/>
              <w:right w:val="nil"/>
            </w:tcBorders>
            <w:shd w:val="clear" w:color="auto" w:fill="auto"/>
            <w:noWrap/>
            <w:vAlign w:val="center"/>
            <w:hideMark/>
          </w:tcPr>
          <w:p w14:paraId="7B009F39"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New York City Premium</w:t>
            </w:r>
          </w:p>
        </w:tc>
        <w:tc>
          <w:tcPr>
            <w:tcW w:w="800" w:type="dxa"/>
            <w:tcBorders>
              <w:top w:val="single" w:sz="4" w:space="0" w:color="0096D7"/>
              <w:left w:val="nil"/>
              <w:bottom w:val="single" w:sz="4" w:space="0" w:color="BFBFBF"/>
              <w:right w:val="nil"/>
            </w:tcBorders>
            <w:shd w:val="clear" w:color="auto" w:fill="auto"/>
            <w:vAlign w:val="bottom"/>
            <w:hideMark/>
          </w:tcPr>
          <w:p w14:paraId="61E93A6D"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4B735704"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22DE121E"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C69BE5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FB73D2F"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73B31567"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8490EBF"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65C798D1"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53E6530"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5BCC56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25EE71B0"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478C4248"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r>
      <w:tr w:rsidR="005E5350" w:rsidRPr="005E5350" w14:paraId="3AE25EAD" w14:textId="77777777" w:rsidTr="005E5350">
        <w:trPr>
          <w:trHeight w:val="240"/>
        </w:trPr>
        <w:tc>
          <w:tcPr>
            <w:tcW w:w="2540" w:type="dxa"/>
            <w:tcBorders>
              <w:top w:val="nil"/>
              <w:left w:val="nil"/>
              <w:bottom w:val="dashed" w:sz="4" w:space="0" w:color="BFBFBF"/>
              <w:right w:val="nil"/>
            </w:tcBorders>
            <w:shd w:val="clear" w:color="auto" w:fill="auto"/>
            <w:vAlign w:val="bottom"/>
            <w:hideMark/>
          </w:tcPr>
          <w:p w14:paraId="6C3138AE"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(Census)</w:t>
            </w:r>
          </w:p>
        </w:tc>
        <w:tc>
          <w:tcPr>
            <w:tcW w:w="800" w:type="dxa"/>
            <w:tcBorders>
              <w:top w:val="nil"/>
              <w:left w:val="nil"/>
              <w:bottom w:val="dashed" w:sz="4" w:space="0" w:color="BFBFBF"/>
              <w:right w:val="nil"/>
            </w:tcBorders>
            <w:shd w:val="clear" w:color="auto" w:fill="auto"/>
            <w:vAlign w:val="bottom"/>
            <w:hideMark/>
          </w:tcPr>
          <w:p w14:paraId="3758496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2,848 </w:t>
            </w:r>
          </w:p>
        </w:tc>
        <w:tc>
          <w:tcPr>
            <w:tcW w:w="800" w:type="dxa"/>
            <w:tcBorders>
              <w:top w:val="nil"/>
              <w:left w:val="nil"/>
              <w:bottom w:val="dashed" w:sz="4" w:space="0" w:color="BFBFBF"/>
              <w:right w:val="nil"/>
            </w:tcBorders>
            <w:shd w:val="clear" w:color="auto" w:fill="auto"/>
            <w:vAlign w:val="bottom"/>
            <w:hideMark/>
          </w:tcPr>
          <w:p w14:paraId="51048DF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2,857 </w:t>
            </w:r>
          </w:p>
        </w:tc>
        <w:tc>
          <w:tcPr>
            <w:tcW w:w="800" w:type="dxa"/>
            <w:tcBorders>
              <w:top w:val="nil"/>
              <w:left w:val="nil"/>
              <w:bottom w:val="dashed" w:sz="4" w:space="0" w:color="BFBFBF"/>
              <w:right w:val="nil"/>
            </w:tcBorders>
            <w:shd w:val="clear" w:color="auto" w:fill="auto"/>
            <w:vAlign w:val="bottom"/>
            <w:hideMark/>
          </w:tcPr>
          <w:p w14:paraId="36C73A9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2,584 </w:t>
            </w:r>
          </w:p>
        </w:tc>
        <w:tc>
          <w:tcPr>
            <w:tcW w:w="800" w:type="dxa"/>
            <w:tcBorders>
              <w:top w:val="nil"/>
              <w:left w:val="nil"/>
              <w:bottom w:val="dashed" w:sz="4" w:space="0" w:color="BFBFBF"/>
              <w:right w:val="nil"/>
            </w:tcBorders>
            <w:shd w:val="clear" w:color="auto" w:fill="auto"/>
            <w:vAlign w:val="bottom"/>
            <w:hideMark/>
          </w:tcPr>
          <w:p w14:paraId="1420528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3,080 </w:t>
            </w:r>
          </w:p>
        </w:tc>
        <w:tc>
          <w:tcPr>
            <w:tcW w:w="800" w:type="dxa"/>
            <w:tcBorders>
              <w:top w:val="nil"/>
              <w:left w:val="nil"/>
              <w:bottom w:val="dashed" w:sz="4" w:space="0" w:color="BFBFBF"/>
              <w:right w:val="nil"/>
            </w:tcBorders>
            <w:shd w:val="clear" w:color="auto" w:fill="auto"/>
            <w:vAlign w:val="bottom"/>
            <w:hideMark/>
          </w:tcPr>
          <w:p w14:paraId="370A04E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2,769 </w:t>
            </w:r>
          </w:p>
        </w:tc>
        <w:tc>
          <w:tcPr>
            <w:tcW w:w="800" w:type="dxa"/>
            <w:tcBorders>
              <w:top w:val="nil"/>
              <w:left w:val="nil"/>
              <w:bottom w:val="dashed" w:sz="4" w:space="0" w:color="BFBFBF"/>
              <w:right w:val="nil"/>
            </w:tcBorders>
            <w:shd w:val="clear" w:color="auto" w:fill="auto"/>
            <w:vAlign w:val="bottom"/>
            <w:hideMark/>
          </w:tcPr>
          <w:p w14:paraId="166B6DF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3,283 </w:t>
            </w:r>
          </w:p>
        </w:tc>
        <w:tc>
          <w:tcPr>
            <w:tcW w:w="800" w:type="dxa"/>
            <w:tcBorders>
              <w:top w:val="nil"/>
              <w:left w:val="nil"/>
              <w:bottom w:val="dashed" w:sz="4" w:space="0" w:color="BFBFBF"/>
              <w:right w:val="nil"/>
            </w:tcBorders>
            <w:shd w:val="clear" w:color="auto" w:fill="auto"/>
            <w:vAlign w:val="bottom"/>
            <w:hideMark/>
          </w:tcPr>
          <w:p w14:paraId="3267226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3,290 </w:t>
            </w:r>
          </w:p>
        </w:tc>
        <w:tc>
          <w:tcPr>
            <w:tcW w:w="800" w:type="dxa"/>
            <w:tcBorders>
              <w:top w:val="nil"/>
              <w:left w:val="nil"/>
              <w:bottom w:val="dashed" w:sz="4" w:space="0" w:color="BFBFBF"/>
              <w:right w:val="nil"/>
            </w:tcBorders>
            <w:shd w:val="clear" w:color="auto" w:fill="auto"/>
            <w:vAlign w:val="bottom"/>
            <w:hideMark/>
          </w:tcPr>
          <w:p w14:paraId="399EC82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3,226 </w:t>
            </w:r>
          </w:p>
        </w:tc>
        <w:tc>
          <w:tcPr>
            <w:tcW w:w="800" w:type="dxa"/>
            <w:tcBorders>
              <w:top w:val="nil"/>
              <w:left w:val="nil"/>
              <w:bottom w:val="dashed" w:sz="4" w:space="0" w:color="BFBFBF"/>
              <w:right w:val="nil"/>
            </w:tcBorders>
            <w:shd w:val="clear" w:color="auto" w:fill="auto"/>
            <w:vAlign w:val="bottom"/>
            <w:hideMark/>
          </w:tcPr>
          <w:p w14:paraId="1B71E6C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3,286 </w:t>
            </w:r>
          </w:p>
        </w:tc>
        <w:tc>
          <w:tcPr>
            <w:tcW w:w="800" w:type="dxa"/>
            <w:tcBorders>
              <w:top w:val="nil"/>
              <w:left w:val="nil"/>
              <w:bottom w:val="dashed" w:sz="4" w:space="0" w:color="BFBFBF"/>
              <w:right w:val="nil"/>
            </w:tcBorders>
            <w:shd w:val="clear" w:color="auto" w:fill="auto"/>
            <w:vAlign w:val="bottom"/>
            <w:hideMark/>
          </w:tcPr>
          <w:p w14:paraId="7BAFFD6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3,350 </w:t>
            </w:r>
          </w:p>
        </w:tc>
        <w:tc>
          <w:tcPr>
            <w:tcW w:w="800" w:type="dxa"/>
            <w:tcBorders>
              <w:top w:val="nil"/>
              <w:left w:val="nil"/>
              <w:bottom w:val="dashed" w:sz="4" w:space="0" w:color="BFBFBF"/>
              <w:right w:val="nil"/>
            </w:tcBorders>
            <w:shd w:val="clear" w:color="auto" w:fill="auto"/>
            <w:vAlign w:val="bottom"/>
            <w:hideMark/>
          </w:tcPr>
          <w:p w14:paraId="2998EB0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3,229 </w:t>
            </w:r>
          </w:p>
        </w:tc>
        <w:tc>
          <w:tcPr>
            <w:tcW w:w="800" w:type="dxa"/>
            <w:tcBorders>
              <w:top w:val="nil"/>
              <w:left w:val="nil"/>
              <w:bottom w:val="dashed" w:sz="4" w:space="0" w:color="BFBFBF"/>
              <w:right w:val="nil"/>
            </w:tcBorders>
            <w:shd w:val="clear" w:color="auto" w:fill="auto"/>
            <w:vAlign w:val="bottom"/>
            <w:hideMark/>
          </w:tcPr>
          <w:p w14:paraId="6A7C3AA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3,236 </w:t>
            </w:r>
          </w:p>
        </w:tc>
      </w:tr>
      <w:tr w:rsidR="005E5350" w:rsidRPr="005E5350" w14:paraId="1ACE2944" w14:textId="77777777" w:rsidTr="005E5350">
        <w:trPr>
          <w:trHeight w:val="240"/>
        </w:trPr>
        <w:tc>
          <w:tcPr>
            <w:tcW w:w="2540" w:type="dxa"/>
            <w:tcBorders>
              <w:top w:val="nil"/>
              <w:left w:val="nil"/>
              <w:bottom w:val="dashed" w:sz="4" w:space="0" w:color="BFBFBF"/>
              <w:right w:val="nil"/>
            </w:tcBorders>
            <w:shd w:val="clear" w:color="auto" w:fill="auto"/>
            <w:noWrap/>
            <w:hideMark/>
          </w:tcPr>
          <w:p w14:paraId="1956D610"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EIA (Matched Sample)</w:t>
            </w:r>
          </w:p>
        </w:tc>
        <w:tc>
          <w:tcPr>
            <w:tcW w:w="800" w:type="dxa"/>
            <w:tcBorders>
              <w:top w:val="nil"/>
              <w:left w:val="nil"/>
              <w:bottom w:val="dashed" w:sz="4" w:space="0" w:color="BFBFBF"/>
              <w:right w:val="nil"/>
            </w:tcBorders>
            <w:shd w:val="clear" w:color="auto" w:fill="auto"/>
            <w:vAlign w:val="bottom"/>
            <w:hideMark/>
          </w:tcPr>
          <w:p w14:paraId="335ED4A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5811681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2ED2BDC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65C848F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4FA3663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4A9476C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3C9DE91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1103082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3C5D2F0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5DE26F2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52CFAAF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03DEF0F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29 </w:t>
            </w:r>
          </w:p>
        </w:tc>
      </w:tr>
      <w:tr w:rsidR="005E5350" w:rsidRPr="005E5350" w14:paraId="340BCD97" w14:textId="77777777" w:rsidTr="00AE517F">
        <w:trPr>
          <w:trHeight w:val="240"/>
        </w:trPr>
        <w:tc>
          <w:tcPr>
            <w:tcW w:w="2540" w:type="dxa"/>
            <w:tcBorders>
              <w:top w:val="nil"/>
              <w:left w:val="nil"/>
              <w:bottom w:val="single" w:sz="4" w:space="0" w:color="0096D7" w:themeColor="accent1"/>
              <w:right w:val="nil"/>
            </w:tcBorders>
            <w:shd w:val="clear" w:color="auto" w:fill="auto"/>
            <w:noWrap/>
            <w:hideMark/>
          </w:tcPr>
          <w:p w14:paraId="7211D5C4" w14:textId="5316946E" w:rsidR="005E5350" w:rsidRPr="005E5350" w:rsidRDefault="00614466"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(Matched Sample</w:t>
            </w:r>
            <w:r>
              <w:rPr>
                <w:rFonts w:ascii="Calibri" w:eastAsia="Times New Roman" w:hAnsi="Calibri" w:cs="Times New Roman"/>
                <w:color w:val="000000"/>
                <w:sz w:val="18"/>
                <w:szCs w:val="18"/>
              </w:rPr>
              <w:t xml:space="preserve"> to EIA</w:t>
            </w:r>
            <w:r w:rsidRPr="005E5350">
              <w:rPr>
                <w:rFonts w:ascii="Calibri" w:eastAsia="Times New Roman" w:hAnsi="Calibri" w:cs="Times New Roman"/>
                <w:color w:val="000000"/>
                <w:sz w:val="18"/>
                <w:szCs w:val="18"/>
              </w:rPr>
              <w:t>)</w:t>
            </w:r>
          </w:p>
        </w:tc>
        <w:tc>
          <w:tcPr>
            <w:tcW w:w="800" w:type="dxa"/>
            <w:tcBorders>
              <w:top w:val="nil"/>
              <w:left w:val="nil"/>
              <w:bottom w:val="single" w:sz="4" w:space="0" w:color="0096D7" w:themeColor="accent1"/>
              <w:right w:val="nil"/>
            </w:tcBorders>
            <w:shd w:val="clear" w:color="auto" w:fill="auto"/>
            <w:vAlign w:val="bottom"/>
            <w:hideMark/>
          </w:tcPr>
          <w:p w14:paraId="3142A5A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 </w:t>
            </w:r>
          </w:p>
        </w:tc>
        <w:tc>
          <w:tcPr>
            <w:tcW w:w="800" w:type="dxa"/>
            <w:tcBorders>
              <w:top w:val="nil"/>
              <w:left w:val="nil"/>
              <w:bottom w:val="single" w:sz="4" w:space="0" w:color="0096D7" w:themeColor="accent1"/>
              <w:right w:val="nil"/>
            </w:tcBorders>
            <w:shd w:val="clear" w:color="auto" w:fill="auto"/>
            <w:vAlign w:val="bottom"/>
            <w:hideMark/>
          </w:tcPr>
          <w:p w14:paraId="64D9F5C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20 </w:t>
            </w:r>
          </w:p>
        </w:tc>
        <w:tc>
          <w:tcPr>
            <w:tcW w:w="800" w:type="dxa"/>
            <w:tcBorders>
              <w:top w:val="nil"/>
              <w:left w:val="nil"/>
              <w:bottom w:val="single" w:sz="4" w:space="0" w:color="0096D7" w:themeColor="accent1"/>
              <w:right w:val="nil"/>
            </w:tcBorders>
            <w:shd w:val="clear" w:color="auto" w:fill="auto"/>
            <w:vAlign w:val="bottom"/>
            <w:hideMark/>
          </w:tcPr>
          <w:p w14:paraId="18B67B4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 </w:t>
            </w:r>
          </w:p>
        </w:tc>
        <w:tc>
          <w:tcPr>
            <w:tcW w:w="800" w:type="dxa"/>
            <w:tcBorders>
              <w:top w:val="nil"/>
              <w:left w:val="nil"/>
              <w:bottom w:val="single" w:sz="4" w:space="0" w:color="0096D7" w:themeColor="accent1"/>
              <w:right w:val="nil"/>
            </w:tcBorders>
            <w:shd w:val="clear" w:color="auto" w:fill="auto"/>
            <w:vAlign w:val="bottom"/>
            <w:hideMark/>
          </w:tcPr>
          <w:p w14:paraId="2BA5390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21 </w:t>
            </w:r>
          </w:p>
        </w:tc>
        <w:tc>
          <w:tcPr>
            <w:tcW w:w="800" w:type="dxa"/>
            <w:tcBorders>
              <w:top w:val="nil"/>
              <w:left w:val="nil"/>
              <w:bottom w:val="single" w:sz="4" w:space="0" w:color="0096D7" w:themeColor="accent1"/>
              <w:right w:val="nil"/>
            </w:tcBorders>
            <w:shd w:val="clear" w:color="auto" w:fill="auto"/>
            <w:vAlign w:val="bottom"/>
            <w:hideMark/>
          </w:tcPr>
          <w:p w14:paraId="7C89854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21 </w:t>
            </w:r>
          </w:p>
        </w:tc>
        <w:tc>
          <w:tcPr>
            <w:tcW w:w="800" w:type="dxa"/>
            <w:tcBorders>
              <w:top w:val="nil"/>
              <w:left w:val="nil"/>
              <w:bottom w:val="single" w:sz="4" w:space="0" w:color="0096D7" w:themeColor="accent1"/>
              <w:right w:val="nil"/>
            </w:tcBorders>
            <w:shd w:val="clear" w:color="auto" w:fill="auto"/>
            <w:vAlign w:val="bottom"/>
            <w:hideMark/>
          </w:tcPr>
          <w:p w14:paraId="42CAD66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23 </w:t>
            </w:r>
          </w:p>
        </w:tc>
        <w:tc>
          <w:tcPr>
            <w:tcW w:w="800" w:type="dxa"/>
            <w:tcBorders>
              <w:top w:val="nil"/>
              <w:left w:val="nil"/>
              <w:bottom w:val="single" w:sz="4" w:space="0" w:color="0096D7" w:themeColor="accent1"/>
              <w:right w:val="nil"/>
            </w:tcBorders>
            <w:shd w:val="clear" w:color="auto" w:fill="auto"/>
            <w:vAlign w:val="bottom"/>
            <w:hideMark/>
          </w:tcPr>
          <w:p w14:paraId="7A90E12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 </w:t>
            </w:r>
          </w:p>
        </w:tc>
        <w:tc>
          <w:tcPr>
            <w:tcW w:w="800" w:type="dxa"/>
            <w:tcBorders>
              <w:top w:val="nil"/>
              <w:left w:val="nil"/>
              <w:bottom w:val="single" w:sz="4" w:space="0" w:color="0096D7" w:themeColor="accent1"/>
              <w:right w:val="nil"/>
            </w:tcBorders>
            <w:shd w:val="clear" w:color="auto" w:fill="auto"/>
            <w:vAlign w:val="bottom"/>
            <w:hideMark/>
          </w:tcPr>
          <w:p w14:paraId="231A489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20 </w:t>
            </w:r>
          </w:p>
        </w:tc>
        <w:tc>
          <w:tcPr>
            <w:tcW w:w="800" w:type="dxa"/>
            <w:tcBorders>
              <w:top w:val="nil"/>
              <w:left w:val="nil"/>
              <w:bottom w:val="single" w:sz="4" w:space="0" w:color="0096D7" w:themeColor="accent1"/>
              <w:right w:val="nil"/>
            </w:tcBorders>
            <w:shd w:val="clear" w:color="auto" w:fill="auto"/>
            <w:vAlign w:val="bottom"/>
            <w:hideMark/>
          </w:tcPr>
          <w:p w14:paraId="425ED3E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 </w:t>
            </w:r>
          </w:p>
        </w:tc>
        <w:tc>
          <w:tcPr>
            <w:tcW w:w="800" w:type="dxa"/>
            <w:tcBorders>
              <w:top w:val="nil"/>
              <w:left w:val="nil"/>
              <w:bottom w:val="single" w:sz="4" w:space="0" w:color="0096D7" w:themeColor="accent1"/>
              <w:right w:val="nil"/>
            </w:tcBorders>
            <w:shd w:val="clear" w:color="auto" w:fill="auto"/>
            <w:vAlign w:val="bottom"/>
            <w:hideMark/>
          </w:tcPr>
          <w:p w14:paraId="4AF3BD4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 </w:t>
            </w:r>
          </w:p>
        </w:tc>
        <w:tc>
          <w:tcPr>
            <w:tcW w:w="800" w:type="dxa"/>
            <w:tcBorders>
              <w:top w:val="nil"/>
              <w:left w:val="nil"/>
              <w:bottom w:val="single" w:sz="4" w:space="0" w:color="0096D7" w:themeColor="accent1"/>
              <w:right w:val="nil"/>
            </w:tcBorders>
            <w:shd w:val="clear" w:color="auto" w:fill="auto"/>
            <w:vAlign w:val="bottom"/>
            <w:hideMark/>
          </w:tcPr>
          <w:p w14:paraId="03B1126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21 </w:t>
            </w:r>
          </w:p>
        </w:tc>
        <w:tc>
          <w:tcPr>
            <w:tcW w:w="800" w:type="dxa"/>
            <w:tcBorders>
              <w:top w:val="nil"/>
              <w:left w:val="nil"/>
              <w:bottom w:val="single" w:sz="4" w:space="0" w:color="0096D7" w:themeColor="accent1"/>
              <w:right w:val="nil"/>
            </w:tcBorders>
            <w:shd w:val="clear" w:color="auto" w:fill="auto"/>
            <w:vAlign w:val="bottom"/>
            <w:hideMark/>
          </w:tcPr>
          <w:p w14:paraId="3B1BC97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19 </w:t>
            </w:r>
          </w:p>
        </w:tc>
      </w:tr>
    </w:tbl>
    <w:p w14:paraId="68FD203D" w14:textId="7663B72A" w:rsidR="005E5350" w:rsidRPr="00AE517F" w:rsidRDefault="00823175" w:rsidP="005E5350">
      <w:pPr>
        <w:spacing w:line="240" w:lineRule="auto"/>
        <w:rPr>
          <w:sz w:val="18"/>
          <w:szCs w:val="20"/>
        </w:rPr>
      </w:pPr>
      <w:r w:rsidRPr="00AE517F">
        <w:rPr>
          <w:sz w:val="18"/>
          <w:szCs w:val="20"/>
        </w:rPr>
        <w:t>Note: Sample sizes are not available for AAA prices</w:t>
      </w:r>
    </w:p>
    <w:p w14:paraId="575E1543" w14:textId="77777777" w:rsidR="005E5350" w:rsidRDefault="005E5350" w:rsidP="005E5350">
      <w:pPr>
        <w:spacing w:line="240" w:lineRule="auto"/>
        <w:rPr>
          <w:b/>
          <w:sz w:val="20"/>
          <w:szCs w:val="20"/>
        </w:rPr>
      </w:pPr>
    </w:p>
    <w:p w14:paraId="4F62986F" w14:textId="77777777" w:rsidR="005E5350" w:rsidRDefault="005E5350" w:rsidP="005E5350">
      <w:pPr>
        <w:spacing w:line="240" w:lineRule="auto"/>
        <w:rPr>
          <w:b/>
          <w:sz w:val="20"/>
          <w:szCs w:val="20"/>
        </w:rPr>
      </w:pPr>
    </w:p>
    <w:p w14:paraId="147EC626" w14:textId="77777777" w:rsidR="005E5350" w:rsidRDefault="005E5350" w:rsidP="005E5350">
      <w:pPr>
        <w:spacing w:line="240" w:lineRule="auto"/>
        <w:rPr>
          <w:b/>
          <w:sz w:val="20"/>
          <w:szCs w:val="20"/>
        </w:rPr>
      </w:pPr>
    </w:p>
    <w:p w14:paraId="5E8461E4" w14:textId="77777777" w:rsidR="005E5350" w:rsidRDefault="005E5350" w:rsidP="005E5350">
      <w:pPr>
        <w:spacing w:line="240" w:lineRule="auto"/>
        <w:rPr>
          <w:b/>
          <w:sz w:val="20"/>
          <w:szCs w:val="20"/>
        </w:rPr>
      </w:pPr>
    </w:p>
    <w:p w14:paraId="17AC499D" w14:textId="77777777" w:rsidR="005E5350" w:rsidRDefault="005E5350" w:rsidP="005E5350">
      <w:pPr>
        <w:spacing w:line="240" w:lineRule="auto"/>
        <w:rPr>
          <w:b/>
          <w:sz w:val="20"/>
          <w:szCs w:val="20"/>
        </w:rPr>
      </w:pPr>
    </w:p>
    <w:p w14:paraId="4790C116" w14:textId="77777777" w:rsidR="005E5350" w:rsidRDefault="005E5350" w:rsidP="005E5350">
      <w:pPr>
        <w:spacing w:line="240" w:lineRule="auto"/>
        <w:rPr>
          <w:b/>
          <w:sz w:val="20"/>
          <w:szCs w:val="20"/>
        </w:rPr>
      </w:pPr>
    </w:p>
    <w:p w14:paraId="174C338C" w14:textId="77777777" w:rsidR="005E5350" w:rsidRDefault="005E5350" w:rsidP="005E5350">
      <w:pPr>
        <w:spacing w:line="240" w:lineRule="auto"/>
        <w:rPr>
          <w:b/>
          <w:sz w:val="20"/>
          <w:szCs w:val="20"/>
        </w:rPr>
      </w:pPr>
    </w:p>
    <w:p w14:paraId="077B564D" w14:textId="2719DAED" w:rsidR="00823175" w:rsidRPr="00FB5311" w:rsidRDefault="00823175" w:rsidP="00823175">
      <w:pPr>
        <w:spacing w:line="240" w:lineRule="auto"/>
        <w:rPr>
          <w:b/>
          <w:color w:val="0096D7" w:themeColor="accent1"/>
        </w:rPr>
      </w:pPr>
      <w:r w:rsidRPr="00FB5311">
        <w:rPr>
          <w:b/>
          <w:color w:val="0096D7" w:themeColor="accent1"/>
        </w:rPr>
        <w:t>Table</w:t>
      </w:r>
      <w:r w:rsidR="002452E9" w:rsidRPr="00FB5311">
        <w:rPr>
          <w:b/>
          <w:color w:val="0096D7" w:themeColor="accent1"/>
        </w:rPr>
        <w:t xml:space="preserve"> A.5</w:t>
      </w:r>
      <w:r w:rsidRPr="00FB5311">
        <w:rPr>
          <w:b/>
          <w:color w:val="0096D7" w:themeColor="accent1"/>
        </w:rPr>
        <w:t>. Sample sizes for Chicago for OPIS (Census), EIA (Matched Sample)</w:t>
      </w:r>
      <w:r w:rsidR="004125C1" w:rsidRPr="00FB5311">
        <w:rPr>
          <w:b/>
          <w:color w:val="0096D7" w:themeColor="accent1"/>
        </w:rPr>
        <w:t>,</w:t>
      </w:r>
      <w:r w:rsidRPr="00FB5311">
        <w:rPr>
          <w:b/>
          <w:color w:val="0096D7" w:themeColor="accent1"/>
        </w:rPr>
        <w:t xml:space="preserve"> and OPIS (Matched Sample</w:t>
      </w:r>
      <w:r w:rsidR="00614466">
        <w:rPr>
          <w:b/>
          <w:color w:val="0096D7" w:themeColor="accent1"/>
        </w:rPr>
        <w:t xml:space="preserve"> to EIA</w:t>
      </w:r>
      <w:r w:rsidRPr="00FB5311">
        <w:rPr>
          <w:b/>
          <w:color w:val="0096D7" w:themeColor="accent1"/>
        </w:rPr>
        <w:t>)</w:t>
      </w:r>
      <w:r w:rsidR="00114932">
        <w:rPr>
          <w:b/>
          <w:color w:val="0096D7" w:themeColor="accent1"/>
        </w:rPr>
        <w:t>.</w:t>
      </w:r>
      <w:r w:rsidRPr="00FB5311">
        <w:rPr>
          <w:b/>
          <w:color w:val="0096D7" w:themeColor="accent1"/>
        </w:rPr>
        <w:t xml:space="preserve"> </w:t>
      </w:r>
    </w:p>
    <w:tbl>
      <w:tblPr>
        <w:tblW w:w="12140" w:type="dxa"/>
        <w:tblLook w:val="04A0" w:firstRow="1" w:lastRow="0" w:firstColumn="1" w:lastColumn="0" w:noHBand="0" w:noVBand="1"/>
      </w:tblPr>
      <w:tblGrid>
        <w:gridCol w:w="2540"/>
        <w:gridCol w:w="800"/>
        <w:gridCol w:w="800"/>
        <w:gridCol w:w="800"/>
        <w:gridCol w:w="800"/>
        <w:gridCol w:w="800"/>
        <w:gridCol w:w="800"/>
        <w:gridCol w:w="800"/>
        <w:gridCol w:w="800"/>
        <w:gridCol w:w="800"/>
        <w:gridCol w:w="800"/>
        <w:gridCol w:w="800"/>
        <w:gridCol w:w="800"/>
      </w:tblGrid>
      <w:tr w:rsidR="005E5350" w:rsidRPr="005E5350" w14:paraId="1860B74F" w14:textId="77777777" w:rsidTr="005E5350">
        <w:trPr>
          <w:trHeight w:val="240"/>
        </w:trPr>
        <w:tc>
          <w:tcPr>
            <w:tcW w:w="2540" w:type="dxa"/>
            <w:tcBorders>
              <w:top w:val="nil"/>
              <w:left w:val="nil"/>
              <w:bottom w:val="single" w:sz="12" w:space="0" w:color="0096D7"/>
              <w:right w:val="nil"/>
            </w:tcBorders>
            <w:shd w:val="clear" w:color="auto" w:fill="auto"/>
            <w:vAlign w:val="bottom"/>
            <w:hideMark/>
          </w:tcPr>
          <w:p w14:paraId="5481BBB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12" w:space="0" w:color="0096D7"/>
              <w:right w:val="nil"/>
            </w:tcBorders>
            <w:shd w:val="clear" w:color="auto" w:fill="auto"/>
            <w:vAlign w:val="bottom"/>
            <w:hideMark/>
          </w:tcPr>
          <w:p w14:paraId="100AA769"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15-May</w:t>
            </w:r>
          </w:p>
        </w:tc>
        <w:tc>
          <w:tcPr>
            <w:tcW w:w="800" w:type="dxa"/>
            <w:tcBorders>
              <w:top w:val="nil"/>
              <w:left w:val="nil"/>
              <w:bottom w:val="single" w:sz="12" w:space="0" w:color="0096D7"/>
              <w:right w:val="nil"/>
            </w:tcBorders>
            <w:shd w:val="clear" w:color="auto" w:fill="auto"/>
            <w:vAlign w:val="bottom"/>
            <w:hideMark/>
          </w:tcPr>
          <w:p w14:paraId="03C51168"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22-May</w:t>
            </w:r>
          </w:p>
        </w:tc>
        <w:tc>
          <w:tcPr>
            <w:tcW w:w="800" w:type="dxa"/>
            <w:tcBorders>
              <w:top w:val="nil"/>
              <w:left w:val="nil"/>
              <w:bottom w:val="single" w:sz="12" w:space="0" w:color="0096D7"/>
              <w:right w:val="nil"/>
            </w:tcBorders>
            <w:shd w:val="clear" w:color="auto" w:fill="auto"/>
            <w:vAlign w:val="bottom"/>
            <w:hideMark/>
          </w:tcPr>
          <w:p w14:paraId="3A398757"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29-May</w:t>
            </w:r>
          </w:p>
        </w:tc>
        <w:tc>
          <w:tcPr>
            <w:tcW w:w="800" w:type="dxa"/>
            <w:tcBorders>
              <w:top w:val="nil"/>
              <w:left w:val="nil"/>
              <w:bottom w:val="single" w:sz="12" w:space="0" w:color="0096D7"/>
              <w:right w:val="nil"/>
            </w:tcBorders>
            <w:shd w:val="clear" w:color="auto" w:fill="auto"/>
            <w:vAlign w:val="bottom"/>
            <w:hideMark/>
          </w:tcPr>
          <w:p w14:paraId="4C09F629"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5-Jun</w:t>
            </w:r>
          </w:p>
        </w:tc>
        <w:tc>
          <w:tcPr>
            <w:tcW w:w="800" w:type="dxa"/>
            <w:tcBorders>
              <w:top w:val="nil"/>
              <w:left w:val="nil"/>
              <w:bottom w:val="single" w:sz="12" w:space="0" w:color="0096D7"/>
              <w:right w:val="nil"/>
            </w:tcBorders>
            <w:shd w:val="clear" w:color="auto" w:fill="auto"/>
            <w:vAlign w:val="bottom"/>
            <w:hideMark/>
          </w:tcPr>
          <w:p w14:paraId="35356FC4"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12-Jun</w:t>
            </w:r>
          </w:p>
        </w:tc>
        <w:tc>
          <w:tcPr>
            <w:tcW w:w="800" w:type="dxa"/>
            <w:tcBorders>
              <w:top w:val="nil"/>
              <w:left w:val="nil"/>
              <w:bottom w:val="single" w:sz="12" w:space="0" w:color="0096D7"/>
              <w:right w:val="nil"/>
            </w:tcBorders>
            <w:shd w:val="clear" w:color="auto" w:fill="auto"/>
            <w:vAlign w:val="bottom"/>
            <w:hideMark/>
          </w:tcPr>
          <w:p w14:paraId="5E0D891E"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19-Jun</w:t>
            </w:r>
          </w:p>
        </w:tc>
        <w:tc>
          <w:tcPr>
            <w:tcW w:w="800" w:type="dxa"/>
            <w:tcBorders>
              <w:top w:val="nil"/>
              <w:left w:val="nil"/>
              <w:bottom w:val="single" w:sz="12" w:space="0" w:color="0096D7"/>
              <w:right w:val="nil"/>
            </w:tcBorders>
            <w:shd w:val="clear" w:color="auto" w:fill="auto"/>
            <w:vAlign w:val="bottom"/>
            <w:hideMark/>
          </w:tcPr>
          <w:p w14:paraId="485238B6"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26-Jun</w:t>
            </w:r>
          </w:p>
        </w:tc>
        <w:tc>
          <w:tcPr>
            <w:tcW w:w="800" w:type="dxa"/>
            <w:tcBorders>
              <w:top w:val="nil"/>
              <w:left w:val="nil"/>
              <w:bottom w:val="single" w:sz="12" w:space="0" w:color="0096D7"/>
              <w:right w:val="nil"/>
            </w:tcBorders>
            <w:shd w:val="clear" w:color="auto" w:fill="auto"/>
            <w:vAlign w:val="bottom"/>
            <w:hideMark/>
          </w:tcPr>
          <w:p w14:paraId="15567EC7"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3-Jul</w:t>
            </w:r>
          </w:p>
        </w:tc>
        <w:tc>
          <w:tcPr>
            <w:tcW w:w="800" w:type="dxa"/>
            <w:tcBorders>
              <w:top w:val="nil"/>
              <w:left w:val="nil"/>
              <w:bottom w:val="single" w:sz="12" w:space="0" w:color="0096D7"/>
              <w:right w:val="nil"/>
            </w:tcBorders>
            <w:shd w:val="clear" w:color="auto" w:fill="auto"/>
            <w:vAlign w:val="bottom"/>
            <w:hideMark/>
          </w:tcPr>
          <w:p w14:paraId="324A57E9"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10-Jul</w:t>
            </w:r>
          </w:p>
        </w:tc>
        <w:tc>
          <w:tcPr>
            <w:tcW w:w="800" w:type="dxa"/>
            <w:tcBorders>
              <w:top w:val="nil"/>
              <w:left w:val="nil"/>
              <w:bottom w:val="single" w:sz="12" w:space="0" w:color="0096D7"/>
              <w:right w:val="nil"/>
            </w:tcBorders>
            <w:shd w:val="clear" w:color="auto" w:fill="auto"/>
            <w:vAlign w:val="bottom"/>
            <w:hideMark/>
          </w:tcPr>
          <w:p w14:paraId="691B4149"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17-Jul</w:t>
            </w:r>
          </w:p>
        </w:tc>
        <w:tc>
          <w:tcPr>
            <w:tcW w:w="800" w:type="dxa"/>
            <w:tcBorders>
              <w:top w:val="nil"/>
              <w:left w:val="nil"/>
              <w:bottom w:val="single" w:sz="12" w:space="0" w:color="0096D7"/>
              <w:right w:val="nil"/>
            </w:tcBorders>
            <w:shd w:val="clear" w:color="auto" w:fill="auto"/>
            <w:vAlign w:val="bottom"/>
            <w:hideMark/>
          </w:tcPr>
          <w:p w14:paraId="55A47DD6"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24-Jul</w:t>
            </w:r>
          </w:p>
        </w:tc>
        <w:tc>
          <w:tcPr>
            <w:tcW w:w="800" w:type="dxa"/>
            <w:tcBorders>
              <w:top w:val="nil"/>
              <w:left w:val="nil"/>
              <w:bottom w:val="single" w:sz="12" w:space="0" w:color="0096D7"/>
              <w:right w:val="nil"/>
            </w:tcBorders>
            <w:shd w:val="clear" w:color="auto" w:fill="auto"/>
            <w:vAlign w:val="bottom"/>
            <w:hideMark/>
          </w:tcPr>
          <w:p w14:paraId="227C5F4C" w14:textId="77777777" w:rsidR="005E5350" w:rsidRPr="005E5350" w:rsidRDefault="005E5350" w:rsidP="005E5350">
            <w:pPr>
              <w:spacing w:after="0" w:line="240" w:lineRule="auto"/>
              <w:jc w:val="right"/>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31-Jul</w:t>
            </w:r>
          </w:p>
        </w:tc>
      </w:tr>
      <w:tr w:rsidR="005E5350" w:rsidRPr="005E5350" w14:paraId="450FC49C" w14:textId="77777777" w:rsidTr="005E5350">
        <w:trPr>
          <w:trHeight w:val="240"/>
        </w:trPr>
        <w:tc>
          <w:tcPr>
            <w:tcW w:w="2540" w:type="dxa"/>
            <w:tcBorders>
              <w:top w:val="nil"/>
              <w:left w:val="nil"/>
              <w:bottom w:val="single" w:sz="4" w:space="0" w:color="BFBFBF"/>
              <w:right w:val="nil"/>
            </w:tcBorders>
            <w:shd w:val="clear" w:color="auto" w:fill="auto"/>
            <w:noWrap/>
            <w:vAlign w:val="center"/>
            <w:hideMark/>
          </w:tcPr>
          <w:p w14:paraId="51651D3A"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Chicago Regular</w:t>
            </w:r>
          </w:p>
        </w:tc>
        <w:tc>
          <w:tcPr>
            <w:tcW w:w="800" w:type="dxa"/>
            <w:tcBorders>
              <w:top w:val="nil"/>
              <w:left w:val="nil"/>
              <w:bottom w:val="single" w:sz="4" w:space="0" w:color="BFBFBF"/>
              <w:right w:val="nil"/>
            </w:tcBorders>
            <w:shd w:val="clear" w:color="auto" w:fill="auto"/>
            <w:noWrap/>
            <w:vAlign w:val="center"/>
            <w:hideMark/>
          </w:tcPr>
          <w:p w14:paraId="2F1F1782"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56D59D1C"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5BF90E91"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7CB0B0E1"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217EB0A2"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144B0B4C"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1DFD3149"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15588CB9"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011B4876"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0EB793A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33A7939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nil"/>
              <w:left w:val="nil"/>
              <w:bottom w:val="single" w:sz="4" w:space="0" w:color="BFBFBF"/>
              <w:right w:val="nil"/>
            </w:tcBorders>
            <w:shd w:val="clear" w:color="auto" w:fill="auto"/>
            <w:noWrap/>
            <w:vAlign w:val="center"/>
            <w:hideMark/>
          </w:tcPr>
          <w:p w14:paraId="3ED679E9"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r>
      <w:tr w:rsidR="005E5350" w:rsidRPr="005E5350" w14:paraId="332357DD" w14:textId="77777777" w:rsidTr="005E5350">
        <w:trPr>
          <w:trHeight w:val="240"/>
        </w:trPr>
        <w:tc>
          <w:tcPr>
            <w:tcW w:w="2540" w:type="dxa"/>
            <w:tcBorders>
              <w:top w:val="nil"/>
              <w:left w:val="nil"/>
              <w:bottom w:val="dashed" w:sz="4" w:space="0" w:color="BFBFBF"/>
              <w:right w:val="nil"/>
            </w:tcBorders>
            <w:shd w:val="clear" w:color="auto" w:fill="auto"/>
            <w:vAlign w:val="bottom"/>
            <w:hideMark/>
          </w:tcPr>
          <w:p w14:paraId="08F6787B"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(Census)</w:t>
            </w:r>
          </w:p>
        </w:tc>
        <w:tc>
          <w:tcPr>
            <w:tcW w:w="800" w:type="dxa"/>
            <w:tcBorders>
              <w:top w:val="nil"/>
              <w:left w:val="nil"/>
              <w:bottom w:val="dashed" w:sz="4" w:space="0" w:color="BFBFBF"/>
              <w:right w:val="nil"/>
            </w:tcBorders>
            <w:shd w:val="clear" w:color="auto" w:fill="auto"/>
            <w:vAlign w:val="bottom"/>
            <w:hideMark/>
          </w:tcPr>
          <w:p w14:paraId="7278B80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2,222 </w:t>
            </w:r>
          </w:p>
        </w:tc>
        <w:tc>
          <w:tcPr>
            <w:tcW w:w="800" w:type="dxa"/>
            <w:tcBorders>
              <w:top w:val="nil"/>
              <w:left w:val="nil"/>
              <w:bottom w:val="dashed" w:sz="4" w:space="0" w:color="BFBFBF"/>
              <w:right w:val="nil"/>
            </w:tcBorders>
            <w:shd w:val="clear" w:color="auto" w:fill="auto"/>
            <w:vAlign w:val="bottom"/>
            <w:hideMark/>
          </w:tcPr>
          <w:p w14:paraId="1C3A0C3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2,208 </w:t>
            </w:r>
          </w:p>
        </w:tc>
        <w:tc>
          <w:tcPr>
            <w:tcW w:w="800" w:type="dxa"/>
            <w:tcBorders>
              <w:top w:val="nil"/>
              <w:left w:val="nil"/>
              <w:bottom w:val="dashed" w:sz="4" w:space="0" w:color="BFBFBF"/>
              <w:right w:val="nil"/>
            </w:tcBorders>
            <w:shd w:val="clear" w:color="auto" w:fill="auto"/>
            <w:vAlign w:val="bottom"/>
            <w:hideMark/>
          </w:tcPr>
          <w:p w14:paraId="79F2674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2,165 </w:t>
            </w:r>
          </w:p>
        </w:tc>
        <w:tc>
          <w:tcPr>
            <w:tcW w:w="800" w:type="dxa"/>
            <w:tcBorders>
              <w:top w:val="nil"/>
              <w:left w:val="nil"/>
              <w:bottom w:val="dashed" w:sz="4" w:space="0" w:color="BFBFBF"/>
              <w:right w:val="nil"/>
            </w:tcBorders>
            <w:shd w:val="clear" w:color="auto" w:fill="auto"/>
            <w:vAlign w:val="bottom"/>
            <w:hideMark/>
          </w:tcPr>
          <w:p w14:paraId="6370E07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1,982 </w:t>
            </w:r>
          </w:p>
        </w:tc>
        <w:tc>
          <w:tcPr>
            <w:tcW w:w="800" w:type="dxa"/>
            <w:tcBorders>
              <w:top w:val="nil"/>
              <w:left w:val="nil"/>
              <w:bottom w:val="dashed" w:sz="4" w:space="0" w:color="BFBFBF"/>
              <w:right w:val="nil"/>
            </w:tcBorders>
            <w:shd w:val="clear" w:color="auto" w:fill="auto"/>
            <w:vAlign w:val="bottom"/>
            <w:hideMark/>
          </w:tcPr>
          <w:p w14:paraId="7C600EC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2,221 </w:t>
            </w:r>
          </w:p>
        </w:tc>
        <w:tc>
          <w:tcPr>
            <w:tcW w:w="800" w:type="dxa"/>
            <w:tcBorders>
              <w:top w:val="nil"/>
              <w:left w:val="nil"/>
              <w:bottom w:val="dashed" w:sz="4" w:space="0" w:color="BFBFBF"/>
              <w:right w:val="nil"/>
            </w:tcBorders>
            <w:shd w:val="clear" w:color="auto" w:fill="auto"/>
            <w:vAlign w:val="bottom"/>
            <w:hideMark/>
          </w:tcPr>
          <w:p w14:paraId="0C2377B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2,256 </w:t>
            </w:r>
          </w:p>
        </w:tc>
        <w:tc>
          <w:tcPr>
            <w:tcW w:w="800" w:type="dxa"/>
            <w:tcBorders>
              <w:top w:val="nil"/>
              <w:left w:val="nil"/>
              <w:bottom w:val="dashed" w:sz="4" w:space="0" w:color="BFBFBF"/>
              <w:right w:val="nil"/>
            </w:tcBorders>
            <w:shd w:val="clear" w:color="auto" w:fill="auto"/>
            <w:vAlign w:val="bottom"/>
            <w:hideMark/>
          </w:tcPr>
          <w:p w14:paraId="47B5049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2,264 </w:t>
            </w:r>
          </w:p>
        </w:tc>
        <w:tc>
          <w:tcPr>
            <w:tcW w:w="800" w:type="dxa"/>
            <w:tcBorders>
              <w:top w:val="nil"/>
              <w:left w:val="nil"/>
              <w:bottom w:val="dashed" w:sz="4" w:space="0" w:color="BFBFBF"/>
              <w:right w:val="nil"/>
            </w:tcBorders>
            <w:shd w:val="clear" w:color="auto" w:fill="auto"/>
            <w:vAlign w:val="bottom"/>
            <w:hideMark/>
          </w:tcPr>
          <w:p w14:paraId="067E15E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2,260 </w:t>
            </w:r>
          </w:p>
        </w:tc>
        <w:tc>
          <w:tcPr>
            <w:tcW w:w="800" w:type="dxa"/>
            <w:tcBorders>
              <w:top w:val="nil"/>
              <w:left w:val="nil"/>
              <w:bottom w:val="dashed" w:sz="4" w:space="0" w:color="BFBFBF"/>
              <w:right w:val="nil"/>
            </w:tcBorders>
            <w:shd w:val="clear" w:color="auto" w:fill="auto"/>
            <w:vAlign w:val="bottom"/>
            <w:hideMark/>
          </w:tcPr>
          <w:p w14:paraId="2E1A50B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2,258 </w:t>
            </w:r>
          </w:p>
        </w:tc>
        <w:tc>
          <w:tcPr>
            <w:tcW w:w="800" w:type="dxa"/>
            <w:tcBorders>
              <w:top w:val="nil"/>
              <w:left w:val="nil"/>
              <w:bottom w:val="dashed" w:sz="4" w:space="0" w:color="BFBFBF"/>
              <w:right w:val="nil"/>
            </w:tcBorders>
            <w:shd w:val="clear" w:color="auto" w:fill="auto"/>
            <w:vAlign w:val="bottom"/>
            <w:hideMark/>
          </w:tcPr>
          <w:p w14:paraId="4296B57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2,247 </w:t>
            </w:r>
          </w:p>
        </w:tc>
        <w:tc>
          <w:tcPr>
            <w:tcW w:w="800" w:type="dxa"/>
            <w:tcBorders>
              <w:top w:val="nil"/>
              <w:left w:val="nil"/>
              <w:bottom w:val="dashed" w:sz="4" w:space="0" w:color="BFBFBF"/>
              <w:right w:val="nil"/>
            </w:tcBorders>
            <w:shd w:val="clear" w:color="auto" w:fill="auto"/>
            <w:vAlign w:val="bottom"/>
            <w:hideMark/>
          </w:tcPr>
          <w:p w14:paraId="2ABBCF2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2,262 </w:t>
            </w:r>
          </w:p>
        </w:tc>
        <w:tc>
          <w:tcPr>
            <w:tcW w:w="800" w:type="dxa"/>
            <w:tcBorders>
              <w:top w:val="nil"/>
              <w:left w:val="nil"/>
              <w:bottom w:val="dashed" w:sz="4" w:space="0" w:color="BFBFBF"/>
              <w:right w:val="nil"/>
            </w:tcBorders>
            <w:shd w:val="clear" w:color="auto" w:fill="auto"/>
            <w:vAlign w:val="bottom"/>
            <w:hideMark/>
          </w:tcPr>
          <w:p w14:paraId="0205CA0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2,253 </w:t>
            </w:r>
          </w:p>
        </w:tc>
      </w:tr>
      <w:tr w:rsidR="005E5350" w:rsidRPr="005E5350" w14:paraId="1FA4F03F" w14:textId="77777777" w:rsidTr="005E5350">
        <w:trPr>
          <w:trHeight w:val="240"/>
        </w:trPr>
        <w:tc>
          <w:tcPr>
            <w:tcW w:w="2540" w:type="dxa"/>
            <w:tcBorders>
              <w:top w:val="nil"/>
              <w:left w:val="nil"/>
              <w:bottom w:val="dashed" w:sz="4" w:space="0" w:color="BFBFBF"/>
              <w:right w:val="nil"/>
            </w:tcBorders>
            <w:shd w:val="clear" w:color="auto" w:fill="auto"/>
            <w:noWrap/>
            <w:hideMark/>
          </w:tcPr>
          <w:p w14:paraId="6DEE8869"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EIA (Matched Sample)</w:t>
            </w:r>
          </w:p>
        </w:tc>
        <w:tc>
          <w:tcPr>
            <w:tcW w:w="800" w:type="dxa"/>
            <w:tcBorders>
              <w:top w:val="nil"/>
              <w:left w:val="nil"/>
              <w:bottom w:val="dashed" w:sz="4" w:space="0" w:color="BFBFBF"/>
              <w:right w:val="nil"/>
            </w:tcBorders>
            <w:shd w:val="clear" w:color="auto" w:fill="auto"/>
            <w:vAlign w:val="bottom"/>
            <w:hideMark/>
          </w:tcPr>
          <w:p w14:paraId="72F40DC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17C2031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08FD0A7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6E87DFF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6DA79A9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51E24B9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717A339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78195AD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7FBE5B5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44C3213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0CDD807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28960E0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r>
      <w:tr w:rsidR="005E5350" w:rsidRPr="005E5350" w14:paraId="4662E826" w14:textId="77777777" w:rsidTr="005E5350">
        <w:trPr>
          <w:trHeight w:val="240"/>
        </w:trPr>
        <w:tc>
          <w:tcPr>
            <w:tcW w:w="2540" w:type="dxa"/>
            <w:tcBorders>
              <w:top w:val="nil"/>
              <w:left w:val="nil"/>
              <w:bottom w:val="dashed" w:sz="4" w:space="0" w:color="BFBFBF"/>
              <w:right w:val="nil"/>
            </w:tcBorders>
            <w:shd w:val="clear" w:color="auto" w:fill="auto"/>
            <w:noWrap/>
            <w:hideMark/>
          </w:tcPr>
          <w:p w14:paraId="15A1623A" w14:textId="23DFBA1A" w:rsidR="005E5350" w:rsidRPr="005E5350" w:rsidRDefault="00614466"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(Matched Sample</w:t>
            </w:r>
            <w:r>
              <w:rPr>
                <w:rFonts w:ascii="Calibri" w:eastAsia="Times New Roman" w:hAnsi="Calibri" w:cs="Times New Roman"/>
                <w:color w:val="000000"/>
                <w:sz w:val="18"/>
                <w:szCs w:val="18"/>
              </w:rPr>
              <w:t xml:space="preserve"> to EIA</w:t>
            </w:r>
            <w:r w:rsidRPr="005E5350">
              <w:rPr>
                <w:rFonts w:ascii="Calibri" w:eastAsia="Times New Roman" w:hAnsi="Calibri" w:cs="Times New Roman"/>
                <w:color w:val="000000"/>
                <w:sz w:val="18"/>
                <w:szCs w:val="18"/>
              </w:rPr>
              <w:t>)</w:t>
            </w:r>
          </w:p>
        </w:tc>
        <w:tc>
          <w:tcPr>
            <w:tcW w:w="800" w:type="dxa"/>
            <w:tcBorders>
              <w:top w:val="nil"/>
              <w:left w:val="nil"/>
              <w:bottom w:val="dashed" w:sz="4" w:space="0" w:color="BFBFBF"/>
              <w:right w:val="nil"/>
            </w:tcBorders>
            <w:shd w:val="clear" w:color="auto" w:fill="auto"/>
            <w:vAlign w:val="bottom"/>
            <w:hideMark/>
          </w:tcPr>
          <w:p w14:paraId="6B420D8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600DF8A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 </w:t>
            </w:r>
          </w:p>
        </w:tc>
        <w:tc>
          <w:tcPr>
            <w:tcW w:w="800" w:type="dxa"/>
            <w:tcBorders>
              <w:top w:val="nil"/>
              <w:left w:val="nil"/>
              <w:bottom w:val="dashed" w:sz="4" w:space="0" w:color="BFBFBF"/>
              <w:right w:val="nil"/>
            </w:tcBorders>
            <w:shd w:val="clear" w:color="auto" w:fill="auto"/>
            <w:vAlign w:val="bottom"/>
            <w:hideMark/>
          </w:tcPr>
          <w:p w14:paraId="13097F1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35 </w:t>
            </w:r>
          </w:p>
        </w:tc>
        <w:tc>
          <w:tcPr>
            <w:tcW w:w="800" w:type="dxa"/>
            <w:tcBorders>
              <w:top w:val="nil"/>
              <w:left w:val="nil"/>
              <w:bottom w:val="dashed" w:sz="4" w:space="0" w:color="BFBFBF"/>
              <w:right w:val="nil"/>
            </w:tcBorders>
            <w:shd w:val="clear" w:color="auto" w:fill="auto"/>
            <w:vAlign w:val="bottom"/>
            <w:hideMark/>
          </w:tcPr>
          <w:p w14:paraId="6E5CFCA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0054889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4608526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484D516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5939599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082F39B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16C61A5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48ED54E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53DFA8F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r>
      <w:tr w:rsidR="005E5350" w:rsidRPr="005E5350" w14:paraId="0B1F1EA4" w14:textId="77777777" w:rsidTr="005E5350">
        <w:trPr>
          <w:trHeight w:val="240"/>
        </w:trPr>
        <w:tc>
          <w:tcPr>
            <w:tcW w:w="2540" w:type="dxa"/>
            <w:tcBorders>
              <w:top w:val="single" w:sz="4" w:space="0" w:color="0096D7"/>
              <w:left w:val="nil"/>
              <w:bottom w:val="single" w:sz="4" w:space="0" w:color="BFBFBF"/>
              <w:right w:val="nil"/>
            </w:tcBorders>
            <w:shd w:val="clear" w:color="auto" w:fill="auto"/>
            <w:noWrap/>
            <w:vAlign w:val="center"/>
            <w:hideMark/>
          </w:tcPr>
          <w:p w14:paraId="5B70C568"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Chicago Midgrade</w:t>
            </w:r>
          </w:p>
        </w:tc>
        <w:tc>
          <w:tcPr>
            <w:tcW w:w="800" w:type="dxa"/>
            <w:tcBorders>
              <w:top w:val="single" w:sz="4" w:space="0" w:color="0096D7"/>
              <w:left w:val="nil"/>
              <w:bottom w:val="single" w:sz="4" w:space="0" w:color="BFBFBF"/>
              <w:right w:val="nil"/>
            </w:tcBorders>
            <w:shd w:val="clear" w:color="auto" w:fill="auto"/>
            <w:vAlign w:val="bottom"/>
            <w:hideMark/>
          </w:tcPr>
          <w:p w14:paraId="10520B30"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683F33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7F15BF4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0058A34D"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637D689C"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5D2305E2"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23A595D5"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2271C0F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0105244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D4E132F"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7742C5EB"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57AFB77D"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r>
      <w:tr w:rsidR="005E5350" w:rsidRPr="005E5350" w14:paraId="637B50D2" w14:textId="77777777" w:rsidTr="005E5350">
        <w:trPr>
          <w:trHeight w:val="240"/>
        </w:trPr>
        <w:tc>
          <w:tcPr>
            <w:tcW w:w="2540" w:type="dxa"/>
            <w:tcBorders>
              <w:top w:val="nil"/>
              <w:left w:val="nil"/>
              <w:bottom w:val="dashed" w:sz="4" w:space="0" w:color="BFBFBF"/>
              <w:right w:val="nil"/>
            </w:tcBorders>
            <w:shd w:val="clear" w:color="auto" w:fill="auto"/>
            <w:vAlign w:val="bottom"/>
            <w:hideMark/>
          </w:tcPr>
          <w:p w14:paraId="43E72017"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(Census)</w:t>
            </w:r>
          </w:p>
        </w:tc>
        <w:tc>
          <w:tcPr>
            <w:tcW w:w="800" w:type="dxa"/>
            <w:tcBorders>
              <w:top w:val="nil"/>
              <w:left w:val="nil"/>
              <w:bottom w:val="dashed" w:sz="4" w:space="0" w:color="BFBFBF"/>
              <w:right w:val="nil"/>
            </w:tcBorders>
            <w:shd w:val="clear" w:color="auto" w:fill="auto"/>
            <w:vAlign w:val="bottom"/>
            <w:hideMark/>
          </w:tcPr>
          <w:p w14:paraId="14C6FA2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1,785 </w:t>
            </w:r>
          </w:p>
        </w:tc>
        <w:tc>
          <w:tcPr>
            <w:tcW w:w="800" w:type="dxa"/>
            <w:tcBorders>
              <w:top w:val="nil"/>
              <w:left w:val="nil"/>
              <w:bottom w:val="dashed" w:sz="4" w:space="0" w:color="BFBFBF"/>
              <w:right w:val="nil"/>
            </w:tcBorders>
            <w:shd w:val="clear" w:color="auto" w:fill="auto"/>
            <w:vAlign w:val="bottom"/>
            <w:hideMark/>
          </w:tcPr>
          <w:p w14:paraId="3076B3C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1,788 </w:t>
            </w:r>
          </w:p>
        </w:tc>
        <w:tc>
          <w:tcPr>
            <w:tcW w:w="800" w:type="dxa"/>
            <w:tcBorders>
              <w:top w:val="nil"/>
              <w:left w:val="nil"/>
              <w:bottom w:val="dashed" w:sz="4" w:space="0" w:color="BFBFBF"/>
              <w:right w:val="nil"/>
            </w:tcBorders>
            <w:shd w:val="clear" w:color="auto" w:fill="auto"/>
            <w:vAlign w:val="bottom"/>
            <w:hideMark/>
          </w:tcPr>
          <w:p w14:paraId="54DBD9C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1,747 </w:t>
            </w:r>
          </w:p>
        </w:tc>
        <w:tc>
          <w:tcPr>
            <w:tcW w:w="800" w:type="dxa"/>
            <w:tcBorders>
              <w:top w:val="nil"/>
              <w:left w:val="nil"/>
              <w:bottom w:val="dashed" w:sz="4" w:space="0" w:color="BFBFBF"/>
              <w:right w:val="nil"/>
            </w:tcBorders>
            <w:shd w:val="clear" w:color="auto" w:fill="auto"/>
            <w:vAlign w:val="bottom"/>
            <w:hideMark/>
          </w:tcPr>
          <w:p w14:paraId="113F2E4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1,611 </w:t>
            </w:r>
          </w:p>
        </w:tc>
        <w:tc>
          <w:tcPr>
            <w:tcW w:w="800" w:type="dxa"/>
            <w:tcBorders>
              <w:top w:val="nil"/>
              <w:left w:val="nil"/>
              <w:bottom w:val="dashed" w:sz="4" w:space="0" w:color="BFBFBF"/>
              <w:right w:val="nil"/>
            </w:tcBorders>
            <w:shd w:val="clear" w:color="auto" w:fill="auto"/>
            <w:vAlign w:val="bottom"/>
            <w:hideMark/>
          </w:tcPr>
          <w:p w14:paraId="3FDFBC2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1,772 </w:t>
            </w:r>
          </w:p>
        </w:tc>
        <w:tc>
          <w:tcPr>
            <w:tcW w:w="800" w:type="dxa"/>
            <w:tcBorders>
              <w:top w:val="nil"/>
              <w:left w:val="nil"/>
              <w:bottom w:val="dashed" w:sz="4" w:space="0" w:color="BFBFBF"/>
              <w:right w:val="nil"/>
            </w:tcBorders>
            <w:shd w:val="clear" w:color="auto" w:fill="auto"/>
            <w:vAlign w:val="bottom"/>
            <w:hideMark/>
          </w:tcPr>
          <w:p w14:paraId="0541F3E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1,839 </w:t>
            </w:r>
          </w:p>
        </w:tc>
        <w:tc>
          <w:tcPr>
            <w:tcW w:w="800" w:type="dxa"/>
            <w:tcBorders>
              <w:top w:val="nil"/>
              <w:left w:val="nil"/>
              <w:bottom w:val="dashed" w:sz="4" w:space="0" w:color="BFBFBF"/>
              <w:right w:val="nil"/>
            </w:tcBorders>
            <w:shd w:val="clear" w:color="auto" w:fill="auto"/>
            <w:vAlign w:val="bottom"/>
            <w:hideMark/>
          </w:tcPr>
          <w:p w14:paraId="4E3655D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1,866 </w:t>
            </w:r>
          </w:p>
        </w:tc>
        <w:tc>
          <w:tcPr>
            <w:tcW w:w="800" w:type="dxa"/>
            <w:tcBorders>
              <w:top w:val="nil"/>
              <w:left w:val="nil"/>
              <w:bottom w:val="dashed" w:sz="4" w:space="0" w:color="BFBFBF"/>
              <w:right w:val="nil"/>
            </w:tcBorders>
            <w:shd w:val="clear" w:color="auto" w:fill="auto"/>
            <w:vAlign w:val="bottom"/>
            <w:hideMark/>
          </w:tcPr>
          <w:p w14:paraId="15889F3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1,842 </w:t>
            </w:r>
          </w:p>
        </w:tc>
        <w:tc>
          <w:tcPr>
            <w:tcW w:w="800" w:type="dxa"/>
            <w:tcBorders>
              <w:top w:val="nil"/>
              <w:left w:val="nil"/>
              <w:bottom w:val="dashed" w:sz="4" w:space="0" w:color="BFBFBF"/>
              <w:right w:val="nil"/>
            </w:tcBorders>
            <w:shd w:val="clear" w:color="auto" w:fill="auto"/>
            <w:vAlign w:val="bottom"/>
            <w:hideMark/>
          </w:tcPr>
          <w:p w14:paraId="3550764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1,816 </w:t>
            </w:r>
          </w:p>
        </w:tc>
        <w:tc>
          <w:tcPr>
            <w:tcW w:w="800" w:type="dxa"/>
            <w:tcBorders>
              <w:top w:val="nil"/>
              <w:left w:val="nil"/>
              <w:bottom w:val="dashed" w:sz="4" w:space="0" w:color="BFBFBF"/>
              <w:right w:val="nil"/>
            </w:tcBorders>
            <w:shd w:val="clear" w:color="auto" w:fill="auto"/>
            <w:vAlign w:val="bottom"/>
            <w:hideMark/>
          </w:tcPr>
          <w:p w14:paraId="6AD5E98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1,835 </w:t>
            </w:r>
          </w:p>
        </w:tc>
        <w:tc>
          <w:tcPr>
            <w:tcW w:w="800" w:type="dxa"/>
            <w:tcBorders>
              <w:top w:val="nil"/>
              <w:left w:val="nil"/>
              <w:bottom w:val="dashed" w:sz="4" w:space="0" w:color="BFBFBF"/>
              <w:right w:val="nil"/>
            </w:tcBorders>
            <w:shd w:val="clear" w:color="auto" w:fill="auto"/>
            <w:vAlign w:val="bottom"/>
            <w:hideMark/>
          </w:tcPr>
          <w:p w14:paraId="2B6C4C7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1,861 </w:t>
            </w:r>
          </w:p>
        </w:tc>
        <w:tc>
          <w:tcPr>
            <w:tcW w:w="800" w:type="dxa"/>
            <w:tcBorders>
              <w:top w:val="nil"/>
              <w:left w:val="nil"/>
              <w:bottom w:val="dashed" w:sz="4" w:space="0" w:color="BFBFBF"/>
              <w:right w:val="nil"/>
            </w:tcBorders>
            <w:shd w:val="clear" w:color="auto" w:fill="auto"/>
            <w:vAlign w:val="bottom"/>
            <w:hideMark/>
          </w:tcPr>
          <w:p w14:paraId="74BF21A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1,832 </w:t>
            </w:r>
          </w:p>
        </w:tc>
      </w:tr>
      <w:tr w:rsidR="005E5350" w:rsidRPr="005E5350" w14:paraId="6F997EB4" w14:textId="77777777" w:rsidTr="005E5350">
        <w:trPr>
          <w:trHeight w:val="240"/>
        </w:trPr>
        <w:tc>
          <w:tcPr>
            <w:tcW w:w="2540" w:type="dxa"/>
            <w:tcBorders>
              <w:top w:val="nil"/>
              <w:left w:val="nil"/>
              <w:bottom w:val="dashed" w:sz="4" w:space="0" w:color="BFBFBF"/>
              <w:right w:val="nil"/>
            </w:tcBorders>
            <w:shd w:val="clear" w:color="auto" w:fill="auto"/>
            <w:noWrap/>
            <w:hideMark/>
          </w:tcPr>
          <w:p w14:paraId="0CD86F05"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EIA (Matched Sample)</w:t>
            </w:r>
          </w:p>
        </w:tc>
        <w:tc>
          <w:tcPr>
            <w:tcW w:w="800" w:type="dxa"/>
            <w:tcBorders>
              <w:top w:val="nil"/>
              <w:left w:val="nil"/>
              <w:bottom w:val="dashed" w:sz="4" w:space="0" w:color="BFBFBF"/>
              <w:right w:val="nil"/>
            </w:tcBorders>
            <w:shd w:val="clear" w:color="auto" w:fill="auto"/>
            <w:vAlign w:val="bottom"/>
            <w:hideMark/>
          </w:tcPr>
          <w:p w14:paraId="6627C76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1F1A1AF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4789D11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0D28661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61E1FD7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35C5880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760097E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0FCFB86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2EE238A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37A38A4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17FD719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70FB312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r>
      <w:tr w:rsidR="005E5350" w:rsidRPr="005E5350" w14:paraId="2B5FED99" w14:textId="77777777" w:rsidTr="005E5350">
        <w:trPr>
          <w:trHeight w:val="240"/>
        </w:trPr>
        <w:tc>
          <w:tcPr>
            <w:tcW w:w="2540" w:type="dxa"/>
            <w:tcBorders>
              <w:top w:val="nil"/>
              <w:left w:val="nil"/>
              <w:bottom w:val="dashed" w:sz="4" w:space="0" w:color="BFBFBF"/>
              <w:right w:val="nil"/>
            </w:tcBorders>
            <w:shd w:val="clear" w:color="auto" w:fill="auto"/>
            <w:noWrap/>
            <w:hideMark/>
          </w:tcPr>
          <w:p w14:paraId="6E9EC1FD" w14:textId="085A1C84" w:rsidR="005E5350" w:rsidRPr="005E5350" w:rsidRDefault="00614466"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(Matched Sample</w:t>
            </w:r>
            <w:r>
              <w:rPr>
                <w:rFonts w:ascii="Calibri" w:eastAsia="Times New Roman" w:hAnsi="Calibri" w:cs="Times New Roman"/>
                <w:color w:val="000000"/>
                <w:sz w:val="18"/>
                <w:szCs w:val="18"/>
              </w:rPr>
              <w:t xml:space="preserve"> to EIA</w:t>
            </w:r>
            <w:r w:rsidRPr="005E5350">
              <w:rPr>
                <w:rFonts w:ascii="Calibri" w:eastAsia="Times New Roman" w:hAnsi="Calibri" w:cs="Times New Roman"/>
                <w:color w:val="000000"/>
                <w:sz w:val="18"/>
                <w:szCs w:val="18"/>
              </w:rPr>
              <w:t>)</w:t>
            </w:r>
          </w:p>
        </w:tc>
        <w:tc>
          <w:tcPr>
            <w:tcW w:w="800" w:type="dxa"/>
            <w:tcBorders>
              <w:top w:val="nil"/>
              <w:left w:val="nil"/>
              <w:bottom w:val="dashed" w:sz="4" w:space="0" w:color="BFBFBF"/>
              <w:right w:val="nil"/>
            </w:tcBorders>
            <w:shd w:val="clear" w:color="auto" w:fill="auto"/>
            <w:vAlign w:val="bottom"/>
            <w:hideMark/>
          </w:tcPr>
          <w:p w14:paraId="5B84F7D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 </w:t>
            </w:r>
          </w:p>
        </w:tc>
        <w:tc>
          <w:tcPr>
            <w:tcW w:w="800" w:type="dxa"/>
            <w:tcBorders>
              <w:top w:val="nil"/>
              <w:left w:val="nil"/>
              <w:bottom w:val="dashed" w:sz="4" w:space="0" w:color="BFBFBF"/>
              <w:right w:val="nil"/>
            </w:tcBorders>
            <w:shd w:val="clear" w:color="auto" w:fill="auto"/>
            <w:vAlign w:val="bottom"/>
            <w:hideMark/>
          </w:tcPr>
          <w:p w14:paraId="17244FA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29 </w:t>
            </w:r>
          </w:p>
        </w:tc>
        <w:tc>
          <w:tcPr>
            <w:tcW w:w="800" w:type="dxa"/>
            <w:tcBorders>
              <w:top w:val="nil"/>
              <w:left w:val="nil"/>
              <w:bottom w:val="dashed" w:sz="4" w:space="0" w:color="BFBFBF"/>
              <w:right w:val="nil"/>
            </w:tcBorders>
            <w:shd w:val="clear" w:color="auto" w:fill="auto"/>
            <w:vAlign w:val="bottom"/>
            <w:hideMark/>
          </w:tcPr>
          <w:p w14:paraId="671109D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29 </w:t>
            </w:r>
          </w:p>
        </w:tc>
        <w:tc>
          <w:tcPr>
            <w:tcW w:w="800" w:type="dxa"/>
            <w:tcBorders>
              <w:top w:val="nil"/>
              <w:left w:val="nil"/>
              <w:bottom w:val="dashed" w:sz="4" w:space="0" w:color="BFBFBF"/>
              <w:right w:val="nil"/>
            </w:tcBorders>
            <w:shd w:val="clear" w:color="auto" w:fill="auto"/>
            <w:vAlign w:val="bottom"/>
            <w:hideMark/>
          </w:tcPr>
          <w:p w14:paraId="13B287B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 </w:t>
            </w:r>
          </w:p>
        </w:tc>
        <w:tc>
          <w:tcPr>
            <w:tcW w:w="800" w:type="dxa"/>
            <w:tcBorders>
              <w:top w:val="nil"/>
              <w:left w:val="nil"/>
              <w:bottom w:val="dashed" w:sz="4" w:space="0" w:color="BFBFBF"/>
              <w:right w:val="nil"/>
            </w:tcBorders>
            <w:shd w:val="clear" w:color="auto" w:fill="auto"/>
            <w:vAlign w:val="bottom"/>
            <w:hideMark/>
          </w:tcPr>
          <w:p w14:paraId="430C794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31 </w:t>
            </w:r>
          </w:p>
        </w:tc>
        <w:tc>
          <w:tcPr>
            <w:tcW w:w="800" w:type="dxa"/>
            <w:tcBorders>
              <w:top w:val="nil"/>
              <w:left w:val="nil"/>
              <w:bottom w:val="dashed" w:sz="4" w:space="0" w:color="BFBFBF"/>
              <w:right w:val="nil"/>
            </w:tcBorders>
            <w:shd w:val="clear" w:color="auto" w:fill="auto"/>
            <w:vAlign w:val="bottom"/>
            <w:hideMark/>
          </w:tcPr>
          <w:p w14:paraId="50965D4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30 </w:t>
            </w:r>
          </w:p>
        </w:tc>
        <w:tc>
          <w:tcPr>
            <w:tcW w:w="800" w:type="dxa"/>
            <w:tcBorders>
              <w:top w:val="nil"/>
              <w:left w:val="nil"/>
              <w:bottom w:val="dashed" w:sz="4" w:space="0" w:color="BFBFBF"/>
              <w:right w:val="nil"/>
            </w:tcBorders>
            <w:shd w:val="clear" w:color="auto" w:fill="auto"/>
            <w:vAlign w:val="bottom"/>
            <w:hideMark/>
          </w:tcPr>
          <w:p w14:paraId="33866D7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 </w:t>
            </w:r>
          </w:p>
        </w:tc>
        <w:tc>
          <w:tcPr>
            <w:tcW w:w="800" w:type="dxa"/>
            <w:tcBorders>
              <w:top w:val="nil"/>
              <w:left w:val="nil"/>
              <w:bottom w:val="dashed" w:sz="4" w:space="0" w:color="BFBFBF"/>
              <w:right w:val="nil"/>
            </w:tcBorders>
            <w:shd w:val="clear" w:color="auto" w:fill="auto"/>
            <w:vAlign w:val="bottom"/>
            <w:hideMark/>
          </w:tcPr>
          <w:p w14:paraId="4722A9A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35 </w:t>
            </w:r>
          </w:p>
        </w:tc>
        <w:tc>
          <w:tcPr>
            <w:tcW w:w="800" w:type="dxa"/>
            <w:tcBorders>
              <w:top w:val="nil"/>
              <w:left w:val="nil"/>
              <w:bottom w:val="dashed" w:sz="4" w:space="0" w:color="BFBFBF"/>
              <w:right w:val="nil"/>
            </w:tcBorders>
            <w:shd w:val="clear" w:color="auto" w:fill="auto"/>
            <w:vAlign w:val="bottom"/>
            <w:hideMark/>
          </w:tcPr>
          <w:p w14:paraId="17D243D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 </w:t>
            </w:r>
          </w:p>
        </w:tc>
        <w:tc>
          <w:tcPr>
            <w:tcW w:w="800" w:type="dxa"/>
            <w:tcBorders>
              <w:top w:val="nil"/>
              <w:left w:val="nil"/>
              <w:bottom w:val="dashed" w:sz="4" w:space="0" w:color="BFBFBF"/>
              <w:right w:val="nil"/>
            </w:tcBorders>
            <w:shd w:val="clear" w:color="auto" w:fill="auto"/>
            <w:vAlign w:val="bottom"/>
            <w:hideMark/>
          </w:tcPr>
          <w:p w14:paraId="7880FAA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 </w:t>
            </w:r>
          </w:p>
        </w:tc>
        <w:tc>
          <w:tcPr>
            <w:tcW w:w="800" w:type="dxa"/>
            <w:tcBorders>
              <w:top w:val="nil"/>
              <w:left w:val="nil"/>
              <w:bottom w:val="dashed" w:sz="4" w:space="0" w:color="BFBFBF"/>
              <w:right w:val="nil"/>
            </w:tcBorders>
            <w:shd w:val="clear" w:color="auto" w:fill="auto"/>
            <w:vAlign w:val="bottom"/>
            <w:hideMark/>
          </w:tcPr>
          <w:p w14:paraId="071C9BF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 </w:t>
            </w:r>
          </w:p>
        </w:tc>
        <w:tc>
          <w:tcPr>
            <w:tcW w:w="800" w:type="dxa"/>
            <w:tcBorders>
              <w:top w:val="nil"/>
              <w:left w:val="nil"/>
              <w:bottom w:val="dashed" w:sz="4" w:space="0" w:color="BFBFBF"/>
              <w:right w:val="nil"/>
            </w:tcBorders>
            <w:shd w:val="clear" w:color="auto" w:fill="auto"/>
            <w:vAlign w:val="bottom"/>
            <w:hideMark/>
          </w:tcPr>
          <w:p w14:paraId="6F97BDF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 </w:t>
            </w:r>
          </w:p>
        </w:tc>
      </w:tr>
      <w:tr w:rsidR="005E5350" w:rsidRPr="005E5350" w14:paraId="7CC387AE" w14:textId="77777777" w:rsidTr="005E5350">
        <w:trPr>
          <w:trHeight w:val="240"/>
        </w:trPr>
        <w:tc>
          <w:tcPr>
            <w:tcW w:w="2540" w:type="dxa"/>
            <w:tcBorders>
              <w:top w:val="single" w:sz="4" w:space="0" w:color="0096D7"/>
              <w:left w:val="nil"/>
              <w:bottom w:val="single" w:sz="4" w:space="0" w:color="BFBFBF"/>
              <w:right w:val="nil"/>
            </w:tcBorders>
            <w:shd w:val="clear" w:color="auto" w:fill="auto"/>
            <w:noWrap/>
            <w:vAlign w:val="center"/>
            <w:hideMark/>
          </w:tcPr>
          <w:p w14:paraId="1A2ACF0A"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Chicago Premium</w:t>
            </w:r>
          </w:p>
        </w:tc>
        <w:tc>
          <w:tcPr>
            <w:tcW w:w="800" w:type="dxa"/>
            <w:tcBorders>
              <w:top w:val="single" w:sz="4" w:space="0" w:color="0096D7"/>
              <w:left w:val="nil"/>
              <w:bottom w:val="single" w:sz="4" w:space="0" w:color="BFBFBF"/>
              <w:right w:val="nil"/>
            </w:tcBorders>
            <w:shd w:val="clear" w:color="auto" w:fill="auto"/>
            <w:vAlign w:val="bottom"/>
            <w:hideMark/>
          </w:tcPr>
          <w:p w14:paraId="77557EE8"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25F2870A"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64334EBE"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1F60AD2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5ADED096"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0F4DF2A"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3D220B7A"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5E1F0A28"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67D57B44"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03E6DEA3"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4AF7BB27"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c>
          <w:tcPr>
            <w:tcW w:w="800" w:type="dxa"/>
            <w:tcBorders>
              <w:top w:val="single" w:sz="4" w:space="0" w:color="0096D7"/>
              <w:left w:val="nil"/>
              <w:bottom w:val="single" w:sz="4" w:space="0" w:color="BFBFBF"/>
              <w:right w:val="nil"/>
            </w:tcBorders>
            <w:shd w:val="clear" w:color="auto" w:fill="auto"/>
            <w:vAlign w:val="bottom"/>
            <w:hideMark/>
          </w:tcPr>
          <w:p w14:paraId="1CD399E4" w14:textId="77777777" w:rsidR="005E5350" w:rsidRPr="005E5350" w:rsidRDefault="005E5350" w:rsidP="005E5350">
            <w:pPr>
              <w:spacing w:after="0" w:line="240" w:lineRule="auto"/>
              <w:rPr>
                <w:rFonts w:ascii="Calibri" w:eastAsia="Times New Roman" w:hAnsi="Calibri" w:cs="Times New Roman"/>
                <w:b/>
                <w:bCs/>
                <w:color w:val="000000"/>
                <w:sz w:val="18"/>
                <w:szCs w:val="18"/>
              </w:rPr>
            </w:pPr>
            <w:r w:rsidRPr="005E5350">
              <w:rPr>
                <w:rFonts w:ascii="Calibri" w:eastAsia="Times New Roman" w:hAnsi="Calibri" w:cs="Times New Roman"/>
                <w:b/>
                <w:bCs/>
                <w:color w:val="000000"/>
                <w:sz w:val="18"/>
                <w:szCs w:val="18"/>
              </w:rPr>
              <w:t> </w:t>
            </w:r>
          </w:p>
        </w:tc>
      </w:tr>
      <w:tr w:rsidR="005E5350" w:rsidRPr="005E5350" w14:paraId="494F74B2" w14:textId="77777777" w:rsidTr="005E5350">
        <w:trPr>
          <w:trHeight w:val="240"/>
        </w:trPr>
        <w:tc>
          <w:tcPr>
            <w:tcW w:w="2540" w:type="dxa"/>
            <w:tcBorders>
              <w:top w:val="nil"/>
              <w:left w:val="nil"/>
              <w:bottom w:val="dashed" w:sz="4" w:space="0" w:color="BFBFBF"/>
              <w:right w:val="nil"/>
            </w:tcBorders>
            <w:shd w:val="clear" w:color="auto" w:fill="auto"/>
            <w:vAlign w:val="bottom"/>
            <w:hideMark/>
          </w:tcPr>
          <w:p w14:paraId="743925D4"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(Census)</w:t>
            </w:r>
          </w:p>
        </w:tc>
        <w:tc>
          <w:tcPr>
            <w:tcW w:w="800" w:type="dxa"/>
            <w:tcBorders>
              <w:top w:val="nil"/>
              <w:left w:val="nil"/>
              <w:bottom w:val="dashed" w:sz="4" w:space="0" w:color="BFBFBF"/>
              <w:right w:val="nil"/>
            </w:tcBorders>
            <w:shd w:val="clear" w:color="auto" w:fill="auto"/>
            <w:vAlign w:val="bottom"/>
            <w:hideMark/>
          </w:tcPr>
          <w:p w14:paraId="4F6D2D8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1,783 </w:t>
            </w:r>
          </w:p>
        </w:tc>
        <w:tc>
          <w:tcPr>
            <w:tcW w:w="800" w:type="dxa"/>
            <w:tcBorders>
              <w:top w:val="nil"/>
              <w:left w:val="nil"/>
              <w:bottom w:val="dashed" w:sz="4" w:space="0" w:color="BFBFBF"/>
              <w:right w:val="nil"/>
            </w:tcBorders>
            <w:shd w:val="clear" w:color="auto" w:fill="auto"/>
            <w:vAlign w:val="bottom"/>
            <w:hideMark/>
          </w:tcPr>
          <w:p w14:paraId="2A78631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1,783 </w:t>
            </w:r>
          </w:p>
        </w:tc>
        <w:tc>
          <w:tcPr>
            <w:tcW w:w="800" w:type="dxa"/>
            <w:tcBorders>
              <w:top w:val="nil"/>
              <w:left w:val="nil"/>
              <w:bottom w:val="dashed" w:sz="4" w:space="0" w:color="BFBFBF"/>
              <w:right w:val="nil"/>
            </w:tcBorders>
            <w:shd w:val="clear" w:color="auto" w:fill="auto"/>
            <w:vAlign w:val="bottom"/>
            <w:hideMark/>
          </w:tcPr>
          <w:p w14:paraId="677E5B6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1,736 </w:t>
            </w:r>
          </w:p>
        </w:tc>
        <w:tc>
          <w:tcPr>
            <w:tcW w:w="800" w:type="dxa"/>
            <w:tcBorders>
              <w:top w:val="nil"/>
              <w:left w:val="nil"/>
              <w:bottom w:val="dashed" w:sz="4" w:space="0" w:color="BFBFBF"/>
              <w:right w:val="nil"/>
            </w:tcBorders>
            <w:shd w:val="clear" w:color="auto" w:fill="auto"/>
            <w:vAlign w:val="bottom"/>
            <w:hideMark/>
          </w:tcPr>
          <w:p w14:paraId="75851D1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1,598 </w:t>
            </w:r>
          </w:p>
        </w:tc>
        <w:tc>
          <w:tcPr>
            <w:tcW w:w="800" w:type="dxa"/>
            <w:tcBorders>
              <w:top w:val="nil"/>
              <w:left w:val="nil"/>
              <w:bottom w:val="dashed" w:sz="4" w:space="0" w:color="BFBFBF"/>
              <w:right w:val="nil"/>
            </w:tcBorders>
            <w:shd w:val="clear" w:color="auto" w:fill="auto"/>
            <w:vAlign w:val="bottom"/>
            <w:hideMark/>
          </w:tcPr>
          <w:p w14:paraId="0EB8D3D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1,779 </w:t>
            </w:r>
          </w:p>
        </w:tc>
        <w:tc>
          <w:tcPr>
            <w:tcW w:w="800" w:type="dxa"/>
            <w:tcBorders>
              <w:top w:val="nil"/>
              <w:left w:val="nil"/>
              <w:bottom w:val="dashed" w:sz="4" w:space="0" w:color="BFBFBF"/>
              <w:right w:val="nil"/>
            </w:tcBorders>
            <w:shd w:val="clear" w:color="auto" w:fill="auto"/>
            <w:vAlign w:val="bottom"/>
            <w:hideMark/>
          </w:tcPr>
          <w:p w14:paraId="63A2CD1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1,851 </w:t>
            </w:r>
          </w:p>
        </w:tc>
        <w:tc>
          <w:tcPr>
            <w:tcW w:w="800" w:type="dxa"/>
            <w:tcBorders>
              <w:top w:val="nil"/>
              <w:left w:val="nil"/>
              <w:bottom w:val="dashed" w:sz="4" w:space="0" w:color="BFBFBF"/>
              <w:right w:val="nil"/>
            </w:tcBorders>
            <w:shd w:val="clear" w:color="auto" w:fill="auto"/>
            <w:vAlign w:val="bottom"/>
            <w:hideMark/>
          </w:tcPr>
          <w:p w14:paraId="77A204B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1,856 </w:t>
            </w:r>
          </w:p>
        </w:tc>
        <w:tc>
          <w:tcPr>
            <w:tcW w:w="800" w:type="dxa"/>
            <w:tcBorders>
              <w:top w:val="nil"/>
              <w:left w:val="nil"/>
              <w:bottom w:val="dashed" w:sz="4" w:space="0" w:color="BFBFBF"/>
              <w:right w:val="nil"/>
            </w:tcBorders>
            <w:shd w:val="clear" w:color="auto" w:fill="auto"/>
            <w:vAlign w:val="bottom"/>
            <w:hideMark/>
          </w:tcPr>
          <w:p w14:paraId="1D9B4D14"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1,844 </w:t>
            </w:r>
          </w:p>
        </w:tc>
        <w:tc>
          <w:tcPr>
            <w:tcW w:w="800" w:type="dxa"/>
            <w:tcBorders>
              <w:top w:val="nil"/>
              <w:left w:val="nil"/>
              <w:bottom w:val="dashed" w:sz="4" w:space="0" w:color="BFBFBF"/>
              <w:right w:val="nil"/>
            </w:tcBorders>
            <w:shd w:val="clear" w:color="auto" w:fill="auto"/>
            <w:vAlign w:val="bottom"/>
            <w:hideMark/>
          </w:tcPr>
          <w:p w14:paraId="69E8AA1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1,825 </w:t>
            </w:r>
          </w:p>
        </w:tc>
        <w:tc>
          <w:tcPr>
            <w:tcW w:w="800" w:type="dxa"/>
            <w:tcBorders>
              <w:top w:val="nil"/>
              <w:left w:val="nil"/>
              <w:bottom w:val="dashed" w:sz="4" w:space="0" w:color="BFBFBF"/>
              <w:right w:val="nil"/>
            </w:tcBorders>
            <w:shd w:val="clear" w:color="auto" w:fill="auto"/>
            <w:vAlign w:val="bottom"/>
            <w:hideMark/>
          </w:tcPr>
          <w:p w14:paraId="1DD22C8B"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1,844 </w:t>
            </w:r>
          </w:p>
        </w:tc>
        <w:tc>
          <w:tcPr>
            <w:tcW w:w="800" w:type="dxa"/>
            <w:tcBorders>
              <w:top w:val="nil"/>
              <w:left w:val="nil"/>
              <w:bottom w:val="dashed" w:sz="4" w:space="0" w:color="BFBFBF"/>
              <w:right w:val="nil"/>
            </w:tcBorders>
            <w:shd w:val="clear" w:color="auto" w:fill="auto"/>
            <w:vAlign w:val="bottom"/>
            <w:hideMark/>
          </w:tcPr>
          <w:p w14:paraId="2303917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1,833 </w:t>
            </w:r>
          </w:p>
        </w:tc>
        <w:tc>
          <w:tcPr>
            <w:tcW w:w="800" w:type="dxa"/>
            <w:tcBorders>
              <w:top w:val="nil"/>
              <w:left w:val="nil"/>
              <w:bottom w:val="dashed" w:sz="4" w:space="0" w:color="BFBFBF"/>
              <w:right w:val="nil"/>
            </w:tcBorders>
            <w:shd w:val="clear" w:color="auto" w:fill="auto"/>
            <w:vAlign w:val="bottom"/>
            <w:hideMark/>
          </w:tcPr>
          <w:p w14:paraId="5AF021D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1,843 </w:t>
            </w:r>
          </w:p>
        </w:tc>
      </w:tr>
      <w:tr w:rsidR="005E5350" w:rsidRPr="005E5350" w14:paraId="6309B263" w14:textId="77777777" w:rsidTr="005E5350">
        <w:trPr>
          <w:trHeight w:val="240"/>
        </w:trPr>
        <w:tc>
          <w:tcPr>
            <w:tcW w:w="2540" w:type="dxa"/>
            <w:tcBorders>
              <w:top w:val="nil"/>
              <w:left w:val="nil"/>
              <w:bottom w:val="dashed" w:sz="4" w:space="0" w:color="BFBFBF"/>
              <w:right w:val="nil"/>
            </w:tcBorders>
            <w:shd w:val="clear" w:color="auto" w:fill="auto"/>
            <w:noWrap/>
            <w:hideMark/>
          </w:tcPr>
          <w:p w14:paraId="083CBBF7" w14:textId="77777777" w:rsidR="005E5350" w:rsidRPr="005E5350" w:rsidRDefault="005E5350"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EIA (Matched Sample)</w:t>
            </w:r>
          </w:p>
        </w:tc>
        <w:tc>
          <w:tcPr>
            <w:tcW w:w="800" w:type="dxa"/>
            <w:tcBorders>
              <w:top w:val="nil"/>
              <w:left w:val="nil"/>
              <w:bottom w:val="dashed" w:sz="4" w:space="0" w:color="BFBFBF"/>
              <w:right w:val="nil"/>
            </w:tcBorders>
            <w:shd w:val="clear" w:color="auto" w:fill="auto"/>
            <w:vAlign w:val="bottom"/>
            <w:hideMark/>
          </w:tcPr>
          <w:p w14:paraId="1D03AA6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37 </w:t>
            </w:r>
          </w:p>
        </w:tc>
        <w:tc>
          <w:tcPr>
            <w:tcW w:w="800" w:type="dxa"/>
            <w:tcBorders>
              <w:top w:val="nil"/>
              <w:left w:val="nil"/>
              <w:bottom w:val="dashed" w:sz="4" w:space="0" w:color="BFBFBF"/>
              <w:right w:val="nil"/>
            </w:tcBorders>
            <w:shd w:val="clear" w:color="auto" w:fill="auto"/>
            <w:vAlign w:val="bottom"/>
            <w:hideMark/>
          </w:tcPr>
          <w:p w14:paraId="30AD09A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7959575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73796DFD"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147D6FA2"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2B3062E9"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7A4F3BF0"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4CBB685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4C9E98B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7B55666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1646EAB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c>
          <w:tcPr>
            <w:tcW w:w="800" w:type="dxa"/>
            <w:tcBorders>
              <w:top w:val="nil"/>
              <w:left w:val="nil"/>
              <w:bottom w:val="dashed" w:sz="4" w:space="0" w:color="BFBFBF"/>
              <w:right w:val="nil"/>
            </w:tcBorders>
            <w:shd w:val="clear" w:color="auto" w:fill="auto"/>
            <w:vAlign w:val="bottom"/>
            <w:hideMark/>
          </w:tcPr>
          <w:p w14:paraId="39A75236"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36 </w:t>
            </w:r>
          </w:p>
        </w:tc>
      </w:tr>
      <w:tr w:rsidR="005E5350" w:rsidRPr="005E5350" w14:paraId="5DEC9006" w14:textId="77777777" w:rsidTr="007A0C4E">
        <w:trPr>
          <w:trHeight w:val="240"/>
        </w:trPr>
        <w:tc>
          <w:tcPr>
            <w:tcW w:w="2540" w:type="dxa"/>
            <w:tcBorders>
              <w:top w:val="nil"/>
              <w:left w:val="nil"/>
              <w:bottom w:val="single" w:sz="4" w:space="0" w:color="0096D7" w:themeColor="accent1"/>
              <w:right w:val="nil"/>
            </w:tcBorders>
            <w:shd w:val="clear" w:color="auto" w:fill="auto"/>
            <w:noWrap/>
            <w:hideMark/>
          </w:tcPr>
          <w:p w14:paraId="060D78D4" w14:textId="41E59524" w:rsidR="005E5350" w:rsidRPr="005E5350" w:rsidRDefault="00614466" w:rsidP="00FB5311">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OPIS (Matched Sample</w:t>
            </w:r>
            <w:r>
              <w:rPr>
                <w:rFonts w:ascii="Calibri" w:eastAsia="Times New Roman" w:hAnsi="Calibri" w:cs="Times New Roman"/>
                <w:color w:val="000000"/>
                <w:sz w:val="18"/>
                <w:szCs w:val="18"/>
              </w:rPr>
              <w:t xml:space="preserve"> to EIA</w:t>
            </w:r>
            <w:r w:rsidRPr="005E5350">
              <w:rPr>
                <w:rFonts w:ascii="Calibri" w:eastAsia="Times New Roman" w:hAnsi="Calibri" w:cs="Times New Roman"/>
                <w:color w:val="000000"/>
                <w:sz w:val="18"/>
                <w:szCs w:val="18"/>
              </w:rPr>
              <w:t>)</w:t>
            </w:r>
          </w:p>
        </w:tc>
        <w:tc>
          <w:tcPr>
            <w:tcW w:w="800" w:type="dxa"/>
            <w:tcBorders>
              <w:top w:val="nil"/>
              <w:left w:val="nil"/>
              <w:bottom w:val="single" w:sz="4" w:space="0" w:color="0096D7" w:themeColor="accent1"/>
              <w:right w:val="nil"/>
            </w:tcBorders>
            <w:shd w:val="clear" w:color="auto" w:fill="auto"/>
            <w:vAlign w:val="bottom"/>
            <w:hideMark/>
          </w:tcPr>
          <w:p w14:paraId="4DE10FF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34 </w:t>
            </w:r>
          </w:p>
        </w:tc>
        <w:tc>
          <w:tcPr>
            <w:tcW w:w="800" w:type="dxa"/>
            <w:tcBorders>
              <w:top w:val="nil"/>
              <w:left w:val="nil"/>
              <w:bottom w:val="single" w:sz="4" w:space="0" w:color="0096D7" w:themeColor="accent1"/>
              <w:right w:val="nil"/>
            </w:tcBorders>
            <w:shd w:val="clear" w:color="auto" w:fill="auto"/>
            <w:vAlign w:val="bottom"/>
            <w:hideMark/>
          </w:tcPr>
          <w:p w14:paraId="4E2E645A"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31 </w:t>
            </w:r>
          </w:p>
        </w:tc>
        <w:tc>
          <w:tcPr>
            <w:tcW w:w="800" w:type="dxa"/>
            <w:tcBorders>
              <w:top w:val="nil"/>
              <w:left w:val="nil"/>
              <w:bottom w:val="single" w:sz="4" w:space="0" w:color="0096D7" w:themeColor="accent1"/>
              <w:right w:val="nil"/>
            </w:tcBorders>
            <w:shd w:val="clear" w:color="auto" w:fill="auto"/>
            <w:vAlign w:val="bottom"/>
            <w:hideMark/>
          </w:tcPr>
          <w:p w14:paraId="64CCA09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31 </w:t>
            </w:r>
          </w:p>
        </w:tc>
        <w:tc>
          <w:tcPr>
            <w:tcW w:w="800" w:type="dxa"/>
            <w:tcBorders>
              <w:top w:val="nil"/>
              <w:left w:val="nil"/>
              <w:bottom w:val="single" w:sz="4" w:space="0" w:color="0096D7" w:themeColor="accent1"/>
              <w:right w:val="nil"/>
            </w:tcBorders>
            <w:shd w:val="clear" w:color="auto" w:fill="auto"/>
            <w:vAlign w:val="bottom"/>
            <w:hideMark/>
          </w:tcPr>
          <w:p w14:paraId="1938CCA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 </w:t>
            </w:r>
          </w:p>
        </w:tc>
        <w:tc>
          <w:tcPr>
            <w:tcW w:w="800" w:type="dxa"/>
            <w:tcBorders>
              <w:top w:val="nil"/>
              <w:left w:val="nil"/>
              <w:bottom w:val="single" w:sz="4" w:space="0" w:color="0096D7" w:themeColor="accent1"/>
              <w:right w:val="nil"/>
            </w:tcBorders>
            <w:shd w:val="clear" w:color="auto" w:fill="auto"/>
            <w:vAlign w:val="bottom"/>
            <w:hideMark/>
          </w:tcPr>
          <w:p w14:paraId="330F93FC"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 </w:t>
            </w:r>
          </w:p>
        </w:tc>
        <w:tc>
          <w:tcPr>
            <w:tcW w:w="800" w:type="dxa"/>
            <w:tcBorders>
              <w:top w:val="nil"/>
              <w:left w:val="nil"/>
              <w:bottom w:val="single" w:sz="4" w:space="0" w:color="0096D7" w:themeColor="accent1"/>
              <w:right w:val="nil"/>
            </w:tcBorders>
            <w:shd w:val="clear" w:color="auto" w:fill="auto"/>
            <w:vAlign w:val="bottom"/>
            <w:hideMark/>
          </w:tcPr>
          <w:p w14:paraId="77ACED4E"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 </w:t>
            </w:r>
          </w:p>
        </w:tc>
        <w:tc>
          <w:tcPr>
            <w:tcW w:w="800" w:type="dxa"/>
            <w:tcBorders>
              <w:top w:val="nil"/>
              <w:left w:val="nil"/>
              <w:bottom w:val="single" w:sz="4" w:space="0" w:color="0096D7" w:themeColor="accent1"/>
              <w:right w:val="nil"/>
            </w:tcBorders>
            <w:shd w:val="clear" w:color="auto" w:fill="auto"/>
            <w:vAlign w:val="bottom"/>
            <w:hideMark/>
          </w:tcPr>
          <w:p w14:paraId="4018C378"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34 </w:t>
            </w:r>
          </w:p>
        </w:tc>
        <w:tc>
          <w:tcPr>
            <w:tcW w:w="800" w:type="dxa"/>
            <w:tcBorders>
              <w:top w:val="nil"/>
              <w:left w:val="nil"/>
              <w:bottom w:val="single" w:sz="4" w:space="0" w:color="0096D7" w:themeColor="accent1"/>
              <w:right w:val="nil"/>
            </w:tcBorders>
            <w:shd w:val="clear" w:color="auto" w:fill="auto"/>
            <w:vAlign w:val="bottom"/>
            <w:hideMark/>
          </w:tcPr>
          <w:p w14:paraId="110FAF6F"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35 </w:t>
            </w:r>
          </w:p>
        </w:tc>
        <w:tc>
          <w:tcPr>
            <w:tcW w:w="800" w:type="dxa"/>
            <w:tcBorders>
              <w:top w:val="nil"/>
              <w:left w:val="nil"/>
              <w:bottom w:val="single" w:sz="4" w:space="0" w:color="0096D7" w:themeColor="accent1"/>
              <w:right w:val="nil"/>
            </w:tcBorders>
            <w:shd w:val="clear" w:color="auto" w:fill="auto"/>
            <w:vAlign w:val="bottom"/>
            <w:hideMark/>
          </w:tcPr>
          <w:p w14:paraId="21C9EAD3"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32 </w:t>
            </w:r>
          </w:p>
        </w:tc>
        <w:tc>
          <w:tcPr>
            <w:tcW w:w="800" w:type="dxa"/>
            <w:tcBorders>
              <w:top w:val="nil"/>
              <w:left w:val="nil"/>
              <w:bottom w:val="single" w:sz="4" w:space="0" w:color="0096D7" w:themeColor="accent1"/>
              <w:right w:val="nil"/>
            </w:tcBorders>
            <w:shd w:val="clear" w:color="auto" w:fill="auto"/>
            <w:vAlign w:val="bottom"/>
            <w:hideMark/>
          </w:tcPr>
          <w:p w14:paraId="5A426EA7"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34 </w:t>
            </w:r>
          </w:p>
        </w:tc>
        <w:tc>
          <w:tcPr>
            <w:tcW w:w="800" w:type="dxa"/>
            <w:tcBorders>
              <w:top w:val="nil"/>
              <w:left w:val="nil"/>
              <w:bottom w:val="single" w:sz="4" w:space="0" w:color="0096D7" w:themeColor="accent1"/>
              <w:right w:val="nil"/>
            </w:tcBorders>
            <w:shd w:val="clear" w:color="auto" w:fill="auto"/>
            <w:vAlign w:val="bottom"/>
            <w:hideMark/>
          </w:tcPr>
          <w:p w14:paraId="419BD9E1"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35 </w:t>
            </w:r>
          </w:p>
        </w:tc>
        <w:tc>
          <w:tcPr>
            <w:tcW w:w="800" w:type="dxa"/>
            <w:tcBorders>
              <w:top w:val="nil"/>
              <w:left w:val="nil"/>
              <w:bottom w:val="single" w:sz="4" w:space="0" w:color="0096D7" w:themeColor="accent1"/>
              <w:right w:val="nil"/>
            </w:tcBorders>
            <w:shd w:val="clear" w:color="auto" w:fill="auto"/>
            <w:vAlign w:val="bottom"/>
            <w:hideMark/>
          </w:tcPr>
          <w:p w14:paraId="13026515" w14:textId="77777777" w:rsidR="005E5350" w:rsidRPr="005E5350" w:rsidRDefault="005E5350" w:rsidP="005E5350">
            <w:pPr>
              <w:spacing w:after="0" w:line="240" w:lineRule="auto"/>
              <w:rPr>
                <w:rFonts w:ascii="Calibri" w:eastAsia="Times New Roman" w:hAnsi="Calibri" w:cs="Times New Roman"/>
                <w:color w:val="000000"/>
                <w:sz w:val="18"/>
                <w:szCs w:val="18"/>
              </w:rPr>
            </w:pPr>
            <w:r w:rsidRPr="005E5350">
              <w:rPr>
                <w:rFonts w:ascii="Calibri" w:eastAsia="Times New Roman" w:hAnsi="Calibri" w:cs="Times New Roman"/>
                <w:color w:val="000000"/>
                <w:sz w:val="18"/>
                <w:szCs w:val="18"/>
              </w:rPr>
              <w:t xml:space="preserve">           33 </w:t>
            </w:r>
          </w:p>
        </w:tc>
      </w:tr>
    </w:tbl>
    <w:p w14:paraId="6AD36129" w14:textId="77777777" w:rsidR="00823175" w:rsidRPr="002C0FA2" w:rsidRDefault="00823175" w:rsidP="00823175">
      <w:pPr>
        <w:spacing w:line="240" w:lineRule="auto"/>
        <w:rPr>
          <w:sz w:val="18"/>
          <w:szCs w:val="20"/>
        </w:rPr>
      </w:pPr>
      <w:r w:rsidRPr="002C0FA2">
        <w:rPr>
          <w:sz w:val="18"/>
          <w:szCs w:val="20"/>
        </w:rPr>
        <w:t>Note: Sample sizes are not available for AAA prices</w:t>
      </w:r>
    </w:p>
    <w:p w14:paraId="3417284B" w14:textId="77777777" w:rsidR="005E5350" w:rsidRDefault="005E5350" w:rsidP="00612EC5">
      <w:pPr>
        <w:rPr>
          <w:rFonts w:cs="Times New Roman"/>
        </w:rPr>
      </w:pPr>
    </w:p>
    <w:p w14:paraId="527D0981" w14:textId="77777777" w:rsidR="005E5350" w:rsidRDefault="005E5350" w:rsidP="00612EC5">
      <w:pPr>
        <w:rPr>
          <w:rFonts w:cs="Times New Roman"/>
        </w:rPr>
      </w:pPr>
    </w:p>
    <w:p w14:paraId="21E268B1" w14:textId="77777777" w:rsidR="005E5350" w:rsidRDefault="005E5350" w:rsidP="00612EC5">
      <w:pPr>
        <w:rPr>
          <w:rFonts w:cs="Times New Roman"/>
        </w:rPr>
      </w:pPr>
    </w:p>
    <w:p w14:paraId="05D70514" w14:textId="77777777" w:rsidR="005E5350" w:rsidRDefault="005E5350" w:rsidP="00612EC5">
      <w:pPr>
        <w:rPr>
          <w:rFonts w:cs="Times New Roman"/>
        </w:rPr>
      </w:pPr>
    </w:p>
    <w:p w14:paraId="1C57023E" w14:textId="77777777" w:rsidR="005E5350" w:rsidRDefault="005E5350" w:rsidP="00612EC5">
      <w:pPr>
        <w:rPr>
          <w:rFonts w:cs="Times New Roman"/>
        </w:rPr>
        <w:sectPr w:rsidR="005E5350" w:rsidSect="00AE517F">
          <w:pgSz w:w="15840" w:h="12240" w:orient="landscape"/>
          <w:pgMar w:top="1440" w:right="1440" w:bottom="1440" w:left="1440" w:header="720" w:footer="720" w:gutter="0"/>
          <w:cols w:space="720"/>
          <w:docGrid w:linePitch="360"/>
        </w:sectPr>
      </w:pPr>
    </w:p>
    <w:p w14:paraId="130C8657" w14:textId="733A3D85" w:rsidR="00BB3C41" w:rsidRDefault="00BB3C41" w:rsidP="00612EC5">
      <w:pPr>
        <w:rPr>
          <w:rFonts w:cs="Times New Roman"/>
        </w:rPr>
      </w:pPr>
    </w:p>
    <w:p w14:paraId="7BDA6ABF" w14:textId="65E54FE3" w:rsidR="00BB3C41" w:rsidRDefault="00BB3C41" w:rsidP="009F3147">
      <w:pPr>
        <w:pStyle w:val="Caption"/>
      </w:pPr>
      <w:r>
        <w:t xml:space="preserve">Figure </w:t>
      </w:r>
      <w:r w:rsidR="00AB78F3">
        <w:t>5</w:t>
      </w:r>
      <w:r>
        <w:t>. Average weekly New York City midgrade motor gasoline prices (dollars per gallon) from EIA, OPIS, and AAA</w:t>
      </w:r>
      <w:r w:rsidR="00114932">
        <w:t>.</w:t>
      </w:r>
      <w:r>
        <w:t xml:space="preserve"> </w:t>
      </w:r>
    </w:p>
    <w:p w14:paraId="015E218A" w14:textId="5E8835A1" w:rsidR="00BB3C41" w:rsidRDefault="00BB3C41" w:rsidP="00612EC5">
      <w:pPr>
        <w:rPr>
          <w:rFonts w:cs="Times New Roman"/>
        </w:rPr>
      </w:pPr>
      <w:r>
        <w:rPr>
          <w:noProof/>
        </w:rPr>
        <w:drawing>
          <wp:inline distT="0" distB="0" distL="0" distR="0" wp14:anchorId="2A7E4D3D" wp14:editId="02D8501D">
            <wp:extent cx="5943600" cy="2774950"/>
            <wp:effectExtent l="0" t="0" r="0" b="63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FA8AE1" w14:textId="313423AF" w:rsidR="0001021D" w:rsidRDefault="00374CD5" w:rsidP="009F3147">
      <w:pPr>
        <w:pStyle w:val="Caption"/>
      </w:pPr>
      <w:r>
        <w:t xml:space="preserve">Figure </w:t>
      </w:r>
      <w:r w:rsidR="00AB78F3">
        <w:t>6</w:t>
      </w:r>
      <w:r w:rsidR="0001021D">
        <w:t>. Average weekly New York City premium motor gasoline prices (dollars per gallon) from EIA, OPIS, and AAA</w:t>
      </w:r>
      <w:r w:rsidR="00114932">
        <w:t>.</w:t>
      </w:r>
      <w:r w:rsidR="0001021D">
        <w:t xml:space="preserve"> </w:t>
      </w:r>
    </w:p>
    <w:p w14:paraId="69927512" w14:textId="2941AFB4" w:rsidR="00BB3C41" w:rsidRDefault="0001021D" w:rsidP="00612EC5">
      <w:pPr>
        <w:rPr>
          <w:rFonts w:cs="Times New Roman"/>
        </w:rPr>
      </w:pPr>
      <w:r>
        <w:rPr>
          <w:noProof/>
        </w:rPr>
        <w:drawing>
          <wp:inline distT="0" distB="0" distL="0" distR="0" wp14:anchorId="57FE5F09" wp14:editId="3F860EF9">
            <wp:extent cx="5943600" cy="295275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A23458" w14:textId="77777777" w:rsidR="00BB3C41" w:rsidRDefault="00BB3C41" w:rsidP="00612EC5">
      <w:pPr>
        <w:rPr>
          <w:rFonts w:cs="Times New Roman"/>
        </w:rPr>
      </w:pPr>
    </w:p>
    <w:p w14:paraId="13BED0AA" w14:textId="77777777" w:rsidR="00BB3C41" w:rsidRDefault="00BB3C41" w:rsidP="00612EC5">
      <w:pPr>
        <w:rPr>
          <w:rFonts w:cs="Times New Roman"/>
        </w:rPr>
      </w:pPr>
    </w:p>
    <w:p w14:paraId="194BAB3B" w14:textId="77777777" w:rsidR="00BB3C41" w:rsidRDefault="00BB3C41" w:rsidP="00612EC5">
      <w:pPr>
        <w:rPr>
          <w:rFonts w:cs="Times New Roman"/>
        </w:rPr>
      </w:pPr>
    </w:p>
    <w:p w14:paraId="0AD4C1EC" w14:textId="01E9F60E" w:rsidR="00BB3C41" w:rsidRDefault="00BB3C41" w:rsidP="009F3147">
      <w:pPr>
        <w:pStyle w:val="Caption"/>
      </w:pPr>
      <w:r>
        <w:t xml:space="preserve">Figure </w:t>
      </w:r>
      <w:r w:rsidR="00AB78F3">
        <w:t>7</w:t>
      </w:r>
      <w:r>
        <w:t>. Average weekly Chicago midgrade motor gasoline prices (dollars per gallon) from EIA, OPIS, and AAA</w:t>
      </w:r>
      <w:r w:rsidR="00114932">
        <w:t>.</w:t>
      </w:r>
      <w:r>
        <w:t xml:space="preserve"> </w:t>
      </w:r>
    </w:p>
    <w:p w14:paraId="30E5D8D2" w14:textId="378C4B44" w:rsidR="00BB3C41" w:rsidRDefault="00BB3C41" w:rsidP="00612EC5">
      <w:pPr>
        <w:rPr>
          <w:rFonts w:cs="Times New Roman"/>
        </w:rPr>
      </w:pPr>
      <w:r>
        <w:rPr>
          <w:noProof/>
        </w:rPr>
        <w:drawing>
          <wp:inline distT="0" distB="0" distL="0" distR="0" wp14:anchorId="1C303F94" wp14:editId="360A98F6">
            <wp:extent cx="5943600" cy="2796540"/>
            <wp:effectExtent l="0" t="0" r="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DD9218F" w14:textId="3DE4239A" w:rsidR="00BB3C41" w:rsidRDefault="00BB3C41" w:rsidP="009F3147">
      <w:pPr>
        <w:pStyle w:val="Caption"/>
      </w:pPr>
      <w:r>
        <w:t xml:space="preserve">Figure </w:t>
      </w:r>
      <w:r w:rsidR="00AB78F3">
        <w:t>8</w:t>
      </w:r>
      <w:r>
        <w:t>. Average weekly Chicago premium motor gasoline prices (dollars per gallon) from EIA, OPIS, and AAA</w:t>
      </w:r>
      <w:r w:rsidR="00114932">
        <w:t>.</w:t>
      </w:r>
      <w:r>
        <w:t xml:space="preserve"> </w:t>
      </w:r>
    </w:p>
    <w:p w14:paraId="032697EE" w14:textId="199FCBF9" w:rsidR="00BB3C41" w:rsidRDefault="00BB3C41" w:rsidP="00612EC5">
      <w:pPr>
        <w:rPr>
          <w:rFonts w:cs="Times New Roman"/>
        </w:rPr>
      </w:pPr>
      <w:r>
        <w:rPr>
          <w:noProof/>
        </w:rPr>
        <w:drawing>
          <wp:inline distT="0" distB="0" distL="0" distR="0" wp14:anchorId="2260DE5C" wp14:editId="707A0E75">
            <wp:extent cx="5791200" cy="2962910"/>
            <wp:effectExtent l="0" t="0" r="0" b="889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BBC7F4" w14:textId="77777777" w:rsidR="00BB3C41" w:rsidRDefault="00BB3C41" w:rsidP="00612EC5">
      <w:pPr>
        <w:rPr>
          <w:rFonts w:cs="Times New Roman"/>
        </w:rPr>
      </w:pPr>
    </w:p>
    <w:p w14:paraId="4AF2C969" w14:textId="77777777" w:rsidR="00BB3C41" w:rsidRDefault="00BB3C41" w:rsidP="00612EC5">
      <w:pPr>
        <w:rPr>
          <w:rFonts w:cs="Times New Roman"/>
        </w:rPr>
      </w:pPr>
    </w:p>
    <w:p w14:paraId="5F259F07" w14:textId="77777777" w:rsidR="00BB3C41" w:rsidRDefault="00BB3C41" w:rsidP="00612EC5">
      <w:pPr>
        <w:rPr>
          <w:rFonts w:cs="Times New Roman"/>
        </w:rPr>
      </w:pPr>
    </w:p>
    <w:p w14:paraId="4152C03C" w14:textId="77777777" w:rsidR="00BB3C41" w:rsidRDefault="00BB3C41" w:rsidP="00612EC5">
      <w:pPr>
        <w:rPr>
          <w:rFonts w:cs="Times New Roman"/>
        </w:rPr>
      </w:pPr>
    </w:p>
    <w:p w14:paraId="1EA59ED5" w14:textId="77777777" w:rsidR="00BB3C41" w:rsidRDefault="00BB3C41" w:rsidP="00612EC5">
      <w:pPr>
        <w:rPr>
          <w:rFonts w:cs="Times New Roman"/>
        </w:rPr>
      </w:pPr>
    </w:p>
    <w:p w14:paraId="52CB0D78" w14:textId="77777777" w:rsidR="00BB3C41" w:rsidRDefault="00BB3C41" w:rsidP="00612EC5">
      <w:pPr>
        <w:rPr>
          <w:rFonts w:cs="Times New Roman"/>
        </w:rPr>
      </w:pPr>
    </w:p>
    <w:tbl>
      <w:tblPr>
        <w:tblW w:w="8555" w:type="dxa"/>
        <w:tblInd w:w="445" w:type="dxa"/>
        <w:tblLook w:val="04A0" w:firstRow="1" w:lastRow="0" w:firstColumn="1" w:lastColumn="0" w:noHBand="0" w:noVBand="1"/>
      </w:tblPr>
      <w:tblGrid>
        <w:gridCol w:w="1523"/>
        <w:gridCol w:w="719"/>
        <w:gridCol w:w="863"/>
        <w:gridCol w:w="836"/>
        <w:gridCol w:w="778"/>
        <w:gridCol w:w="993"/>
        <w:gridCol w:w="952"/>
        <w:gridCol w:w="1131"/>
        <w:gridCol w:w="760"/>
      </w:tblGrid>
      <w:tr w:rsidR="00D34E74" w:rsidRPr="00A86967" w14:paraId="4D2232FF" w14:textId="77777777" w:rsidTr="00612EC5">
        <w:trPr>
          <w:trHeight w:val="290"/>
        </w:trPr>
        <w:tc>
          <w:tcPr>
            <w:tcW w:w="8555"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EBE146C" w14:textId="0BCD0884" w:rsidR="00D34E74" w:rsidRPr="00612EC5" w:rsidRDefault="00D34E74" w:rsidP="00114932">
            <w:pPr>
              <w:pStyle w:val="Caption"/>
              <w:rPr>
                <w:rFonts w:ascii="Arial" w:eastAsia="Times New Roman" w:hAnsi="Arial" w:cs="Arial"/>
                <w:sz w:val="16"/>
                <w:szCs w:val="16"/>
              </w:rPr>
            </w:pPr>
            <w:r w:rsidRPr="001A77D2">
              <w:rPr>
                <w:noProof/>
              </w:rPr>
              <w:t xml:space="preserve">Table </w:t>
            </w:r>
            <w:r w:rsidR="008E36B3" w:rsidRPr="001A77D2">
              <w:rPr>
                <w:noProof/>
              </w:rPr>
              <w:t>A.</w:t>
            </w:r>
            <w:r w:rsidR="00374CD5">
              <w:rPr>
                <w:noProof/>
              </w:rPr>
              <w:t>6</w:t>
            </w:r>
            <w:r w:rsidRPr="001A77D2">
              <w:rPr>
                <w:noProof/>
              </w:rPr>
              <w:t xml:space="preserve">. Linear </w:t>
            </w:r>
            <w:r w:rsidR="00114932">
              <w:rPr>
                <w:noProof/>
              </w:rPr>
              <w:t>r</w:t>
            </w:r>
            <w:r w:rsidRPr="001A77D2">
              <w:rPr>
                <w:noProof/>
              </w:rPr>
              <w:t xml:space="preserve">egression </w:t>
            </w:r>
            <w:r w:rsidR="00114932">
              <w:rPr>
                <w:noProof/>
              </w:rPr>
              <w:t>e</w:t>
            </w:r>
            <w:r w:rsidRPr="001A77D2">
              <w:rPr>
                <w:noProof/>
              </w:rPr>
              <w:t xml:space="preserve">quation </w:t>
            </w:r>
            <w:r w:rsidR="00114932">
              <w:rPr>
                <w:noProof/>
              </w:rPr>
              <w:t>s</w:t>
            </w:r>
            <w:r w:rsidRPr="001A77D2">
              <w:rPr>
                <w:noProof/>
              </w:rPr>
              <w:t>pecification</w:t>
            </w:r>
            <w:r w:rsidR="008E36B3" w:rsidRPr="001A77D2">
              <w:rPr>
                <w:noProof/>
              </w:rPr>
              <w:t>s</w:t>
            </w:r>
            <w:r w:rsidRPr="001A77D2">
              <w:rPr>
                <w:noProof/>
              </w:rPr>
              <w:t xml:space="preserve"> (ŷ=α+βx)</w:t>
            </w:r>
            <w:r w:rsidR="00114932">
              <w:rPr>
                <w:noProof/>
              </w:rPr>
              <w:t>.</w:t>
            </w:r>
          </w:p>
        </w:tc>
      </w:tr>
      <w:tr w:rsidR="00D34E74" w:rsidRPr="00A86967" w14:paraId="57931BCC"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40B5095"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 </w:t>
            </w:r>
          </w:p>
        </w:tc>
        <w:tc>
          <w:tcPr>
            <w:tcW w:w="3196" w:type="dxa"/>
            <w:gridSpan w:val="4"/>
            <w:tcBorders>
              <w:top w:val="nil"/>
              <w:left w:val="nil"/>
              <w:bottom w:val="single" w:sz="4" w:space="0" w:color="auto"/>
              <w:right w:val="single" w:sz="4" w:space="0" w:color="auto"/>
            </w:tcBorders>
            <w:shd w:val="clear" w:color="auto" w:fill="auto"/>
            <w:noWrap/>
            <w:vAlign w:val="bottom"/>
            <w:hideMark/>
          </w:tcPr>
          <w:p w14:paraId="311F25D8" w14:textId="77777777" w:rsidR="00D34E74" w:rsidRPr="00612EC5" w:rsidRDefault="00D34E74" w:rsidP="000A39F0">
            <w:pPr>
              <w:spacing w:after="0" w:line="240" w:lineRule="auto"/>
              <w:jc w:val="center"/>
              <w:rPr>
                <w:rFonts w:ascii="Arial" w:eastAsia="Times New Roman" w:hAnsi="Arial" w:cs="Arial"/>
                <w:color w:val="5B9BD5"/>
                <w:sz w:val="16"/>
                <w:szCs w:val="16"/>
              </w:rPr>
            </w:pPr>
            <w:r w:rsidRPr="00612EC5">
              <w:rPr>
                <w:rFonts w:ascii="Arial" w:eastAsia="Times New Roman" w:hAnsi="Arial" w:cs="Arial"/>
                <w:color w:val="5B9BD5"/>
                <w:sz w:val="16"/>
                <w:szCs w:val="16"/>
              </w:rPr>
              <w:t>Midgrade Model</w:t>
            </w:r>
          </w:p>
        </w:tc>
        <w:tc>
          <w:tcPr>
            <w:tcW w:w="3836" w:type="dxa"/>
            <w:gridSpan w:val="4"/>
            <w:tcBorders>
              <w:top w:val="nil"/>
              <w:left w:val="nil"/>
              <w:bottom w:val="single" w:sz="4" w:space="0" w:color="auto"/>
              <w:right w:val="single" w:sz="4" w:space="0" w:color="auto"/>
            </w:tcBorders>
            <w:shd w:val="clear" w:color="auto" w:fill="auto"/>
            <w:noWrap/>
            <w:vAlign w:val="bottom"/>
            <w:hideMark/>
          </w:tcPr>
          <w:p w14:paraId="12FB8E69" w14:textId="77777777" w:rsidR="00D34E74" w:rsidRPr="00612EC5" w:rsidRDefault="00D34E74" w:rsidP="000A39F0">
            <w:pPr>
              <w:spacing w:after="0" w:line="240" w:lineRule="auto"/>
              <w:jc w:val="center"/>
              <w:rPr>
                <w:rFonts w:ascii="Arial" w:eastAsia="Times New Roman" w:hAnsi="Arial" w:cs="Arial"/>
                <w:color w:val="70AD47"/>
                <w:sz w:val="16"/>
                <w:szCs w:val="16"/>
              </w:rPr>
            </w:pPr>
            <w:r w:rsidRPr="00612EC5">
              <w:rPr>
                <w:rFonts w:ascii="Arial" w:eastAsia="Times New Roman" w:hAnsi="Arial" w:cs="Arial"/>
                <w:color w:val="70AD47"/>
                <w:sz w:val="16"/>
                <w:szCs w:val="16"/>
              </w:rPr>
              <w:t>Premium Model</w:t>
            </w:r>
          </w:p>
        </w:tc>
      </w:tr>
      <w:tr w:rsidR="00D34E74" w:rsidRPr="00A86967" w14:paraId="1D58F27F"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419E5027"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 </w:t>
            </w:r>
          </w:p>
        </w:tc>
        <w:tc>
          <w:tcPr>
            <w:tcW w:w="1582" w:type="dxa"/>
            <w:gridSpan w:val="2"/>
            <w:tcBorders>
              <w:top w:val="nil"/>
              <w:left w:val="nil"/>
              <w:bottom w:val="single" w:sz="4" w:space="0" w:color="auto"/>
              <w:right w:val="single" w:sz="4" w:space="0" w:color="auto"/>
            </w:tcBorders>
            <w:shd w:val="clear" w:color="auto" w:fill="auto"/>
            <w:noWrap/>
            <w:vAlign w:val="bottom"/>
            <w:hideMark/>
          </w:tcPr>
          <w:p w14:paraId="7175C959" w14:textId="77777777" w:rsidR="00D34E74" w:rsidRPr="00612EC5" w:rsidRDefault="00D34E74" w:rsidP="000A39F0">
            <w:pPr>
              <w:spacing w:after="0" w:line="240" w:lineRule="auto"/>
              <w:jc w:val="center"/>
              <w:rPr>
                <w:rFonts w:ascii="Arial" w:eastAsia="Times New Roman" w:hAnsi="Arial" w:cs="Arial"/>
                <w:color w:val="5B9BD5"/>
                <w:sz w:val="16"/>
                <w:szCs w:val="16"/>
              </w:rPr>
            </w:pPr>
            <w:r w:rsidRPr="00612EC5">
              <w:rPr>
                <w:rFonts w:ascii="Arial" w:eastAsia="Times New Roman" w:hAnsi="Arial" w:cs="Arial"/>
                <w:color w:val="5B9BD5"/>
                <w:sz w:val="16"/>
                <w:szCs w:val="16"/>
              </w:rPr>
              <w:t>2009-2012</w:t>
            </w:r>
          </w:p>
        </w:tc>
        <w:tc>
          <w:tcPr>
            <w:tcW w:w="1614" w:type="dxa"/>
            <w:gridSpan w:val="2"/>
            <w:tcBorders>
              <w:top w:val="nil"/>
              <w:left w:val="nil"/>
              <w:bottom w:val="single" w:sz="4" w:space="0" w:color="auto"/>
              <w:right w:val="single" w:sz="4" w:space="0" w:color="auto"/>
            </w:tcBorders>
            <w:shd w:val="clear" w:color="auto" w:fill="auto"/>
            <w:noWrap/>
            <w:vAlign w:val="bottom"/>
            <w:hideMark/>
          </w:tcPr>
          <w:p w14:paraId="4EBA4BB9" w14:textId="77777777" w:rsidR="00D34E74" w:rsidRPr="00612EC5" w:rsidRDefault="00D34E74" w:rsidP="000A39F0">
            <w:pPr>
              <w:spacing w:after="0" w:line="240" w:lineRule="auto"/>
              <w:jc w:val="center"/>
              <w:rPr>
                <w:rFonts w:ascii="Arial" w:eastAsia="Times New Roman" w:hAnsi="Arial" w:cs="Arial"/>
                <w:color w:val="5B9BD5"/>
                <w:sz w:val="16"/>
                <w:szCs w:val="16"/>
              </w:rPr>
            </w:pPr>
            <w:r w:rsidRPr="00612EC5">
              <w:rPr>
                <w:rFonts w:ascii="Arial" w:eastAsia="Times New Roman" w:hAnsi="Arial" w:cs="Arial"/>
                <w:color w:val="5B9BD5"/>
                <w:sz w:val="16"/>
                <w:szCs w:val="16"/>
              </w:rPr>
              <w:t>2013-2017</w:t>
            </w:r>
          </w:p>
        </w:tc>
        <w:tc>
          <w:tcPr>
            <w:tcW w:w="1945" w:type="dxa"/>
            <w:gridSpan w:val="2"/>
            <w:tcBorders>
              <w:top w:val="nil"/>
              <w:left w:val="nil"/>
              <w:bottom w:val="single" w:sz="4" w:space="0" w:color="auto"/>
              <w:right w:val="single" w:sz="4" w:space="0" w:color="auto"/>
            </w:tcBorders>
            <w:shd w:val="clear" w:color="auto" w:fill="auto"/>
            <w:noWrap/>
            <w:vAlign w:val="bottom"/>
            <w:hideMark/>
          </w:tcPr>
          <w:p w14:paraId="5BF7E3BA" w14:textId="77777777" w:rsidR="00D34E74" w:rsidRPr="00612EC5" w:rsidRDefault="00D34E74" w:rsidP="000A39F0">
            <w:pPr>
              <w:spacing w:after="0" w:line="240" w:lineRule="auto"/>
              <w:jc w:val="center"/>
              <w:rPr>
                <w:rFonts w:ascii="Arial" w:eastAsia="Times New Roman" w:hAnsi="Arial" w:cs="Arial"/>
                <w:color w:val="70AD47"/>
                <w:sz w:val="16"/>
                <w:szCs w:val="16"/>
              </w:rPr>
            </w:pPr>
            <w:r w:rsidRPr="00612EC5">
              <w:rPr>
                <w:rFonts w:ascii="Arial" w:eastAsia="Times New Roman" w:hAnsi="Arial" w:cs="Arial"/>
                <w:color w:val="70AD47"/>
                <w:sz w:val="16"/>
                <w:szCs w:val="16"/>
              </w:rPr>
              <w:t>2009-2012</w:t>
            </w:r>
          </w:p>
        </w:tc>
        <w:tc>
          <w:tcPr>
            <w:tcW w:w="1891" w:type="dxa"/>
            <w:gridSpan w:val="2"/>
            <w:tcBorders>
              <w:top w:val="nil"/>
              <w:left w:val="nil"/>
              <w:bottom w:val="single" w:sz="4" w:space="0" w:color="auto"/>
              <w:right w:val="single" w:sz="4" w:space="0" w:color="auto"/>
            </w:tcBorders>
            <w:shd w:val="clear" w:color="auto" w:fill="auto"/>
            <w:noWrap/>
            <w:vAlign w:val="bottom"/>
            <w:hideMark/>
          </w:tcPr>
          <w:p w14:paraId="4FE84982" w14:textId="77777777" w:rsidR="00D34E74" w:rsidRPr="00612EC5" w:rsidRDefault="00D34E74" w:rsidP="000A39F0">
            <w:pPr>
              <w:spacing w:after="0" w:line="240" w:lineRule="auto"/>
              <w:jc w:val="center"/>
              <w:rPr>
                <w:rFonts w:ascii="Arial" w:eastAsia="Times New Roman" w:hAnsi="Arial" w:cs="Arial"/>
                <w:color w:val="70AD47"/>
                <w:sz w:val="16"/>
                <w:szCs w:val="16"/>
              </w:rPr>
            </w:pPr>
            <w:r w:rsidRPr="00612EC5">
              <w:rPr>
                <w:rFonts w:ascii="Arial" w:eastAsia="Times New Roman" w:hAnsi="Arial" w:cs="Arial"/>
                <w:color w:val="70AD47"/>
                <w:sz w:val="16"/>
                <w:szCs w:val="16"/>
              </w:rPr>
              <w:t>2013-2017</w:t>
            </w:r>
          </w:p>
        </w:tc>
      </w:tr>
      <w:tr w:rsidR="00D34E74" w:rsidRPr="00A86967" w14:paraId="12FEF418"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785BA5AF" w14:textId="77777777" w:rsidR="00D34E74" w:rsidRPr="00612EC5" w:rsidRDefault="00D34E74" w:rsidP="00612EC5">
            <w:pPr>
              <w:spacing w:after="0" w:line="240" w:lineRule="auto"/>
              <w:rPr>
                <w:rFonts w:ascii="Arial" w:eastAsia="Times New Roman" w:hAnsi="Arial" w:cs="Arial"/>
                <w:sz w:val="16"/>
                <w:szCs w:val="16"/>
              </w:rPr>
            </w:pPr>
            <w:r w:rsidRPr="00612EC5">
              <w:rPr>
                <w:rFonts w:ascii="Arial" w:eastAsia="Times New Roman" w:hAnsi="Arial" w:cs="Arial"/>
                <w:sz w:val="16"/>
                <w:szCs w:val="16"/>
              </w:rPr>
              <w:t>Region</w:t>
            </w:r>
          </w:p>
        </w:tc>
        <w:tc>
          <w:tcPr>
            <w:tcW w:w="719" w:type="dxa"/>
            <w:tcBorders>
              <w:top w:val="nil"/>
              <w:left w:val="nil"/>
              <w:bottom w:val="single" w:sz="4" w:space="0" w:color="auto"/>
              <w:right w:val="single" w:sz="4" w:space="0" w:color="auto"/>
            </w:tcBorders>
            <w:shd w:val="clear" w:color="auto" w:fill="auto"/>
            <w:noWrap/>
            <w:vAlign w:val="bottom"/>
            <w:hideMark/>
          </w:tcPr>
          <w:p w14:paraId="6EF02993" w14:textId="77777777" w:rsidR="00D34E74" w:rsidRPr="00612EC5" w:rsidRDefault="00D34E74" w:rsidP="000A39F0">
            <w:pPr>
              <w:spacing w:after="0" w:line="240" w:lineRule="auto"/>
              <w:jc w:val="center"/>
              <w:rPr>
                <w:rFonts w:ascii="Arial" w:eastAsia="Times New Roman" w:hAnsi="Arial" w:cs="Arial"/>
                <w:color w:val="5B9BD5"/>
                <w:sz w:val="16"/>
                <w:szCs w:val="16"/>
              </w:rPr>
            </w:pPr>
            <w:r w:rsidRPr="00612EC5">
              <w:rPr>
                <w:rFonts w:ascii="Arial" w:eastAsia="Times New Roman" w:hAnsi="Arial" w:cs="Arial"/>
                <w:color w:val="5B9BD5"/>
                <w:sz w:val="16"/>
                <w:szCs w:val="16"/>
              </w:rPr>
              <w:t>α</w:t>
            </w:r>
          </w:p>
        </w:tc>
        <w:tc>
          <w:tcPr>
            <w:tcW w:w="863" w:type="dxa"/>
            <w:tcBorders>
              <w:top w:val="nil"/>
              <w:left w:val="nil"/>
              <w:bottom w:val="single" w:sz="4" w:space="0" w:color="auto"/>
              <w:right w:val="single" w:sz="4" w:space="0" w:color="auto"/>
            </w:tcBorders>
            <w:shd w:val="clear" w:color="auto" w:fill="auto"/>
            <w:noWrap/>
            <w:vAlign w:val="bottom"/>
            <w:hideMark/>
          </w:tcPr>
          <w:p w14:paraId="0E77E81D" w14:textId="77777777" w:rsidR="00D34E74" w:rsidRPr="00612EC5" w:rsidRDefault="00D34E74" w:rsidP="000A39F0">
            <w:pPr>
              <w:spacing w:after="0" w:line="240" w:lineRule="auto"/>
              <w:jc w:val="center"/>
              <w:rPr>
                <w:rFonts w:ascii="Arial" w:eastAsia="Times New Roman" w:hAnsi="Arial" w:cs="Arial"/>
                <w:color w:val="5B9BD5"/>
                <w:sz w:val="16"/>
                <w:szCs w:val="16"/>
              </w:rPr>
            </w:pPr>
            <w:r w:rsidRPr="00612EC5">
              <w:rPr>
                <w:rFonts w:ascii="Arial" w:eastAsia="Times New Roman" w:hAnsi="Arial" w:cs="Arial"/>
                <w:color w:val="5B9BD5"/>
                <w:sz w:val="16"/>
                <w:szCs w:val="16"/>
              </w:rPr>
              <w:t>β</w:t>
            </w:r>
          </w:p>
        </w:tc>
        <w:tc>
          <w:tcPr>
            <w:tcW w:w="836" w:type="dxa"/>
            <w:tcBorders>
              <w:top w:val="nil"/>
              <w:left w:val="nil"/>
              <w:bottom w:val="single" w:sz="4" w:space="0" w:color="auto"/>
              <w:right w:val="single" w:sz="4" w:space="0" w:color="auto"/>
            </w:tcBorders>
            <w:shd w:val="clear" w:color="auto" w:fill="auto"/>
            <w:noWrap/>
            <w:vAlign w:val="bottom"/>
            <w:hideMark/>
          </w:tcPr>
          <w:p w14:paraId="29104FD1" w14:textId="77777777" w:rsidR="00D34E74" w:rsidRPr="00612EC5" w:rsidRDefault="00D34E74" w:rsidP="000A39F0">
            <w:pPr>
              <w:spacing w:after="0" w:line="240" w:lineRule="auto"/>
              <w:jc w:val="center"/>
              <w:rPr>
                <w:rFonts w:ascii="Arial" w:eastAsia="Times New Roman" w:hAnsi="Arial" w:cs="Arial"/>
                <w:color w:val="5B9BD5"/>
                <w:sz w:val="16"/>
                <w:szCs w:val="16"/>
              </w:rPr>
            </w:pPr>
            <w:r w:rsidRPr="00612EC5">
              <w:rPr>
                <w:rFonts w:ascii="Arial" w:eastAsia="Times New Roman" w:hAnsi="Arial" w:cs="Arial"/>
                <w:color w:val="5B9BD5"/>
                <w:sz w:val="16"/>
                <w:szCs w:val="16"/>
              </w:rPr>
              <w:t>α</w:t>
            </w:r>
          </w:p>
        </w:tc>
        <w:tc>
          <w:tcPr>
            <w:tcW w:w="778" w:type="dxa"/>
            <w:tcBorders>
              <w:top w:val="nil"/>
              <w:left w:val="nil"/>
              <w:bottom w:val="single" w:sz="4" w:space="0" w:color="auto"/>
              <w:right w:val="single" w:sz="4" w:space="0" w:color="auto"/>
            </w:tcBorders>
            <w:shd w:val="clear" w:color="auto" w:fill="auto"/>
            <w:noWrap/>
            <w:vAlign w:val="bottom"/>
            <w:hideMark/>
          </w:tcPr>
          <w:p w14:paraId="71D2D000" w14:textId="77777777" w:rsidR="00D34E74" w:rsidRPr="00612EC5" w:rsidRDefault="00D34E74" w:rsidP="000A39F0">
            <w:pPr>
              <w:spacing w:after="0" w:line="240" w:lineRule="auto"/>
              <w:jc w:val="center"/>
              <w:rPr>
                <w:rFonts w:ascii="Arial" w:eastAsia="Times New Roman" w:hAnsi="Arial" w:cs="Arial"/>
                <w:color w:val="5B9BD5"/>
                <w:sz w:val="16"/>
                <w:szCs w:val="16"/>
              </w:rPr>
            </w:pPr>
            <w:r w:rsidRPr="00612EC5">
              <w:rPr>
                <w:rFonts w:ascii="Arial" w:eastAsia="Times New Roman" w:hAnsi="Arial" w:cs="Arial"/>
                <w:color w:val="5B9BD5"/>
                <w:sz w:val="16"/>
                <w:szCs w:val="16"/>
              </w:rPr>
              <w:t>β</w:t>
            </w:r>
          </w:p>
        </w:tc>
        <w:tc>
          <w:tcPr>
            <w:tcW w:w="993" w:type="dxa"/>
            <w:tcBorders>
              <w:top w:val="nil"/>
              <w:left w:val="nil"/>
              <w:bottom w:val="single" w:sz="4" w:space="0" w:color="auto"/>
              <w:right w:val="single" w:sz="4" w:space="0" w:color="auto"/>
            </w:tcBorders>
            <w:shd w:val="clear" w:color="auto" w:fill="auto"/>
            <w:noWrap/>
            <w:vAlign w:val="bottom"/>
            <w:hideMark/>
          </w:tcPr>
          <w:p w14:paraId="3F82905A" w14:textId="77777777" w:rsidR="00D34E74" w:rsidRPr="00612EC5" w:rsidRDefault="00D34E74" w:rsidP="000A39F0">
            <w:pPr>
              <w:spacing w:after="0" w:line="240" w:lineRule="auto"/>
              <w:jc w:val="center"/>
              <w:rPr>
                <w:rFonts w:ascii="Arial" w:eastAsia="Times New Roman" w:hAnsi="Arial" w:cs="Arial"/>
                <w:color w:val="70AD47"/>
                <w:sz w:val="16"/>
                <w:szCs w:val="16"/>
              </w:rPr>
            </w:pPr>
            <w:r w:rsidRPr="00612EC5">
              <w:rPr>
                <w:rFonts w:ascii="Arial" w:eastAsia="Times New Roman" w:hAnsi="Arial" w:cs="Arial"/>
                <w:color w:val="70AD47"/>
                <w:sz w:val="16"/>
                <w:szCs w:val="16"/>
              </w:rPr>
              <w:t>α</w:t>
            </w:r>
          </w:p>
        </w:tc>
        <w:tc>
          <w:tcPr>
            <w:tcW w:w="952" w:type="dxa"/>
            <w:tcBorders>
              <w:top w:val="nil"/>
              <w:left w:val="nil"/>
              <w:bottom w:val="single" w:sz="4" w:space="0" w:color="auto"/>
              <w:right w:val="single" w:sz="4" w:space="0" w:color="auto"/>
            </w:tcBorders>
            <w:shd w:val="clear" w:color="auto" w:fill="auto"/>
            <w:noWrap/>
            <w:vAlign w:val="bottom"/>
            <w:hideMark/>
          </w:tcPr>
          <w:p w14:paraId="0EE8AC62" w14:textId="77777777" w:rsidR="00D34E74" w:rsidRPr="00612EC5" w:rsidRDefault="00D34E74" w:rsidP="000A39F0">
            <w:pPr>
              <w:spacing w:after="0" w:line="240" w:lineRule="auto"/>
              <w:jc w:val="center"/>
              <w:rPr>
                <w:rFonts w:ascii="Arial" w:eastAsia="Times New Roman" w:hAnsi="Arial" w:cs="Arial"/>
                <w:color w:val="70AD47"/>
                <w:sz w:val="16"/>
                <w:szCs w:val="16"/>
              </w:rPr>
            </w:pPr>
            <w:r w:rsidRPr="00612EC5">
              <w:rPr>
                <w:rFonts w:ascii="Arial" w:eastAsia="Times New Roman" w:hAnsi="Arial" w:cs="Arial"/>
                <w:color w:val="70AD47"/>
                <w:sz w:val="16"/>
                <w:szCs w:val="16"/>
              </w:rPr>
              <w:t>β</w:t>
            </w:r>
          </w:p>
        </w:tc>
        <w:tc>
          <w:tcPr>
            <w:tcW w:w="1131" w:type="dxa"/>
            <w:tcBorders>
              <w:top w:val="nil"/>
              <w:left w:val="nil"/>
              <w:bottom w:val="single" w:sz="4" w:space="0" w:color="auto"/>
              <w:right w:val="single" w:sz="4" w:space="0" w:color="auto"/>
            </w:tcBorders>
            <w:shd w:val="clear" w:color="auto" w:fill="auto"/>
            <w:noWrap/>
            <w:vAlign w:val="bottom"/>
            <w:hideMark/>
          </w:tcPr>
          <w:p w14:paraId="0F29DD5B" w14:textId="77777777" w:rsidR="00D34E74" w:rsidRPr="00612EC5" w:rsidRDefault="00D34E74" w:rsidP="000A39F0">
            <w:pPr>
              <w:spacing w:after="0" w:line="240" w:lineRule="auto"/>
              <w:jc w:val="center"/>
              <w:rPr>
                <w:rFonts w:ascii="Arial" w:eastAsia="Times New Roman" w:hAnsi="Arial" w:cs="Arial"/>
                <w:color w:val="70AD47"/>
                <w:sz w:val="16"/>
                <w:szCs w:val="16"/>
              </w:rPr>
            </w:pPr>
            <w:r w:rsidRPr="00612EC5">
              <w:rPr>
                <w:rFonts w:ascii="Arial" w:eastAsia="Times New Roman" w:hAnsi="Arial" w:cs="Arial"/>
                <w:color w:val="70AD47"/>
                <w:sz w:val="16"/>
                <w:szCs w:val="16"/>
              </w:rPr>
              <w:t>α</w:t>
            </w:r>
          </w:p>
        </w:tc>
        <w:tc>
          <w:tcPr>
            <w:tcW w:w="760" w:type="dxa"/>
            <w:tcBorders>
              <w:top w:val="nil"/>
              <w:left w:val="nil"/>
              <w:bottom w:val="single" w:sz="4" w:space="0" w:color="auto"/>
              <w:right w:val="single" w:sz="4" w:space="0" w:color="auto"/>
            </w:tcBorders>
            <w:shd w:val="clear" w:color="auto" w:fill="auto"/>
            <w:noWrap/>
            <w:vAlign w:val="bottom"/>
            <w:hideMark/>
          </w:tcPr>
          <w:p w14:paraId="541DB6E9" w14:textId="77777777" w:rsidR="00D34E74" w:rsidRPr="00612EC5" w:rsidRDefault="00D34E74" w:rsidP="000A39F0">
            <w:pPr>
              <w:spacing w:after="0" w:line="240" w:lineRule="auto"/>
              <w:jc w:val="center"/>
              <w:rPr>
                <w:rFonts w:ascii="Arial" w:eastAsia="Times New Roman" w:hAnsi="Arial" w:cs="Arial"/>
                <w:color w:val="70AD47"/>
                <w:sz w:val="16"/>
                <w:szCs w:val="16"/>
              </w:rPr>
            </w:pPr>
            <w:r w:rsidRPr="00612EC5">
              <w:rPr>
                <w:rFonts w:ascii="Arial" w:eastAsia="Times New Roman" w:hAnsi="Arial" w:cs="Arial"/>
                <w:color w:val="70AD47"/>
                <w:sz w:val="16"/>
                <w:szCs w:val="16"/>
              </w:rPr>
              <w:t>β</w:t>
            </w:r>
          </w:p>
        </w:tc>
      </w:tr>
      <w:tr w:rsidR="00D34E74" w:rsidRPr="00A86967" w14:paraId="388D6FA9"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59E70253"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U.S.</w:t>
            </w:r>
          </w:p>
        </w:tc>
        <w:tc>
          <w:tcPr>
            <w:tcW w:w="719" w:type="dxa"/>
            <w:tcBorders>
              <w:top w:val="nil"/>
              <w:left w:val="nil"/>
              <w:bottom w:val="single" w:sz="4" w:space="0" w:color="auto"/>
              <w:right w:val="single" w:sz="4" w:space="0" w:color="auto"/>
            </w:tcBorders>
            <w:shd w:val="clear" w:color="auto" w:fill="auto"/>
            <w:noWrap/>
            <w:vAlign w:val="bottom"/>
            <w:hideMark/>
          </w:tcPr>
          <w:p w14:paraId="0E51208B"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0.105</w:t>
            </w:r>
          </w:p>
        </w:tc>
        <w:tc>
          <w:tcPr>
            <w:tcW w:w="863" w:type="dxa"/>
            <w:tcBorders>
              <w:top w:val="nil"/>
              <w:left w:val="nil"/>
              <w:bottom w:val="single" w:sz="4" w:space="0" w:color="auto"/>
              <w:right w:val="single" w:sz="4" w:space="0" w:color="auto"/>
            </w:tcBorders>
            <w:shd w:val="clear" w:color="auto" w:fill="auto"/>
            <w:noWrap/>
            <w:vAlign w:val="bottom"/>
            <w:hideMark/>
          </w:tcPr>
          <w:p w14:paraId="595A27AC"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1.007</w:t>
            </w:r>
          </w:p>
        </w:tc>
        <w:tc>
          <w:tcPr>
            <w:tcW w:w="836" w:type="dxa"/>
            <w:tcBorders>
              <w:top w:val="nil"/>
              <w:left w:val="nil"/>
              <w:bottom w:val="single" w:sz="4" w:space="0" w:color="auto"/>
              <w:right w:val="single" w:sz="4" w:space="0" w:color="auto"/>
            </w:tcBorders>
            <w:shd w:val="clear" w:color="auto" w:fill="auto"/>
            <w:noWrap/>
            <w:vAlign w:val="bottom"/>
            <w:hideMark/>
          </w:tcPr>
          <w:p w14:paraId="72B0CDA5"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0.363</w:t>
            </w:r>
          </w:p>
        </w:tc>
        <w:tc>
          <w:tcPr>
            <w:tcW w:w="778" w:type="dxa"/>
            <w:tcBorders>
              <w:top w:val="nil"/>
              <w:left w:val="nil"/>
              <w:bottom w:val="single" w:sz="4" w:space="0" w:color="auto"/>
              <w:right w:val="single" w:sz="4" w:space="0" w:color="auto"/>
            </w:tcBorders>
            <w:shd w:val="clear" w:color="auto" w:fill="auto"/>
            <w:noWrap/>
            <w:vAlign w:val="bottom"/>
            <w:hideMark/>
          </w:tcPr>
          <w:p w14:paraId="03CE1CD2"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0.944</w:t>
            </w:r>
          </w:p>
        </w:tc>
        <w:tc>
          <w:tcPr>
            <w:tcW w:w="993" w:type="dxa"/>
            <w:tcBorders>
              <w:top w:val="nil"/>
              <w:left w:val="nil"/>
              <w:bottom w:val="single" w:sz="4" w:space="0" w:color="auto"/>
              <w:right w:val="single" w:sz="4" w:space="0" w:color="auto"/>
            </w:tcBorders>
            <w:shd w:val="clear" w:color="auto" w:fill="auto"/>
            <w:noWrap/>
            <w:vAlign w:val="bottom"/>
            <w:hideMark/>
          </w:tcPr>
          <w:p w14:paraId="15344ABB"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0.195</w:t>
            </w:r>
          </w:p>
        </w:tc>
        <w:tc>
          <w:tcPr>
            <w:tcW w:w="952" w:type="dxa"/>
            <w:tcBorders>
              <w:top w:val="nil"/>
              <w:left w:val="nil"/>
              <w:bottom w:val="single" w:sz="4" w:space="0" w:color="auto"/>
              <w:right w:val="single" w:sz="4" w:space="0" w:color="auto"/>
            </w:tcBorders>
            <w:shd w:val="clear" w:color="auto" w:fill="auto"/>
            <w:noWrap/>
            <w:vAlign w:val="bottom"/>
            <w:hideMark/>
          </w:tcPr>
          <w:p w14:paraId="1223A261"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1.018</w:t>
            </w:r>
          </w:p>
        </w:tc>
        <w:tc>
          <w:tcPr>
            <w:tcW w:w="1131" w:type="dxa"/>
            <w:tcBorders>
              <w:top w:val="nil"/>
              <w:left w:val="nil"/>
              <w:bottom w:val="single" w:sz="4" w:space="0" w:color="auto"/>
              <w:right w:val="single" w:sz="4" w:space="0" w:color="auto"/>
            </w:tcBorders>
            <w:shd w:val="clear" w:color="auto" w:fill="auto"/>
            <w:noWrap/>
            <w:vAlign w:val="bottom"/>
            <w:hideMark/>
          </w:tcPr>
          <w:p w14:paraId="7C1930C9"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0.655</w:t>
            </w:r>
          </w:p>
        </w:tc>
        <w:tc>
          <w:tcPr>
            <w:tcW w:w="760" w:type="dxa"/>
            <w:tcBorders>
              <w:top w:val="nil"/>
              <w:left w:val="nil"/>
              <w:bottom w:val="single" w:sz="4" w:space="0" w:color="auto"/>
              <w:right w:val="single" w:sz="4" w:space="0" w:color="auto"/>
            </w:tcBorders>
            <w:shd w:val="clear" w:color="auto" w:fill="auto"/>
            <w:noWrap/>
            <w:vAlign w:val="bottom"/>
            <w:hideMark/>
          </w:tcPr>
          <w:p w14:paraId="6D718F25"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0.906</w:t>
            </w:r>
          </w:p>
        </w:tc>
      </w:tr>
      <w:tr w:rsidR="00D34E74" w:rsidRPr="00A86967" w14:paraId="06991EC3"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5016B8E"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 </w:t>
            </w:r>
          </w:p>
        </w:tc>
        <w:tc>
          <w:tcPr>
            <w:tcW w:w="719" w:type="dxa"/>
            <w:tcBorders>
              <w:top w:val="nil"/>
              <w:left w:val="nil"/>
              <w:bottom w:val="single" w:sz="4" w:space="0" w:color="auto"/>
              <w:right w:val="single" w:sz="4" w:space="0" w:color="auto"/>
            </w:tcBorders>
            <w:shd w:val="clear" w:color="auto" w:fill="auto"/>
            <w:noWrap/>
            <w:vAlign w:val="bottom"/>
            <w:hideMark/>
          </w:tcPr>
          <w:p w14:paraId="4287F32A" w14:textId="77777777" w:rsidR="00D34E74" w:rsidRPr="00612EC5" w:rsidRDefault="00D34E74" w:rsidP="000A39F0">
            <w:pPr>
              <w:spacing w:after="0" w:line="240" w:lineRule="auto"/>
              <w:rPr>
                <w:rFonts w:ascii="Arial" w:eastAsia="Times New Roman" w:hAnsi="Arial" w:cs="Arial"/>
                <w:color w:val="5B9BD5"/>
                <w:sz w:val="16"/>
                <w:szCs w:val="16"/>
              </w:rPr>
            </w:pPr>
            <w:r w:rsidRPr="00612EC5">
              <w:rPr>
                <w:rFonts w:ascii="Arial" w:eastAsia="Times New Roman" w:hAnsi="Arial" w:cs="Arial"/>
                <w:color w:val="5B9BD5"/>
                <w:sz w:val="16"/>
                <w:szCs w:val="16"/>
              </w:rPr>
              <w:t> </w:t>
            </w:r>
          </w:p>
        </w:tc>
        <w:tc>
          <w:tcPr>
            <w:tcW w:w="863" w:type="dxa"/>
            <w:tcBorders>
              <w:top w:val="nil"/>
              <w:left w:val="nil"/>
              <w:bottom w:val="single" w:sz="4" w:space="0" w:color="auto"/>
              <w:right w:val="single" w:sz="4" w:space="0" w:color="auto"/>
            </w:tcBorders>
            <w:shd w:val="clear" w:color="auto" w:fill="auto"/>
            <w:noWrap/>
            <w:vAlign w:val="bottom"/>
            <w:hideMark/>
          </w:tcPr>
          <w:p w14:paraId="74885E28" w14:textId="77777777" w:rsidR="00D34E74" w:rsidRPr="00612EC5" w:rsidRDefault="00D34E74" w:rsidP="000A39F0">
            <w:pPr>
              <w:spacing w:after="0" w:line="240" w:lineRule="auto"/>
              <w:rPr>
                <w:rFonts w:ascii="Arial" w:eastAsia="Times New Roman" w:hAnsi="Arial" w:cs="Arial"/>
                <w:color w:val="5B9BD5"/>
                <w:sz w:val="16"/>
                <w:szCs w:val="16"/>
              </w:rPr>
            </w:pPr>
            <w:r w:rsidRPr="00612EC5">
              <w:rPr>
                <w:rFonts w:ascii="Arial" w:eastAsia="Times New Roman" w:hAnsi="Arial" w:cs="Arial"/>
                <w:color w:val="5B9BD5"/>
                <w:sz w:val="16"/>
                <w:szCs w:val="16"/>
              </w:rPr>
              <w:t> </w:t>
            </w:r>
          </w:p>
        </w:tc>
        <w:tc>
          <w:tcPr>
            <w:tcW w:w="836" w:type="dxa"/>
            <w:tcBorders>
              <w:top w:val="nil"/>
              <w:left w:val="nil"/>
              <w:bottom w:val="single" w:sz="4" w:space="0" w:color="auto"/>
              <w:right w:val="single" w:sz="4" w:space="0" w:color="auto"/>
            </w:tcBorders>
            <w:shd w:val="clear" w:color="auto" w:fill="auto"/>
            <w:noWrap/>
            <w:vAlign w:val="bottom"/>
            <w:hideMark/>
          </w:tcPr>
          <w:p w14:paraId="2E9124CF" w14:textId="77777777" w:rsidR="00D34E74" w:rsidRPr="00612EC5" w:rsidRDefault="00D34E74" w:rsidP="000A39F0">
            <w:pPr>
              <w:spacing w:after="0" w:line="240" w:lineRule="auto"/>
              <w:rPr>
                <w:rFonts w:ascii="Arial" w:eastAsia="Times New Roman" w:hAnsi="Arial" w:cs="Arial"/>
                <w:color w:val="5B9BD5"/>
                <w:sz w:val="16"/>
                <w:szCs w:val="16"/>
              </w:rPr>
            </w:pPr>
            <w:r w:rsidRPr="00612EC5">
              <w:rPr>
                <w:rFonts w:ascii="Arial" w:eastAsia="Times New Roman" w:hAnsi="Arial" w:cs="Arial"/>
                <w:color w:val="5B9BD5"/>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14:paraId="113DF1D8" w14:textId="77777777" w:rsidR="00D34E74" w:rsidRPr="00612EC5" w:rsidRDefault="00D34E74" w:rsidP="000A39F0">
            <w:pPr>
              <w:spacing w:after="0" w:line="240" w:lineRule="auto"/>
              <w:rPr>
                <w:rFonts w:ascii="Arial" w:eastAsia="Times New Roman" w:hAnsi="Arial" w:cs="Arial"/>
                <w:color w:val="5B9BD5"/>
                <w:sz w:val="16"/>
                <w:szCs w:val="16"/>
              </w:rPr>
            </w:pPr>
            <w:r w:rsidRPr="00612EC5">
              <w:rPr>
                <w:rFonts w:ascii="Arial" w:eastAsia="Times New Roman" w:hAnsi="Arial" w:cs="Arial"/>
                <w:color w:val="5B9BD5"/>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10739A61" w14:textId="77777777" w:rsidR="00D34E74" w:rsidRPr="00612EC5" w:rsidRDefault="00D34E74" w:rsidP="000A39F0">
            <w:pPr>
              <w:spacing w:after="0" w:line="240" w:lineRule="auto"/>
              <w:rPr>
                <w:rFonts w:ascii="Arial" w:eastAsia="Times New Roman" w:hAnsi="Arial" w:cs="Arial"/>
                <w:color w:val="70AD47"/>
                <w:sz w:val="16"/>
                <w:szCs w:val="16"/>
              </w:rPr>
            </w:pPr>
            <w:r w:rsidRPr="00612EC5">
              <w:rPr>
                <w:rFonts w:ascii="Arial" w:eastAsia="Times New Roman" w:hAnsi="Arial" w:cs="Arial"/>
                <w:color w:val="70AD47"/>
                <w:sz w:val="16"/>
                <w:szCs w:val="16"/>
              </w:rPr>
              <w:t> </w:t>
            </w:r>
          </w:p>
        </w:tc>
        <w:tc>
          <w:tcPr>
            <w:tcW w:w="952" w:type="dxa"/>
            <w:tcBorders>
              <w:top w:val="nil"/>
              <w:left w:val="nil"/>
              <w:bottom w:val="single" w:sz="4" w:space="0" w:color="auto"/>
              <w:right w:val="single" w:sz="4" w:space="0" w:color="auto"/>
            </w:tcBorders>
            <w:shd w:val="clear" w:color="auto" w:fill="auto"/>
            <w:noWrap/>
            <w:vAlign w:val="bottom"/>
            <w:hideMark/>
          </w:tcPr>
          <w:p w14:paraId="3DF6237A" w14:textId="77777777" w:rsidR="00D34E74" w:rsidRPr="00612EC5" w:rsidRDefault="00D34E74" w:rsidP="000A39F0">
            <w:pPr>
              <w:spacing w:after="0" w:line="240" w:lineRule="auto"/>
              <w:rPr>
                <w:rFonts w:ascii="Arial" w:eastAsia="Times New Roman" w:hAnsi="Arial" w:cs="Arial"/>
                <w:color w:val="70AD47"/>
                <w:sz w:val="16"/>
                <w:szCs w:val="16"/>
              </w:rPr>
            </w:pPr>
            <w:r w:rsidRPr="00612EC5">
              <w:rPr>
                <w:rFonts w:ascii="Arial" w:eastAsia="Times New Roman" w:hAnsi="Arial" w:cs="Arial"/>
                <w:color w:val="70AD47"/>
                <w:sz w:val="16"/>
                <w:szCs w:val="16"/>
              </w:rPr>
              <w:t> </w:t>
            </w:r>
          </w:p>
        </w:tc>
        <w:tc>
          <w:tcPr>
            <w:tcW w:w="1131" w:type="dxa"/>
            <w:tcBorders>
              <w:top w:val="nil"/>
              <w:left w:val="nil"/>
              <w:bottom w:val="single" w:sz="4" w:space="0" w:color="auto"/>
              <w:right w:val="single" w:sz="4" w:space="0" w:color="auto"/>
            </w:tcBorders>
            <w:shd w:val="clear" w:color="auto" w:fill="auto"/>
            <w:noWrap/>
            <w:vAlign w:val="bottom"/>
            <w:hideMark/>
          </w:tcPr>
          <w:p w14:paraId="26BBC78E" w14:textId="77777777" w:rsidR="00D34E74" w:rsidRPr="00612EC5" w:rsidRDefault="00D34E74" w:rsidP="000A39F0">
            <w:pPr>
              <w:spacing w:after="0" w:line="240" w:lineRule="auto"/>
              <w:rPr>
                <w:rFonts w:ascii="Arial" w:eastAsia="Times New Roman" w:hAnsi="Arial" w:cs="Arial"/>
                <w:color w:val="70AD47"/>
                <w:sz w:val="16"/>
                <w:szCs w:val="16"/>
              </w:rPr>
            </w:pPr>
            <w:r w:rsidRPr="00612EC5">
              <w:rPr>
                <w:rFonts w:ascii="Arial" w:eastAsia="Times New Roman" w:hAnsi="Arial" w:cs="Arial"/>
                <w:color w:val="70AD47"/>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14:paraId="0CE349F6" w14:textId="77777777" w:rsidR="00D34E74" w:rsidRPr="00612EC5" w:rsidRDefault="00D34E74" w:rsidP="000A39F0">
            <w:pPr>
              <w:spacing w:after="0" w:line="240" w:lineRule="auto"/>
              <w:rPr>
                <w:rFonts w:ascii="Arial" w:eastAsia="Times New Roman" w:hAnsi="Arial" w:cs="Arial"/>
                <w:color w:val="70AD47"/>
                <w:sz w:val="16"/>
                <w:szCs w:val="16"/>
              </w:rPr>
            </w:pPr>
            <w:r w:rsidRPr="00612EC5">
              <w:rPr>
                <w:rFonts w:ascii="Arial" w:eastAsia="Times New Roman" w:hAnsi="Arial" w:cs="Arial"/>
                <w:color w:val="70AD47"/>
                <w:sz w:val="16"/>
                <w:szCs w:val="16"/>
              </w:rPr>
              <w:t> </w:t>
            </w:r>
          </w:p>
        </w:tc>
      </w:tr>
      <w:tr w:rsidR="00D34E74" w:rsidRPr="00A86967" w14:paraId="7A47A828"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B3DE1C0"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1</w:t>
            </w:r>
          </w:p>
        </w:tc>
        <w:tc>
          <w:tcPr>
            <w:tcW w:w="719" w:type="dxa"/>
            <w:tcBorders>
              <w:top w:val="nil"/>
              <w:left w:val="nil"/>
              <w:bottom w:val="single" w:sz="4" w:space="0" w:color="auto"/>
              <w:right w:val="single" w:sz="4" w:space="0" w:color="auto"/>
            </w:tcBorders>
            <w:shd w:val="clear" w:color="auto" w:fill="auto"/>
            <w:noWrap/>
            <w:vAlign w:val="bottom"/>
            <w:hideMark/>
          </w:tcPr>
          <w:p w14:paraId="500A6475"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0.111</w:t>
            </w:r>
          </w:p>
        </w:tc>
        <w:tc>
          <w:tcPr>
            <w:tcW w:w="863" w:type="dxa"/>
            <w:tcBorders>
              <w:top w:val="nil"/>
              <w:left w:val="nil"/>
              <w:bottom w:val="single" w:sz="4" w:space="0" w:color="auto"/>
              <w:right w:val="single" w:sz="4" w:space="0" w:color="auto"/>
            </w:tcBorders>
            <w:shd w:val="clear" w:color="auto" w:fill="auto"/>
            <w:noWrap/>
            <w:vAlign w:val="bottom"/>
            <w:hideMark/>
          </w:tcPr>
          <w:p w14:paraId="39BCB0F3"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1.007</w:t>
            </w:r>
          </w:p>
        </w:tc>
        <w:tc>
          <w:tcPr>
            <w:tcW w:w="836" w:type="dxa"/>
            <w:tcBorders>
              <w:top w:val="nil"/>
              <w:left w:val="nil"/>
              <w:bottom w:val="single" w:sz="4" w:space="0" w:color="auto"/>
              <w:right w:val="single" w:sz="4" w:space="0" w:color="auto"/>
            </w:tcBorders>
            <w:shd w:val="clear" w:color="auto" w:fill="auto"/>
            <w:noWrap/>
            <w:vAlign w:val="bottom"/>
            <w:hideMark/>
          </w:tcPr>
          <w:p w14:paraId="16DD28F4"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0.377</w:t>
            </w:r>
          </w:p>
        </w:tc>
        <w:tc>
          <w:tcPr>
            <w:tcW w:w="778" w:type="dxa"/>
            <w:tcBorders>
              <w:top w:val="nil"/>
              <w:left w:val="nil"/>
              <w:bottom w:val="single" w:sz="4" w:space="0" w:color="auto"/>
              <w:right w:val="single" w:sz="4" w:space="0" w:color="auto"/>
            </w:tcBorders>
            <w:shd w:val="clear" w:color="auto" w:fill="auto"/>
            <w:noWrap/>
            <w:vAlign w:val="bottom"/>
            <w:hideMark/>
          </w:tcPr>
          <w:p w14:paraId="3D78E7D7"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0.944</w:t>
            </w:r>
          </w:p>
        </w:tc>
        <w:tc>
          <w:tcPr>
            <w:tcW w:w="993" w:type="dxa"/>
            <w:tcBorders>
              <w:top w:val="nil"/>
              <w:left w:val="nil"/>
              <w:bottom w:val="single" w:sz="4" w:space="0" w:color="auto"/>
              <w:right w:val="single" w:sz="4" w:space="0" w:color="auto"/>
            </w:tcBorders>
            <w:shd w:val="clear" w:color="auto" w:fill="auto"/>
            <w:noWrap/>
            <w:vAlign w:val="bottom"/>
            <w:hideMark/>
          </w:tcPr>
          <w:p w14:paraId="6262FCB8"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0.201</w:t>
            </w:r>
          </w:p>
        </w:tc>
        <w:tc>
          <w:tcPr>
            <w:tcW w:w="952" w:type="dxa"/>
            <w:tcBorders>
              <w:top w:val="nil"/>
              <w:left w:val="nil"/>
              <w:bottom w:val="single" w:sz="4" w:space="0" w:color="auto"/>
              <w:right w:val="single" w:sz="4" w:space="0" w:color="auto"/>
            </w:tcBorders>
            <w:shd w:val="clear" w:color="auto" w:fill="auto"/>
            <w:noWrap/>
            <w:vAlign w:val="bottom"/>
            <w:hideMark/>
          </w:tcPr>
          <w:p w14:paraId="0A8601FA"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1.022</w:t>
            </w:r>
          </w:p>
        </w:tc>
        <w:tc>
          <w:tcPr>
            <w:tcW w:w="1131" w:type="dxa"/>
            <w:tcBorders>
              <w:top w:val="nil"/>
              <w:left w:val="nil"/>
              <w:bottom w:val="single" w:sz="4" w:space="0" w:color="auto"/>
              <w:right w:val="single" w:sz="4" w:space="0" w:color="auto"/>
            </w:tcBorders>
            <w:shd w:val="clear" w:color="auto" w:fill="auto"/>
            <w:noWrap/>
            <w:vAlign w:val="bottom"/>
            <w:hideMark/>
          </w:tcPr>
          <w:p w14:paraId="52069335"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0.703</w:t>
            </w:r>
          </w:p>
        </w:tc>
        <w:tc>
          <w:tcPr>
            <w:tcW w:w="760" w:type="dxa"/>
            <w:tcBorders>
              <w:top w:val="nil"/>
              <w:left w:val="nil"/>
              <w:bottom w:val="single" w:sz="4" w:space="0" w:color="auto"/>
              <w:right w:val="single" w:sz="4" w:space="0" w:color="auto"/>
            </w:tcBorders>
            <w:shd w:val="clear" w:color="auto" w:fill="auto"/>
            <w:noWrap/>
            <w:vAlign w:val="bottom"/>
            <w:hideMark/>
          </w:tcPr>
          <w:p w14:paraId="614A4BB7"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0.904</w:t>
            </w:r>
          </w:p>
        </w:tc>
      </w:tr>
      <w:tr w:rsidR="00D34E74" w:rsidRPr="00612EC5" w14:paraId="576434E7"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A0B1053"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1a</w:t>
            </w:r>
          </w:p>
        </w:tc>
        <w:tc>
          <w:tcPr>
            <w:tcW w:w="719" w:type="dxa"/>
            <w:tcBorders>
              <w:top w:val="nil"/>
              <w:left w:val="nil"/>
              <w:bottom w:val="single" w:sz="4" w:space="0" w:color="auto"/>
              <w:right w:val="single" w:sz="4" w:space="0" w:color="auto"/>
            </w:tcBorders>
            <w:shd w:val="clear" w:color="auto" w:fill="auto"/>
            <w:noWrap/>
            <w:vAlign w:val="bottom"/>
            <w:hideMark/>
          </w:tcPr>
          <w:p w14:paraId="057E1B7E"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0.079</w:t>
            </w:r>
          </w:p>
        </w:tc>
        <w:tc>
          <w:tcPr>
            <w:tcW w:w="863" w:type="dxa"/>
            <w:tcBorders>
              <w:top w:val="nil"/>
              <w:left w:val="nil"/>
              <w:bottom w:val="single" w:sz="4" w:space="0" w:color="auto"/>
              <w:right w:val="single" w:sz="4" w:space="0" w:color="auto"/>
            </w:tcBorders>
            <w:shd w:val="clear" w:color="auto" w:fill="auto"/>
            <w:noWrap/>
            <w:vAlign w:val="bottom"/>
            <w:hideMark/>
          </w:tcPr>
          <w:p w14:paraId="51F1745C"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1.020</w:t>
            </w:r>
          </w:p>
        </w:tc>
        <w:tc>
          <w:tcPr>
            <w:tcW w:w="836" w:type="dxa"/>
            <w:tcBorders>
              <w:top w:val="nil"/>
              <w:left w:val="nil"/>
              <w:bottom w:val="single" w:sz="4" w:space="0" w:color="auto"/>
              <w:right w:val="single" w:sz="4" w:space="0" w:color="auto"/>
            </w:tcBorders>
            <w:shd w:val="clear" w:color="auto" w:fill="auto"/>
            <w:noWrap/>
            <w:vAlign w:val="bottom"/>
            <w:hideMark/>
          </w:tcPr>
          <w:p w14:paraId="3709C11E"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0.369</w:t>
            </w:r>
          </w:p>
        </w:tc>
        <w:tc>
          <w:tcPr>
            <w:tcW w:w="778" w:type="dxa"/>
            <w:tcBorders>
              <w:top w:val="nil"/>
              <w:left w:val="nil"/>
              <w:bottom w:val="single" w:sz="4" w:space="0" w:color="auto"/>
              <w:right w:val="single" w:sz="4" w:space="0" w:color="auto"/>
            </w:tcBorders>
            <w:shd w:val="clear" w:color="auto" w:fill="auto"/>
            <w:noWrap/>
            <w:vAlign w:val="bottom"/>
            <w:hideMark/>
          </w:tcPr>
          <w:p w14:paraId="0C42719F"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0.949</w:t>
            </w:r>
          </w:p>
        </w:tc>
        <w:tc>
          <w:tcPr>
            <w:tcW w:w="993" w:type="dxa"/>
            <w:tcBorders>
              <w:top w:val="nil"/>
              <w:left w:val="nil"/>
              <w:bottom w:val="single" w:sz="4" w:space="0" w:color="auto"/>
              <w:right w:val="single" w:sz="4" w:space="0" w:color="auto"/>
            </w:tcBorders>
            <w:shd w:val="clear" w:color="auto" w:fill="auto"/>
            <w:noWrap/>
            <w:vAlign w:val="bottom"/>
            <w:hideMark/>
          </w:tcPr>
          <w:p w14:paraId="6C0D8C71"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0.157</w:t>
            </w:r>
          </w:p>
        </w:tc>
        <w:tc>
          <w:tcPr>
            <w:tcW w:w="952" w:type="dxa"/>
            <w:tcBorders>
              <w:top w:val="nil"/>
              <w:left w:val="nil"/>
              <w:bottom w:val="single" w:sz="4" w:space="0" w:color="auto"/>
              <w:right w:val="single" w:sz="4" w:space="0" w:color="auto"/>
            </w:tcBorders>
            <w:shd w:val="clear" w:color="auto" w:fill="auto"/>
            <w:noWrap/>
            <w:vAlign w:val="bottom"/>
            <w:hideMark/>
          </w:tcPr>
          <w:p w14:paraId="5ED1C748"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1.032</w:t>
            </w:r>
          </w:p>
        </w:tc>
        <w:tc>
          <w:tcPr>
            <w:tcW w:w="1131" w:type="dxa"/>
            <w:tcBorders>
              <w:top w:val="nil"/>
              <w:left w:val="nil"/>
              <w:bottom w:val="single" w:sz="4" w:space="0" w:color="auto"/>
              <w:right w:val="single" w:sz="4" w:space="0" w:color="auto"/>
            </w:tcBorders>
            <w:shd w:val="clear" w:color="auto" w:fill="auto"/>
            <w:noWrap/>
            <w:vAlign w:val="bottom"/>
            <w:hideMark/>
          </w:tcPr>
          <w:p w14:paraId="30D6F54A"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0.657</w:t>
            </w:r>
          </w:p>
        </w:tc>
        <w:tc>
          <w:tcPr>
            <w:tcW w:w="760" w:type="dxa"/>
            <w:tcBorders>
              <w:top w:val="nil"/>
              <w:left w:val="nil"/>
              <w:bottom w:val="single" w:sz="4" w:space="0" w:color="auto"/>
              <w:right w:val="single" w:sz="4" w:space="0" w:color="auto"/>
            </w:tcBorders>
            <w:shd w:val="clear" w:color="auto" w:fill="auto"/>
            <w:noWrap/>
            <w:vAlign w:val="bottom"/>
            <w:hideMark/>
          </w:tcPr>
          <w:p w14:paraId="418CF372"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0.908</w:t>
            </w:r>
          </w:p>
        </w:tc>
      </w:tr>
      <w:tr w:rsidR="00D34E74" w:rsidRPr="00A86967" w14:paraId="36627CB2"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A4E6F9D"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1b</w:t>
            </w:r>
          </w:p>
        </w:tc>
        <w:tc>
          <w:tcPr>
            <w:tcW w:w="719" w:type="dxa"/>
            <w:tcBorders>
              <w:top w:val="nil"/>
              <w:left w:val="nil"/>
              <w:bottom w:val="single" w:sz="4" w:space="0" w:color="auto"/>
              <w:right w:val="single" w:sz="4" w:space="0" w:color="auto"/>
            </w:tcBorders>
            <w:shd w:val="clear" w:color="auto" w:fill="auto"/>
            <w:noWrap/>
            <w:vAlign w:val="bottom"/>
            <w:hideMark/>
          </w:tcPr>
          <w:p w14:paraId="6E1CB0E0"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0.123</w:t>
            </w:r>
          </w:p>
        </w:tc>
        <w:tc>
          <w:tcPr>
            <w:tcW w:w="863" w:type="dxa"/>
            <w:tcBorders>
              <w:top w:val="nil"/>
              <w:left w:val="nil"/>
              <w:bottom w:val="single" w:sz="4" w:space="0" w:color="auto"/>
              <w:right w:val="single" w:sz="4" w:space="0" w:color="auto"/>
            </w:tcBorders>
            <w:shd w:val="clear" w:color="auto" w:fill="auto"/>
            <w:noWrap/>
            <w:vAlign w:val="bottom"/>
            <w:hideMark/>
          </w:tcPr>
          <w:p w14:paraId="5DBA6F38"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1.004</w:t>
            </w:r>
          </w:p>
        </w:tc>
        <w:tc>
          <w:tcPr>
            <w:tcW w:w="836" w:type="dxa"/>
            <w:tcBorders>
              <w:top w:val="nil"/>
              <w:left w:val="nil"/>
              <w:bottom w:val="single" w:sz="4" w:space="0" w:color="auto"/>
              <w:right w:val="single" w:sz="4" w:space="0" w:color="auto"/>
            </w:tcBorders>
            <w:shd w:val="clear" w:color="auto" w:fill="auto"/>
            <w:noWrap/>
            <w:vAlign w:val="bottom"/>
            <w:hideMark/>
          </w:tcPr>
          <w:p w14:paraId="54499C45"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0.406</w:t>
            </w:r>
          </w:p>
        </w:tc>
        <w:tc>
          <w:tcPr>
            <w:tcW w:w="778" w:type="dxa"/>
            <w:tcBorders>
              <w:top w:val="nil"/>
              <w:left w:val="nil"/>
              <w:bottom w:val="single" w:sz="4" w:space="0" w:color="auto"/>
              <w:right w:val="single" w:sz="4" w:space="0" w:color="auto"/>
            </w:tcBorders>
            <w:shd w:val="clear" w:color="auto" w:fill="auto"/>
            <w:noWrap/>
            <w:vAlign w:val="bottom"/>
            <w:hideMark/>
          </w:tcPr>
          <w:p w14:paraId="26FCF69C"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0.935</w:t>
            </w:r>
          </w:p>
        </w:tc>
        <w:tc>
          <w:tcPr>
            <w:tcW w:w="993" w:type="dxa"/>
            <w:tcBorders>
              <w:top w:val="nil"/>
              <w:left w:val="nil"/>
              <w:bottom w:val="single" w:sz="4" w:space="0" w:color="auto"/>
              <w:right w:val="single" w:sz="4" w:space="0" w:color="auto"/>
            </w:tcBorders>
            <w:shd w:val="clear" w:color="auto" w:fill="auto"/>
            <w:noWrap/>
            <w:vAlign w:val="bottom"/>
            <w:hideMark/>
          </w:tcPr>
          <w:p w14:paraId="518D7598"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0.204</w:t>
            </w:r>
          </w:p>
        </w:tc>
        <w:tc>
          <w:tcPr>
            <w:tcW w:w="952" w:type="dxa"/>
            <w:tcBorders>
              <w:top w:val="nil"/>
              <w:left w:val="nil"/>
              <w:bottom w:val="single" w:sz="4" w:space="0" w:color="auto"/>
              <w:right w:val="single" w:sz="4" w:space="0" w:color="auto"/>
            </w:tcBorders>
            <w:shd w:val="clear" w:color="auto" w:fill="auto"/>
            <w:noWrap/>
            <w:vAlign w:val="bottom"/>
            <w:hideMark/>
          </w:tcPr>
          <w:p w14:paraId="3AE52787"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1.018</w:t>
            </w:r>
          </w:p>
        </w:tc>
        <w:tc>
          <w:tcPr>
            <w:tcW w:w="1131" w:type="dxa"/>
            <w:tcBorders>
              <w:top w:val="nil"/>
              <w:left w:val="nil"/>
              <w:bottom w:val="single" w:sz="4" w:space="0" w:color="auto"/>
              <w:right w:val="single" w:sz="4" w:space="0" w:color="auto"/>
            </w:tcBorders>
            <w:shd w:val="clear" w:color="auto" w:fill="auto"/>
            <w:noWrap/>
            <w:vAlign w:val="bottom"/>
            <w:hideMark/>
          </w:tcPr>
          <w:p w14:paraId="042A41AF"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0.644</w:t>
            </w:r>
          </w:p>
        </w:tc>
        <w:tc>
          <w:tcPr>
            <w:tcW w:w="760" w:type="dxa"/>
            <w:tcBorders>
              <w:top w:val="nil"/>
              <w:left w:val="nil"/>
              <w:bottom w:val="single" w:sz="4" w:space="0" w:color="auto"/>
              <w:right w:val="single" w:sz="4" w:space="0" w:color="auto"/>
            </w:tcBorders>
            <w:shd w:val="clear" w:color="auto" w:fill="auto"/>
            <w:noWrap/>
            <w:vAlign w:val="bottom"/>
            <w:hideMark/>
          </w:tcPr>
          <w:p w14:paraId="64268FAB"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0.912</w:t>
            </w:r>
          </w:p>
        </w:tc>
      </w:tr>
      <w:tr w:rsidR="00D34E74" w:rsidRPr="00A86967" w14:paraId="17AE2DF3"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7B568FE1"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1c</w:t>
            </w:r>
          </w:p>
        </w:tc>
        <w:tc>
          <w:tcPr>
            <w:tcW w:w="719" w:type="dxa"/>
            <w:tcBorders>
              <w:top w:val="nil"/>
              <w:left w:val="nil"/>
              <w:bottom w:val="single" w:sz="4" w:space="0" w:color="auto"/>
              <w:right w:val="single" w:sz="4" w:space="0" w:color="auto"/>
            </w:tcBorders>
            <w:shd w:val="clear" w:color="auto" w:fill="auto"/>
            <w:noWrap/>
            <w:vAlign w:val="bottom"/>
            <w:hideMark/>
          </w:tcPr>
          <w:p w14:paraId="42DA9510"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0.104</w:t>
            </w:r>
          </w:p>
        </w:tc>
        <w:tc>
          <w:tcPr>
            <w:tcW w:w="863" w:type="dxa"/>
            <w:tcBorders>
              <w:top w:val="nil"/>
              <w:left w:val="nil"/>
              <w:bottom w:val="single" w:sz="4" w:space="0" w:color="auto"/>
              <w:right w:val="single" w:sz="4" w:space="0" w:color="auto"/>
            </w:tcBorders>
            <w:shd w:val="clear" w:color="auto" w:fill="auto"/>
            <w:noWrap/>
            <w:vAlign w:val="bottom"/>
            <w:hideMark/>
          </w:tcPr>
          <w:p w14:paraId="5695570F"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1.013</w:t>
            </w:r>
          </w:p>
        </w:tc>
        <w:tc>
          <w:tcPr>
            <w:tcW w:w="836" w:type="dxa"/>
            <w:tcBorders>
              <w:top w:val="nil"/>
              <w:left w:val="nil"/>
              <w:bottom w:val="single" w:sz="4" w:space="0" w:color="auto"/>
              <w:right w:val="single" w:sz="4" w:space="0" w:color="auto"/>
            </w:tcBorders>
            <w:shd w:val="clear" w:color="auto" w:fill="auto"/>
            <w:noWrap/>
            <w:vAlign w:val="bottom"/>
            <w:hideMark/>
          </w:tcPr>
          <w:p w14:paraId="3A39C8E5"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0.371</w:t>
            </w:r>
          </w:p>
        </w:tc>
        <w:tc>
          <w:tcPr>
            <w:tcW w:w="778" w:type="dxa"/>
            <w:tcBorders>
              <w:top w:val="nil"/>
              <w:left w:val="nil"/>
              <w:bottom w:val="single" w:sz="4" w:space="0" w:color="auto"/>
              <w:right w:val="single" w:sz="4" w:space="0" w:color="auto"/>
            </w:tcBorders>
            <w:shd w:val="clear" w:color="auto" w:fill="auto"/>
            <w:noWrap/>
            <w:vAlign w:val="bottom"/>
            <w:hideMark/>
          </w:tcPr>
          <w:p w14:paraId="55DCC8FD"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0.951</w:t>
            </w:r>
          </w:p>
        </w:tc>
        <w:tc>
          <w:tcPr>
            <w:tcW w:w="993" w:type="dxa"/>
            <w:tcBorders>
              <w:top w:val="nil"/>
              <w:left w:val="nil"/>
              <w:bottom w:val="single" w:sz="4" w:space="0" w:color="auto"/>
              <w:right w:val="single" w:sz="4" w:space="0" w:color="auto"/>
            </w:tcBorders>
            <w:shd w:val="clear" w:color="auto" w:fill="auto"/>
            <w:noWrap/>
            <w:vAlign w:val="bottom"/>
            <w:hideMark/>
          </w:tcPr>
          <w:p w14:paraId="12177CE9"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0.203</w:t>
            </w:r>
          </w:p>
        </w:tc>
        <w:tc>
          <w:tcPr>
            <w:tcW w:w="952" w:type="dxa"/>
            <w:tcBorders>
              <w:top w:val="nil"/>
              <w:left w:val="nil"/>
              <w:bottom w:val="single" w:sz="4" w:space="0" w:color="auto"/>
              <w:right w:val="single" w:sz="4" w:space="0" w:color="auto"/>
            </w:tcBorders>
            <w:shd w:val="clear" w:color="auto" w:fill="auto"/>
            <w:noWrap/>
            <w:vAlign w:val="bottom"/>
            <w:hideMark/>
          </w:tcPr>
          <w:p w14:paraId="2A1FB8CF"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1.026</w:t>
            </w:r>
          </w:p>
        </w:tc>
        <w:tc>
          <w:tcPr>
            <w:tcW w:w="1131" w:type="dxa"/>
            <w:tcBorders>
              <w:top w:val="nil"/>
              <w:left w:val="nil"/>
              <w:bottom w:val="single" w:sz="4" w:space="0" w:color="auto"/>
              <w:right w:val="single" w:sz="4" w:space="0" w:color="auto"/>
            </w:tcBorders>
            <w:shd w:val="clear" w:color="auto" w:fill="auto"/>
            <w:noWrap/>
            <w:vAlign w:val="bottom"/>
            <w:hideMark/>
          </w:tcPr>
          <w:p w14:paraId="1E019F97"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0.748</w:t>
            </w:r>
          </w:p>
        </w:tc>
        <w:tc>
          <w:tcPr>
            <w:tcW w:w="760" w:type="dxa"/>
            <w:tcBorders>
              <w:top w:val="nil"/>
              <w:left w:val="nil"/>
              <w:bottom w:val="single" w:sz="4" w:space="0" w:color="auto"/>
              <w:right w:val="single" w:sz="4" w:space="0" w:color="auto"/>
            </w:tcBorders>
            <w:shd w:val="clear" w:color="auto" w:fill="auto"/>
            <w:noWrap/>
            <w:vAlign w:val="bottom"/>
            <w:hideMark/>
          </w:tcPr>
          <w:p w14:paraId="3F5414C9"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0.900</w:t>
            </w:r>
          </w:p>
        </w:tc>
      </w:tr>
      <w:tr w:rsidR="00D34E74" w:rsidRPr="00A86967" w14:paraId="50AA66D5" w14:textId="77777777" w:rsidTr="000B3157">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0258F55"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2</w:t>
            </w:r>
          </w:p>
        </w:tc>
        <w:tc>
          <w:tcPr>
            <w:tcW w:w="719" w:type="dxa"/>
            <w:tcBorders>
              <w:top w:val="nil"/>
              <w:left w:val="nil"/>
              <w:bottom w:val="single" w:sz="4" w:space="0" w:color="auto"/>
              <w:right w:val="single" w:sz="4" w:space="0" w:color="auto"/>
            </w:tcBorders>
            <w:shd w:val="clear" w:color="auto" w:fill="auto"/>
            <w:noWrap/>
            <w:vAlign w:val="bottom"/>
            <w:hideMark/>
          </w:tcPr>
          <w:p w14:paraId="0BF8715F"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0.076</w:t>
            </w:r>
          </w:p>
        </w:tc>
        <w:tc>
          <w:tcPr>
            <w:tcW w:w="863" w:type="dxa"/>
            <w:tcBorders>
              <w:top w:val="nil"/>
              <w:left w:val="nil"/>
              <w:bottom w:val="single" w:sz="4" w:space="0" w:color="auto"/>
              <w:right w:val="single" w:sz="4" w:space="0" w:color="auto"/>
            </w:tcBorders>
            <w:shd w:val="clear" w:color="auto" w:fill="auto"/>
            <w:noWrap/>
            <w:vAlign w:val="bottom"/>
            <w:hideMark/>
          </w:tcPr>
          <w:p w14:paraId="5521F38C"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1.002</w:t>
            </w:r>
          </w:p>
        </w:tc>
        <w:tc>
          <w:tcPr>
            <w:tcW w:w="836" w:type="dxa"/>
            <w:tcBorders>
              <w:top w:val="nil"/>
              <w:left w:val="nil"/>
              <w:bottom w:val="single" w:sz="4" w:space="0" w:color="auto"/>
              <w:right w:val="single" w:sz="4" w:space="0" w:color="auto"/>
            </w:tcBorders>
            <w:shd w:val="clear" w:color="auto" w:fill="auto"/>
            <w:noWrap/>
            <w:vAlign w:val="bottom"/>
            <w:hideMark/>
          </w:tcPr>
          <w:p w14:paraId="128917E1"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0.367</w:t>
            </w:r>
          </w:p>
        </w:tc>
        <w:tc>
          <w:tcPr>
            <w:tcW w:w="778" w:type="dxa"/>
            <w:tcBorders>
              <w:top w:val="nil"/>
              <w:left w:val="nil"/>
              <w:bottom w:val="single" w:sz="4" w:space="0" w:color="auto"/>
              <w:right w:val="single" w:sz="4" w:space="0" w:color="auto"/>
            </w:tcBorders>
            <w:shd w:val="clear" w:color="auto" w:fill="auto"/>
            <w:noWrap/>
            <w:vAlign w:val="bottom"/>
            <w:hideMark/>
          </w:tcPr>
          <w:p w14:paraId="3065DA4C"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0.932</w:t>
            </w:r>
          </w:p>
        </w:tc>
        <w:tc>
          <w:tcPr>
            <w:tcW w:w="993" w:type="dxa"/>
            <w:tcBorders>
              <w:top w:val="nil"/>
              <w:left w:val="nil"/>
              <w:bottom w:val="single" w:sz="4" w:space="0" w:color="auto"/>
              <w:right w:val="single" w:sz="4" w:space="0" w:color="auto"/>
            </w:tcBorders>
            <w:shd w:val="clear" w:color="auto" w:fill="auto"/>
            <w:noWrap/>
            <w:vAlign w:val="bottom"/>
            <w:hideMark/>
          </w:tcPr>
          <w:p w14:paraId="4E745AFE"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0.174</w:t>
            </w:r>
          </w:p>
        </w:tc>
        <w:tc>
          <w:tcPr>
            <w:tcW w:w="952" w:type="dxa"/>
            <w:tcBorders>
              <w:top w:val="nil"/>
              <w:left w:val="nil"/>
              <w:bottom w:val="single" w:sz="4" w:space="0" w:color="auto"/>
              <w:right w:val="single" w:sz="4" w:space="0" w:color="auto"/>
            </w:tcBorders>
            <w:shd w:val="clear" w:color="auto" w:fill="auto"/>
            <w:noWrap/>
            <w:vAlign w:val="bottom"/>
            <w:hideMark/>
          </w:tcPr>
          <w:p w14:paraId="60D3A3C1"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1.016</w:t>
            </w:r>
          </w:p>
        </w:tc>
        <w:tc>
          <w:tcPr>
            <w:tcW w:w="1131" w:type="dxa"/>
            <w:tcBorders>
              <w:top w:val="nil"/>
              <w:left w:val="nil"/>
              <w:bottom w:val="single" w:sz="4" w:space="0" w:color="auto"/>
              <w:right w:val="single" w:sz="4" w:space="0" w:color="auto"/>
            </w:tcBorders>
            <w:shd w:val="clear" w:color="auto" w:fill="auto"/>
            <w:noWrap/>
            <w:vAlign w:val="bottom"/>
            <w:hideMark/>
          </w:tcPr>
          <w:p w14:paraId="3F1C3D03" w14:textId="273FB327" w:rsidR="00D34E74" w:rsidRPr="000B3157" w:rsidRDefault="00FB3D4C" w:rsidP="00612EC5">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0.722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95D704F"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0.880</w:t>
            </w:r>
          </w:p>
        </w:tc>
      </w:tr>
      <w:tr w:rsidR="00D34E74" w:rsidRPr="000B3157" w14:paraId="6ABF9879"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437D4F1" w14:textId="77777777" w:rsidR="00D34E74" w:rsidRPr="00612EC5" w:rsidRDefault="00D34E74" w:rsidP="000A39F0">
            <w:pPr>
              <w:spacing w:after="0" w:line="240" w:lineRule="auto"/>
              <w:rPr>
                <w:rFonts w:ascii="Arial" w:eastAsia="Times New Roman" w:hAnsi="Arial" w:cs="Arial"/>
                <w:sz w:val="16"/>
                <w:szCs w:val="16"/>
              </w:rPr>
            </w:pPr>
            <w:r w:rsidRPr="00612EC5">
              <w:rPr>
                <w:rFonts w:ascii="Arial" w:eastAsia="Times New Roman" w:hAnsi="Arial" w:cs="Arial"/>
                <w:sz w:val="16"/>
                <w:szCs w:val="16"/>
              </w:rPr>
              <w:t>3</w:t>
            </w:r>
          </w:p>
        </w:tc>
        <w:tc>
          <w:tcPr>
            <w:tcW w:w="719" w:type="dxa"/>
            <w:tcBorders>
              <w:top w:val="nil"/>
              <w:left w:val="nil"/>
              <w:bottom w:val="single" w:sz="4" w:space="0" w:color="auto"/>
              <w:right w:val="single" w:sz="4" w:space="0" w:color="auto"/>
            </w:tcBorders>
            <w:shd w:val="clear" w:color="auto" w:fill="auto"/>
            <w:noWrap/>
            <w:vAlign w:val="bottom"/>
            <w:hideMark/>
          </w:tcPr>
          <w:p w14:paraId="5CF0FA0A"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0.115</w:t>
            </w:r>
          </w:p>
        </w:tc>
        <w:tc>
          <w:tcPr>
            <w:tcW w:w="863" w:type="dxa"/>
            <w:tcBorders>
              <w:top w:val="nil"/>
              <w:left w:val="nil"/>
              <w:bottom w:val="single" w:sz="4" w:space="0" w:color="auto"/>
              <w:right w:val="single" w:sz="4" w:space="0" w:color="auto"/>
            </w:tcBorders>
            <w:shd w:val="clear" w:color="auto" w:fill="auto"/>
            <w:noWrap/>
            <w:vAlign w:val="bottom"/>
            <w:hideMark/>
          </w:tcPr>
          <w:p w14:paraId="23B53F54"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1.007</w:t>
            </w:r>
          </w:p>
        </w:tc>
        <w:tc>
          <w:tcPr>
            <w:tcW w:w="836" w:type="dxa"/>
            <w:tcBorders>
              <w:top w:val="nil"/>
              <w:left w:val="nil"/>
              <w:bottom w:val="single" w:sz="4" w:space="0" w:color="auto"/>
              <w:right w:val="single" w:sz="4" w:space="0" w:color="auto"/>
            </w:tcBorders>
            <w:shd w:val="clear" w:color="auto" w:fill="auto"/>
            <w:noWrap/>
            <w:vAlign w:val="bottom"/>
            <w:hideMark/>
          </w:tcPr>
          <w:p w14:paraId="7B4B505B"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0.320</w:t>
            </w:r>
          </w:p>
        </w:tc>
        <w:tc>
          <w:tcPr>
            <w:tcW w:w="778" w:type="dxa"/>
            <w:tcBorders>
              <w:top w:val="nil"/>
              <w:left w:val="nil"/>
              <w:bottom w:val="single" w:sz="4" w:space="0" w:color="auto"/>
              <w:right w:val="single" w:sz="4" w:space="0" w:color="auto"/>
            </w:tcBorders>
            <w:shd w:val="clear" w:color="auto" w:fill="auto"/>
            <w:noWrap/>
            <w:vAlign w:val="bottom"/>
            <w:hideMark/>
          </w:tcPr>
          <w:p w14:paraId="1356A0E8" w14:textId="77777777" w:rsidR="00D34E74" w:rsidRPr="00612EC5" w:rsidRDefault="00D34E74" w:rsidP="000A39F0">
            <w:pPr>
              <w:spacing w:after="0" w:line="240" w:lineRule="auto"/>
              <w:jc w:val="right"/>
              <w:rPr>
                <w:rFonts w:ascii="Arial" w:eastAsia="Times New Roman" w:hAnsi="Arial" w:cs="Arial"/>
                <w:color w:val="5B9BD5"/>
                <w:sz w:val="16"/>
                <w:szCs w:val="16"/>
              </w:rPr>
            </w:pPr>
            <w:r w:rsidRPr="00612EC5">
              <w:rPr>
                <w:rFonts w:ascii="Arial" w:eastAsia="Times New Roman" w:hAnsi="Arial" w:cs="Arial"/>
                <w:color w:val="5B9BD5"/>
                <w:sz w:val="16"/>
                <w:szCs w:val="16"/>
              </w:rPr>
              <w:t>0.956</w:t>
            </w:r>
          </w:p>
        </w:tc>
        <w:tc>
          <w:tcPr>
            <w:tcW w:w="993" w:type="dxa"/>
            <w:tcBorders>
              <w:top w:val="nil"/>
              <w:left w:val="nil"/>
              <w:bottom w:val="single" w:sz="4" w:space="0" w:color="auto"/>
              <w:right w:val="single" w:sz="4" w:space="0" w:color="auto"/>
            </w:tcBorders>
            <w:shd w:val="clear" w:color="auto" w:fill="auto"/>
            <w:noWrap/>
            <w:vAlign w:val="bottom"/>
            <w:hideMark/>
          </w:tcPr>
          <w:p w14:paraId="7D67A2D8"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0.215</w:t>
            </w:r>
          </w:p>
        </w:tc>
        <w:tc>
          <w:tcPr>
            <w:tcW w:w="952" w:type="dxa"/>
            <w:tcBorders>
              <w:top w:val="nil"/>
              <w:left w:val="nil"/>
              <w:bottom w:val="single" w:sz="4" w:space="0" w:color="auto"/>
              <w:right w:val="single" w:sz="4" w:space="0" w:color="auto"/>
            </w:tcBorders>
            <w:shd w:val="clear" w:color="auto" w:fill="auto"/>
            <w:noWrap/>
            <w:vAlign w:val="bottom"/>
            <w:hideMark/>
          </w:tcPr>
          <w:p w14:paraId="0BDF2C03"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1.019</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0BA8262A"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0.642</w:t>
            </w:r>
          </w:p>
        </w:tc>
        <w:tc>
          <w:tcPr>
            <w:tcW w:w="760" w:type="dxa"/>
            <w:tcBorders>
              <w:top w:val="nil"/>
              <w:left w:val="nil"/>
              <w:bottom w:val="single" w:sz="4" w:space="0" w:color="auto"/>
              <w:right w:val="single" w:sz="4" w:space="0" w:color="auto"/>
            </w:tcBorders>
            <w:shd w:val="clear" w:color="auto" w:fill="auto"/>
            <w:noWrap/>
            <w:vAlign w:val="bottom"/>
            <w:hideMark/>
          </w:tcPr>
          <w:p w14:paraId="4CCCE024" w14:textId="77777777" w:rsidR="00D34E74" w:rsidRPr="00612EC5" w:rsidRDefault="00D34E74" w:rsidP="000A39F0">
            <w:pPr>
              <w:spacing w:after="0" w:line="240" w:lineRule="auto"/>
              <w:jc w:val="right"/>
              <w:rPr>
                <w:rFonts w:ascii="Arial" w:eastAsia="Times New Roman" w:hAnsi="Arial" w:cs="Arial"/>
                <w:color w:val="70AD47"/>
                <w:sz w:val="16"/>
                <w:szCs w:val="16"/>
              </w:rPr>
            </w:pPr>
            <w:r w:rsidRPr="00612EC5">
              <w:rPr>
                <w:rFonts w:ascii="Arial" w:eastAsia="Times New Roman" w:hAnsi="Arial" w:cs="Arial"/>
                <w:color w:val="70AD47"/>
                <w:sz w:val="16"/>
                <w:szCs w:val="16"/>
              </w:rPr>
              <w:t>0.911</w:t>
            </w:r>
          </w:p>
        </w:tc>
      </w:tr>
      <w:tr w:rsidR="00D34E74" w:rsidRPr="00A86967" w14:paraId="2EF892B8"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53493A2A"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4</w:t>
            </w:r>
          </w:p>
        </w:tc>
        <w:tc>
          <w:tcPr>
            <w:tcW w:w="719" w:type="dxa"/>
            <w:tcBorders>
              <w:top w:val="nil"/>
              <w:left w:val="nil"/>
              <w:bottom w:val="single" w:sz="4" w:space="0" w:color="auto"/>
              <w:right w:val="single" w:sz="4" w:space="0" w:color="auto"/>
            </w:tcBorders>
            <w:shd w:val="clear" w:color="auto" w:fill="auto"/>
            <w:noWrap/>
            <w:vAlign w:val="bottom"/>
            <w:hideMark/>
          </w:tcPr>
          <w:p w14:paraId="3B493FC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0.117</w:t>
            </w:r>
          </w:p>
        </w:tc>
        <w:tc>
          <w:tcPr>
            <w:tcW w:w="863" w:type="dxa"/>
            <w:tcBorders>
              <w:top w:val="nil"/>
              <w:left w:val="nil"/>
              <w:bottom w:val="single" w:sz="4" w:space="0" w:color="auto"/>
              <w:right w:val="single" w:sz="4" w:space="0" w:color="auto"/>
            </w:tcBorders>
            <w:shd w:val="clear" w:color="auto" w:fill="auto"/>
            <w:noWrap/>
            <w:vAlign w:val="bottom"/>
            <w:hideMark/>
          </w:tcPr>
          <w:p w14:paraId="0420FCC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0.997</w:t>
            </w:r>
          </w:p>
        </w:tc>
        <w:tc>
          <w:tcPr>
            <w:tcW w:w="836" w:type="dxa"/>
            <w:tcBorders>
              <w:top w:val="nil"/>
              <w:left w:val="nil"/>
              <w:bottom w:val="single" w:sz="4" w:space="0" w:color="auto"/>
              <w:right w:val="single" w:sz="4" w:space="0" w:color="auto"/>
            </w:tcBorders>
            <w:shd w:val="clear" w:color="auto" w:fill="auto"/>
            <w:noWrap/>
            <w:vAlign w:val="bottom"/>
            <w:hideMark/>
          </w:tcPr>
          <w:p w14:paraId="008D3FD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0.283</w:t>
            </w:r>
          </w:p>
        </w:tc>
        <w:tc>
          <w:tcPr>
            <w:tcW w:w="778" w:type="dxa"/>
            <w:tcBorders>
              <w:top w:val="nil"/>
              <w:left w:val="nil"/>
              <w:bottom w:val="single" w:sz="4" w:space="0" w:color="auto"/>
              <w:right w:val="single" w:sz="4" w:space="0" w:color="auto"/>
            </w:tcBorders>
            <w:shd w:val="clear" w:color="auto" w:fill="auto"/>
            <w:noWrap/>
            <w:vAlign w:val="bottom"/>
            <w:hideMark/>
          </w:tcPr>
          <w:p w14:paraId="45D62E9C"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0.955</w:t>
            </w:r>
          </w:p>
        </w:tc>
        <w:tc>
          <w:tcPr>
            <w:tcW w:w="993" w:type="dxa"/>
            <w:tcBorders>
              <w:top w:val="nil"/>
              <w:left w:val="nil"/>
              <w:bottom w:val="single" w:sz="4" w:space="0" w:color="auto"/>
              <w:right w:val="single" w:sz="4" w:space="0" w:color="auto"/>
            </w:tcBorders>
            <w:shd w:val="clear" w:color="auto" w:fill="auto"/>
            <w:noWrap/>
            <w:vAlign w:val="bottom"/>
            <w:hideMark/>
          </w:tcPr>
          <w:p w14:paraId="44C6EFEA"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0.213</w:t>
            </w:r>
          </w:p>
        </w:tc>
        <w:tc>
          <w:tcPr>
            <w:tcW w:w="952" w:type="dxa"/>
            <w:tcBorders>
              <w:top w:val="nil"/>
              <w:left w:val="nil"/>
              <w:bottom w:val="single" w:sz="4" w:space="0" w:color="auto"/>
              <w:right w:val="single" w:sz="4" w:space="0" w:color="auto"/>
            </w:tcBorders>
            <w:shd w:val="clear" w:color="auto" w:fill="auto"/>
            <w:noWrap/>
            <w:vAlign w:val="bottom"/>
            <w:hideMark/>
          </w:tcPr>
          <w:p w14:paraId="1EEEAFC3"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1.003</w:t>
            </w:r>
          </w:p>
        </w:tc>
        <w:tc>
          <w:tcPr>
            <w:tcW w:w="1131" w:type="dxa"/>
            <w:tcBorders>
              <w:top w:val="nil"/>
              <w:left w:val="nil"/>
              <w:bottom w:val="single" w:sz="4" w:space="0" w:color="auto"/>
              <w:right w:val="single" w:sz="4" w:space="0" w:color="auto"/>
            </w:tcBorders>
            <w:shd w:val="clear" w:color="auto" w:fill="auto"/>
            <w:noWrap/>
            <w:vAlign w:val="bottom"/>
            <w:hideMark/>
          </w:tcPr>
          <w:p w14:paraId="45D997D1"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0.558</w:t>
            </w:r>
          </w:p>
        </w:tc>
        <w:tc>
          <w:tcPr>
            <w:tcW w:w="760" w:type="dxa"/>
            <w:tcBorders>
              <w:top w:val="nil"/>
              <w:left w:val="nil"/>
              <w:bottom w:val="single" w:sz="4" w:space="0" w:color="auto"/>
              <w:right w:val="single" w:sz="4" w:space="0" w:color="auto"/>
            </w:tcBorders>
            <w:shd w:val="clear" w:color="auto" w:fill="auto"/>
            <w:noWrap/>
            <w:vAlign w:val="bottom"/>
            <w:hideMark/>
          </w:tcPr>
          <w:p w14:paraId="47A20DCF"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0.916</w:t>
            </w:r>
          </w:p>
        </w:tc>
      </w:tr>
      <w:tr w:rsidR="00D34E74" w:rsidRPr="00A86967" w14:paraId="259D7581"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121727D"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5</w:t>
            </w:r>
          </w:p>
        </w:tc>
        <w:tc>
          <w:tcPr>
            <w:tcW w:w="719" w:type="dxa"/>
            <w:tcBorders>
              <w:top w:val="nil"/>
              <w:left w:val="nil"/>
              <w:bottom w:val="single" w:sz="4" w:space="0" w:color="auto"/>
              <w:right w:val="single" w:sz="4" w:space="0" w:color="auto"/>
            </w:tcBorders>
            <w:shd w:val="clear" w:color="auto" w:fill="auto"/>
            <w:noWrap/>
            <w:vAlign w:val="bottom"/>
            <w:hideMark/>
          </w:tcPr>
          <w:p w14:paraId="4B31F07D"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0.100</w:t>
            </w:r>
          </w:p>
        </w:tc>
        <w:tc>
          <w:tcPr>
            <w:tcW w:w="863" w:type="dxa"/>
            <w:tcBorders>
              <w:top w:val="nil"/>
              <w:left w:val="nil"/>
              <w:bottom w:val="single" w:sz="4" w:space="0" w:color="auto"/>
              <w:right w:val="single" w:sz="4" w:space="0" w:color="auto"/>
            </w:tcBorders>
            <w:shd w:val="clear" w:color="auto" w:fill="auto"/>
            <w:noWrap/>
            <w:vAlign w:val="bottom"/>
            <w:hideMark/>
          </w:tcPr>
          <w:p w14:paraId="55E3C566"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1.009</w:t>
            </w:r>
          </w:p>
        </w:tc>
        <w:tc>
          <w:tcPr>
            <w:tcW w:w="836" w:type="dxa"/>
            <w:tcBorders>
              <w:top w:val="nil"/>
              <w:left w:val="nil"/>
              <w:bottom w:val="single" w:sz="4" w:space="0" w:color="auto"/>
              <w:right w:val="single" w:sz="4" w:space="0" w:color="auto"/>
            </w:tcBorders>
            <w:shd w:val="clear" w:color="auto" w:fill="auto"/>
            <w:noWrap/>
            <w:vAlign w:val="bottom"/>
            <w:hideMark/>
          </w:tcPr>
          <w:p w14:paraId="1E18B9A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0.237</w:t>
            </w:r>
          </w:p>
        </w:tc>
        <w:tc>
          <w:tcPr>
            <w:tcW w:w="778" w:type="dxa"/>
            <w:tcBorders>
              <w:top w:val="nil"/>
              <w:left w:val="nil"/>
              <w:bottom w:val="single" w:sz="4" w:space="0" w:color="auto"/>
              <w:right w:val="single" w:sz="4" w:space="0" w:color="auto"/>
            </w:tcBorders>
            <w:shd w:val="clear" w:color="auto" w:fill="auto"/>
            <w:noWrap/>
            <w:vAlign w:val="bottom"/>
            <w:hideMark/>
          </w:tcPr>
          <w:p w14:paraId="35977FE8"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0.976</w:t>
            </w:r>
          </w:p>
        </w:tc>
        <w:tc>
          <w:tcPr>
            <w:tcW w:w="993" w:type="dxa"/>
            <w:tcBorders>
              <w:top w:val="nil"/>
              <w:left w:val="nil"/>
              <w:bottom w:val="single" w:sz="4" w:space="0" w:color="auto"/>
              <w:right w:val="single" w:sz="4" w:space="0" w:color="auto"/>
            </w:tcBorders>
            <w:shd w:val="clear" w:color="auto" w:fill="auto"/>
            <w:noWrap/>
            <w:vAlign w:val="bottom"/>
            <w:hideMark/>
          </w:tcPr>
          <w:p w14:paraId="1012B642"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0.215</w:t>
            </w:r>
          </w:p>
        </w:tc>
        <w:tc>
          <w:tcPr>
            <w:tcW w:w="952" w:type="dxa"/>
            <w:tcBorders>
              <w:top w:val="nil"/>
              <w:left w:val="nil"/>
              <w:bottom w:val="single" w:sz="4" w:space="0" w:color="auto"/>
              <w:right w:val="single" w:sz="4" w:space="0" w:color="auto"/>
            </w:tcBorders>
            <w:shd w:val="clear" w:color="auto" w:fill="auto"/>
            <w:noWrap/>
            <w:vAlign w:val="bottom"/>
            <w:hideMark/>
          </w:tcPr>
          <w:p w14:paraId="38E6C6B0"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1.006</w:t>
            </w:r>
          </w:p>
        </w:tc>
        <w:tc>
          <w:tcPr>
            <w:tcW w:w="1131" w:type="dxa"/>
            <w:tcBorders>
              <w:top w:val="nil"/>
              <w:left w:val="nil"/>
              <w:bottom w:val="single" w:sz="4" w:space="0" w:color="auto"/>
              <w:right w:val="single" w:sz="4" w:space="0" w:color="auto"/>
            </w:tcBorders>
            <w:shd w:val="clear" w:color="auto" w:fill="auto"/>
            <w:noWrap/>
            <w:vAlign w:val="bottom"/>
            <w:hideMark/>
          </w:tcPr>
          <w:p w14:paraId="08611712"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0.377</w:t>
            </w:r>
          </w:p>
        </w:tc>
        <w:tc>
          <w:tcPr>
            <w:tcW w:w="760" w:type="dxa"/>
            <w:tcBorders>
              <w:top w:val="nil"/>
              <w:left w:val="nil"/>
              <w:bottom w:val="single" w:sz="4" w:space="0" w:color="auto"/>
              <w:right w:val="single" w:sz="4" w:space="0" w:color="auto"/>
            </w:tcBorders>
            <w:shd w:val="clear" w:color="auto" w:fill="auto"/>
            <w:noWrap/>
            <w:vAlign w:val="bottom"/>
            <w:hideMark/>
          </w:tcPr>
          <w:p w14:paraId="0FBECBCF"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0.968</w:t>
            </w:r>
          </w:p>
        </w:tc>
      </w:tr>
      <w:tr w:rsidR="00D34E74" w:rsidRPr="00A86967" w14:paraId="2329BFAC"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4B19D46"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5b</w:t>
            </w:r>
          </w:p>
        </w:tc>
        <w:tc>
          <w:tcPr>
            <w:tcW w:w="719" w:type="dxa"/>
            <w:tcBorders>
              <w:top w:val="nil"/>
              <w:left w:val="nil"/>
              <w:bottom w:val="single" w:sz="4" w:space="0" w:color="auto"/>
              <w:right w:val="single" w:sz="4" w:space="0" w:color="auto"/>
            </w:tcBorders>
            <w:shd w:val="clear" w:color="auto" w:fill="auto"/>
            <w:noWrap/>
            <w:vAlign w:val="bottom"/>
            <w:hideMark/>
          </w:tcPr>
          <w:p w14:paraId="4CEB3DE0"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0.100</w:t>
            </w:r>
          </w:p>
        </w:tc>
        <w:tc>
          <w:tcPr>
            <w:tcW w:w="863" w:type="dxa"/>
            <w:tcBorders>
              <w:top w:val="nil"/>
              <w:left w:val="nil"/>
              <w:bottom w:val="single" w:sz="4" w:space="0" w:color="auto"/>
              <w:right w:val="single" w:sz="4" w:space="0" w:color="auto"/>
            </w:tcBorders>
            <w:shd w:val="clear" w:color="auto" w:fill="auto"/>
            <w:noWrap/>
            <w:vAlign w:val="bottom"/>
            <w:hideMark/>
          </w:tcPr>
          <w:p w14:paraId="77B1A419"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1.009</w:t>
            </w:r>
          </w:p>
        </w:tc>
        <w:tc>
          <w:tcPr>
            <w:tcW w:w="836" w:type="dxa"/>
            <w:tcBorders>
              <w:top w:val="nil"/>
              <w:left w:val="nil"/>
              <w:bottom w:val="single" w:sz="4" w:space="0" w:color="auto"/>
              <w:right w:val="single" w:sz="4" w:space="0" w:color="auto"/>
            </w:tcBorders>
            <w:shd w:val="clear" w:color="auto" w:fill="auto"/>
            <w:noWrap/>
            <w:vAlign w:val="bottom"/>
            <w:hideMark/>
          </w:tcPr>
          <w:p w14:paraId="74F1383B"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0.279</w:t>
            </w:r>
          </w:p>
        </w:tc>
        <w:tc>
          <w:tcPr>
            <w:tcW w:w="778" w:type="dxa"/>
            <w:tcBorders>
              <w:top w:val="nil"/>
              <w:left w:val="nil"/>
              <w:bottom w:val="single" w:sz="4" w:space="0" w:color="auto"/>
              <w:right w:val="single" w:sz="4" w:space="0" w:color="auto"/>
            </w:tcBorders>
            <w:shd w:val="clear" w:color="auto" w:fill="auto"/>
            <w:noWrap/>
            <w:vAlign w:val="bottom"/>
            <w:hideMark/>
          </w:tcPr>
          <w:p w14:paraId="65073807"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0.963</w:t>
            </w:r>
          </w:p>
        </w:tc>
        <w:tc>
          <w:tcPr>
            <w:tcW w:w="993" w:type="dxa"/>
            <w:tcBorders>
              <w:top w:val="nil"/>
              <w:left w:val="nil"/>
              <w:bottom w:val="single" w:sz="4" w:space="0" w:color="auto"/>
              <w:right w:val="single" w:sz="4" w:space="0" w:color="auto"/>
            </w:tcBorders>
            <w:shd w:val="clear" w:color="auto" w:fill="auto"/>
            <w:noWrap/>
            <w:vAlign w:val="bottom"/>
            <w:hideMark/>
          </w:tcPr>
          <w:p w14:paraId="60FD437A"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0.238</w:t>
            </w:r>
          </w:p>
        </w:tc>
        <w:tc>
          <w:tcPr>
            <w:tcW w:w="952" w:type="dxa"/>
            <w:tcBorders>
              <w:top w:val="nil"/>
              <w:left w:val="nil"/>
              <w:bottom w:val="single" w:sz="4" w:space="0" w:color="auto"/>
              <w:right w:val="single" w:sz="4" w:space="0" w:color="auto"/>
            </w:tcBorders>
            <w:shd w:val="clear" w:color="auto" w:fill="auto"/>
            <w:noWrap/>
            <w:vAlign w:val="bottom"/>
            <w:hideMark/>
          </w:tcPr>
          <w:p w14:paraId="6F127E7A"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1.006</w:t>
            </w:r>
          </w:p>
        </w:tc>
        <w:tc>
          <w:tcPr>
            <w:tcW w:w="1131" w:type="dxa"/>
            <w:tcBorders>
              <w:top w:val="nil"/>
              <w:left w:val="nil"/>
              <w:bottom w:val="single" w:sz="4" w:space="0" w:color="auto"/>
              <w:right w:val="single" w:sz="4" w:space="0" w:color="auto"/>
            </w:tcBorders>
            <w:shd w:val="clear" w:color="auto" w:fill="auto"/>
            <w:noWrap/>
            <w:vAlign w:val="bottom"/>
            <w:hideMark/>
          </w:tcPr>
          <w:p w14:paraId="338B0263"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0.468</w:t>
            </w:r>
          </w:p>
        </w:tc>
        <w:tc>
          <w:tcPr>
            <w:tcW w:w="760" w:type="dxa"/>
            <w:tcBorders>
              <w:top w:val="nil"/>
              <w:left w:val="nil"/>
              <w:bottom w:val="single" w:sz="4" w:space="0" w:color="auto"/>
              <w:right w:val="single" w:sz="4" w:space="0" w:color="auto"/>
            </w:tcBorders>
            <w:shd w:val="clear" w:color="auto" w:fill="auto"/>
            <w:noWrap/>
            <w:vAlign w:val="bottom"/>
            <w:hideMark/>
          </w:tcPr>
          <w:p w14:paraId="76E75160"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0.948</w:t>
            </w:r>
          </w:p>
        </w:tc>
      </w:tr>
      <w:tr w:rsidR="00D34E74" w:rsidRPr="00A86967" w14:paraId="483F7AB2"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3AADD43"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719" w:type="dxa"/>
            <w:tcBorders>
              <w:top w:val="nil"/>
              <w:left w:val="nil"/>
              <w:bottom w:val="single" w:sz="4" w:space="0" w:color="auto"/>
              <w:right w:val="single" w:sz="4" w:space="0" w:color="auto"/>
            </w:tcBorders>
            <w:shd w:val="clear" w:color="auto" w:fill="auto"/>
            <w:noWrap/>
            <w:vAlign w:val="bottom"/>
            <w:hideMark/>
          </w:tcPr>
          <w:p w14:paraId="1CF71A86"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863" w:type="dxa"/>
            <w:tcBorders>
              <w:top w:val="nil"/>
              <w:left w:val="nil"/>
              <w:bottom w:val="single" w:sz="4" w:space="0" w:color="auto"/>
              <w:right w:val="single" w:sz="4" w:space="0" w:color="auto"/>
            </w:tcBorders>
            <w:shd w:val="clear" w:color="auto" w:fill="auto"/>
            <w:noWrap/>
            <w:vAlign w:val="bottom"/>
            <w:hideMark/>
          </w:tcPr>
          <w:p w14:paraId="4EC14F96"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836" w:type="dxa"/>
            <w:tcBorders>
              <w:top w:val="nil"/>
              <w:left w:val="nil"/>
              <w:bottom w:val="single" w:sz="4" w:space="0" w:color="auto"/>
              <w:right w:val="single" w:sz="4" w:space="0" w:color="auto"/>
            </w:tcBorders>
            <w:shd w:val="clear" w:color="auto" w:fill="auto"/>
            <w:noWrap/>
            <w:vAlign w:val="bottom"/>
            <w:hideMark/>
          </w:tcPr>
          <w:p w14:paraId="6916FD37"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14:paraId="31FD0B03"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539C385F"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52" w:type="dxa"/>
            <w:tcBorders>
              <w:top w:val="nil"/>
              <w:left w:val="nil"/>
              <w:bottom w:val="single" w:sz="4" w:space="0" w:color="auto"/>
              <w:right w:val="single" w:sz="4" w:space="0" w:color="auto"/>
            </w:tcBorders>
            <w:shd w:val="clear" w:color="auto" w:fill="auto"/>
            <w:noWrap/>
            <w:vAlign w:val="bottom"/>
            <w:hideMark/>
          </w:tcPr>
          <w:p w14:paraId="2B2B7CE3"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1131" w:type="dxa"/>
            <w:tcBorders>
              <w:top w:val="nil"/>
              <w:left w:val="nil"/>
              <w:bottom w:val="single" w:sz="4" w:space="0" w:color="auto"/>
              <w:right w:val="single" w:sz="4" w:space="0" w:color="auto"/>
            </w:tcBorders>
            <w:shd w:val="clear" w:color="auto" w:fill="auto"/>
            <w:noWrap/>
            <w:vAlign w:val="bottom"/>
            <w:hideMark/>
          </w:tcPr>
          <w:p w14:paraId="3E62EB47"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14:paraId="73E8E253"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D34E74" w:rsidRPr="00A86967" w14:paraId="2C056341"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4652D1E9"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CA</w:t>
            </w:r>
          </w:p>
        </w:tc>
        <w:tc>
          <w:tcPr>
            <w:tcW w:w="719" w:type="dxa"/>
            <w:tcBorders>
              <w:top w:val="nil"/>
              <w:left w:val="nil"/>
              <w:bottom w:val="single" w:sz="4" w:space="0" w:color="auto"/>
              <w:right w:val="single" w:sz="4" w:space="0" w:color="auto"/>
            </w:tcBorders>
            <w:shd w:val="clear" w:color="auto" w:fill="auto"/>
            <w:noWrap/>
            <w:vAlign w:val="bottom"/>
            <w:hideMark/>
          </w:tcPr>
          <w:p w14:paraId="724BA9E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0.109</w:t>
            </w:r>
          </w:p>
        </w:tc>
        <w:tc>
          <w:tcPr>
            <w:tcW w:w="863" w:type="dxa"/>
            <w:tcBorders>
              <w:top w:val="nil"/>
              <w:left w:val="nil"/>
              <w:bottom w:val="single" w:sz="4" w:space="0" w:color="auto"/>
              <w:right w:val="single" w:sz="4" w:space="0" w:color="auto"/>
            </w:tcBorders>
            <w:shd w:val="clear" w:color="auto" w:fill="auto"/>
            <w:noWrap/>
            <w:vAlign w:val="bottom"/>
            <w:hideMark/>
          </w:tcPr>
          <w:p w14:paraId="5BC260C7"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1.000</w:t>
            </w:r>
          </w:p>
        </w:tc>
        <w:tc>
          <w:tcPr>
            <w:tcW w:w="836" w:type="dxa"/>
            <w:tcBorders>
              <w:top w:val="nil"/>
              <w:left w:val="nil"/>
              <w:bottom w:val="single" w:sz="4" w:space="0" w:color="auto"/>
              <w:right w:val="single" w:sz="4" w:space="0" w:color="auto"/>
            </w:tcBorders>
            <w:shd w:val="clear" w:color="auto" w:fill="auto"/>
            <w:noWrap/>
            <w:vAlign w:val="bottom"/>
            <w:hideMark/>
          </w:tcPr>
          <w:p w14:paraId="4B07AC5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0.154</w:t>
            </w:r>
          </w:p>
        </w:tc>
        <w:tc>
          <w:tcPr>
            <w:tcW w:w="778" w:type="dxa"/>
            <w:tcBorders>
              <w:top w:val="nil"/>
              <w:left w:val="nil"/>
              <w:bottom w:val="single" w:sz="4" w:space="0" w:color="auto"/>
              <w:right w:val="single" w:sz="4" w:space="0" w:color="auto"/>
            </w:tcBorders>
            <w:shd w:val="clear" w:color="auto" w:fill="auto"/>
            <w:noWrap/>
            <w:vAlign w:val="bottom"/>
            <w:hideMark/>
          </w:tcPr>
          <w:p w14:paraId="006BCE6B"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0.989</w:t>
            </w:r>
          </w:p>
        </w:tc>
        <w:tc>
          <w:tcPr>
            <w:tcW w:w="993" w:type="dxa"/>
            <w:tcBorders>
              <w:top w:val="nil"/>
              <w:left w:val="nil"/>
              <w:bottom w:val="single" w:sz="4" w:space="0" w:color="auto"/>
              <w:right w:val="single" w:sz="4" w:space="0" w:color="auto"/>
            </w:tcBorders>
            <w:shd w:val="clear" w:color="auto" w:fill="auto"/>
            <w:noWrap/>
            <w:vAlign w:val="bottom"/>
            <w:hideMark/>
          </w:tcPr>
          <w:p w14:paraId="42DA8A8E"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0.210</w:t>
            </w:r>
          </w:p>
        </w:tc>
        <w:tc>
          <w:tcPr>
            <w:tcW w:w="952" w:type="dxa"/>
            <w:tcBorders>
              <w:top w:val="nil"/>
              <w:left w:val="nil"/>
              <w:bottom w:val="single" w:sz="4" w:space="0" w:color="auto"/>
              <w:right w:val="single" w:sz="4" w:space="0" w:color="auto"/>
            </w:tcBorders>
            <w:shd w:val="clear" w:color="auto" w:fill="auto"/>
            <w:noWrap/>
            <w:vAlign w:val="bottom"/>
            <w:hideMark/>
          </w:tcPr>
          <w:p w14:paraId="55023F7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1.000</w:t>
            </w:r>
          </w:p>
        </w:tc>
        <w:tc>
          <w:tcPr>
            <w:tcW w:w="1131" w:type="dxa"/>
            <w:tcBorders>
              <w:top w:val="nil"/>
              <w:left w:val="nil"/>
              <w:bottom w:val="single" w:sz="4" w:space="0" w:color="auto"/>
              <w:right w:val="single" w:sz="4" w:space="0" w:color="auto"/>
            </w:tcBorders>
            <w:shd w:val="clear" w:color="auto" w:fill="auto"/>
            <w:noWrap/>
            <w:vAlign w:val="bottom"/>
            <w:hideMark/>
          </w:tcPr>
          <w:p w14:paraId="52493096"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0.284</w:t>
            </w:r>
          </w:p>
        </w:tc>
        <w:tc>
          <w:tcPr>
            <w:tcW w:w="760" w:type="dxa"/>
            <w:tcBorders>
              <w:top w:val="nil"/>
              <w:left w:val="nil"/>
              <w:bottom w:val="single" w:sz="4" w:space="0" w:color="auto"/>
              <w:right w:val="single" w:sz="4" w:space="0" w:color="auto"/>
            </w:tcBorders>
            <w:shd w:val="clear" w:color="auto" w:fill="auto"/>
            <w:noWrap/>
            <w:vAlign w:val="bottom"/>
            <w:hideMark/>
          </w:tcPr>
          <w:p w14:paraId="5CD9D676"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0.983</w:t>
            </w:r>
          </w:p>
        </w:tc>
      </w:tr>
      <w:tr w:rsidR="00D34E74" w:rsidRPr="00A86967" w14:paraId="22CE916B"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5BD8E27"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CO</w:t>
            </w:r>
          </w:p>
        </w:tc>
        <w:tc>
          <w:tcPr>
            <w:tcW w:w="719" w:type="dxa"/>
            <w:tcBorders>
              <w:top w:val="nil"/>
              <w:left w:val="nil"/>
              <w:bottom w:val="single" w:sz="4" w:space="0" w:color="auto"/>
              <w:right w:val="single" w:sz="4" w:space="0" w:color="auto"/>
            </w:tcBorders>
            <w:shd w:val="clear" w:color="auto" w:fill="auto"/>
            <w:noWrap/>
            <w:vAlign w:val="bottom"/>
            <w:hideMark/>
          </w:tcPr>
          <w:p w14:paraId="34034A55"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0.112</w:t>
            </w:r>
          </w:p>
        </w:tc>
        <w:tc>
          <w:tcPr>
            <w:tcW w:w="863" w:type="dxa"/>
            <w:tcBorders>
              <w:top w:val="nil"/>
              <w:left w:val="nil"/>
              <w:bottom w:val="single" w:sz="4" w:space="0" w:color="auto"/>
              <w:right w:val="single" w:sz="4" w:space="0" w:color="auto"/>
            </w:tcBorders>
            <w:shd w:val="clear" w:color="auto" w:fill="auto"/>
            <w:noWrap/>
            <w:vAlign w:val="bottom"/>
            <w:hideMark/>
          </w:tcPr>
          <w:p w14:paraId="7D47626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1.001</w:t>
            </w:r>
          </w:p>
        </w:tc>
        <w:tc>
          <w:tcPr>
            <w:tcW w:w="836" w:type="dxa"/>
            <w:tcBorders>
              <w:top w:val="nil"/>
              <w:left w:val="nil"/>
              <w:bottom w:val="single" w:sz="4" w:space="0" w:color="auto"/>
              <w:right w:val="single" w:sz="4" w:space="0" w:color="auto"/>
            </w:tcBorders>
            <w:shd w:val="clear" w:color="auto" w:fill="auto"/>
            <w:noWrap/>
            <w:vAlign w:val="bottom"/>
            <w:hideMark/>
          </w:tcPr>
          <w:p w14:paraId="3696630E"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0.377</w:t>
            </w:r>
          </w:p>
        </w:tc>
        <w:tc>
          <w:tcPr>
            <w:tcW w:w="778" w:type="dxa"/>
            <w:tcBorders>
              <w:top w:val="nil"/>
              <w:left w:val="nil"/>
              <w:bottom w:val="single" w:sz="4" w:space="0" w:color="auto"/>
              <w:right w:val="single" w:sz="4" w:space="0" w:color="auto"/>
            </w:tcBorders>
            <w:shd w:val="clear" w:color="auto" w:fill="auto"/>
            <w:noWrap/>
            <w:vAlign w:val="bottom"/>
            <w:hideMark/>
          </w:tcPr>
          <w:p w14:paraId="4262E9ED"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0.933</w:t>
            </w:r>
          </w:p>
        </w:tc>
        <w:tc>
          <w:tcPr>
            <w:tcW w:w="993" w:type="dxa"/>
            <w:tcBorders>
              <w:top w:val="nil"/>
              <w:left w:val="nil"/>
              <w:bottom w:val="single" w:sz="4" w:space="0" w:color="auto"/>
              <w:right w:val="single" w:sz="4" w:space="0" w:color="auto"/>
            </w:tcBorders>
            <w:shd w:val="clear" w:color="auto" w:fill="auto"/>
            <w:noWrap/>
            <w:vAlign w:val="bottom"/>
            <w:hideMark/>
          </w:tcPr>
          <w:p w14:paraId="67B4FAC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0.216</w:t>
            </w:r>
          </w:p>
        </w:tc>
        <w:tc>
          <w:tcPr>
            <w:tcW w:w="952" w:type="dxa"/>
            <w:tcBorders>
              <w:top w:val="nil"/>
              <w:left w:val="nil"/>
              <w:bottom w:val="single" w:sz="4" w:space="0" w:color="auto"/>
              <w:right w:val="single" w:sz="4" w:space="0" w:color="auto"/>
            </w:tcBorders>
            <w:shd w:val="clear" w:color="auto" w:fill="auto"/>
            <w:noWrap/>
            <w:vAlign w:val="bottom"/>
            <w:hideMark/>
          </w:tcPr>
          <w:p w14:paraId="250530F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1.003</w:t>
            </w:r>
          </w:p>
        </w:tc>
        <w:tc>
          <w:tcPr>
            <w:tcW w:w="1131" w:type="dxa"/>
            <w:tcBorders>
              <w:top w:val="nil"/>
              <w:left w:val="nil"/>
              <w:bottom w:val="single" w:sz="4" w:space="0" w:color="auto"/>
              <w:right w:val="single" w:sz="4" w:space="0" w:color="auto"/>
            </w:tcBorders>
            <w:shd w:val="clear" w:color="auto" w:fill="auto"/>
            <w:noWrap/>
            <w:vAlign w:val="bottom"/>
            <w:hideMark/>
          </w:tcPr>
          <w:p w14:paraId="5333F53A"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0.729</w:t>
            </w:r>
          </w:p>
        </w:tc>
        <w:tc>
          <w:tcPr>
            <w:tcW w:w="760" w:type="dxa"/>
            <w:tcBorders>
              <w:top w:val="nil"/>
              <w:left w:val="nil"/>
              <w:bottom w:val="single" w:sz="4" w:space="0" w:color="auto"/>
              <w:right w:val="single" w:sz="4" w:space="0" w:color="auto"/>
            </w:tcBorders>
            <w:shd w:val="clear" w:color="auto" w:fill="auto"/>
            <w:noWrap/>
            <w:vAlign w:val="bottom"/>
            <w:hideMark/>
          </w:tcPr>
          <w:p w14:paraId="0B53A431"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0.871</w:t>
            </w:r>
          </w:p>
        </w:tc>
      </w:tr>
      <w:tr w:rsidR="00D34E74" w:rsidRPr="00A86967" w14:paraId="439FB1D2"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9AD7063"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FL</w:t>
            </w:r>
          </w:p>
        </w:tc>
        <w:tc>
          <w:tcPr>
            <w:tcW w:w="719" w:type="dxa"/>
            <w:tcBorders>
              <w:top w:val="nil"/>
              <w:left w:val="nil"/>
              <w:bottom w:val="single" w:sz="4" w:space="0" w:color="auto"/>
              <w:right w:val="single" w:sz="4" w:space="0" w:color="auto"/>
            </w:tcBorders>
            <w:shd w:val="clear" w:color="auto" w:fill="auto"/>
            <w:noWrap/>
            <w:vAlign w:val="bottom"/>
            <w:hideMark/>
          </w:tcPr>
          <w:p w14:paraId="3DBD80D9"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0.089</w:t>
            </w:r>
          </w:p>
        </w:tc>
        <w:tc>
          <w:tcPr>
            <w:tcW w:w="863" w:type="dxa"/>
            <w:tcBorders>
              <w:top w:val="nil"/>
              <w:left w:val="nil"/>
              <w:bottom w:val="single" w:sz="4" w:space="0" w:color="auto"/>
              <w:right w:val="single" w:sz="4" w:space="0" w:color="auto"/>
            </w:tcBorders>
            <w:shd w:val="clear" w:color="auto" w:fill="auto"/>
            <w:noWrap/>
            <w:vAlign w:val="bottom"/>
            <w:hideMark/>
          </w:tcPr>
          <w:p w14:paraId="2A04DA7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1.019</w:t>
            </w:r>
          </w:p>
        </w:tc>
        <w:tc>
          <w:tcPr>
            <w:tcW w:w="836" w:type="dxa"/>
            <w:tcBorders>
              <w:top w:val="nil"/>
              <w:left w:val="nil"/>
              <w:bottom w:val="single" w:sz="4" w:space="0" w:color="auto"/>
              <w:right w:val="single" w:sz="4" w:space="0" w:color="auto"/>
            </w:tcBorders>
            <w:shd w:val="clear" w:color="auto" w:fill="auto"/>
            <w:noWrap/>
            <w:vAlign w:val="bottom"/>
            <w:hideMark/>
          </w:tcPr>
          <w:p w14:paraId="173E4567"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0.334</w:t>
            </w:r>
          </w:p>
        </w:tc>
        <w:tc>
          <w:tcPr>
            <w:tcW w:w="778" w:type="dxa"/>
            <w:tcBorders>
              <w:top w:val="nil"/>
              <w:left w:val="nil"/>
              <w:bottom w:val="single" w:sz="4" w:space="0" w:color="auto"/>
              <w:right w:val="single" w:sz="4" w:space="0" w:color="auto"/>
            </w:tcBorders>
            <w:shd w:val="clear" w:color="auto" w:fill="auto"/>
            <w:noWrap/>
            <w:vAlign w:val="bottom"/>
            <w:hideMark/>
          </w:tcPr>
          <w:p w14:paraId="4AF9340B"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0.966</w:t>
            </w:r>
          </w:p>
        </w:tc>
        <w:tc>
          <w:tcPr>
            <w:tcW w:w="993" w:type="dxa"/>
            <w:tcBorders>
              <w:top w:val="nil"/>
              <w:left w:val="nil"/>
              <w:bottom w:val="single" w:sz="4" w:space="0" w:color="auto"/>
              <w:right w:val="single" w:sz="4" w:space="0" w:color="auto"/>
            </w:tcBorders>
            <w:shd w:val="clear" w:color="auto" w:fill="auto"/>
            <w:noWrap/>
            <w:vAlign w:val="bottom"/>
            <w:hideMark/>
          </w:tcPr>
          <w:p w14:paraId="554E699B"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0.171</w:t>
            </w:r>
          </w:p>
        </w:tc>
        <w:tc>
          <w:tcPr>
            <w:tcW w:w="952" w:type="dxa"/>
            <w:tcBorders>
              <w:top w:val="nil"/>
              <w:left w:val="nil"/>
              <w:bottom w:val="single" w:sz="4" w:space="0" w:color="auto"/>
              <w:right w:val="single" w:sz="4" w:space="0" w:color="auto"/>
            </w:tcBorders>
            <w:shd w:val="clear" w:color="auto" w:fill="auto"/>
            <w:noWrap/>
            <w:vAlign w:val="bottom"/>
            <w:hideMark/>
          </w:tcPr>
          <w:p w14:paraId="3C36307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1.032</w:t>
            </w:r>
          </w:p>
        </w:tc>
        <w:tc>
          <w:tcPr>
            <w:tcW w:w="1131" w:type="dxa"/>
            <w:tcBorders>
              <w:top w:val="nil"/>
              <w:left w:val="nil"/>
              <w:bottom w:val="single" w:sz="4" w:space="0" w:color="auto"/>
              <w:right w:val="single" w:sz="4" w:space="0" w:color="auto"/>
            </w:tcBorders>
            <w:shd w:val="clear" w:color="auto" w:fill="auto"/>
            <w:noWrap/>
            <w:vAlign w:val="bottom"/>
            <w:hideMark/>
          </w:tcPr>
          <w:p w14:paraId="05EDC77B"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0.666</w:t>
            </w:r>
          </w:p>
        </w:tc>
        <w:tc>
          <w:tcPr>
            <w:tcW w:w="760" w:type="dxa"/>
            <w:tcBorders>
              <w:top w:val="nil"/>
              <w:left w:val="nil"/>
              <w:bottom w:val="single" w:sz="4" w:space="0" w:color="auto"/>
              <w:right w:val="single" w:sz="4" w:space="0" w:color="auto"/>
            </w:tcBorders>
            <w:shd w:val="clear" w:color="auto" w:fill="auto"/>
            <w:noWrap/>
            <w:vAlign w:val="bottom"/>
            <w:hideMark/>
          </w:tcPr>
          <w:p w14:paraId="0E0A7E6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0.923</w:t>
            </w:r>
          </w:p>
        </w:tc>
      </w:tr>
      <w:tr w:rsidR="00D34E74" w:rsidRPr="00A86967" w14:paraId="586F44A7"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075A9EB"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MA</w:t>
            </w:r>
          </w:p>
        </w:tc>
        <w:tc>
          <w:tcPr>
            <w:tcW w:w="719" w:type="dxa"/>
            <w:tcBorders>
              <w:top w:val="nil"/>
              <w:left w:val="nil"/>
              <w:bottom w:val="single" w:sz="4" w:space="0" w:color="auto"/>
              <w:right w:val="single" w:sz="4" w:space="0" w:color="auto"/>
            </w:tcBorders>
            <w:shd w:val="clear" w:color="auto" w:fill="auto"/>
            <w:noWrap/>
            <w:vAlign w:val="bottom"/>
            <w:hideMark/>
          </w:tcPr>
          <w:p w14:paraId="1D04740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0.063</w:t>
            </w:r>
          </w:p>
        </w:tc>
        <w:tc>
          <w:tcPr>
            <w:tcW w:w="863" w:type="dxa"/>
            <w:tcBorders>
              <w:top w:val="nil"/>
              <w:left w:val="nil"/>
              <w:bottom w:val="single" w:sz="4" w:space="0" w:color="auto"/>
              <w:right w:val="single" w:sz="4" w:space="0" w:color="auto"/>
            </w:tcBorders>
            <w:shd w:val="clear" w:color="auto" w:fill="auto"/>
            <w:noWrap/>
            <w:vAlign w:val="bottom"/>
            <w:hideMark/>
          </w:tcPr>
          <w:p w14:paraId="4EE46B0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1.026</w:t>
            </w:r>
          </w:p>
        </w:tc>
        <w:tc>
          <w:tcPr>
            <w:tcW w:w="836" w:type="dxa"/>
            <w:tcBorders>
              <w:top w:val="nil"/>
              <w:left w:val="nil"/>
              <w:bottom w:val="single" w:sz="4" w:space="0" w:color="auto"/>
              <w:right w:val="single" w:sz="4" w:space="0" w:color="auto"/>
            </w:tcBorders>
            <w:shd w:val="clear" w:color="auto" w:fill="auto"/>
            <w:noWrap/>
            <w:vAlign w:val="bottom"/>
            <w:hideMark/>
          </w:tcPr>
          <w:p w14:paraId="2BEB3C7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0.349</w:t>
            </w:r>
          </w:p>
        </w:tc>
        <w:tc>
          <w:tcPr>
            <w:tcW w:w="778" w:type="dxa"/>
            <w:tcBorders>
              <w:top w:val="nil"/>
              <w:left w:val="nil"/>
              <w:bottom w:val="single" w:sz="4" w:space="0" w:color="auto"/>
              <w:right w:val="single" w:sz="4" w:space="0" w:color="auto"/>
            </w:tcBorders>
            <w:shd w:val="clear" w:color="auto" w:fill="auto"/>
            <w:noWrap/>
            <w:vAlign w:val="bottom"/>
            <w:hideMark/>
          </w:tcPr>
          <w:p w14:paraId="7A7AA4C5"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0.955</w:t>
            </w:r>
          </w:p>
        </w:tc>
        <w:tc>
          <w:tcPr>
            <w:tcW w:w="993" w:type="dxa"/>
            <w:tcBorders>
              <w:top w:val="nil"/>
              <w:left w:val="nil"/>
              <w:bottom w:val="single" w:sz="4" w:space="0" w:color="auto"/>
              <w:right w:val="single" w:sz="4" w:space="0" w:color="auto"/>
            </w:tcBorders>
            <w:shd w:val="clear" w:color="auto" w:fill="auto"/>
            <w:noWrap/>
            <w:vAlign w:val="bottom"/>
            <w:hideMark/>
          </w:tcPr>
          <w:p w14:paraId="4E10251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0.142</w:t>
            </w:r>
          </w:p>
        </w:tc>
        <w:tc>
          <w:tcPr>
            <w:tcW w:w="952" w:type="dxa"/>
            <w:tcBorders>
              <w:top w:val="nil"/>
              <w:left w:val="nil"/>
              <w:bottom w:val="single" w:sz="4" w:space="0" w:color="auto"/>
              <w:right w:val="single" w:sz="4" w:space="0" w:color="auto"/>
            </w:tcBorders>
            <w:shd w:val="clear" w:color="auto" w:fill="auto"/>
            <w:noWrap/>
            <w:vAlign w:val="bottom"/>
            <w:hideMark/>
          </w:tcPr>
          <w:p w14:paraId="5C6B78DC"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1.036</w:t>
            </w:r>
          </w:p>
        </w:tc>
        <w:tc>
          <w:tcPr>
            <w:tcW w:w="1131" w:type="dxa"/>
            <w:tcBorders>
              <w:top w:val="nil"/>
              <w:left w:val="nil"/>
              <w:bottom w:val="single" w:sz="4" w:space="0" w:color="auto"/>
              <w:right w:val="single" w:sz="4" w:space="0" w:color="auto"/>
            </w:tcBorders>
            <w:shd w:val="clear" w:color="auto" w:fill="auto"/>
            <w:noWrap/>
            <w:vAlign w:val="bottom"/>
            <w:hideMark/>
          </w:tcPr>
          <w:p w14:paraId="22086EC9"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0.614</w:t>
            </w:r>
          </w:p>
        </w:tc>
        <w:tc>
          <w:tcPr>
            <w:tcW w:w="760" w:type="dxa"/>
            <w:tcBorders>
              <w:top w:val="nil"/>
              <w:left w:val="nil"/>
              <w:bottom w:val="single" w:sz="4" w:space="0" w:color="auto"/>
              <w:right w:val="single" w:sz="4" w:space="0" w:color="auto"/>
            </w:tcBorders>
            <w:shd w:val="clear" w:color="auto" w:fill="auto"/>
            <w:noWrap/>
            <w:vAlign w:val="bottom"/>
            <w:hideMark/>
          </w:tcPr>
          <w:p w14:paraId="388EC6D9"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0.913</w:t>
            </w:r>
          </w:p>
        </w:tc>
      </w:tr>
      <w:tr w:rsidR="00D34E74" w:rsidRPr="00A86967" w14:paraId="66592DDF"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FA9A1FF"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MN</w:t>
            </w:r>
          </w:p>
        </w:tc>
        <w:tc>
          <w:tcPr>
            <w:tcW w:w="719" w:type="dxa"/>
            <w:tcBorders>
              <w:top w:val="nil"/>
              <w:left w:val="nil"/>
              <w:bottom w:val="single" w:sz="4" w:space="0" w:color="auto"/>
              <w:right w:val="single" w:sz="4" w:space="0" w:color="auto"/>
            </w:tcBorders>
            <w:shd w:val="clear" w:color="auto" w:fill="auto"/>
            <w:noWrap/>
            <w:vAlign w:val="bottom"/>
            <w:hideMark/>
          </w:tcPr>
          <w:p w14:paraId="69B8799E"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0.082</w:t>
            </w:r>
          </w:p>
        </w:tc>
        <w:tc>
          <w:tcPr>
            <w:tcW w:w="863" w:type="dxa"/>
            <w:tcBorders>
              <w:top w:val="nil"/>
              <w:left w:val="nil"/>
              <w:bottom w:val="single" w:sz="4" w:space="0" w:color="auto"/>
              <w:right w:val="single" w:sz="4" w:space="0" w:color="auto"/>
            </w:tcBorders>
            <w:shd w:val="clear" w:color="auto" w:fill="auto"/>
            <w:noWrap/>
            <w:vAlign w:val="bottom"/>
            <w:hideMark/>
          </w:tcPr>
          <w:p w14:paraId="651E954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1.000</w:t>
            </w:r>
          </w:p>
        </w:tc>
        <w:tc>
          <w:tcPr>
            <w:tcW w:w="836" w:type="dxa"/>
            <w:tcBorders>
              <w:top w:val="nil"/>
              <w:left w:val="nil"/>
              <w:bottom w:val="single" w:sz="4" w:space="0" w:color="auto"/>
              <w:right w:val="single" w:sz="4" w:space="0" w:color="auto"/>
            </w:tcBorders>
            <w:shd w:val="clear" w:color="auto" w:fill="auto"/>
            <w:noWrap/>
            <w:vAlign w:val="bottom"/>
            <w:hideMark/>
          </w:tcPr>
          <w:p w14:paraId="615116A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0.186</w:t>
            </w:r>
          </w:p>
        </w:tc>
        <w:tc>
          <w:tcPr>
            <w:tcW w:w="778" w:type="dxa"/>
            <w:tcBorders>
              <w:top w:val="nil"/>
              <w:left w:val="nil"/>
              <w:bottom w:val="single" w:sz="4" w:space="0" w:color="auto"/>
              <w:right w:val="single" w:sz="4" w:space="0" w:color="auto"/>
            </w:tcBorders>
            <w:shd w:val="clear" w:color="auto" w:fill="auto"/>
            <w:noWrap/>
            <w:vAlign w:val="bottom"/>
            <w:hideMark/>
          </w:tcPr>
          <w:p w14:paraId="7EDE493F"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0.978</w:t>
            </w:r>
          </w:p>
        </w:tc>
        <w:tc>
          <w:tcPr>
            <w:tcW w:w="993" w:type="dxa"/>
            <w:tcBorders>
              <w:top w:val="nil"/>
              <w:left w:val="nil"/>
              <w:bottom w:val="single" w:sz="4" w:space="0" w:color="auto"/>
              <w:right w:val="single" w:sz="4" w:space="0" w:color="auto"/>
            </w:tcBorders>
            <w:shd w:val="clear" w:color="auto" w:fill="auto"/>
            <w:noWrap/>
            <w:vAlign w:val="bottom"/>
            <w:hideMark/>
          </w:tcPr>
          <w:p w14:paraId="30ACF48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0.155</w:t>
            </w:r>
          </w:p>
        </w:tc>
        <w:tc>
          <w:tcPr>
            <w:tcW w:w="952" w:type="dxa"/>
            <w:tcBorders>
              <w:top w:val="nil"/>
              <w:left w:val="nil"/>
              <w:bottom w:val="single" w:sz="4" w:space="0" w:color="auto"/>
              <w:right w:val="single" w:sz="4" w:space="0" w:color="auto"/>
            </w:tcBorders>
            <w:shd w:val="clear" w:color="auto" w:fill="auto"/>
            <w:noWrap/>
            <w:vAlign w:val="bottom"/>
            <w:hideMark/>
          </w:tcPr>
          <w:p w14:paraId="762D44E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1.024</w:t>
            </w:r>
          </w:p>
        </w:tc>
        <w:tc>
          <w:tcPr>
            <w:tcW w:w="1131" w:type="dxa"/>
            <w:tcBorders>
              <w:top w:val="nil"/>
              <w:left w:val="nil"/>
              <w:bottom w:val="single" w:sz="4" w:space="0" w:color="auto"/>
              <w:right w:val="single" w:sz="4" w:space="0" w:color="auto"/>
            </w:tcBorders>
            <w:shd w:val="clear" w:color="auto" w:fill="auto"/>
            <w:noWrap/>
            <w:vAlign w:val="bottom"/>
            <w:hideMark/>
          </w:tcPr>
          <w:p w14:paraId="41B8CFF8"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0.461</w:t>
            </w:r>
          </w:p>
        </w:tc>
        <w:tc>
          <w:tcPr>
            <w:tcW w:w="760" w:type="dxa"/>
            <w:tcBorders>
              <w:top w:val="nil"/>
              <w:left w:val="nil"/>
              <w:bottom w:val="single" w:sz="4" w:space="0" w:color="auto"/>
              <w:right w:val="single" w:sz="4" w:space="0" w:color="auto"/>
            </w:tcBorders>
            <w:shd w:val="clear" w:color="auto" w:fill="auto"/>
            <w:noWrap/>
            <w:vAlign w:val="bottom"/>
            <w:hideMark/>
          </w:tcPr>
          <w:p w14:paraId="6A0F41B8"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0.961</w:t>
            </w:r>
          </w:p>
        </w:tc>
      </w:tr>
      <w:tr w:rsidR="00D34E74" w:rsidRPr="00A86967" w14:paraId="30C325F3"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0641B1C9"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NY</w:t>
            </w:r>
          </w:p>
        </w:tc>
        <w:tc>
          <w:tcPr>
            <w:tcW w:w="719" w:type="dxa"/>
            <w:tcBorders>
              <w:top w:val="nil"/>
              <w:left w:val="nil"/>
              <w:bottom w:val="single" w:sz="4" w:space="0" w:color="auto"/>
              <w:right w:val="single" w:sz="4" w:space="0" w:color="auto"/>
            </w:tcBorders>
            <w:shd w:val="clear" w:color="auto" w:fill="auto"/>
            <w:noWrap/>
            <w:vAlign w:val="bottom"/>
            <w:hideMark/>
          </w:tcPr>
          <w:p w14:paraId="214E2378"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0.058</w:t>
            </w:r>
          </w:p>
        </w:tc>
        <w:tc>
          <w:tcPr>
            <w:tcW w:w="863" w:type="dxa"/>
            <w:tcBorders>
              <w:top w:val="nil"/>
              <w:left w:val="nil"/>
              <w:bottom w:val="single" w:sz="4" w:space="0" w:color="auto"/>
              <w:right w:val="single" w:sz="4" w:space="0" w:color="auto"/>
            </w:tcBorders>
            <w:shd w:val="clear" w:color="auto" w:fill="auto"/>
            <w:noWrap/>
            <w:vAlign w:val="bottom"/>
            <w:hideMark/>
          </w:tcPr>
          <w:p w14:paraId="4DB375F4"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1.026</w:t>
            </w:r>
          </w:p>
        </w:tc>
        <w:tc>
          <w:tcPr>
            <w:tcW w:w="836" w:type="dxa"/>
            <w:tcBorders>
              <w:top w:val="nil"/>
              <w:left w:val="nil"/>
              <w:bottom w:val="single" w:sz="4" w:space="0" w:color="auto"/>
              <w:right w:val="single" w:sz="4" w:space="0" w:color="auto"/>
            </w:tcBorders>
            <w:shd w:val="clear" w:color="auto" w:fill="auto"/>
            <w:noWrap/>
            <w:vAlign w:val="bottom"/>
            <w:hideMark/>
          </w:tcPr>
          <w:p w14:paraId="78C0F6C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0.348</w:t>
            </w:r>
          </w:p>
        </w:tc>
        <w:tc>
          <w:tcPr>
            <w:tcW w:w="778" w:type="dxa"/>
            <w:tcBorders>
              <w:top w:val="nil"/>
              <w:left w:val="nil"/>
              <w:bottom w:val="single" w:sz="4" w:space="0" w:color="auto"/>
              <w:right w:val="single" w:sz="4" w:space="0" w:color="auto"/>
            </w:tcBorders>
            <w:shd w:val="clear" w:color="auto" w:fill="auto"/>
            <w:noWrap/>
            <w:vAlign w:val="bottom"/>
            <w:hideMark/>
          </w:tcPr>
          <w:p w14:paraId="1DC8ABD4"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0.960</w:t>
            </w:r>
          </w:p>
        </w:tc>
        <w:tc>
          <w:tcPr>
            <w:tcW w:w="993" w:type="dxa"/>
            <w:tcBorders>
              <w:top w:val="nil"/>
              <w:left w:val="nil"/>
              <w:bottom w:val="single" w:sz="4" w:space="0" w:color="auto"/>
              <w:right w:val="single" w:sz="4" w:space="0" w:color="auto"/>
            </w:tcBorders>
            <w:shd w:val="clear" w:color="auto" w:fill="auto"/>
            <w:noWrap/>
            <w:vAlign w:val="bottom"/>
            <w:hideMark/>
          </w:tcPr>
          <w:p w14:paraId="3674B50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0.144</w:t>
            </w:r>
          </w:p>
        </w:tc>
        <w:tc>
          <w:tcPr>
            <w:tcW w:w="952" w:type="dxa"/>
            <w:tcBorders>
              <w:top w:val="nil"/>
              <w:left w:val="nil"/>
              <w:bottom w:val="single" w:sz="4" w:space="0" w:color="auto"/>
              <w:right w:val="single" w:sz="4" w:space="0" w:color="auto"/>
            </w:tcBorders>
            <w:shd w:val="clear" w:color="auto" w:fill="auto"/>
            <w:noWrap/>
            <w:vAlign w:val="bottom"/>
            <w:hideMark/>
          </w:tcPr>
          <w:p w14:paraId="36511B7E"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1.033</w:t>
            </w:r>
          </w:p>
        </w:tc>
        <w:tc>
          <w:tcPr>
            <w:tcW w:w="1131" w:type="dxa"/>
            <w:tcBorders>
              <w:top w:val="nil"/>
              <w:left w:val="nil"/>
              <w:bottom w:val="single" w:sz="4" w:space="0" w:color="auto"/>
              <w:right w:val="single" w:sz="4" w:space="0" w:color="auto"/>
            </w:tcBorders>
            <w:shd w:val="clear" w:color="auto" w:fill="auto"/>
            <w:noWrap/>
            <w:vAlign w:val="bottom"/>
            <w:hideMark/>
          </w:tcPr>
          <w:p w14:paraId="60987DB9"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0.608</w:t>
            </w:r>
          </w:p>
        </w:tc>
        <w:tc>
          <w:tcPr>
            <w:tcW w:w="760" w:type="dxa"/>
            <w:tcBorders>
              <w:top w:val="nil"/>
              <w:left w:val="nil"/>
              <w:bottom w:val="single" w:sz="4" w:space="0" w:color="auto"/>
              <w:right w:val="single" w:sz="4" w:space="0" w:color="auto"/>
            </w:tcBorders>
            <w:shd w:val="clear" w:color="auto" w:fill="auto"/>
            <w:noWrap/>
            <w:vAlign w:val="bottom"/>
            <w:hideMark/>
          </w:tcPr>
          <w:p w14:paraId="551C10F3"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0.928</w:t>
            </w:r>
          </w:p>
        </w:tc>
      </w:tr>
      <w:tr w:rsidR="00D34E74" w:rsidRPr="00A86967" w14:paraId="5E4BC49A"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4993B5CA"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OH</w:t>
            </w:r>
          </w:p>
        </w:tc>
        <w:tc>
          <w:tcPr>
            <w:tcW w:w="719" w:type="dxa"/>
            <w:tcBorders>
              <w:top w:val="nil"/>
              <w:left w:val="nil"/>
              <w:bottom w:val="single" w:sz="4" w:space="0" w:color="auto"/>
              <w:right w:val="single" w:sz="4" w:space="0" w:color="auto"/>
            </w:tcBorders>
            <w:shd w:val="clear" w:color="auto" w:fill="auto"/>
            <w:noWrap/>
            <w:vAlign w:val="bottom"/>
            <w:hideMark/>
          </w:tcPr>
          <w:p w14:paraId="42B1F068"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0.099</w:t>
            </w:r>
          </w:p>
        </w:tc>
        <w:tc>
          <w:tcPr>
            <w:tcW w:w="863" w:type="dxa"/>
            <w:tcBorders>
              <w:top w:val="nil"/>
              <w:left w:val="nil"/>
              <w:bottom w:val="single" w:sz="4" w:space="0" w:color="auto"/>
              <w:right w:val="single" w:sz="4" w:space="0" w:color="auto"/>
            </w:tcBorders>
            <w:shd w:val="clear" w:color="auto" w:fill="auto"/>
            <w:noWrap/>
            <w:vAlign w:val="bottom"/>
            <w:hideMark/>
          </w:tcPr>
          <w:p w14:paraId="3F60A07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1.002</w:t>
            </w:r>
          </w:p>
        </w:tc>
        <w:tc>
          <w:tcPr>
            <w:tcW w:w="836" w:type="dxa"/>
            <w:tcBorders>
              <w:top w:val="nil"/>
              <w:left w:val="nil"/>
              <w:bottom w:val="single" w:sz="4" w:space="0" w:color="auto"/>
              <w:right w:val="single" w:sz="4" w:space="0" w:color="auto"/>
            </w:tcBorders>
            <w:shd w:val="clear" w:color="auto" w:fill="auto"/>
            <w:noWrap/>
            <w:vAlign w:val="bottom"/>
            <w:hideMark/>
          </w:tcPr>
          <w:p w14:paraId="78F8070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0.379</w:t>
            </w:r>
          </w:p>
        </w:tc>
        <w:tc>
          <w:tcPr>
            <w:tcW w:w="778" w:type="dxa"/>
            <w:tcBorders>
              <w:top w:val="nil"/>
              <w:left w:val="nil"/>
              <w:bottom w:val="single" w:sz="4" w:space="0" w:color="auto"/>
              <w:right w:val="single" w:sz="4" w:space="0" w:color="auto"/>
            </w:tcBorders>
            <w:shd w:val="clear" w:color="auto" w:fill="auto"/>
            <w:noWrap/>
            <w:vAlign w:val="bottom"/>
            <w:hideMark/>
          </w:tcPr>
          <w:p w14:paraId="5E31D08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0.925</w:t>
            </w:r>
          </w:p>
        </w:tc>
        <w:tc>
          <w:tcPr>
            <w:tcW w:w="993" w:type="dxa"/>
            <w:tcBorders>
              <w:top w:val="nil"/>
              <w:left w:val="nil"/>
              <w:bottom w:val="single" w:sz="4" w:space="0" w:color="auto"/>
              <w:right w:val="single" w:sz="4" w:space="0" w:color="auto"/>
            </w:tcBorders>
            <w:shd w:val="clear" w:color="auto" w:fill="auto"/>
            <w:noWrap/>
            <w:vAlign w:val="bottom"/>
            <w:hideMark/>
          </w:tcPr>
          <w:p w14:paraId="381903F0"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0.192</w:t>
            </w:r>
          </w:p>
        </w:tc>
        <w:tc>
          <w:tcPr>
            <w:tcW w:w="952" w:type="dxa"/>
            <w:tcBorders>
              <w:top w:val="nil"/>
              <w:left w:val="nil"/>
              <w:bottom w:val="single" w:sz="4" w:space="0" w:color="auto"/>
              <w:right w:val="single" w:sz="4" w:space="0" w:color="auto"/>
            </w:tcBorders>
            <w:shd w:val="clear" w:color="auto" w:fill="auto"/>
            <w:noWrap/>
            <w:vAlign w:val="bottom"/>
            <w:hideMark/>
          </w:tcPr>
          <w:p w14:paraId="32B8D991"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1.007</w:t>
            </w:r>
          </w:p>
        </w:tc>
        <w:tc>
          <w:tcPr>
            <w:tcW w:w="1131" w:type="dxa"/>
            <w:tcBorders>
              <w:top w:val="nil"/>
              <w:left w:val="nil"/>
              <w:bottom w:val="single" w:sz="4" w:space="0" w:color="auto"/>
              <w:right w:val="single" w:sz="4" w:space="0" w:color="auto"/>
            </w:tcBorders>
            <w:shd w:val="clear" w:color="auto" w:fill="auto"/>
            <w:noWrap/>
            <w:vAlign w:val="bottom"/>
            <w:hideMark/>
          </w:tcPr>
          <w:p w14:paraId="787F5F2C"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0.793</w:t>
            </w:r>
          </w:p>
        </w:tc>
        <w:tc>
          <w:tcPr>
            <w:tcW w:w="760" w:type="dxa"/>
            <w:tcBorders>
              <w:top w:val="nil"/>
              <w:left w:val="nil"/>
              <w:bottom w:val="single" w:sz="4" w:space="0" w:color="auto"/>
              <w:right w:val="single" w:sz="4" w:space="0" w:color="auto"/>
            </w:tcBorders>
            <w:shd w:val="clear" w:color="auto" w:fill="auto"/>
            <w:noWrap/>
            <w:vAlign w:val="bottom"/>
            <w:hideMark/>
          </w:tcPr>
          <w:p w14:paraId="49731079"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0.841</w:t>
            </w:r>
          </w:p>
        </w:tc>
      </w:tr>
      <w:tr w:rsidR="00D34E74" w:rsidRPr="00A86967" w14:paraId="21577520"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BC22F33"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TX</w:t>
            </w:r>
          </w:p>
        </w:tc>
        <w:tc>
          <w:tcPr>
            <w:tcW w:w="719" w:type="dxa"/>
            <w:tcBorders>
              <w:top w:val="nil"/>
              <w:left w:val="nil"/>
              <w:bottom w:val="single" w:sz="4" w:space="0" w:color="auto"/>
              <w:right w:val="single" w:sz="4" w:space="0" w:color="auto"/>
            </w:tcBorders>
            <w:shd w:val="clear" w:color="auto" w:fill="auto"/>
            <w:noWrap/>
            <w:vAlign w:val="bottom"/>
            <w:hideMark/>
          </w:tcPr>
          <w:p w14:paraId="0399768C"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0.117</w:t>
            </w:r>
          </w:p>
        </w:tc>
        <w:tc>
          <w:tcPr>
            <w:tcW w:w="863" w:type="dxa"/>
            <w:tcBorders>
              <w:top w:val="nil"/>
              <w:left w:val="nil"/>
              <w:bottom w:val="single" w:sz="4" w:space="0" w:color="auto"/>
              <w:right w:val="single" w:sz="4" w:space="0" w:color="auto"/>
            </w:tcBorders>
            <w:shd w:val="clear" w:color="auto" w:fill="auto"/>
            <w:noWrap/>
            <w:vAlign w:val="bottom"/>
            <w:hideMark/>
          </w:tcPr>
          <w:p w14:paraId="3165831F"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1.008</w:t>
            </w:r>
          </w:p>
        </w:tc>
        <w:tc>
          <w:tcPr>
            <w:tcW w:w="836" w:type="dxa"/>
            <w:tcBorders>
              <w:top w:val="nil"/>
              <w:left w:val="nil"/>
              <w:bottom w:val="single" w:sz="4" w:space="0" w:color="auto"/>
              <w:right w:val="single" w:sz="4" w:space="0" w:color="auto"/>
            </w:tcBorders>
            <w:shd w:val="clear" w:color="auto" w:fill="auto"/>
            <w:noWrap/>
            <w:vAlign w:val="bottom"/>
            <w:hideMark/>
          </w:tcPr>
          <w:p w14:paraId="1E6400D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0.336</w:t>
            </w:r>
          </w:p>
        </w:tc>
        <w:tc>
          <w:tcPr>
            <w:tcW w:w="778" w:type="dxa"/>
            <w:tcBorders>
              <w:top w:val="nil"/>
              <w:left w:val="nil"/>
              <w:bottom w:val="single" w:sz="4" w:space="0" w:color="auto"/>
              <w:right w:val="single" w:sz="4" w:space="0" w:color="auto"/>
            </w:tcBorders>
            <w:shd w:val="clear" w:color="auto" w:fill="auto"/>
            <w:noWrap/>
            <w:vAlign w:val="bottom"/>
            <w:hideMark/>
          </w:tcPr>
          <w:p w14:paraId="7D8059D8"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0.952</w:t>
            </w:r>
          </w:p>
        </w:tc>
        <w:tc>
          <w:tcPr>
            <w:tcW w:w="993" w:type="dxa"/>
            <w:tcBorders>
              <w:top w:val="nil"/>
              <w:left w:val="nil"/>
              <w:bottom w:val="single" w:sz="4" w:space="0" w:color="auto"/>
              <w:right w:val="single" w:sz="4" w:space="0" w:color="auto"/>
            </w:tcBorders>
            <w:shd w:val="clear" w:color="auto" w:fill="auto"/>
            <w:noWrap/>
            <w:vAlign w:val="bottom"/>
            <w:hideMark/>
          </w:tcPr>
          <w:p w14:paraId="4003A057"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0.218</w:t>
            </w:r>
          </w:p>
        </w:tc>
        <w:tc>
          <w:tcPr>
            <w:tcW w:w="952" w:type="dxa"/>
            <w:tcBorders>
              <w:top w:val="nil"/>
              <w:left w:val="nil"/>
              <w:bottom w:val="single" w:sz="4" w:space="0" w:color="auto"/>
              <w:right w:val="single" w:sz="4" w:space="0" w:color="auto"/>
            </w:tcBorders>
            <w:shd w:val="clear" w:color="auto" w:fill="auto"/>
            <w:noWrap/>
            <w:vAlign w:val="bottom"/>
            <w:hideMark/>
          </w:tcPr>
          <w:p w14:paraId="662B0098"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1.018</w:t>
            </w:r>
          </w:p>
        </w:tc>
        <w:tc>
          <w:tcPr>
            <w:tcW w:w="1131" w:type="dxa"/>
            <w:tcBorders>
              <w:top w:val="nil"/>
              <w:left w:val="nil"/>
              <w:bottom w:val="single" w:sz="4" w:space="0" w:color="auto"/>
              <w:right w:val="single" w:sz="4" w:space="0" w:color="auto"/>
            </w:tcBorders>
            <w:shd w:val="clear" w:color="auto" w:fill="auto"/>
            <w:noWrap/>
            <w:vAlign w:val="bottom"/>
            <w:hideMark/>
          </w:tcPr>
          <w:p w14:paraId="1AC2C301"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0.626</w:t>
            </w:r>
          </w:p>
        </w:tc>
        <w:tc>
          <w:tcPr>
            <w:tcW w:w="760" w:type="dxa"/>
            <w:tcBorders>
              <w:top w:val="nil"/>
              <w:left w:val="nil"/>
              <w:bottom w:val="single" w:sz="4" w:space="0" w:color="auto"/>
              <w:right w:val="single" w:sz="4" w:space="0" w:color="auto"/>
            </w:tcBorders>
            <w:shd w:val="clear" w:color="auto" w:fill="auto"/>
            <w:noWrap/>
            <w:vAlign w:val="bottom"/>
            <w:hideMark/>
          </w:tcPr>
          <w:p w14:paraId="3CBFB389"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0.913</w:t>
            </w:r>
          </w:p>
        </w:tc>
      </w:tr>
      <w:tr w:rsidR="00D34E74" w:rsidRPr="00A86967" w14:paraId="45B4DCA9"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33504BF"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WA</w:t>
            </w:r>
          </w:p>
        </w:tc>
        <w:tc>
          <w:tcPr>
            <w:tcW w:w="719" w:type="dxa"/>
            <w:tcBorders>
              <w:top w:val="nil"/>
              <w:left w:val="nil"/>
              <w:bottom w:val="single" w:sz="4" w:space="0" w:color="auto"/>
              <w:right w:val="single" w:sz="4" w:space="0" w:color="auto"/>
            </w:tcBorders>
            <w:shd w:val="clear" w:color="auto" w:fill="auto"/>
            <w:noWrap/>
            <w:vAlign w:val="bottom"/>
            <w:hideMark/>
          </w:tcPr>
          <w:p w14:paraId="1403EF1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0.104</w:t>
            </w:r>
          </w:p>
        </w:tc>
        <w:tc>
          <w:tcPr>
            <w:tcW w:w="863" w:type="dxa"/>
            <w:tcBorders>
              <w:top w:val="nil"/>
              <w:left w:val="nil"/>
              <w:bottom w:val="single" w:sz="4" w:space="0" w:color="auto"/>
              <w:right w:val="single" w:sz="4" w:space="0" w:color="auto"/>
            </w:tcBorders>
            <w:shd w:val="clear" w:color="auto" w:fill="auto"/>
            <w:noWrap/>
            <w:vAlign w:val="bottom"/>
            <w:hideMark/>
          </w:tcPr>
          <w:p w14:paraId="75F8788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1.007</w:t>
            </w:r>
          </w:p>
        </w:tc>
        <w:tc>
          <w:tcPr>
            <w:tcW w:w="836" w:type="dxa"/>
            <w:tcBorders>
              <w:top w:val="nil"/>
              <w:left w:val="nil"/>
              <w:bottom w:val="single" w:sz="4" w:space="0" w:color="auto"/>
              <w:right w:val="single" w:sz="4" w:space="0" w:color="auto"/>
            </w:tcBorders>
            <w:shd w:val="clear" w:color="auto" w:fill="auto"/>
            <w:noWrap/>
            <w:vAlign w:val="bottom"/>
            <w:hideMark/>
          </w:tcPr>
          <w:p w14:paraId="5833F8AE"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0.268</w:t>
            </w:r>
          </w:p>
        </w:tc>
        <w:tc>
          <w:tcPr>
            <w:tcW w:w="778" w:type="dxa"/>
            <w:tcBorders>
              <w:top w:val="nil"/>
              <w:left w:val="nil"/>
              <w:bottom w:val="single" w:sz="4" w:space="0" w:color="auto"/>
              <w:right w:val="single" w:sz="4" w:space="0" w:color="auto"/>
            </w:tcBorders>
            <w:shd w:val="clear" w:color="auto" w:fill="auto"/>
            <w:noWrap/>
            <w:vAlign w:val="bottom"/>
            <w:hideMark/>
          </w:tcPr>
          <w:p w14:paraId="5CD802F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0.963</w:t>
            </w:r>
          </w:p>
        </w:tc>
        <w:tc>
          <w:tcPr>
            <w:tcW w:w="993" w:type="dxa"/>
            <w:tcBorders>
              <w:top w:val="nil"/>
              <w:left w:val="nil"/>
              <w:bottom w:val="single" w:sz="4" w:space="0" w:color="auto"/>
              <w:right w:val="single" w:sz="4" w:space="0" w:color="auto"/>
            </w:tcBorders>
            <w:shd w:val="clear" w:color="auto" w:fill="auto"/>
            <w:noWrap/>
            <w:vAlign w:val="bottom"/>
            <w:hideMark/>
          </w:tcPr>
          <w:p w14:paraId="65F61903"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0.202</w:t>
            </w:r>
          </w:p>
        </w:tc>
        <w:tc>
          <w:tcPr>
            <w:tcW w:w="952" w:type="dxa"/>
            <w:tcBorders>
              <w:top w:val="nil"/>
              <w:left w:val="nil"/>
              <w:bottom w:val="single" w:sz="4" w:space="0" w:color="auto"/>
              <w:right w:val="single" w:sz="4" w:space="0" w:color="auto"/>
            </w:tcBorders>
            <w:shd w:val="clear" w:color="auto" w:fill="auto"/>
            <w:noWrap/>
            <w:vAlign w:val="bottom"/>
            <w:hideMark/>
          </w:tcPr>
          <w:p w14:paraId="2D2A882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1.011</w:t>
            </w:r>
          </w:p>
        </w:tc>
        <w:tc>
          <w:tcPr>
            <w:tcW w:w="1131" w:type="dxa"/>
            <w:tcBorders>
              <w:top w:val="nil"/>
              <w:left w:val="nil"/>
              <w:bottom w:val="single" w:sz="4" w:space="0" w:color="auto"/>
              <w:right w:val="single" w:sz="4" w:space="0" w:color="auto"/>
            </w:tcBorders>
            <w:shd w:val="clear" w:color="auto" w:fill="auto"/>
            <w:noWrap/>
            <w:vAlign w:val="bottom"/>
            <w:hideMark/>
          </w:tcPr>
          <w:p w14:paraId="53B5B72D"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0.439</w:t>
            </w:r>
          </w:p>
        </w:tc>
        <w:tc>
          <w:tcPr>
            <w:tcW w:w="760" w:type="dxa"/>
            <w:tcBorders>
              <w:top w:val="nil"/>
              <w:left w:val="nil"/>
              <w:bottom w:val="single" w:sz="4" w:space="0" w:color="auto"/>
              <w:right w:val="single" w:sz="4" w:space="0" w:color="auto"/>
            </w:tcBorders>
            <w:shd w:val="clear" w:color="auto" w:fill="auto"/>
            <w:noWrap/>
            <w:vAlign w:val="bottom"/>
            <w:hideMark/>
          </w:tcPr>
          <w:p w14:paraId="7D411AFA"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0.950</w:t>
            </w:r>
          </w:p>
        </w:tc>
      </w:tr>
      <w:tr w:rsidR="00D34E74" w:rsidRPr="00A86967" w14:paraId="5636CB3C"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46821257"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719" w:type="dxa"/>
            <w:tcBorders>
              <w:top w:val="nil"/>
              <w:left w:val="nil"/>
              <w:bottom w:val="single" w:sz="4" w:space="0" w:color="auto"/>
              <w:right w:val="single" w:sz="4" w:space="0" w:color="auto"/>
            </w:tcBorders>
            <w:shd w:val="clear" w:color="auto" w:fill="auto"/>
            <w:noWrap/>
            <w:vAlign w:val="bottom"/>
            <w:hideMark/>
          </w:tcPr>
          <w:p w14:paraId="0706705F"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863" w:type="dxa"/>
            <w:tcBorders>
              <w:top w:val="nil"/>
              <w:left w:val="nil"/>
              <w:bottom w:val="single" w:sz="4" w:space="0" w:color="auto"/>
              <w:right w:val="single" w:sz="4" w:space="0" w:color="auto"/>
            </w:tcBorders>
            <w:shd w:val="clear" w:color="auto" w:fill="auto"/>
            <w:noWrap/>
            <w:vAlign w:val="bottom"/>
            <w:hideMark/>
          </w:tcPr>
          <w:p w14:paraId="1D119B0B"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836" w:type="dxa"/>
            <w:tcBorders>
              <w:top w:val="nil"/>
              <w:left w:val="nil"/>
              <w:bottom w:val="single" w:sz="4" w:space="0" w:color="auto"/>
              <w:right w:val="single" w:sz="4" w:space="0" w:color="auto"/>
            </w:tcBorders>
            <w:shd w:val="clear" w:color="auto" w:fill="auto"/>
            <w:noWrap/>
            <w:vAlign w:val="bottom"/>
            <w:hideMark/>
          </w:tcPr>
          <w:p w14:paraId="4775C71E"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14:paraId="0C64A6BD" w14:textId="77777777" w:rsidR="00D34E74" w:rsidRPr="000B3157" w:rsidRDefault="00D34E74"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0C5D562A"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52" w:type="dxa"/>
            <w:tcBorders>
              <w:top w:val="nil"/>
              <w:left w:val="nil"/>
              <w:bottom w:val="single" w:sz="4" w:space="0" w:color="auto"/>
              <w:right w:val="single" w:sz="4" w:space="0" w:color="auto"/>
            </w:tcBorders>
            <w:shd w:val="clear" w:color="auto" w:fill="auto"/>
            <w:noWrap/>
            <w:vAlign w:val="bottom"/>
            <w:hideMark/>
          </w:tcPr>
          <w:p w14:paraId="73BF30E4"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1131" w:type="dxa"/>
            <w:tcBorders>
              <w:top w:val="nil"/>
              <w:left w:val="nil"/>
              <w:bottom w:val="single" w:sz="4" w:space="0" w:color="auto"/>
              <w:right w:val="single" w:sz="4" w:space="0" w:color="auto"/>
            </w:tcBorders>
            <w:shd w:val="clear" w:color="auto" w:fill="auto"/>
            <w:noWrap/>
            <w:vAlign w:val="bottom"/>
            <w:hideMark/>
          </w:tcPr>
          <w:p w14:paraId="08C39E68"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14:paraId="53A0ADC2" w14:textId="77777777" w:rsidR="00D34E74" w:rsidRPr="000B3157" w:rsidRDefault="00D34E74"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D34E74" w:rsidRPr="00A86967" w14:paraId="562711FF"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0F1F9BE2"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Boston</w:t>
            </w:r>
          </w:p>
        </w:tc>
        <w:tc>
          <w:tcPr>
            <w:tcW w:w="719" w:type="dxa"/>
            <w:tcBorders>
              <w:top w:val="nil"/>
              <w:left w:val="nil"/>
              <w:bottom w:val="single" w:sz="4" w:space="0" w:color="auto"/>
              <w:right w:val="single" w:sz="4" w:space="0" w:color="auto"/>
            </w:tcBorders>
            <w:shd w:val="clear" w:color="auto" w:fill="auto"/>
            <w:noWrap/>
            <w:vAlign w:val="bottom"/>
            <w:hideMark/>
          </w:tcPr>
          <w:p w14:paraId="4AABF3D5"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0.061</w:t>
            </w:r>
          </w:p>
        </w:tc>
        <w:tc>
          <w:tcPr>
            <w:tcW w:w="863" w:type="dxa"/>
            <w:tcBorders>
              <w:top w:val="nil"/>
              <w:left w:val="nil"/>
              <w:bottom w:val="single" w:sz="4" w:space="0" w:color="auto"/>
              <w:right w:val="single" w:sz="4" w:space="0" w:color="auto"/>
            </w:tcBorders>
            <w:shd w:val="clear" w:color="auto" w:fill="auto"/>
            <w:noWrap/>
            <w:vAlign w:val="bottom"/>
            <w:hideMark/>
          </w:tcPr>
          <w:p w14:paraId="41B61E3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1.027</w:t>
            </w:r>
          </w:p>
        </w:tc>
        <w:tc>
          <w:tcPr>
            <w:tcW w:w="836" w:type="dxa"/>
            <w:tcBorders>
              <w:top w:val="nil"/>
              <w:left w:val="nil"/>
              <w:bottom w:val="single" w:sz="4" w:space="0" w:color="auto"/>
              <w:right w:val="single" w:sz="4" w:space="0" w:color="auto"/>
            </w:tcBorders>
            <w:shd w:val="clear" w:color="auto" w:fill="auto"/>
            <w:noWrap/>
            <w:vAlign w:val="bottom"/>
            <w:hideMark/>
          </w:tcPr>
          <w:p w14:paraId="02B172FB"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0.360</w:t>
            </w:r>
          </w:p>
        </w:tc>
        <w:tc>
          <w:tcPr>
            <w:tcW w:w="778" w:type="dxa"/>
            <w:tcBorders>
              <w:top w:val="nil"/>
              <w:left w:val="nil"/>
              <w:bottom w:val="single" w:sz="4" w:space="0" w:color="auto"/>
              <w:right w:val="single" w:sz="4" w:space="0" w:color="auto"/>
            </w:tcBorders>
            <w:shd w:val="clear" w:color="auto" w:fill="auto"/>
            <w:noWrap/>
            <w:vAlign w:val="bottom"/>
            <w:hideMark/>
          </w:tcPr>
          <w:p w14:paraId="6C94C299"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0.951</w:t>
            </w:r>
          </w:p>
        </w:tc>
        <w:tc>
          <w:tcPr>
            <w:tcW w:w="993" w:type="dxa"/>
            <w:tcBorders>
              <w:top w:val="nil"/>
              <w:left w:val="nil"/>
              <w:bottom w:val="single" w:sz="4" w:space="0" w:color="auto"/>
              <w:right w:val="single" w:sz="4" w:space="0" w:color="auto"/>
            </w:tcBorders>
            <w:shd w:val="clear" w:color="auto" w:fill="auto"/>
            <w:noWrap/>
            <w:vAlign w:val="bottom"/>
            <w:hideMark/>
          </w:tcPr>
          <w:p w14:paraId="21FA695D"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0.140</w:t>
            </w:r>
          </w:p>
        </w:tc>
        <w:tc>
          <w:tcPr>
            <w:tcW w:w="952" w:type="dxa"/>
            <w:tcBorders>
              <w:top w:val="nil"/>
              <w:left w:val="nil"/>
              <w:bottom w:val="single" w:sz="4" w:space="0" w:color="auto"/>
              <w:right w:val="single" w:sz="4" w:space="0" w:color="auto"/>
            </w:tcBorders>
            <w:shd w:val="clear" w:color="auto" w:fill="auto"/>
            <w:noWrap/>
            <w:vAlign w:val="bottom"/>
            <w:hideMark/>
          </w:tcPr>
          <w:p w14:paraId="1EA8D00E"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1.038</w:t>
            </w:r>
          </w:p>
        </w:tc>
        <w:tc>
          <w:tcPr>
            <w:tcW w:w="1131" w:type="dxa"/>
            <w:tcBorders>
              <w:top w:val="nil"/>
              <w:left w:val="nil"/>
              <w:bottom w:val="single" w:sz="4" w:space="0" w:color="auto"/>
              <w:right w:val="single" w:sz="4" w:space="0" w:color="auto"/>
            </w:tcBorders>
            <w:shd w:val="clear" w:color="auto" w:fill="auto"/>
            <w:noWrap/>
            <w:vAlign w:val="bottom"/>
            <w:hideMark/>
          </w:tcPr>
          <w:p w14:paraId="4D427690"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0.642</w:t>
            </w:r>
          </w:p>
        </w:tc>
        <w:tc>
          <w:tcPr>
            <w:tcW w:w="760" w:type="dxa"/>
            <w:tcBorders>
              <w:top w:val="nil"/>
              <w:left w:val="nil"/>
              <w:bottom w:val="single" w:sz="4" w:space="0" w:color="auto"/>
              <w:right w:val="single" w:sz="4" w:space="0" w:color="auto"/>
            </w:tcBorders>
            <w:shd w:val="clear" w:color="auto" w:fill="auto"/>
            <w:noWrap/>
            <w:vAlign w:val="bottom"/>
            <w:hideMark/>
          </w:tcPr>
          <w:p w14:paraId="09CB451D"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0.906</w:t>
            </w:r>
          </w:p>
        </w:tc>
      </w:tr>
      <w:tr w:rsidR="00D34E74" w:rsidRPr="00A86967" w14:paraId="2F83EE2A"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33EA40C6"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Chicago</w:t>
            </w:r>
          </w:p>
        </w:tc>
        <w:tc>
          <w:tcPr>
            <w:tcW w:w="719" w:type="dxa"/>
            <w:tcBorders>
              <w:top w:val="nil"/>
              <w:left w:val="nil"/>
              <w:bottom w:val="single" w:sz="4" w:space="0" w:color="auto"/>
              <w:right w:val="single" w:sz="4" w:space="0" w:color="auto"/>
            </w:tcBorders>
            <w:shd w:val="clear" w:color="auto" w:fill="auto"/>
            <w:noWrap/>
            <w:vAlign w:val="bottom"/>
            <w:hideMark/>
          </w:tcPr>
          <w:p w14:paraId="3CC3BD4D"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0.088</w:t>
            </w:r>
          </w:p>
        </w:tc>
        <w:tc>
          <w:tcPr>
            <w:tcW w:w="863" w:type="dxa"/>
            <w:tcBorders>
              <w:top w:val="nil"/>
              <w:left w:val="nil"/>
              <w:bottom w:val="single" w:sz="4" w:space="0" w:color="auto"/>
              <w:right w:val="single" w:sz="4" w:space="0" w:color="auto"/>
            </w:tcBorders>
            <w:shd w:val="clear" w:color="auto" w:fill="auto"/>
            <w:noWrap/>
            <w:vAlign w:val="bottom"/>
            <w:hideMark/>
          </w:tcPr>
          <w:p w14:paraId="3C4216D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1.010</w:t>
            </w:r>
          </w:p>
        </w:tc>
        <w:tc>
          <w:tcPr>
            <w:tcW w:w="836" w:type="dxa"/>
            <w:tcBorders>
              <w:top w:val="nil"/>
              <w:left w:val="nil"/>
              <w:bottom w:val="single" w:sz="4" w:space="0" w:color="auto"/>
              <w:right w:val="single" w:sz="4" w:space="0" w:color="auto"/>
            </w:tcBorders>
            <w:shd w:val="clear" w:color="auto" w:fill="auto"/>
            <w:noWrap/>
            <w:vAlign w:val="bottom"/>
            <w:hideMark/>
          </w:tcPr>
          <w:p w14:paraId="4E7387E7"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0.501</w:t>
            </w:r>
          </w:p>
        </w:tc>
        <w:tc>
          <w:tcPr>
            <w:tcW w:w="778" w:type="dxa"/>
            <w:tcBorders>
              <w:top w:val="nil"/>
              <w:left w:val="nil"/>
              <w:bottom w:val="single" w:sz="4" w:space="0" w:color="auto"/>
              <w:right w:val="single" w:sz="4" w:space="0" w:color="auto"/>
            </w:tcBorders>
            <w:shd w:val="clear" w:color="auto" w:fill="auto"/>
            <w:noWrap/>
            <w:vAlign w:val="bottom"/>
            <w:hideMark/>
          </w:tcPr>
          <w:p w14:paraId="41319989"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0.916</w:t>
            </w:r>
          </w:p>
        </w:tc>
        <w:tc>
          <w:tcPr>
            <w:tcW w:w="993" w:type="dxa"/>
            <w:tcBorders>
              <w:top w:val="nil"/>
              <w:left w:val="nil"/>
              <w:bottom w:val="single" w:sz="4" w:space="0" w:color="auto"/>
              <w:right w:val="single" w:sz="4" w:space="0" w:color="auto"/>
            </w:tcBorders>
            <w:shd w:val="clear" w:color="auto" w:fill="auto"/>
            <w:noWrap/>
            <w:vAlign w:val="bottom"/>
            <w:hideMark/>
          </w:tcPr>
          <w:p w14:paraId="26DBF6D6"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0.170</w:t>
            </w:r>
          </w:p>
        </w:tc>
        <w:tc>
          <w:tcPr>
            <w:tcW w:w="952" w:type="dxa"/>
            <w:tcBorders>
              <w:top w:val="nil"/>
              <w:left w:val="nil"/>
              <w:bottom w:val="single" w:sz="4" w:space="0" w:color="auto"/>
              <w:right w:val="single" w:sz="4" w:space="0" w:color="auto"/>
            </w:tcBorders>
            <w:shd w:val="clear" w:color="auto" w:fill="auto"/>
            <w:noWrap/>
            <w:vAlign w:val="bottom"/>
            <w:hideMark/>
          </w:tcPr>
          <w:p w14:paraId="5F992FF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1.019</w:t>
            </w:r>
          </w:p>
        </w:tc>
        <w:tc>
          <w:tcPr>
            <w:tcW w:w="1131" w:type="dxa"/>
            <w:tcBorders>
              <w:top w:val="nil"/>
              <w:left w:val="nil"/>
              <w:bottom w:val="single" w:sz="4" w:space="0" w:color="auto"/>
              <w:right w:val="single" w:sz="4" w:space="0" w:color="auto"/>
            </w:tcBorders>
            <w:shd w:val="clear" w:color="auto" w:fill="auto"/>
            <w:noWrap/>
            <w:vAlign w:val="bottom"/>
            <w:hideMark/>
          </w:tcPr>
          <w:p w14:paraId="12D19709"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1.016</w:t>
            </w:r>
          </w:p>
        </w:tc>
        <w:tc>
          <w:tcPr>
            <w:tcW w:w="760" w:type="dxa"/>
            <w:tcBorders>
              <w:top w:val="nil"/>
              <w:left w:val="nil"/>
              <w:bottom w:val="single" w:sz="4" w:space="0" w:color="auto"/>
              <w:right w:val="single" w:sz="4" w:space="0" w:color="auto"/>
            </w:tcBorders>
            <w:shd w:val="clear" w:color="auto" w:fill="auto"/>
            <w:noWrap/>
            <w:vAlign w:val="bottom"/>
            <w:hideMark/>
          </w:tcPr>
          <w:p w14:paraId="0D9BDD42"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0.828</w:t>
            </w:r>
          </w:p>
        </w:tc>
      </w:tr>
      <w:tr w:rsidR="00D34E74" w:rsidRPr="00A86967" w14:paraId="2CA3806E"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73549C25"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Cleveland</w:t>
            </w:r>
          </w:p>
        </w:tc>
        <w:tc>
          <w:tcPr>
            <w:tcW w:w="719" w:type="dxa"/>
            <w:tcBorders>
              <w:top w:val="nil"/>
              <w:left w:val="nil"/>
              <w:bottom w:val="single" w:sz="4" w:space="0" w:color="auto"/>
              <w:right w:val="single" w:sz="4" w:space="0" w:color="auto"/>
            </w:tcBorders>
            <w:shd w:val="clear" w:color="auto" w:fill="auto"/>
            <w:noWrap/>
            <w:vAlign w:val="bottom"/>
            <w:hideMark/>
          </w:tcPr>
          <w:p w14:paraId="0FF71DF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0.101</w:t>
            </w:r>
          </w:p>
        </w:tc>
        <w:tc>
          <w:tcPr>
            <w:tcW w:w="863" w:type="dxa"/>
            <w:tcBorders>
              <w:top w:val="nil"/>
              <w:left w:val="nil"/>
              <w:bottom w:val="single" w:sz="4" w:space="0" w:color="auto"/>
              <w:right w:val="single" w:sz="4" w:space="0" w:color="auto"/>
            </w:tcBorders>
            <w:shd w:val="clear" w:color="auto" w:fill="auto"/>
            <w:noWrap/>
            <w:vAlign w:val="bottom"/>
            <w:hideMark/>
          </w:tcPr>
          <w:p w14:paraId="164492F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1.003</w:t>
            </w:r>
          </w:p>
        </w:tc>
        <w:tc>
          <w:tcPr>
            <w:tcW w:w="836" w:type="dxa"/>
            <w:tcBorders>
              <w:top w:val="nil"/>
              <w:left w:val="nil"/>
              <w:bottom w:val="single" w:sz="4" w:space="0" w:color="auto"/>
              <w:right w:val="single" w:sz="4" w:space="0" w:color="auto"/>
            </w:tcBorders>
            <w:shd w:val="clear" w:color="auto" w:fill="auto"/>
            <w:noWrap/>
            <w:vAlign w:val="bottom"/>
            <w:hideMark/>
          </w:tcPr>
          <w:p w14:paraId="5FC72DED"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0.446</w:t>
            </w:r>
          </w:p>
        </w:tc>
        <w:tc>
          <w:tcPr>
            <w:tcW w:w="778" w:type="dxa"/>
            <w:tcBorders>
              <w:top w:val="nil"/>
              <w:left w:val="nil"/>
              <w:bottom w:val="single" w:sz="4" w:space="0" w:color="auto"/>
              <w:right w:val="single" w:sz="4" w:space="0" w:color="auto"/>
            </w:tcBorders>
            <w:shd w:val="clear" w:color="auto" w:fill="auto"/>
            <w:noWrap/>
            <w:vAlign w:val="bottom"/>
            <w:hideMark/>
          </w:tcPr>
          <w:p w14:paraId="7739C445"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0.910</w:t>
            </w:r>
          </w:p>
        </w:tc>
        <w:tc>
          <w:tcPr>
            <w:tcW w:w="993" w:type="dxa"/>
            <w:tcBorders>
              <w:top w:val="nil"/>
              <w:left w:val="nil"/>
              <w:bottom w:val="single" w:sz="4" w:space="0" w:color="auto"/>
              <w:right w:val="single" w:sz="4" w:space="0" w:color="auto"/>
            </w:tcBorders>
            <w:shd w:val="clear" w:color="auto" w:fill="auto"/>
            <w:noWrap/>
            <w:vAlign w:val="bottom"/>
            <w:hideMark/>
          </w:tcPr>
          <w:p w14:paraId="7E2B8FD6"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0.202</w:t>
            </w:r>
          </w:p>
        </w:tc>
        <w:tc>
          <w:tcPr>
            <w:tcW w:w="952" w:type="dxa"/>
            <w:tcBorders>
              <w:top w:val="nil"/>
              <w:left w:val="nil"/>
              <w:bottom w:val="single" w:sz="4" w:space="0" w:color="auto"/>
              <w:right w:val="single" w:sz="4" w:space="0" w:color="auto"/>
            </w:tcBorders>
            <w:shd w:val="clear" w:color="auto" w:fill="auto"/>
            <w:noWrap/>
            <w:vAlign w:val="bottom"/>
            <w:hideMark/>
          </w:tcPr>
          <w:p w14:paraId="6839FFD9"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1.006</w:t>
            </w:r>
          </w:p>
        </w:tc>
        <w:tc>
          <w:tcPr>
            <w:tcW w:w="1131" w:type="dxa"/>
            <w:tcBorders>
              <w:top w:val="nil"/>
              <w:left w:val="nil"/>
              <w:bottom w:val="single" w:sz="4" w:space="0" w:color="auto"/>
              <w:right w:val="single" w:sz="4" w:space="0" w:color="auto"/>
            </w:tcBorders>
            <w:shd w:val="clear" w:color="auto" w:fill="auto"/>
            <w:noWrap/>
            <w:vAlign w:val="bottom"/>
            <w:hideMark/>
          </w:tcPr>
          <w:p w14:paraId="1419127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0.908</w:t>
            </w:r>
          </w:p>
        </w:tc>
        <w:tc>
          <w:tcPr>
            <w:tcW w:w="760" w:type="dxa"/>
            <w:tcBorders>
              <w:top w:val="nil"/>
              <w:left w:val="nil"/>
              <w:bottom w:val="single" w:sz="4" w:space="0" w:color="auto"/>
              <w:right w:val="single" w:sz="4" w:space="0" w:color="auto"/>
            </w:tcBorders>
            <w:shd w:val="clear" w:color="auto" w:fill="auto"/>
            <w:noWrap/>
            <w:vAlign w:val="bottom"/>
            <w:hideMark/>
          </w:tcPr>
          <w:p w14:paraId="20E5D830"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0.817</w:t>
            </w:r>
          </w:p>
        </w:tc>
      </w:tr>
      <w:tr w:rsidR="00D34E74" w:rsidRPr="00A86967" w14:paraId="0B3F94A2"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1782D162"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Denver</w:t>
            </w:r>
          </w:p>
        </w:tc>
        <w:tc>
          <w:tcPr>
            <w:tcW w:w="719" w:type="dxa"/>
            <w:tcBorders>
              <w:top w:val="nil"/>
              <w:left w:val="nil"/>
              <w:bottom w:val="single" w:sz="4" w:space="0" w:color="auto"/>
              <w:right w:val="single" w:sz="4" w:space="0" w:color="auto"/>
            </w:tcBorders>
            <w:shd w:val="clear" w:color="auto" w:fill="auto"/>
            <w:noWrap/>
            <w:vAlign w:val="bottom"/>
            <w:hideMark/>
          </w:tcPr>
          <w:p w14:paraId="10A752C7"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0.126</w:t>
            </w:r>
          </w:p>
        </w:tc>
        <w:tc>
          <w:tcPr>
            <w:tcW w:w="863" w:type="dxa"/>
            <w:tcBorders>
              <w:top w:val="nil"/>
              <w:left w:val="nil"/>
              <w:bottom w:val="single" w:sz="4" w:space="0" w:color="auto"/>
              <w:right w:val="single" w:sz="4" w:space="0" w:color="auto"/>
            </w:tcBorders>
            <w:shd w:val="clear" w:color="auto" w:fill="auto"/>
            <w:noWrap/>
            <w:vAlign w:val="bottom"/>
            <w:hideMark/>
          </w:tcPr>
          <w:p w14:paraId="7E1F5C47"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0.999</w:t>
            </w:r>
          </w:p>
        </w:tc>
        <w:tc>
          <w:tcPr>
            <w:tcW w:w="836" w:type="dxa"/>
            <w:tcBorders>
              <w:top w:val="nil"/>
              <w:left w:val="nil"/>
              <w:bottom w:val="single" w:sz="4" w:space="0" w:color="auto"/>
              <w:right w:val="single" w:sz="4" w:space="0" w:color="auto"/>
            </w:tcBorders>
            <w:shd w:val="clear" w:color="auto" w:fill="auto"/>
            <w:noWrap/>
            <w:vAlign w:val="bottom"/>
            <w:hideMark/>
          </w:tcPr>
          <w:p w14:paraId="142414A5"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0.414</w:t>
            </w:r>
          </w:p>
        </w:tc>
        <w:tc>
          <w:tcPr>
            <w:tcW w:w="778" w:type="dxa"/>
            <w:tcBorders>
              <w:top w:val="nil"/>
              <w:left w:val="nil"/>
              <w:bottom w:val="single" w:sz="4" w:space="0" w:color="auto"/>
              <w:right w:val="single" w:sz="4" w:space="0" w:color="auto"/>
            </w:tcBorders>
            <w:shd w:val="clear" w:color="auto" w:fill="auto"/>
            <w:noWrap/>
            <w:vAlign w:val="bottom"/>
            <w:hideMark/>
          </w:tcPr>
          <w:p w14:paraId="4738B35D"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0.924</w:t>
            </w:r>
          </w:p>
        </w:tc>
        <w:tc>
          <w:tcPr>
            <w:tcW w:w="993" w:type="dxa"/>
            <w:tcBorders>
              <w:top w:val="nil"/>
              <w:left w:val="nil"/>
              <w:bottom w:val="single" w:sz="4" w:space="0" w:color="auto"/>
              <w:right w:val="single" w:sz="4" w:space="0" w:color="auto"/>
            </w:tcBorders>
            <w:shd w:val="clear" w:color="auto" w:fill="auto"/>
            <w:noWrap/>
            <w:vAlign w:val="bottom"/>
            <w:hideMark/>
          </w:tcPr>
          <w:p w14:paraId="6545E42E"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0.231</w:t>
            </w:r>
          </w:p>
        </w:tc>
        <w:tc>
          <w:tcPr>
            <w:tcW w:w="952" w:type="dxa"/>
            <w:tcBorders>
              <w:top w:val="nil"/>
              <w:left w:val="nil"/>
              <w:bottom w:val="single" w:sz="4" w:space="0" w:color="auto"/>
              <w:right w:val="single" w:sz="4" w:space="0" w:color="auto"/>
            </w:tcBorders>
            <w:shd w:val="clear" w:color="auto" w:fill="auto"/>
            <w:noWrap/>
            <w:vAlign w:val="bottom"/>
            <w:hideMark/>
          </w:tcPr>
          <w:p w14:paraId="454F9A0B"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1.001</w:t>
            </w:r>
          </w:p>
        </w:tc>
        <w:tc>
          <w:tcPr>
            <w:tcW w:w="1131" w:type="dxa"/>
            <w:tcBorders>
              <w:top w:val="nil"/>
              <w:left w:val="nil"/>
              <w:bottom w:val="single" w:sz="4" w:space="0" w:color="auto"/>
              <w:right w:val="single" w:sz="4" w:space="0" w:color="auto"/>
            </w:tcBorders>
            <w:shd w:val="clear" w:color="auto" w:fill="auto"/>
            <w:noWrap/>
            <w:vAlign w:val="bottom"/>
            <w:hideMark/>
          </w:tcPr>
          <w:p w14:paraId="19D56FF7"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0.782</w:t>
            </w:r>
          </w:p>
        </w:tc>
        <w:tc>
          <w:tcPr>
            <w:tcW w:w="760" w:type="dxa"/>
            <w:tcBorders>
              <w:top w:val="nil"/>
              <w:left w:val="nil"/>
              <w:bottom w:val="single" w:sz="4" w:space="0" w:color="auto"/>
              <w:right w:val="single" w:sz="4" w:space="0" w:color="auto"/>
            </w:tcBorders>
            <w:shd w:val="clear" w:color="auto" w:fill="auto"/>
            <w:noWrap/>
            <w:vAlign w:val="bottom"/>
            <w:hideMark/>
          </w:tcPr>
          <w:p w14:paraId="2C3513A6"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0.857</w:t>
            </w:r>
          </w:p>
        </w:tc>
      </w:tr>
      <w:tr w:rsidR="00D34E74" w:rsidRPr="00A86967" w14:paraId="6E2B71FC"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2135CFB6"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Houston</w:t>
            </w:r>
          </w:p>
        </w:tc>
        <w:tc>
          <w:tcPr>
            <w:tcW w:w="719" w:type="dxa"/>
            <w:tcBorders>
              <w:top w:val="nil"/>
              <w:left w:val="nil"/>
              <w:bottom w:val="single" w:sz="4" w:space="0" w:color="auto"/>
              <w:right w:val="single" w:sz="4" w:space="0" w:color="auto"/>
            </w:tcBorders>
            <w:shd w:val="clear" w:color="auto" w:fill="auto"/>
            <w:noWrap/>
            <w:vAlign w:val="bottom"/>
            <w:hideMark/>
          </w:tcPr>
          <w:p w14:paraId="286E5030"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0.128</w:t>
            </w:r>
          </w:p>
        </w:tc>
        <w:tc>
          <w:tcPr>
            <w:tcW w:w="863" w:type="dxa"/>
            <w:tcBorders>
              <w:top w:val="nil"/>
              <w:left w:val="nil"/>
              <w:bottom w:val="single" w:sz="4" w:space="0" w:color="auto"/>
              <w:right w:val="single" w:sz="4" w:space="0" w:color="auto"/>
            </w:tcBorders>
            <w:shd w:val="clear" w:color="auto" w:fill="auto"/>
            <w:noWrap/>
            <w:vAlign w:val="bottom"/>
            <w:hideMark/>
          </w:tcPr>
          <w:p w14:paraId="2B06F776"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1.011</w:t>
            </w:r>
          </w:p>
        </w:tc>
        <w:tc>
          <w:tcPr>
            <w:tcW w:w="836" w:type="dxa"/>
            <w:tcBorders>
              <w:top w:val="nil"/>
              <w:left w:val="nil"/>
              <w:bottom w:val="single" w:sz="4" w:space="0" w:color="auto"/>
              <w:right w:val="single" w:sz="4" w:space="0" w:color="auto"/>
            </w:tcBorders>
            <w:shd w:val="clear" w:color="auto" w:fill="auto"/>
            <w:noWrap/>
            <w:vAlign w:val="bottom"/>
            <w:hideMark/>
          </w:tcPr>
          <w:p w14:paraId="45504248"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0.398</w:t>
            </w:r>
          </w:p>
        </w:tc>
        <w:tc>
          <w:tcPr>
            <w:tcW w:w="778" w:type="dxa"/>
            <w:tcBorders>
              <w:top w:val="nil"/>
              <w:left w:val="nil"/>
              <w:bottom w:val="single" w:sz="4" w:space="0" w:color="auto"/>
              <w:right w:val="single" w:sz="4" w:space="0" w:color="auto"/>
            </w:tcBorders>
            <w:shd w:val="clear" w:color="auto" w:fill="auto"/>
            <w:noWrap/>
            <w:vAlign w:val="bottom"/>
            <w:hideMark/>
          </w:tcPr>
          <w:p w14:paraId="330BAAE2"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0.945</w:t>
            </w:r>
          </w:p>
        </w:tc>
        <w:tc>
          <w:tcPr>
            <w:tcW w:w="993" w:type="dxa"/>
            <w:tcBorders>
              <w:top w:val="nil"/>
              <w:left w:val="nil"/>
              <w:bottom w:val="single" w:sz="4" w:space="0" w:color="auto"/>
              <w:right w:val="single" w:sz="4" w:space="0" w:color="auto"/>
            </w:tcBorders>
            <w:shd w:val="clear" w:color="auto" w:fill="auto"/>
            <w:noWrap/>
            <w:vAlign w:val="bottom"/>
            <w:hideMark/>
          </w:tcPr>
          <w:p w14:paraId="61A77B10"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0.231</w:t>
            </w:r>
          </w:p>
        </w:tc>
        <w:tc>
          <w:tcPr>
            <w:tcW w:w="952" w:type="dxa"/>
            <w:tcBorders>
              <w:top w:val="nil"/>
              <w:left w:val="nil"/>
              <w:bottom w:val="single" w:sz="4" w:space="0" w:color="auto"/>
              <w:right w:val="single" w:sz="4" w:space="0" w:color="auto"/>
            </w:tcBorders>
            <w:shd w:val="clear" w:color="auto" w:fill="auto"/>
            <w:noWrap/>
            <w:vAlign w:val="bottom"/>
            <w:hideMark/>
          </w:tcPr>
          <w:p w14:paraId="71290248"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1.020</w:t>
            </w:r>
          </w:p>
        </w:tc>
        <w:tc>
          <w:tcPr>
            <w:tcW w:w="1131" w:type="dxa"/>
            <w:tcBorders>
              <w:top w:val="nil"/>
              <w:left w:val="nil"/>
              <w:bottom w:val="single" w:sz="4" w:space="0" w:color="auto"/>
              <w:right w:val="single" w:sz="4" w:space="0" w:color="auto"/>
            </w:tcBorders>
            <w:shd w:val="clear" w:color="auto" w:fill="auto"/>
            <w:noWrap/>
            <w:vAlign w:val="bottom"/>
            <w:hideMark/>
          </w:tcPr>
          <w:p w14:paraId="4D496C7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0.784</w:t>
            </w:r>
          </w:p>
        </w:tc>
        <w:tc>
          <w:tcPr>
            <w:tcW w:w="760" w:type="dxa"/>
            <w:tcBorders>
              <w:top w:val="nil"/>
              <w:left w:val="nil"/>
              <w:bottom w:val="single" w:sz="4" w:space="0" w:color="auto"/>
              <w:right w:val="single" w:sz="4" w:space="0" w:color="auto"/>
            </w:tcBorders>
            <w:shd w:val="clear" w:color="auto" w:fill="auto"/>
            <w:noWrap/>
            <w:vAlign w:val="bottom"/>
            <w:hideMark/>
          </w:tcPr>
          <w:p w14:paraId="14D2985A"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0.881</w:t>
            </w:r>
          </w:p>
        </w:tc>
      </w:tr>
      <w:tr w:rsidR="00D34E74" w:rsidRPr="00A86967" w14:paraId="28F880C5"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13C0C0B8"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Los Angeles</w:t>
            </w:r>
          </w:p>
        </w:tc>
        <w:tc>
          <w:tcPr>
            <w:tcW w:w="719" w:type="dxa"/>
            <w:tcBorders>
              <w:top w:val="nil"/>
              <w:left w:val="nil"/>
              <w:bottom w:val="single" w:sz="4" w:space="0" w:color="auto"/>
              <w:right w:val="single" w:sz="4" w:space="0" w:color="auto"/>
            </w:tcBorders>
            <w:shd w:val="clear" w:color="auto" w:fill="auto"/>
            <w:noWrap/>
            <w:vAlign w:val="bottom"/>
            <w:hideMark/>
          </w:tcPr>
          <w:p w14:paraId="64AE032C"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0.112</w:t>
            </w:r>
          </w:p>
        </w:tc>
        <w:tc>
          <w:tcPr>
            <w:tcW w:w="863" w:type="dxa"/>
            <w:tcBorders>
              <w:top w:val="nil"/>
              <w:left w:val="nil"/>
              <w:bottom w:val="single" w:sz="4" w:space="0" w:color="auto"/>
              <w:right w:val="single" w:sz="4" w:space="0" w:color="auto"/>
            </w:tcBorders>
            <w:shd w:val="clear" w:color="auto" w:fill="auto"/>
            <w:noWrap/>
            <w:vAlign w:val="bottom"/>
            <w:hideMark/>
          </w:tcPr>
          <w:p w14:paraId="02BC8EE6"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0.997</w:t>
            </w:r>
          </w:p>
        </w:tc>
        <w:tc>
          <w:tcPr>
            <w:tcW w:w="836" w:type="dxa"/>
            <w:tcBorders>
              <w:top w:val="nil"/>
              <w:left w:val="nil"/>
              <w:bottom w:val="single" w:sz="4" w:space="0" w:color="auto"/>
              <w:right w:val="single" w:sz="4" w:space="0" w:color="auto"/>
            </w:tcBorders>
            <w:shd w:val="clear" w:color="auto" w:fill="auto"/>
            <w:noWrap/>
            <w:vAlign w:val="bottom"/>
            <w:hideMark/>
          </w:tcPr>
          <w:p w14:paraId="16C2ADD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0.122</w:t>
            </w:r>
          </w:p>
        </w:tc>
        <w:tc>
          <w:tcPr>
            <w:tcW w:w="778" w:type="dxa"/>
            <w:tcBorders>
              <w:top w:val="nil"/>
              <w:left w:val="nil"/>
              <w:bottom w:val="single" w:sz="4" w:space="0" w:color="auto"/>
              <w:right w:val="single" w:sz="4" w:space="0" w:color="auto"/>
            </w:tcBorders>
            <w:shd w:val="clear" w:color="auto" w:fill="auto"/>
            <w:noWrap/>
            <w:vAlign w:val="bottom"/>
            <w:hideMark/>
          </w:tcPr>
          <w:p w14:paraId="459442B0"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0.995</w:t>
            </w:r>
          </w:p>
        </w:tc>
        <w:tc>
          <w:tcPr>
            <w:tcW w:w="993" w:type="dxa"/>
            <w:tcBorders>
              <w:top w:val="nil"/>
              <w:left w:val="nil"/>
              <w:bottom w:val="single" w:sz="4" w:space="0" w:color="auto"/>
              <w:right w:val="single" w:sz="4" w:space="0" w:color="auto"/>
            </w:tcBorders>
            <w:shd w:val="clear" w:color="auto" w:fill="auto"/>
            <w:noWrap/>
            <w:vAlign w:val="bottom"/>
            <w:hideMark/>
          </w:tcPr>
          <w:p w14:paraId="63CF372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0.212</w:t>
            </w:r>
          </w:p>
        </w:tc>
        <w:tc>
          <w:tcPr>
            <w:tcW w:w="952" w:type="dxa"/>
            <w:tcBorders>
              <w:top w:val="nil"/>
              <w:left w:val="nil"/>
              <w:bottom w:val="single" w:sz="4" w:space="0" w:color="auto"/>
              <w:right w:val="single" w:sz="4" w:space="0" w:color="auto"/>
            </w:tcBorders>
            <w:shd w:val="clear" w:color="auto" w:fill="auto"/>
            <w:noWrap/>
            <w:vAlign w:val="bottom"/>
            <w:hideMark/>
          </w:tcPr>
          <w:p w14:paraId="1F838526"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0.997</w:t>
            </w:r>
          </w:p>
        </w:tc>
        <w:tc>
          <w:tcPr>
            <w:tcW w:w="1131" w:type="dxa"/>
            <w:tcBorders>
              <w:top w:val="nil"/>
              <w:left w:val="nil"/>
              <w:bottom w:val="single" w:sz="4" w:space="0" w:color="auto"/>
              <w:right w:val="single" w:sz="4" w:space="0" w:color="auto"/>
            </w:tcBorders>
            <w:shd w:val="clear" w:color="auto" w:fill="auto"/>
            <w:noWrap/>
            <w:vAlign w:val="bottom"/>
            <w:hideMark/>
          </w:tcPr>
          <w:p w14:paraId="1397BC3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0.232</w:t>
            </w:r>
          </w:p>
        </w:tc>
        <w:tc>
          <w:tcPr>
            <w:tcW w:w="760" w:type="dxa"/>
            <w:tcBorders>
              <w:top w:val="nil"/>
              <w:left w:val="nil"/>
              <w:bottom w:val="single" w:sz="4" w:space="0" w:color="auto"/>
              <w:right w:val="single" w:sz="4" w:space="0" w:color="auto"/>
            </w:tcBorders>
            <w:shd w:val="clear" w:color="auto" w:fill="auto"/>
            <w:noWrap/>
            <w:vAlign w:val="bottom"/>
            <w:hideMark/>
          </w:tcPr>
          <w:p w14:paraId="3F1BCF9D"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0.992</w:t>
            </w:r>
          </w:p>
        </w:tc>
      </w:tr>
      <w:tr w:rsidR="00D34E74" w:rsidRPr="00A86967" w14:paraId="7FCFE924"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6070CB06"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Miami</w:t>
            </w:r>
          </w:p>
        </w:tc>
        <w:tc>
          <w:tcPr>
            <w:tcW w:w="719" w:type="dxa"/>
            <w:tcBorders>
              <w:top w:val="nil"/>
              <w:left w:val="nil"/>
              <w:bottom w:val="single" w:sz="4" w:space="0" w:color="auto"/>
              <w:right w:val="single" w:sz="4" w:space="0" w:color="auto"/>
            </w:tcBorders>
            <w:shd w:val="clear" w:color="auto" w:fill="auto"/>
            <w:noWrap/>
            <w:vAlign w:val="bottom"/>
            <w:hideMark/>
          </w:tcPr>
          <w:p w14:paraId="62298DA1"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0.078</w:t>
            </w:r>
          </w:p>
        </w:tc>
        <w:tc>
          <w:tcPr>
            <w:tcW w:w="863" w:type="dxa"/>
            <w:tcBorders>
              <w:top w:val="nil"/>
              <w:left w:val="nil"/>
              <w:bottom w:val="single" w:sz="4" w:space="0" w:color="auto"/>
              <w:right w:val="single" w:sz="4" w:space="0" w:color="auto"/>
            </w:tcBorders>
            <w:shd w:val="clear" w:color="auto" w:fill="auto"/>
            <w:noWrap/>
            <w:vAlign w:val="bottom"/>
            <w:hideMark/>
          </w:tcPr>
          <w:p w14:paraId="6F2B3B44"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1.028</w:t>
            </w:r>
          </w:p>
        </w:tc>
        <w:tc>
          <w:tcPr>
            <w:tcW w:w="836" w:type="dxa"/>
            <w:tcBorders>
              <w:top w:val="nil"/>
              <w:left w:val="nil"/>
              <w:bottom w:val="single" w:sz="4" w:space="0" w:color="auto"/>
              <w:right w:val="single" w:sz="4" w:space="0" w:color="auto"/>
            </w:tcBorders>
            <w:shd w:val="clear" w:color="auto" w:fill="auto"/>
            <w:noWrap/>
            <w:vAlign w:val="bottom"/>
            <w:hideMark/>
          </w:tcPr>
          <w:p w14:paraId="688DA17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0.415</w:t>
            </w:r>
          </w:p>
        </w:tc>
        <w:tc>
          <w:tcPr>
            <w:tcW w:w="778" w:type="dxa"/>
            <w:tcBorders>
              <w:top w:val="nil"/>
              <w:left w:val="nil"/>
              <w:bottom w:val="single" w:sz="4" w:space="0" w:color="auto"/>
              <w:right w:val="single" w:sz="4" w:space="0" w:color="auto"/>
            </w:tcBorders>
            <w:shd w:val="clear" w:color="auto" w:fill="auto"/>
            <w:noWrap/>
            <w:vAlign w:val="bottom"/>
            <w:hideMark/>
          </w:tcPr>
          <w:p w14:paraId="1C78B63D"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0.953</w:t>
            </w:r>
          </w:p>
        </w:tc>
        <w:tc>
          <w:tcPr>
            <w:tcW w:w="993" w:type="dxa"/>
            <w:tcBorders>
              <w:top w:val="nil"/>
              <w:left w:val="nil"/>
              <w:bottom w:val="single" w:sz="4" w:space="0" w:color="auto"/>
              <w:right w:val="single" w:sz="4" w:space="0" w:color="auto"/>
            </w:tcBorders>
            <w:shd w:val="clear" w:color="auto" w:fill="auto"/>
            <w:noWrap/>
            <w:vAlign w:val="bottom"/>
            <w:hideMark/>
          </w:tcPr>
          <w:p w14:paraId="5DF411BC"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0.180</w:t>
            </w:r>
          </w:p>
        </w:tc>
        <w:tc>
          <w:tcPr>
            <w:tcW w:w="952" w:type="dxa"/>
            <w:tcBorders>
              <w:top w:val="nil"/>
              <w:left w:val="nil"/>
              <w:bottom w:val="single" w:sz="4" w:space="0" w:color="auto"/>
              <w:right w:val="single" w:sz="4" w:space="0" w:color="auto"/>
            </w:tcBorders>
            <w:shd w:val="clear" w:color="auto" w:fill="auto"/>
            <w:noWrap/>
            <w:vAlign w:val="bottom"/>
            <w:hideMark/>
          </w:tcPr>
          <w:p w14:paraId="77592F63"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1.029</w:t>
            </w:r>
          </w:p>
        </w:tc>
        <w:tc>
          <w:tcPr>
            <w:tcW w:w="1131" w:type="dxa"/>
            <w:tcBorders>
              <w:top w:val="nil"/>
              <w:left w:val="nil"/>
              <w:bottom w:val="single" w:sz="4" w:space="0" w:color="auto"/>
              <w:right w:val="single" w:sz="4" w:space="0" w:color="auto"/>
            </w:tcBorders>
            <w:shd w:val="clear" w:color="auto" w:fill="auto"/>
            <w:noWrap/>
            <w:vAlign w:val="bottom"/>
            <w:hideMark/>
          </w:tcPr>
          <w:p w14:paraId="337BDDDB"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0.836</w:t>
            </w:r>
          </w:p>
        </w:tc>
        <w:tc>
          <w:tcPr>
            <w:tcW w:w="760" w:type="dxa"/>
            <w:tcBorders>
              <w:top w:val="nil"/>
              <w:left w:val="nil"/>
              <w:bottom w:val="single" w:sz="4" w:space="0" w:color="auto"/>
              <w:right w:val="single" w:sz="4" w:space="0" w:color="auto"/>
            </w:tcBorders>
            <w:shd w:val="clear" w:color="auto" w:fill="auto"/>
            <w:noWrap/>
            <w:vAlign w:val="bottom"/>
            <w:hideMark/>
          </w:tcPr>
          <w:p w14:paraId="31FADBD3"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0.880</w:t>
            </w:r>
          </w:p>
        </w:tc>
      </w:tr>
      <w:tr w:rsidR="00D34E74" w:rsidRPr="00A86967" w14:paraId="5906EDB2"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663012D2"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New York</w:t>
            </w:r>
          </w:p>
        </w:tc>
        <w:tc>
          <w:tcPr>
            <w:tcW w:w="719" w:type="dxa"/>
            <w:tcBorders>
              <w:top w:val="nil"/>
              <w:left w:val="nil"/>
              <w:bottom w:val="single" w:sz="4" w:space="0" w:color="auto"/>
              <w:right w:val="single" w:sz="4" w:space="0" w:color="auto"/>
            </w:tcBorders>
            <w:shd w:val="clear" w:color="auto" w:fill="auto"/>
            <w:noWrap/>
            <w:vAlign w:val="bottom"/>
            <w:hideMark/>
          </w:tcPr>
          <w:p w14:paraId="5D4EEF29"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0.109</w:t>
            </w:r>
          </w:p>
        </w:tc>
        <w:tc>
          <w:tcPr>
            <w:tcW w:w="863" w:type="dxa"/>
            <w:tcBorders>
              <w:top w:val="nil"/>
              <w:left w:val="nil"/>
              <w:bottom w:val="single" w:sz="4" w:space="0" w:color="auto"/>
              <w:right w:val="single" w:sz="4" w:space="0" w:color="auto"/>
            </w:tcBorders>
            <w:shd w:val="clear" w:color="auto" w:fill="auto"/>
            <w:noWrap/>
            <w:vAlign w:val="bottom"/>
            <w:hideMark/>
          </w:tcPr>
          <w:p w14:paraId="3839CED0"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1.017</w:t>
            </w:r>
          </w:p>
        </w:tc>
        <w:tc>
          <w:tcPr>
            <w:tcW w:w="836" w:type="dxa"/>
            <w:tcBorders>
              <w:top w:val="nil"/>
              <w:left w:val="nil"/>
              <w:bottom w:val="single" w:sz="4" w:space="0" w:color="auto"/>
              <w:right w:val="single" w:sz="4" w:space="0" w:color="auto"/>
            </w:tcBorders>
            <w:shd w:val="clear" w:color="auto" w:fill="auto"/>
            <w:noWrap/>
            <w:vAlign w:val="bottom"/>
            <w:hideMark/>
          </w:tcPr>
          <w:p w14:paraId="1CBFD004"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0.433</w:t>
            </w:r>
          </w:p>
        </w:tc>
        <w:tc>
          <w:tcPr>
            <w:tcW w:w="778" w:type="dxa"/>
            <w:tcBorders>
              <w:top w:val="nil"/>
              <w:left w:val="nil"/>
              <w:bottom w:val="single" w:sz="4" w:space="0" w:color="auto"/>
              <w:right w:val="single" w:sz="4" w:space="0" w:color="auto"/>
            </w:tcBorders>
            <w:shd w:val="clear" w:color="auto" w:fill="auto"/>
            <w:noWrap/>
            <w:vAlign w:val="bottom"/>
            <w:hideMark/>
          </w:tcPr>
          <w:p w14:paraId="059BE3C0"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0.939</w:t>
            </w:r>
          </w:p>
        </w:tc>
        <w:tc>
          <w:tcPr>
            <w:tcW w:w="993" w:type="dxa"/>
            <w:tcBorders>
              <w:top w:val="nil"/>
              <w:left w:val="nil"/>
              <w:bottom w:val="single" w:sz="4" w:space="0" w:color="auto"/>
              <w:right w:val="single" w:sz="4" w:space="0" w:color="auto"/>
            </w:tcBorders>
            <w:shd w:val="clear" w:color="auto" w:fill="auto"/>
            <w:noWrap/>
            <w:vAlign w:val="bottom"/>
            <w:hideMark/>
          </w:tcPr>
          <w:p w14:paraId="487CFC5D"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0.197</w:t>
            </w:r>
          </w:p>
        </w:tc>
        <w:tc>
          <w:tcPr>
            <w:tcW w:w="952" w:type="dxa"/>
            <w:tcBorders>
              <w:top w:val="nil"/>
              <w:left w:val="nil"/>
              <w:bottom w:val="single" w:sz="4" w:space="0" w:color="auto"/>
              <w:right w:val="single" w:sz="4" w:space="0" w:color="auto"/>
            </w:tcBorders>
            <w:shd w:val="clear" w:color="auto" w:fill="auto"/>
            <w:noWrap/>
            <w:vAlign w:val="bottom"/>
            <w:hideMark/>
          </w:tcPr>
          <w:p w14:paraId="7DEA5DCA"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1.025</w:t>
            </w:r>
          </w:p>
        </w:tc>
        <w:tc>
          <w:tcPr>
            <w:tcW w:w="1131" w:type="dxa"/>
            <w:tcBorders>
              <w:top w:val="nil"/>
              <w:left w:val="nil"/>
              <w:bottom w:val="single" w:sz="4" w:space="0" w:color="auto"/>
              <w:right w:val="single" w:sz="4" w:space="0" w:color="auto"/>
            </w:tcBorders>
            <w:shd w:val="clear" w:color="auto" w:fill="auto"/>
            <w:noWrap/>
            <w:vAlign w:val="bottom"/>
            <w:hideMark/>
          </w:tcPr>
          <w:p w14:paraId="231CFEB4"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0.689</w:t>
            </w:r>
          </w:p>
        </w:tc>
        <w:tc>
          <w:tcPr>
            <w:tcW w:w="760" w:type="dxa"/>
            <w:tcBorders>
              <w:top w:val="nil"/>
              <w:left w:val="nil"/>
              <w:bottom w:val="single" w:sz="4" w:space="0" w:color="auto"/>
              <w:right w:val="single" w:sz="4" w:space="0" w:color="auto"/>
            </w:tcBorders>
            <w:shd w:val="clear" w:color="auto" w:fill="auto"/>
            <w:noWrap/>
            <w:vAlign w:val="bottom"/>
            <w:hideMark/>
          </w:tcPr>
          <w:p w14:paraId="2A63FDA8"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0.907</w:t>
            </w:r>
          </w:p>
        </w:tc>
      </w:tr>
      <w:tr w:rsidR="00D34E74" w:rsidRPr="00A86967" w14:paraId="5AC904DD"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79D9B36E"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San Francisco</w:t>
            </w:r>
          </w:p>
        </w:tc>
        <w:tc>
          <w:tcPr>
            <w:tcW w:w="719" w:type="dxa"/>
            <w:tcBorders>
              <w:top w:val="nil"/>
              <w:left w:val="nil"/>
              <w:bottom w:val="single" w:sz="4" w:space="0" w:color="auto"/>
              <w:right w:val="single" w:sz="4" w:space="0" w:color="auto"/>
            </w:tcBorders>
            <w:shd w:val="clear" w:color="auto" w:fill="auto"/>
            <w:noWrap/>
            <w:vAlign w:val="bottom"/>
            <w:hideMark/>
          </w:tcPr>
          <w:p w14:paraId="2FC5872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0.132</w:t>
            </w:r>
          </w:p>
        </w:tc>
        <w:tc>
          <w:tcPr>
            <w:tcW w:w="863" w:type="dxa"/>
            <w:tcBorders>
              <w:top w:val="nil"/>
              <w:left w:val="nil"/>
              <w:bottom w:val="single" w:sz="4" w:space="0" w:color="auto"/>
              <w:right w:val="single" w:sz="4" w:space="0" w:color="auto"/>
            </w:tcBorders>
            <w:shd w:val="clear" w:color="auto" w:fill="auto"/>
            <w:noWrap/>
            <w:vAlign w:val="bottom"/>
            <w:hideMark/>
          </w:tcPr>
          <w:p w14:paraId="47DE0D13"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0.995</w:t>
            </w:r>
          </w:p>
        </w:tc>
        <w:tc>
          <w:tcPr>
            <w:tcW w:w="836" w:type="dxa"/>
            <w:tcBorders>
              <w:top w:val="nil"/>
              <w:left w:val="nil"/>
              <w:bottom w:val="single" w:sz="4" w:space="0" w:color="auto"/>
              <w:right w:val="single" w:sz="4" w:space="0" w:color="auto"/>
            </w:tcBorders>
            <w:shd w:val="clear" w:color="auto" w:fill="auto"/>
            <w:noWrap/>
            <w:vAlign w:val="bottom"/>
            <w:hideMark/>
          </w:tcPr>
          <w:p w14:paraId="2CA8770F"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0.194</w:t>
            </w:r>
          </w:p>
        </w:tc>
        <w:tc>
          <w:tcPr>
            <w:tcW w:w="778" w:type="dxa"/>
            <w:tcBorders>
              <w:top w:val="nil"/>
              <w:left w:val="nil"/>
              <w:bottom w:val="single" w:sz="4" w:space="0" w:color="auto"/>
              <w:right w:val="single" w:sz="4" w:space="0" w:color="auto"/>
            </w:tcBorders>
            <w:shd w:val="clear" w:color="auto" w:fill="auto"/>
            <w:noWrap/>
            <w:vAlign w:val="bottom"/>
            <w:hideMark/>
          </w:tcPr>
          <w:p w14:paraId="55EC362B"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0.979</w:t>
            </w:r>
          </w:p>
        </w:tc>
        <w:tc>
          <w:tcPr>
            <w:tcW w:w="993" w:type="dxa"/>
            <w:tcBorders>
              <w:top w:val="nil"/>
              <w:left w:val="nil"/>
              <w:bottom w:val="single" w:sz="4" w:space="0" w:color="auto"/>
              <w:right w:val="single" w:sz="4" w:space="0" w:color="auto"/>
            </w:tcBorders>
            <w:shd w:val="clear" w:color="auto" w:fill="auto"/>
            <w:noWrap/>
            <w:vAlign w:val="bottom"/>
            <w:hideMark/>
          </w:tcPr>
          <w:p w14:paraId="61E6E08B"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0.241</w:t>
            </w:r>
          </w:p>
        </w:tc>
        <w:tc>
          <w:tcPr>
            <w:tcW w:w="952" w:type="dxa"/>
            <w:tcBorders>
              <w:top w:val="nil"/>
              <w:left w:val="nil"/>
              <w:bottom w:val="single" w:sz="4" w:space="0" w:color="auto"/>
              <w:right w:val="single" w:sz="4" w:space="0" w:color="auto"/>
            </w:tcBorders>
            <w:shd w:val="clear" w:color="auto" w:fill="auto"/>
            <w:noWrap/>
            <w:vAlign w:val="bottom"/>
            <w:hideMark/>
          </w:tcPr>
          <w:p w14:paraId="714114ED"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0.993</w:t>
            </w:r>
          </w:p>
        </w:tc>
        <w:tc>
          <w:tcPr>
            <w:tcW w:w="1131" w:type="dxa"/>
            <w:tcBorders>
              <w:top w:val="nil"/>
              <w:left w:val="nil"/>
              <w:bottom w:val="single" w:sz="4" w:space="0" w:color="auto"/>
              <w:right w:val="single" w:sz="4" w:space="0" w:color="auto"/>
            </w:tcBorders>
            <w:shd w:val="clear" w:color="auto" w:fill="auto"/>
            <w:noWrap/>
            <w:vAlign w:val="bottom"/>
            <w:hideMark/>
          </w:tcPr>
          <w:p w14:paraId="68CCBF88"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0.336</w:t>
            </w:r>
          </w:p>
        </w:tc>
        <w:tc>
          <w:tcPr>
            <w:tcW w:w="760" w:type="dxa"/>
            <w:tcBorders>
              <w:top w:val="nil"/>
              <w:left w:val="nil"/>
              <w:bottom w:val="single" w:sz="4" w:space="0" w:color="auto"/>
              <w:right w:val="single" w:sz="4" w:space="0" w:color="auto"/>
            </w:tcBorders>
            <w:shd w:val="clear" w:color="auto" w:fill="auto"/>
            <w:noWrap/>
            <w:vAlign w:val="bottom"/>
            <w:hideMark/>
          </w:tcPr>
          <w:p w14:paraId="11DCB2EE"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0.969</w:t>
            </w:r>
          </w:p>
        </w:tc>
      </w:tr>
      <w:tr w:rsidR="00D34E74" w:rsidRPr="00A86967" w14:paraId="1CA887FA" w14:textId="77777777" w:rsidTr="00612EC5">
        <w:trPr>
          <w:trHeight w:val="29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6CCC7929" w14:textId="77777777" w:rsidR="00D34E74" w:rsidRPr="000B3157" w:rsidRDefault="00D34E74"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Seattle</w:t>
            </w:r>
          </w:p>
        </w:tc>
        <w:tc>
          <w:tcPr>
            <w:tcW w:w="719" w:type="dxa"/>
            <w:tcBorders>
              <w:top w:val="nil"/>
              <w:left w:val="nil"/>
              <w:bottom w:val="single" w:sz="4" w:space="0" w:color="auto"/>
              <w:right w:val="single" w:sz="4" w:space="0" w:color="auto"/>
            </w:tcBorders>
            <w:shd w:val="clear" w:color="auto" w:fill="auto"/>
            <w:noWrap/>
            <w:vAlign w:val="bottom"/>
            <w:hideMark/>
          </w:tcPr>
          <w:p w14:paraId="7B5102CA"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0.096</w:t>
            </w:r>
          </w:p>
        </w:tc>
        <w:tc>
          <w:tcPr>
            <w:tcW w:w="863" w:type="dxa"/>
            <w:tcBorders>
              <w:top w:val="nil"/>
              <w:left w:val="nil"/>
              <w:bottom w:val="single" w:sz="4" w:space="0" w:color="auto"/>
              <w:right w:val="single" w:sz="4" w:space="0" w:color="auto"/>
            </w:tcBorders>
            <w:shd w:val="clear" w:color="auto" w:fill="auto"/>
            <w:noWrap/>
            <w:vAlign w:val="bottom"/>
            <w:hideMark/>
          </w:tcPr>
          <w:p w14:paraId="6DE50AF9"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1.009</w:t>
            </w:r>
          </w:p>
        </w:tc>
        <w:tc>
          <w:tcPr>
            <w:tcW w:w="836" w:type="dxa"/>
            <w:tcBorders>
              <w:top w:val="nil"/>
              <w:left w:val="nil"/>
              <w:bottom w:val="single" w:sz="4" w:space="0" w:color="auto"/>
              <w:right w:val="single" w:sz="4" w:space="0" w:color="auto"/>
            </w:tcBorders>
            <w:shd w:val="clear" w:color="auto" w:fill="auto"/>
            <w:noWrap/>
            <w:vAlign w:val="bottom"/>
            <w:hideMark/>
          </w:tcPr>
          <w:p w14:paraId="06E2DB96"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0.193</w:t>
            </w:r>
          </w:p>
        </w:tc>
        <w:tc>
          <w:tcPr>
            <w:tcW w:w="778" w:type="dxa"/>
            <w:tcBorders>
              <w:top w:val="nil"/>
              <w:left w:val="nil"/>
              <w:bottom w:val="single" w:sz="4" w:space="0" w:color="auto"/>
              <w:right w:val="single" w:sz="4" w:space="0" w:color="auto"/>
            </w:tcBorders>
            <w:shd w:val="clear" w:color="auto" w:fill="auto"/>
            <w:noWrap/>
            <w:vAlign w:val="bottom"/>
            <w:hideMark/>
          </w:tcPr>
          <w:p w14:paraId="480EB6F9" w14:textId="77777777" w:rsidR="00D34E74" w:rsidRPr="000B3157" w:rsidRDefault="00D34E74"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0.984</w:t>
            </w:r>
          </w:p>
        </w:tc>
        <w:tc>
          <w:tcPr>
            <w:tcW w:w="993" w:type="dxa"/>
            <w:tcBorders>
              <w:top w:val="nil"/>
              <w:left w:val="nil"/>
              <w:bottom w:val="single" w:sz="4" w:space="0" w:color="auto"/>
              <w:right w:val="single" w:sz="4" w:space="0" w:color="auto"/>
            </w:tcBorders>
            <w:shd w:val="clear" w:color="auto" w:fill="auto"/>
            <w:noWrap/>
            <w:vAlign w:val="bottom"/>
            <w:hideMark/>
          </w:tcPr>
          <w:p w14:paraId="778E521C"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0.195</w:t>
            </w:r>
          </w:p>
        </w:tc>
        <w:tc>
          <w:tcPr>
            <w:tcW w:w="952" w:type="dxa"/>
            <w:tcBorders>
              <w:top w:val="nil"/>
              <w:left w:val="nil"/>
              <w:bottom w:val="single" w:sz="4" w:space="0" w:color="auto"/>
              <w:right w:val="single" w:sz="4" w:space="0" w:color="auto"/>
            </w:tcBorders>
            <w:shd w:val="clear" w:color="auto" w:fill="auto"/>
            <w:noWrap/>
            <w:vAlign w:val="bottom"/>
            <w:hideMark/>
          </w:tcPr>
          <w:p w14:paraId="29F0EC57"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1.010</w:t>
            </w:r>
          </w:p>
        </w:tc>
        <w:tc>
          <w:tcPr>
            <w:tcW w:w="1131" w:type="dxa"/>
            <w:tcBorders>
              <w:top w:val="nil"/>
              <w:left w:val="nil"/>
              <w:bottom w:val="single" w:sz="4" w:space="0" w:color="auto"/>
              <w:right w:val="single" w:sz="4" w:space="0" w:color="auto"/>
            </w:tcBorders>
            <w:shd w:val="clear" w:color="auto" w:fill="auto"/>
            <w:noWrap/>
            <w:vAlign w:val="bottom"/>
            <w:hideMark/>
          </w:tcPr>
          <w:p w14:paraId="1AA79C4D"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0.306</w:t>
            </w:r>
          </w:p>
        </w:tc>
        <w:tc>
          <w:tcPr>
            <w:tcW w:w="760" w:type="dxa"/>
            <w:tcBorders>
              <w:top w:val="nil"/>
              <w:left w:val="nil"/>
              <w:bottom w:val="single" w:sz="4" w:space="0" w:color="auto"/>
              <w:right w:val="single" w:sz="4" w:space="0" w:color="auto"/>
            </w:tcBorders>
            <w:shd w:val="clear" w:color="auto" w:fill="auto"/>
            <w:noWrap/>
            <w:vAlign w:val="bottom"/>
            <w:hideMark/>
          </w:tcPr>
          <w:p w14:paraId="2B23EF85" w14:textId="77777777" w:rsidR="00D34E74" w:rsidRPr="000B3157" w:rsidRDefault="00D34E74"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0.982</w:t>
            </w:r>
          </w:p>
        </w:tc>
      </w:tr>
    </w:tbl>
    <w:p w14:paraId="4B01635B" w14:textId="77777777" w:rsidR="003B09B3" w:rsidRDefault="003B09B3" w:rsidP="0013781B">
      <w:pPr>
        <w:ind w:left="720" w:hanging="360"/>
      </w:pPr>
    </w:p>
    <w:p w14:paraId="0F4D740D" w14:textId="77777777" w:rsidR="003B09B3" w:rsidRDefault="003B09B3" w:rsidP="0013781B">
      <w:pPr>
        <w:ind w:left="720" w:hanging="360"/>
      </w:pPr>
    </w:p>
    <w:p w14:paraId="2969CFF8" w14:textId="77777777" w:rsidR="003B09B3" w:rsidRDefault="003B09B3" w:rsidP="0013781B">
      <w:pPr>
        <w:ind w:left="720" w:hanging="360"/>
      </w:pPr>
    </w:p>
    <w:tbl>
      <w:tblPr>
        <w:tblW w:w="8905" w:type="dxa"/>
        <w:tblInd w:w="445" w:type="dxa"/>
        <w:tblLook w:val="04A0" w:firstRow="1" w:lastRow="0" w:firstColumn="1" w:lastColumn="0" w:noHBand="0" w:noVBand="1"/>
      </w:tblPr>
      <w:tblGrid>
        <w:gridCol w:w="1074"/>
        <w:gridCol w:w="935"/>
        <w:gridCol w:w="1009"/>
        <w:gridCol w:w="966"/>
        <w:gridCol w:w="1017"/>
        <w:gridCol w:w="935"/>
        <w:gridCol w:w="986"/>
        <w:gridCol w:w="966"/>
        <w:gridCol w:w="1017"/>
      </w:tblGrid>
      <w:tr w:rsidR="00CC7E92" w:rsidRPr="00A86967" w14:paraId="65855702" w14:textId="77777777" w:rsidTr="000B3157">
        <w:trPr>
          <w:trHeight w:val="290"/>
        </w:trPr>
        <w:tc>
          <w:tcPr>
            <w:tcW w:w="8905"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5A77D78" w14:textId="4A79DD86" w:rsidR="00CC7E92" w:rsidRPr="000B3157" w:rsidRDefault="00CC7E92" w:rsidP="00114932">
            <w:pPr>
              <w:pStyle w:val="Caption"/>
              <w:rPr>
                <w:rFonts w:ascii="Arial" w:eastAsia="Times New Roman" w:hAnsi="Arial" w:cs="Arial"/>
                <w:sz w:val="16"/>
                <w:szCs w:val="16"/>
              </w:rPr>
            </w:pPr>
            <w:r w:rsidRPr="001A77D2">
              <w:rPr>
                <w:noProof/>
              </w:rPr>
              <w:t xml:space="preserve">Table </w:t>
            </w:r>
            <w:r w:rsidR="00A86967" w:rsidRPr="001A77D2">
              <w:rPr>
                <w:noProof/>
              </w:rPr>
              <w:t>A.</w:t>
            </w:r>
            <w:r w:rsidR="00374CD5">
              <w:rPr>
                <w:noProof/>
              </w:rPr>
              <w:t>7</w:t>
            </w:r>
            <w:r w:rsidRPr="001A77D2">
              <w:rPr>
                <w:noProof/>
              </w:rPr>
              <w:t>. EIA</w:t>
            </w:r>
            <w:r w:rsidR="00114932">
              <w:rPr>
                <w:noProof/>
              </w:rPr>
              <w:t>-878 m</w:t>
            </w:r>
            <w:r w:rsidRPr="001A77D2">
              <w:rPr>
                <w:noProof/>
              </w:rPr>
              <w:t xml:space="preserve">idgrade and </w:t>
            </w:r>
            <w:r w:rsidR="00114932">
              <w:rPr>
                <w:noProof/>
              </w:rPr>
              <w:t>p</w:t>
            </w:r>
            <w:r w:rsidRPr="001A77D2">
              <w:rPr>
                <w:noProof/>
              </w:rPr>
              <w:t xml:space="preserve">remium </w:t>
            </w:r>
            <w:r w:rsidR="00114932">
              <w:rPr>
                <w:noProof/>
              </w:rPr>
              <w:t>motor gasoline p</w:t>
            </w:r>
            <w:r w:rsidRPr="001A77D2">
              <w:rPr>
                <w:noProof/>
              </w:rPr>
              <w:t xml:space="preserve">rice </w:t>
            </w:r>
            <w:r w:rsidR="00114932">
              <w:rPr>
                <w:noProof/>
              </w:rPr>
              <w:t>p</w:t>
            </w:r>
            <w:r w:rsidRPr="001A77D2">
              <w:rPr>
                <w:noProof/>
              </w:rPr>
              <w:t xml:space="preserve">redicted </w:t>
            </w:r>
            <w:r w:rsidR="00114932">
              <w:rPr>
                <w:noProof/>
              </w:rPr>
              <w:t>v</w:t>
            </w:r>
            <w:r w:rsidRPr="001A77D2">
              <w:rPr>
                <w:noProof/>
              </w:rPr>
              <w:t xml:space="preserve">alue </w:t>
            </w:r>
            <w:r w:rsidR="00114932">
              <w:rPr>
                <w:noProof/>
              </w:rPr>
              <w:t>s</w:t>
            </w:r>
            <w:r w:rsidRPr="001A77D2">
              <w:rPr>
                <w:noProof/>
              </w:rPr>
              <w:t>tatistics (2009-2012)</w:t>
            </w:r>
            <w:r w:rsidR="00114932">
              <w:rPr>
                <w:noProof/>
              </w:rPr>
              <w:t>.</w:t>
            </w:r>
          </w:p>
        </w:tc>
      </w:tr>
      <w:tr w:rsidR="00CC7E92" w:rsidRPr="00A86967" w14:paraId="09AEE15A" w14:textId="77777777" w:rsidTr="000B315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4767CF94"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3927" w:type="dxa"/>
            <w:gridSpan w:val="4"/>
            <w:tcBorders>
              <w:top w:val="nil"/>
              <w:left w:val="nil"/>
              <w:bottom w:val="single" w:sz="4" w:space="0" w:color="auto"/>
              <w:right w:val="single" w:sz="4" w:space="0" w:color="auto"/>
            </w:tcBorders>
            <w:shd w:val="clear" w:color="auto" w:fill="auto"/>
            <w:noWrap/>
            <w:vAlign w:val="bottom"/>
            <w:hideMark/>
          </w:tcPr>
          <w:p w14:paraId="74933129"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Midgrade Price Residual</w:t>
            </w:r>
          </w:p>
        </w:tc>
        <w:tc>
          <w:tcPr>
            <w:tcW w:w="3904" w:type="dxa"/>
            <w:gridSpan w:val="4"/>
            <w:tcBorders>
              <w:top w:val="nil"/>
              <w:left w:val="nil"/>
              <w:bottom w:val="single" w:sz="4" w:space="0" w:color="auto"/>
              <w:right w:val="single" w:sz="4" w:space="0" w:color="auto"/>
            </w:tcBorders>
            <w:shd w:val="clear" w:color="auto" w:fill="auto"/>
            <w:noWrap/>
            <w:vAlign w:val="bottom"/>
            <w:hideMark/>
          </w:tcPr>
          <w:p w14:paraId="4DD1EE46"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Premium Price Residual</w:t>
            </w:r>
          </w:p>
        </w:tc>
      </w:tr>
      <w:tr w:rsidR="00A86967" w:rsidRPr="00FB3D4C" w14:paraId="484D6BB1" w14:textId="77777777" w:rsidTr="00A86967">
        <w:trPr>
          <w:trHeight w:val="7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507FF15" w14:textId="77777777" w:rsidR="00CC7E92" w:rsidRPr="000B3157" w:rsidRDefault="00CC7E92" w:rsidP="000B3157">
            <w:pPr>
              <w:spacing w:after="0" w:line="240" w:lineRule="auto"/>
              <w:rPr>
                <w:rFonts w:ascii="Arial" w:eastAsia="Times New Roman" w:hAnsi="Arial" w:cs="Arial"/>
                <w:sz w:val="16"/>
                <w:szCs w:val="16"/>
              </w:rPr>
            </w:pPr>
            <w:r w:rsidRPr="000B3157">
              <w:rPr>
                <w:rFonts w:ascii="Arial" w:eastAsia="Times New Roman" w:hAnsi="Arial" w:cs="Arial"/>
                <w:sz w:val="16"/>
                <w:szCs w:val="16"/>
              </w:rPr>
              <w:t>Region</w:t>
            </w:r>
          </w:p>
        </w:tc>
        <w:tc>
          <w:tcPr>
            <w:tcW w:w="935" w:type="dxa"/>
            <w:tcBorders>
              <w:top w:val="nil"/>
              <w:left w:val="nil"/>
              <w:bottom w:val="single" w:sz="4" w:space="0" w:color="auto"/>
              <w:right w:val="single" w:sz="4" w:space="0" w:color="auto"/>
            </w:tcBorders>
            <w:shd w:val="clear" w:color="auto" w:fill="auto"/>
            <w:vAlign w:val="bottom"/>
            <w:hideMark/>
          </w:tcPr>
          <w:p w14:paraId="6ED183BF"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Mean Absolute Value</w:t>
            </w:r>
          </w:p>
        </w:tc>
        <w:tc>
          <w:tcPr>
            <w:tcW w:w="1009" w:type="dxa"/>
            <w:tcBorders>
              <w:top w:val="nil"/>
              <w:left w:val="nil"/>
              <w:bottom w:val="single" w:sz="4" w:space="0" w:color="auto"/>
              <w:right w:val="single" w:sz="4" w:space="0" w:color="auto"/>
            </w:tcBorders>
            <w:shd w:val="clear" w:color="auto" w:fill="auto"/>
            <w:vAlign w:val="bottom"/>
            <w:hideMark/>
          </w:tcPr>
          <w:p w14:paraId="76B81C49"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Standard Deviation</w:t>
            </w:r>
          </w:p>
        </w:tc>
        <w:tc>
          <w:tcPr>
            <w:tcW w:w="966" w:type="dxa"/>
            <w:tcBorders>
              <w:top w:val="nil"/>
              <w:left w:val="nil"/>
              <w:bottom w:val="single" w:sz="4" w:space="0" w:color="auto"/>
              <w:right w:val="single" w:sz="4" w:space="0" w:color="auto"/>
            </w:tcBorders>
            <w:shd w:val="clear" w:color="auto" w:fill="auto"/>
            <w:noWrap/>
            <w:vAlign w:val="bottom"/>
            <w:hideMark/>
          </w:tcPr>
          <w:p w14:paraId="10221DED"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Minimum</w:t>
            </w:r>
          </w:p>
        </w:tc>
        <w:tc>
          <w:tcPr>
            <w:tcW w:w="1017" w:type="dxa"/>
            <w:tcBorders>
              <w:top w:val="nil"/>
              <w:left w:val="nil"/>
              <w:bottom w:val="single" w:sz="4" w:space="0" w:color="auto"/>
              <w:right w:val="single" w:sz="4" w:space="0" w:color="auto"/>
            </w:tcBorders>
            <w:shd w:val="clear" w:color="auto" w:fill="auto"/>
            <w:noWrap/>
            <w:vAlign w:val="bottom"/>
            <w:hideMark/>
          </w:tcPr>
          <w:p w14:paraId="07E2B4E3"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Maximum</w:t>
            </w:r>
          </w:p>
        </w:tc>
        <w:tc>
          <w:tcPr>
            <w:tcW w:w="935" w:type="dxa"/>
            <w:tcBorders>
              <w:top w:val="nil"/>
              <w:left w:val="nil"/>
              <w:bottom w:val="single" w:sz="4" w:space="0" w:color="auto"/>
              <w:right w:val="single" w:sz="4" w:space="0" w:color="auto"/>
            </w:tcBorders>
            <w:shd w:val="clear" w:color="auto" w:fill="auto"/>
            <w:vAlign w:val="bottom"/>
            <w:hideMark/>
          </w:tcPr>
          <w:p w14:paraId="1F422D40"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Mean Absolute Value</w:t>
            </w:r>
          </w:p>
        </w:tc>
        <w:tc>
          <w:tcPr>
            <w:tcW w:w="986" w:type="dxa"/>
            <w:tcBorders>
              <w:top w:val="nil"/>
              <w:left w:val="nil"/>
              <w:bottom w:val="single" w:sz="4" w:space="0" w:color="auto"/>
              <w:right w:val="single" w:sz="4" w:space="0" w:color="auto"/>
            </w:tcBorders>
            <w:shd w:val="clear" w:color="auto" w:fill="auto"/>
            <w:vAlign w:val="bottom"/>
            <w:hideMark/>
          </w:tcPr>
          <w:p w14:paraId="48CEC059"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Standard Deviation</w:t>
            </w:r>
          </w:p>
        </w:tc>
        <w:tc>
          <w:tcPr>
            <w:tcW w:w="966" w:type="dxa"/>
            <w:tcBorders>
              <w:top w:val="nil"/>
              <w:left w:val="nil"/>
              <w:bottom w:val="single" w:sz="4" w:space="0" w:color="auto"/>
              <w:right w:val="single" w:sz="4" w:space="0" w:color="auto"/>
            </w:tcBorders>
            <w:shd w:val="clear" w:color="auto" w:fill="auto"/>
            <w:noWrap/>
            <w:vAlign w:val="bottom"/>
            <w:hideMark/>
          </w:tcPr>
          <w:p w14:paraId="3EB5F6D7"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Minimum</w:t>
            </w:r>
          </w:p>
        </w:tc>
        <w:tc>
          <w:tcPr>
            <w:tcW w:w="1017" w:type="dxa"/>
            <w:tcBorders>
              <w:top w:val="nil"/>
              <w:left w:val="nil"/>
              <w:bottom w:val="single" w:sz="4" w:space="0" w:color="auto"/>
              <w:right w:val="single" w:sz="4" w:space="0" w:color="auto"/>
            </w:tcBorders>
            <w:shd w:val="clear" w:color="auto" w:fill="auto"/>
            <w:noWrap/>
            <w:vAlign w:val="bottom"/>
            <w:hideMark/>
          </w:tcPr>
          <w:p w14:paraId="65CB6E25"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Maximum</w:t>
            </w:r>
          </w:p>
        </w:tc>
      </w:tr>
      <w:tr w:rsidR="00A86967" w:rsidRPr="00FB3D4C" w14:paraId="25B037CA"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5D292E81"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U.S.</w:t>
            </w:r>
          </w:p>
        </w:tc>
        <w:tc>
          <w:tcPr>
            <w:tcW w:w="935" w:type="dxa"/>
            <w:tcBorders>
              <w:top w:val="nil"/>
              <w:left w:val="nil"/>
              <w:bottom w:val="single" w:sz="4" w:space="0" w:color="auto"/>
              <w:right w:val="single" w:sz="4" w:space="0" w:color="auto"/>
            </w:tcBorders>
            <w:shd w:val="clear" w:color="auto" w:fill="auto"/>
            <w:noWrap/>
            <w:vAlign w:val="bottom"/>
            <w:hideMark/>
          </w:tcPr>
          <w:p w14:paraId="0FE9F67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1009" w:type="dxa"/>
            <w:tcBorders>
              <w:top w:val="nil"/>
              <w:left w:val="nil"/>
              <w:bottom w:val="single" w:sz="4" w:space="0" w:color="auto"/>
              <w:right w:val="single" w:sz="4" w:space="0" w:color="auto"/>
            </w:tcBorders>
            <w:shd w:val="clear" w:color="auto" w:fill="auto"/>
            <w:noWrap/>
            <w:vAlign w:val="bottom"/>
            <w:hideMark/>
          </w:tcPr>
          <w:p w14:paraId="1DA0E06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66" w:type="dxa"/>
            <w:tcBorders>
              <w:top w:val="nil"/>
              <w:left w:val="nil"/>
              <w:bottom w:val="single" w:sz="4" w:space="0" w:color="auto"/>
              <w:right w:val="single" w:sz="4" w:space="0" w:color="auto"/>
            </w:tcBorders>
            <w:shd w:val="clear" w:color="auto" w:fill="auto"/>
            <w:noWrap/>
            <w:vAlign w:val="bottom"/>
            <w:hideMark/>
          </w:tcPr>
          <w:p w14:paraId="3FCE0A4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-0.020</w:t>
            </w:r>
          </w:p>
        </w:tc>
        <w:tc>
          <w:tcPr>
            <w:tcW w:w="1017" w:type="dxa"/>
            <w:tcBorders>
              <w:top w:val="nil"/>
              <w:left w:val="nil"/>
              <w:bottom w:val="single" w:sz="4" w:space="0" w:color="auto"/>
              <w:right w:val="single" w:sz="4" w:space="0" w:color="auto"/>
            </w:tcBorders>
            <w:shd w:val="clear" w:color="auto" w:fill="auto"/>
            <w:noWrap/>
            <w:vAlign w:val="bottom"/>
            <w:hideMark/>
          </w:tcPr>
          <w:p w14:paraId="5E6D932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0.036</w:t>
            </w:r>
          </w:p>
        </w:tc>
        <w:tc>
          <w:tcPr>
            <w:tcW w:w="935" w:type="dxa"/>
            <w:tcBorders>
              <w:top w:val="nil"/>
              <w:left w:val="nil"/>
              <w:bottom w:val="single" w:sz="4" w:space="0" w:color="auto"/>
              <w:right w:val="single" w:sz="4" w:space="0" w:color="auto"/>
            </w:tcBorders>
            <w:shd w:val="clear" w:color="auto" w:fill="auto"/>
            <w:noWrap/>
            <w:vAlign w:val="bottom"/>
            <w:hideMark/>
          </w:tcPr>
          <w:p w14:paraId="2CB3D41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0.012</w:t>
            </w:r>
          </w:p>
        </w:tc>
        <w:tc>
          <w:tcPr>
            <w:tcW w:w="986" w:type="dxa"/>
            <w:tcBorders>
              <w:top w:val="nil"/>
              <w:left w:val="nil"/>
              <w:bottom w:val="single" w:sz="4" w:space="0" w:color="auto"/>
              <w:right w:val="single" w:sz="4" w:space="0" w:color="auto"/>
            </w:tcBorders>
            <w:shd w:val="clear" w:color="auto" w:fill="auto"/>
            <w:noWrap/>
            <w:vAlign w:val="bottom"/>
            <w:hideMark/>
          </w:tcPr>
          <w:p w14:paraId="09DCD07A"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0.017</w:t>
            </w:r>
          </w:p>
        </w:tc>
        <w:tc>
          <w:tcPr>
            <w:tcW w:w="966" w:type="dxa"/>
            <w:tcBorders>
              <w:top w:val="nil"/>
              <w:left w:val="nil"/>
              <w:bottom w:val="single" w:sz="4" w:space="0" w:color="auto"/>
              <w:right w:val="single" w:sz="4" w:space="0" w:color="auto"/>
            </w:tcBorders>
            <w:shd w:val="clear" w:color="auto" w:fill="auto"/>
            <w:noWrap/>
            <w:vAlign w:val="bottom"/>
            <w:hideMark/>
          </w:tcPr>
          <w:p w14:paraId="7736826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-0.032</w:t>
            </w:r>
          </w:p>
        </w:tc>
        <w:tc>
          <w:tcPr>
            <w:tcW w:w="1017" w:type="dxa"/>
            <w:tcBorders>
              <w:top w:val="nil"/>
              <w:left w:val="nil"/>
              <w:bottom w:val="single" w:sz="4" w:space="0" w:color="auto"/>
              <w:right w:val="single" w:sz="4" w:space="0" w:color="auto"/>
            </w:tcBorders>
            <w:shd w:val="clear" w:color="auto" w:fill="auto"/>
            <w:noWrap/>
            <w:vAlign w:val="bottom"/>
            <w:hideMark/>
          </w:tcPr>
          <w:p w14:paraId="013692F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0.065</w:t>
            </w:r>
          </w:p>
        </w:tc>
      </w:tr>
      <w:tr w:rsidR="00A86967" w:rsidRPr="00FB3D4C" w14:paraId="2A6F80AA"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74590D1C"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35" w:type="dxa"/>
            <w:tcBorders>
              <w:top w:val="nil"/>
              <w:left w:val="nil"/>
              <w:bottom w:val="single" w:sz="4" w:space="0" w:color="auto"/>
              <w:right w:val="single" w:sz="4" w:space="0" w:color="auto"/>
            </w:tcBorders>
            <w:shd w:val="clear" w:color="auto" w:fill="auto"/>
            <w:noWrap/>
            <w:vAlign w:val="bottom"/>
            <w:hideMark/>
          </w:tcPr>
          <w:p w14:paraId="1758D084"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1009" w:type="dxa"/>
            <w:tcBorders>
              <w:top w:val="nil"/>
              <w:left w:val="nil"/>
              <w:bottom w:val="single" w:sz="4" w:space="0" w:color="auto"/>
              <w:right w:val="single" w:sz="4" w:space="0" w:color="auto"/>
            </w:tcBorders>
            <w:shd w:val="clear" w:color="auto" w:fill="auto"/>
            <w:noWrap/>
            <w:vAlign w:val="bottom"/>
            <w:hideMark/>
          </w:tcPr>
          <w:p w14:paraId="45441206"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14:paraId="5F744140"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14:paraId="09F8229F"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35" w:type="dxa"/>
            <w:tcBorders>
              <w:top w:val="nil"/>
              <w:left w:val="nil"/>
              <w:bottom w:val="single" w:sz="4" w:space="0" w:color="auto"/>
              <w:right w:val="single" w:sz="4" w:space="0" w:color="auto"/>
            </w:tcBorders>
            <w:shd w:val="clear" w:color="auto" w:fill="auto"/>
            <w:noWrap/>
            <w:vAlign w:val="bottom"/>
            <w:hideMark/>
          </w:tcPr>
          <w:p w14:paraId="0F54F698"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86" w:type="dxa"/>
            <w:tcBorders>
              <w:top w:val="nil"/>
              <w:left w:val="nil"/>
              <w:bottom w:val="single" w:sz="4" w:space="0" w:color="auto"/>
              <w:right w:val="single" w:sz="4" w:space="0" w:color="auto"/>
            </w:tcBorders>
            <w:shd w:val="clear" w:color="auto" w:fill="auto"/>
            <w:noWrap/>
            <w:vAlign w:val="bottom"/>
            <w:hideMark/>
          </w:tcPr>
          <w:p w14:paraId="4984EDF9"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14:paraId="0BAA519C"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14:paraId="20099395"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A86967" w:rsidRPr="00FB3D4C" w14:paraId="24F5C1FC"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2A7C2D1"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w:t>
            </w:r>
          </w:p>
        </w:tc>
        <w:tc>
          <w:tcPr>
            <w:tcW w:w="935" w:type="dxa"/>
            <w:tcBorders>
              <w:top w:val="nil"/>
              <w:left w:val="nil"/>
              <w:bottom w:val="single" w:sz="4" w:space="0" w:color="auto"/>
              <w:right w:val="single" w:sz="4" w:space="0" w:color="auto"/>
            </w:tcBorders>
            <w:shd w:val="clear" w:color="auto" w:fill="auto"/>
            <w:noWrap/>
            <w:vAlign w:val="bottom"/>
            <w:hideMark/>
          </w:tcPr>
          <w:p w14:paraId="48E9833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0.008</w:t>
            </w:r>
          </w:p>
        </w:tc>
        <w:tc>
          <w:tcPr>
            <w:tcW w:w="1009" w:type="dxa"/>
            <w:tcBorders>
              <w:top w:val="nil"/>
              <w:left w:val="nil"/>
              <w:bottom w:val="single" w:sz="4" w:space="0" w:color="auto"/>
              <w:right w:val="single" w:sz="4" w:space="0" w:color="auto"/>
            </w:tcBorders>
            <w:shd w:val="clear" w:color="auto" w:fill="auto"/>
            <w:noWrap/>
            <w:vAlign w:val="bottom"/>
            <w:hideMark/>
          </w:tcPr>
          <w:p w14:paraId="415BFD7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66" w:type="dxa"/>
            <w:tcBorders>
              <w:top w:val="nil"/>
              <w:left w:val="nil"/>
              <w:bottom w:val="single" w:sz="4" w:space="0" w:color="auto"/>
              <w:right w:val="single" w:sz="4" w:space="0" w:color="auto"/>
            </w:tcBorders>
            <w:shd w:val="clear" w:color="auto" w:fill="auto"/>
            <w:noWrap/>
            <w:vAlign w:val="bottom"/>
            <w:hideMark/>
          </w:tcPr>
          <w:p w14:paraId="0118B82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-0.020</w:t>
            </w:r>
          </w:p>
        </w:tc>
        <w:tc>
          <w:tcPr>
            <w:tcW w:w="1017" w:type="dxa"/>
            <w:tcBorders>
              <w:top w:val="nil"/>
              <w:left w:val="nil"/>
              <w:bottom w:val="single" w:sz="4" w:space="0" w:color="auto"/>
              <w:right w:val="single" w:sz="4" w:space="0" w:color="auto"/>
            </w:tcBorders>
            <w:shd w:val="clear" w:color="auto" w:fill="auto"/>
            <w:noWrap/>
            <w:vAlign w:val="bottom"/>
            <w:hideMark/>
          </w:tcPr>
          <w:p w14:paraId="2C5E2AF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0.026</w:t>
            </w:r>
          </w:p>
        </w:tc>
        <w:tc>
          <w:tcPr>
            <w:tcW w:w="935" w:type="dxa"/>
            <w:tcBorders>
              <w:top w:val="nil"/>
              <w:left w:val="nil"/>
              <w:bottom w:val="single" w:sz="4" w:space="0" w:color="auto"/>
              <w:right w:val="single" w:sz="4" w:space="0" w:color="auto"/>
            </w:tcBorders>
            <w:shd w:val="clear" w:color="auto" w:fill="auto"/>
            <w:noWrap/>
            <w:vAlign w:val="bottom"/>
            <w:hideMark/>
          </w:tcPr>
          <w:p w14:paraId="33A2AA9C"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0.016</w:t>
            </w:r>
          </w:p>
        </w:tc>
        <w:tc>
          <w:tcPr>
            <w:tcW w:w="986" w:type="dxa"/>
            <w:tcBorders>
              <w:top w:val="nil"/>
              <w:left w:val="nil"/>
              <w:bottom w:val="single" w:sz="4" w:space="0" w:color="auto"/>
              <w:right w:val="single" w:sz="4" w:space="0" w:color="auto"/>
            </w:tcBorders>
            <w:shd w:val="clear" w:color="auto" w:fill="auto"/>
            <w:noWrap/>
            <w:vAlign w:val="bottom"/>
            <w:hideMark/>
          </w:tcPr>
          <w:p w14:paraId="0277EB1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0.022</w:t>
            </w:r>
          </w:p>
        </w:tc>
        <w:tc>
          <w:tcPr>
            <w:tcW w:w="966" w:type="dxa"/>
            <w:tcBorders>
              <w:top w:val="nil"/>
              <w:left w:val="nil"/>
              <w:bottom w:val="single" w:sz="4" w:space="0" w:color="auto"/>
              <w:right w:val="single" w:sz="4" w:space="0" w:color="auto"/>
            </w:tcBorders>
            <w:shd w:val="clear" w:color="auto" w:fill="auto"/>
            <w:noWrap/>
            <w:vAlign w:val="bottom"/>
            <w:hideMark/>
          </w:tcPr>
          <w:p w14:paraId="4D82AD54"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-0.039</w:t>
            </w:r>
          </w:p>
        </w:tc>
        <w:tc>
          <w:tcPr>
            <w:tcW w:w="1017" w:type="dxa"/>
            <w:tcBorders>
              <w:top w:val="nil"/>
              <w:left w:val="nil"/>
              <w:bottom w:val="single" w:sz="4" w:space="0" w:color="auto"/>
              <w:right w:val="single" w:sz="4" w:space="0" w:color="auto"/>
            </w:tcBorders>
            <w:shd w:val="clear" w:color="auto" w:fill="auto"/>
            <w:noWrap/>
            <w:vAlign w:val="bottom"/>
            <w:hideMark/>
          </w:tcPr>
          <w:p w14:paraId="29405B2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0.069</w:t>
            </w:r>
          </w:p>
        </w:tc>
      </w:tr>
      <w:tr w:rsidR="00A86967" w:rsidRPr="00FB3D4C" w14:paraId="6D9E9F5B"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31F99B9"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1a</w:t>
            </w:r>
          </w:p>
        </w:tc>
        <w:tc>
          <w:tcPr>
            <w:tcW w:w="935" w:type="dxa"/>
            <w:tcBorders>
              <w:top w:val="nil"/>
              <w:left w:val="nil"/>
              <w:bottom w:val="single" w:sz="4" w:space="0" w:color="auto"/>
              <w:right w:val="single" w:sz="4" w:space="0" w:color="auto"/>
            </w:tcBorders>
            <w:shd w:val="clear" w:color="auto" w:fill="auto"/>
            <w:noWrap/>
            <w:vAlign w:val="bottom"/>
            <w:hideMark/>
          </w:tcPr>
          <w:p w14:paraId="6E58F20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1009" w:type="dxa"/>
            <w:tcBorders>
              <w:top w:val="nil"/>
              <w:left w:val="nil"/>
              <w:bottom w:val="single" w:sz="4" w:space="0" w:color="auto"/>
              <w:right w:val="single" w:sz="4" w:space="0" w:color="auto"/>
            </w:tcBorders>
            <w:shd w:val="clear" w:color="auto" w:fill="auto"/>
            <w:noWrap/>
            <w:vAlign w:val="bottom"/>
            <w:hideMark/>
          </w:tcPr>
          <w:p w14:paraId="6549A34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0.020</w:t>
            </w:r>
          </w:p>
        </w:tc>
        <w:tc>
          <w:tcPr>
            <w:tcW w:w="966" w:type="dxa"/>
            <w:tcBorders>
              <w:top w:val="nil"/>
              <w:left w:val="nil"/>
              <w:bottom w:val="single" w:sz="4" w:space="0" w:color="auto"/>
              <w:right w:val="single" w:sz="4" w:space="0" w:color="auto"/>
            </w:tcBorders>
            <w:shd w:val="clear" w:color="auto" w:fill="auto"/>
            <w:noWrap/>
            <w:vAlign w:val="bottom"/>
            <w:hideMark/>
          </w:tcPr>
          <w:p w14:paraId="5509B62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-0.041</w:t>
            </w:r>
          </w:p>
        </w:tc>
        <w:tc>
          <w:tcPr>
            <w:tcW w:w="1017" w:type="dxa"/>
            <w:tcBorders>
              <w:top w:val="nil"/>
              <w:left w:val="nil"/>
              <w:bottom w:val="single" w:sz="4" w:space="0" w:color="auto"/>
              <w:right w:val="single" w:sz="4" w:space="0" w:color="auto"/>
            </w:tcBorders>
            <w:shd w:val="clear" w:color="auto" w:fill="auto"/>
            <w:noWrap/>
            <w:vAlign w:val="bottom"/>
            <w:hideMark/>
          </w:tcPr>
          <w:p w14:paraId="709CF9E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0.068</w:t>
            </w:r>
          </w:p>
        </w:tc>
        <w:tc>
          <w:tcPr>
            <w:tcW w:w="935" w:type="dxa"/>
            <w:tcBorders>
              <w:top w:val="nil"/>
              <w:left w:val="nil"/>
              <w:bottom w:val="single" w:sz="4" w:space="0" w:color="auto"/>
              <w:right w:val="single" w:sz="4" w:space="0" w:color="auto"/>
            </w:tcBorders>
            <w:shd w:val="clear" w:color="auto" w:fill="auto"/>
            <w:noWrap/>
            <w:vAlign w:val="bottom"/>
            <w:hideMark/>
          </w:tcPr>
          <w:p w14:paraId="512D3FE2"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0.021</w:t>
            </w:r>
          </w:p>
        </w:tc>
        <w:tc>
          <w:tcPr>
            <w:tcW w:w="986" w:type="dxa"/>
            <w:tcBorders>
              <w:top w:val="nil"/>
              <w:left w:val="nil"/>
              <w:bottom w:val="single" w:sz="4" w:space="0" w:color="auto"/>
              <w:right w:val="single" w:sz="4" w:space="0" w:color="auto"/>
            </w:tcBorders>
            <w:shd w:val="clear" w:color="auto" w:fill="auto"/>
            <w:noWrap/>
            <w:vAlign w:val="bottom"/>
            <w:hideMark/>
          </w:tcPr>
          <w:p w14:paraId="4FF896E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0.026</w:t>
            </w:r>
          </w:p>
        </w:tc>
        <w:tc>
          <w:tcPr>
            <w:tcW w:w="966" w:type="dxa"/>
            <w:tcBorders>
              <w:top w:val="nil"/>
              <w:left w:val="nil"/>
              <w:bottom w:val="single" w:sz="4" w:space="0" w:color="auto"/>
              <w:right w:val="single" w:sz="4" w:space="0" w:color="auto"/>
            </w:tcBorders>
            <w:shd w:val="clear" w:color="auto" w:fill="auto"/>
            <w:noWrap/>
            <w:vAlign w:val="bottom"/>
            <w:hideMark/>
          </w:tcPr>
          <w:p w14:paraId="0EC1A836"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-0.052</w:t>
            </w:r>
          </w:p>
        </w:tc>
        <w:tc>
          <w:tcPr>
            <w:tcW w:w="1017" w:type="dxa"/>
            <w:tcBorders>
              <w:top w:val="nil"/>
              <w:left w:val="nil"/>
              <w:bottom w:val="single" w:sz="4" w:space="0" w:color="auto"/>
              <w:right w:val="single" w:sz="4" w:space="0" w:color="auto"/>
            </w:tcBorders>
            <w:shd w:val="clear" w:color="auto" w:fill="auto"/>
            <w:noWrap/>
            <w:vAlign w:val="bottom"/>
            <w:hideMark/>
          </w:tcPr>
          <w:p w14:paraId="365ECB00"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0.090</w:t>
            </w:r>
          </w:p>
        </w:tc>
      </w:tr>
      <w:tr w:rsidR="00A86967" w:rsidRPr="00FB3D4C" w14:paraId="044BE248"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79545686"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1b</w:t>
            </w:r>
          </w:p>
        </w:tc>
        <w:tc>
          <w:tcPr>
            <w:tcW w:w="935" w:type="dxa"/>
            <w:tcBorders>
              <w:top w:val="nil"/>
              <w:left w:val="nil"/>
              <w:bottom w:val="single" w:sz="4" w:space="0" w:color="auto"/>
              <w:right w:val="single" w:sz="4" w:space="0" w:color="auto"/>
            </w:tcBorders>
            <w:shd w:val="clear" w:color="auto" w:fill="auto"/>
            <w:noWrap/>
            <w:vAlign w:val="bottom"/>
            <w:hideMark/>
          </w:tcPr>
          <w:p w14:paraId="3388453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1009" w:type="dxa"/>
            <w:tcBorders>
              <w:top w:val="nil"/>
              <w:left w:val="nil"/>
              <w:bottom w:val="single" w:sz="4" w:space="0" w:color="auto"/>
              <w:right w:val="single" w:sz="4" w:space="0" w:color="auto"/>
            </w:tcBorders>
            <w:shd w:val="clear" w:color="auto" w:fill="auto"/>
            <w:noWrap/>
            <w:vAlign w:val="bottom"/>
            <w:hideMark/>
          </w:tcPr>
          <w:p w14:paraId="0DD5516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66" w:type="dxa"/>
            <w:tcBorders>
              <w:top w:val="nil"/>
              <w:left w:val="nil"/>
              <w:bottom w:val="single" w:sz="4" w:space="0" w:color="auto"/>
              <w:right w:val="single" w:sz="4" w:space="0" w:color="auto"/>
            </w:tcBorders>
            <w:shd w:val="clear" w:color="auto" w:fill="auto"/>
            <w:noWrap/>
            <w:vAlign w:val="bottom"/>
            <w:hideMark/>
          </w:tcPr>
          <w:p w14:paraId="4BA0121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-0.029</w:t>
            </w:r>
          </w:p>
        </w:tc>
        <w:tc>
          <w:tcPr>
            <w:tcW w:w="1017" w:type="dxa"/>
            <w:tcBorders>
              <w:top w:val="nil"/>
              <w:left w:val="nil"/>
              <w:bottom w:val="single" w:sz="4" w:space="0" w:color="auto"/>
              <w:right w:val="single" w:sz="4" w:space="0" w:color="auto"/>
            </w:tcBorders>
            <w:shd w:val="clear" w:color="auto" w:fill="auto"/>
            <w:noWrap/>
            <w:vAlign w:val="bottom"/>
            <w:hideMark/>
          </w:tcPr>
          <w:p w14:paraId="56E2CF0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0.040</w:t>
            </w:r>
          </w:p>
        </w:tc>
        <w:tc>
          <w:tcPr>
            <w:tcW w:w="935" w:type="dxa"/>
            <w:tcBorders>
              <w:top w:val="nil"/>
              <w:left w:val="nil"/>
              <w:bottom w:val="single" w:sz="4" w:space="0" w:color="auto"/>
              <w:right w:val="single" w:sz="4" w:space="0" w:color="auto"/>
            </w:tcBorders>
            <w:shd w:val="clear" w:color="auto" w:fill="auto"/>
            <w:noWrap/>
            <w:vAlign w:val="bottom"/>
            <w:hideMark/>
          </w:tcPr>
          <w:p w14:paraId="562C1A40"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0.021</w:t>
            </w:r>
          </w:p>
        </w:tc>
        <w:tc>
          <w:tcPr>
            <w:tcW w:w="986" w:type="dxa"/>
            <w:tcBorders>
              <w:top w:val="nil"/>
              <w:left w:val="nil"/>
              <w:bottom w:val="single" w:sz="4" w:space="0" w:color="auto"/>
              <w:right w:val="single" w:sz="4" w:space="0" w:color="auto"/>
            </w:tcBorders>
            <w:shd w:val="clear" w:color="auto" w:fill="auto"/>
            <w:noWrap/>
            <w:vAlign w:val="bottom"/>
            <w:hideMark/>
          </w:tcPr>
          <w:p w14:paraId="74F7EEA0"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0.026</w:t>
            </w:r>
          </w:p>
        </w:tc>
        <w:tc>
          <w:tcPr>
            <w:tcW w:w="966" w:type="dxa"/>
            <w:tcBorders>
              <w:top w:val="nil"/>
              <w:left w:val="nil"/>
              <w:bottom w:val="single" w:sz="4" w:space="0" w:color="auto"/>
              <w:right w:val="single" w:sz="4" w:space="0" w:color="auto"/>
            </w:tcBorders>
            <w:shd w:val="clear" w:color="auto" w:fill="auto"/>
            <w:noWrap/>
            <w:vAlign w:val="bottom"/>
            <w:hideMark/>
          </w:tcPr>
          <w:p w14:paraId="668A671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-0.049</w:t>
            </w:r>
          </w:p>
        </w:tc>
        <w:tc>
          <w:tcPr>
            <w:tcW w:w="1017" w:type="dxa"/>
            <w:tcBorders>
              <w:top w:val="nil"/>
              <w:left w:val="nil"/>
              <w:bottom w:val="single" w:sz="4" w:space="0" w:color="auto"/>
              <w:right w:val="single" w:sz="4" w:space="0" w:color="auto"/>
            </w:tcBorders>
            <w:shd w:val="clear" w:color="auto" w:fill="auto"/>
            <w:noWrap/>
            <w:vAlign w:val="bottom"/>
            <w:hideMark/>
          </w:tcPr>
          <w:p w14:paraId="66A28818"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0.065</w:t>
            </w:r>
          </w:p>
        </w:tc>
      </w:tr>
      <w:tr w:rsidR="00A86967" w:rsidRPr="00FB3D4C" w14:paraId="5EDB5347"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6E34844C"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1c</w:t>
            </w:r>
          </w:p>
        </w:tc>
        <w:tc>
          <w:tcPr>
            <w:tcW w:w="935" w:type="dxa"/>
            <w:tcBorders>
              <w:top w:val="nil"/>
              <w:left w:val="nil"/>
              <w:bottom w:val="single" w:sz="4" w:space="0" w:color="auto"/>
              <w:right w:val="single" w:sz="4" w:space="0" w:color="auto"/>
            </w:tcBorders>
            <w:shd w:val="clear" w:color="auto" w:fill="auto"/>
            <w:noWrap/>
            <w:vAlign w:val="bottom"/>
            <w:hideMark/>
          </w:tcPr>
          <w:p w14:paraId="6FC454E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1009" w:type="dxa"/>
            <w:tcBorders>
              <w:top w:val="nil"/>
              <w:left w:val="nil"/>
              <w:bottom w:val="single" w:sz="4" w:space="0" w:color="auto"/>
              <w:right w:val="single" w:sz="4" w:space="0" w:color="auto"/>
            </w:tcBorders>
            <w:shd w:val="clear" w:color="auto" w:fill="auto"/>
            <w:noWrap/>
            <w:vAlign w:val="bottom"/>
            <w:hideMark/>
          </w:tcPr>
          <w:p w14:paraId="59F97D4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66" w:type="dxa"/>
            <w:tcBorders>
              <w:top w:val="nil"/>
              <w:left w:val="nil"/>
              <w:bottom w:val="single" w:sz="4" w:space="0" w:color="auto"/>
              <w:right w:val="single" w:sz="4" w:space="0" w:color="auto"/>
            </w:tcBorders>
            <w:shd w:val="clear" w:color="auto" w:fill="auto"/>
            <w:noWrap/>
            <w:vAlign w:val="bottom"/>
            <w:hideMark/>
          </w:tcPr>
          <w:p w14:paraId="5347ED86"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-0.023</w:t>
            </w:r>
          </w:p>
        </w:tc>
        <w:tc>
          <w:tcPr>
            <w:tcW w:w="1017" w:type="dxa"/>
            <w:tcBorders>
              <w:top w:val="nil"/>
              <w:left w:val="nil"/>
              <w:bottom w:val="single" w:sz="4" w:space="0" w:color="auto"/>
              <w:right w:val="single" w:sz="4" w:space="0" w:color="auto"/>
            </w:tcBorders>
            <w:shd w:val="clear" w:color="auto" w:fill="auto"/>
            <w:noWrap/>
            <w:vAlign w:val="bottom"/>
            <w:hideMark/>
          </w:tcPr>
          <w:p w14:paraId="09701AA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0.036</w:t>
            </w:r>
          </w:p>
        </w:tc>
        <w:tc>
          <w:tcPr>
            <w:tcW w:w="935" w:type="dxa"/>
            <w:tcBorders>
              <w:top w:val="nil"/>
              <w:left w:val="nil"/>
              <w:bottom w:val="single" w:sz="4" w:space="0" w:color="auto"/>
              <w:right w:val="single" w:sz="4" w:space="0" w:color="auto"/>
            </w:tcBorders>
            <w:shd w:val="clear" w:color="auto" w:fill="auto"/>
            <w:noWrap/>
            <w:vAlign w:val="bottom"/>
            <w:hideMark/>
          </w:tcPr>
          <w:p w14:paraId="2CBA4A0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0.013</w:t>
            </w:r>
          </w:p>
        </w:tc>
        <w:tc>
          <w:tcPr>
            <w:tcW w:w="986" w:type="dxa"/>
            <w:tcBorders>
              <w:top w:val="nil"/>
              <w:left w:val="nil"/>
              <w:bottom w:val="single" w:sz="4" w:space="0" w:color="auto"/>
              <w:right w:val="single" w:sz="4" w:space="0" w:color="auto"/>
            </w:tcBorders>
            <w:shd w:val="clear" w:color="auto" w:fill="auto"/>
            <w:noWrap/>
            <w:vAlign w:val="bottom"/>
            <w:hideMark/>
          </w:tcPr>
          <w:p w14:paraId="01B61F6C"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0.019</w:t>
            </w:r>
          </w:p>
        </w:tc>
        <w:tc>
          <w:tcPr>
            <w:tcW w:w="966" w:type="dxa"/>
            <w:tcBorders>
              <w:top w:val="nil"/>
              <w:left w:val="nil"/>
              <w:bottom w:val="single" w:sz="4" w:space="0" w:color="auto"/>
              <w:right w:val="single" w:sz="4" w:space="0" w:color="auto"/>
            </w:tcBorders>
            <w:shd w:val="clear" w:color="auto" w:fill="auto"/>
            <w:noWrap/>
            <w:vAlign w:val="bottom"/>
            <w:hideMark/>
          </w:tcPr>
          <w:p w14:paraId="42E02CE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-0.028</w:t>
            </w:r>
          </w:p>
        </w:tc>
        <w:tc>
          <w:tcPr>
            <w:tcW w:w="1017" w:type="dxa"/>
            <w:tcBorders>
              <w:top w:val="nil"/>
              <w:left w:val="nil"/>
              <w:bottom w:val="single" w:sz="4" w:space="0" w:color="auto"/>
              <w:right w:val="single" w:sz="4" w:space="0" w:color="auto"/>
            </w:tcBorders>
            <w:shd w:val="clear" w:color="auto" w:fill="auto"/>
            <w:noWrap/>
            <w:vAlign w:val="bottom"/>
            <w:hideMark/>
          </w:tcPr>
          <w:p w14:paraId="2D277C6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0.072</w:t>
            </w:r>
          </w:p>
        </w:tc>
      </w:tr>
      <w:tr w:rsidR="00A86967" w:rsidRPr="00FB3D4C" w14:paraId="7468E334"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F16B3EB"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2</w:t>
            </w:r>
          </w:p>
        </w:tc>
        <w:tc>
          <w:tcPr>
            <w:tcW w:w="935" w:type="dxa"/>
            <w:tcBorders>
              <w:top w:val="nil"/>
              <w:left w:val="nil"/>
              <w:bottom w:val="single" w:sz="4" w:space="0" w:color="auto"/>
              <w:right w:val="single" w:sz="4" w:space="0" w:color="auto"/>
            </w:tcBorders>
            <w:shd w:val="clear" w:color="auto" w:fill="auto"/>
            <w:noWrap/>
            <w:vAlign w:val="bottom"/>
            <w:hideMark/>
          </w:tcPr>
          <w:p w14:paraId="4501122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1009" w:type="dxa"/>
            <w:tcBorders>
              <w:top w:val="nil"/>
              <w:left w:val="nil"/>
              <w:bottom w:val="single" w:sz="4" w:space="0" w:color="auto"/>
              <w:right w:val="single" w:sz="4" w:space="0" w:color="auto"/>
            </w:tcBorders>
            <w:shd w:val="clear" w:color="auto" w:fill="auto"/>
            <w:noWrap/>
            <w:vAlign w:val="bottom"/>
            <w:hideMark/>
          </w:tcPr>
          <w:p w14:paraId="5521CBC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0.008</w:t>
            </w:r>
          </w:p>
        </w:tc>
        <w:tc>
          <w:tcPr>
            <w:tcW w:w="966" w:type="dxa"/>
            <w:tcBorders>
              <w:top w:val="nil"/>
              <w:left w:val="nil"/>
              <w:bottom w:val="single" w:sz="4" w:space="0" w:color="auto"/>
              <w:right w:val="single" w:sz="4" w:space="0" w:color="auto"/>
            </w:tcBorders>
            <w:shd w:val="clear" w:color="auto" w:fill="auto"/>
            <w:noWrap/>
            <w:vAlign w:val="bottom"/>
            <w:hideMark/>
          </w:tcPr>
          <w:p w14:paraId="0C92EC2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-0.020</w:t>
            </w:r>
          </w:p>
        </w:tc>
        <w:tc>
          <w:tcPr>
            <w:tcW w:w="1017" w:type="dxa"/>
            <w:tcBorders>
              <w:top w:val="nil"/>
              <w:left w:val="nil"/>
              <w:bottom w:val="single" w:sz="4" w:space="0" w:color="auto"/>
              <w:right w:val="single" w:sz="4" w:space="0" w:color="auto"/>
            </w:tcBorders>
            <w:shd w:val="clear" w:color="auto" w:fill="auto"/>
            <w:noWrap/>
            <w:vAlign w:val="bottom"/>
            <w:hideMark/>
          </w:tcPr>
          <w:p w14:paraId="7B79843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0.037</w:t>
            </w:r>
          </w:p>
        </w:tc>
        <w:tc>
          <w:tcPr>
            <w:tcW w:w="935" w:type="dxa"/>
            <w:tcBorders>
              <w:top w:val="nil"/>
              <w:left w:val="nil"/>
              <w:bottom w:val="single" w:sz="4" w:space="0" w:color="auto"/>
              <w:right w:val="single" w:sz="4" w:space="0" w:color="auto"/>
            </w:tcBorders>
            <w:shd w:val="clear" w:color="auto" w:fill="auto"/>
            <w:noWrap/>
            <w:vAlign w:val="bottom"/>
            <w:hideMark/>
          </w:tcPr>
          <w:p w14:paraId="7FD2A7E4"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0.009</w:t>
            </w:r>
          </w:p>
        </w:tc>
        <w:tc>
          <w:tcPr>
            <w:tcW w:w="986" w:type="dxa"/>
            <w:tcBorders>
              <w:top w:val="nil"/>
              <w:left w:val="nil"/>
              <w:bottom w:val="single" w:sz="4" w:space="0" w:color="auto"/>
              <w:right w:val="single" w:sz="4" w:space="0" w:color="auto"/>
            </w:tcBorders>
            <w:shd w:val="clear" w:color="auto" w:fill="auto"/>
            <w:noWrap/>
            <w:vAlign w:val="bottom"/>
            <w:hideMark/>
          </w:tcPr>
          <w:p w14:paraId="4F7FDBB9"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0.012</w:t>
            </w:r>
          </w:p>
        </w:tc>
        <w:tc>
          <w:tcPr>
            <w:tcW w:w="966" w:type="dxa"/>
            <w:tcBorders>
              <w:top w:val="nil"/>
              <w:left w:val="nil"/>
              <w:bottom w:val="single" w:sz="4" w:space="0" w:color="auto"/>
              <w:right w:val="single" w:sz="4" w:space="0" w:color="auto"/>
            </w:tcBorders>
            <w:shd w:val="clear" w:color="auto" w:fill="auto"/>
            <w:noWrap/>
            <w:vAlign w:val="bottom"/>
            <w:hideMark/>
          </w:tcPr>
          <w:p w14:paraId="771D38D2"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-0.025</w:t>
            </w:r>
          </w:p>
        </w:tc>
        <w:tc>
          <w:tcPr>
            <w:tcW w:w="1017" w:type="dxa"/>
            <w:tcBorders>
              <w:top w:val="nil"/>
              <w:left w:val="nil"/>
              <w:bottom w:val="single" w:sz="4" w:space="0" w:color="auto"/>
              <w:right w:val="single" w:sz="4" w:space="0" w:color="auto"/>
            </w:tcBorders>
            <w:shd w:val="clear" w:color="auto" w:fill="auto"/>
            <w:noWrap/>
            <w:vAlign w:val="bottom"/>
            <w:hideMark/>
          </w:tcPr>
          <w:p w14:paraId="3719D0B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0.046</w:t>
            </w:r>
          </w:p>
        </w:tc>
      </w:tr>
      <w:tr w:rsidR="00A86967" w:rsidRPr="00FB3D4C" w14:paraId="500C4E0B"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76E14337"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3</w:t>
            </w:r>
          </w:p>
        </w:tc>
        <w:tc>
          <w:tcPr>
            <w:tcW w:w="935" w:type="dxa"/>
            <w:tcBorders>
              <w:top w:val="nil"/>
              <w:left w:val="nil"/>
              <w:bottom w:val="single" w:sz="4" w:space="0" w:color="auto"/>
              <w:right w:val="single" w:sz="4" w:space="0" w:color="auto"/>
            </w:tcBorders>
            <w:shd w:val="clear" w:color="auto" w:fill="auto"/>
            <w:noWrap/>
            <w:vAlign w:val="bottom"/>
            <w:hideMark/>
          </w:tcPr>
          <w:p w14:paraId="3ADC829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1009" w:type="dxa"/>
            <w:tcBorders>
              <w:top w:val="nil"/>
              <w:left w:val="nil"/>
              <w:bottom w:val="single" w:sz="4" w:space="0" w:color="auto"/>
              <w:right w:val="single" w:sz="4" w:space="0" w:color="auto"/>
            </w:tcBorders>
            <w:shd w:val="clear" w:color="auto" w:fill="auto"/>
            <w:noWrap/>
            <w:vAlign w:val="bottom"/>
            <w:hideMark/>
          </w:tcPr>
          <w:p w14:paraId="388B1DE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966" w:type="dxa"/>
            <w:tcBorders>
              <w:top w:val="nil"/>
              <w:left w:val="nil"/>
              <w:bottom w:val="single" w:sz="4" w:space="0" w:color="auto"/>
              <w:right w:val="single" w:sz="4" w:space="0" w:color="auto"/>
            </w:tcBorders>
            <w:shd w:val="clear" w:color="auto" w:fill="auto"/>
            <w:noWrap/>
            <w:vAlign w:val="bottom"/>
            <w:hideMark/>
          </w:tcPr>
          <w:p w14:paraId="4C06ACC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1017" w:type="dxa"/>
            <w:tcBorders>
              <w:top w:val="nil"/>
              <w:left w:val="nil"/>
              <w:bottom w:val="single" w:sz="4" w:space="0" w:color="auto"/>
              <w:right w:val="single" w:sz="4" w:space="0" w:color="auto"/>
            </w:tcBorders>
            <w:shd w:val="clear" w:color="auto" w:fill="auto"/>
            <w:noWrap/>
            <w:vAlign w:val="bottom"/>
            <w:hideMark/>
          </w:tcPr>
          <w:p w14:paraId="371E952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0.031</w:t>
            </w:r>
          </w:p>
        </w:tc>
        <w:tc>
          <w:tcPr>
            <w:tcW w:w="935" w:type="dxa"/>
            <w:tcBorders>
              <w:top w:val="nil"/>
              <w:left w:val="nil"/>
              <w:bottom w:val="single" w:sz="4" w:space="0" w:color="auto"/>
              <w:right w:val="single" w:sz="4" w:space="0" w:color="auto"/>
            </w:tcBorders>
            <w:shd w:val="clear" w:color="auto" w:fill="auto"/>
            <w:noWrap/>
            <w:vAlign w:val="bottom"/>
            <w:hideMark/>
          </w:tcPr>
          <w:p w14:paraId="2B4BAFC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0.008</w:t>
            </w:r>
          </w:p>
        </w:tc>
        <w:tc>
          <w:tcPr>
            <w:tcW w:w="986" w:type="dxa"/>
            <w:tcBorders>
              <w:top w:val="nil"/>
              <w:left w:val="nil"/>
              <w:bottom w:val="single" w:sz="4" w:space="0" w:color="auto"/>
              <w:right w:val="single" w:sz="4" w:space="0" w:color="auto"/>
            </w:tcBorders>
            <w:shd w:val="clear" w:color="auto" w:fill="auto"/>
            <w:noWrap/>
            <w:vAlign w:val="bottom"/>
            <w:hideMark/>
          </w:tcPr>
          <w:p w14:paraId="11A29C1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0.012</w:t>
            </w:r>
          </w:p>
        </w:tc>
        <w:tc>
          <w:tcPr>
            <w:tcW w:w="966" w:type="dxa"/>
            <w:tcBorders>
              <w:top w:val="nil"/>
              <w:left w:val="nil"/>
              <w:bottom w:val="single" w:sz="4" w:space="0" w:color="auto"/>
              <w:right w:val="single" w:sz="4" w:space="0" w:color="auto"/>
            </w:tcBorders>
            <w:shd w:val="clear" w:color="auto" w:fill="auto"/>
            <w:noWrap/>
            <w:vAlign w:val="bottom"/>
            <w:hideMark/>
          </w:tcPr>
          <w:p w14:paraId="264AE670"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-0.030</w:t>
            </w:r>
          </w:p>
        </w:tc>
        <w:tc>
          <w:tcPr>
            <w:tcW w:w="1017" w:type="dxa"/>
            <w:tcBorders>
              <w:top w:val="nil"/>
              <w:left w:val="nil"/>
              <w:bottom w:val="single" w:sz="4" w:space="0" w:color="auto"/>
              <w:right w:val="single" w:sz="4" w:space="0" w:color="auto"/>
            </w:tcBorders>
            <w:shd w:val="clear" w:color="auto" w:fill="auto"/>
            <w:noWrap/>
            <w:vAlign w:val="bottom"/>
            <w:hideMark/>
          </w:tcPr>
          <w:p w14:paraId="2277267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0.047</w:t>
            </w:r>
          </w:p>
        </w:tc>
      </w:tr>
      <w:tr w:rsidR="00A86967" w:rsidRPr="00FB3D4C" w14:paraId="660CCAEA"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31AE486"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4</w:t>
            </w:r>
          </w:p>
        </w:tc>
        <w:tc>
          <w:tcPr>
            <w:tcW w:w="935" w:type="dxa"/>
            <w:tcBorders>
              <w:top w:val="nil"/>
              <w:left w:val="nil"/>
              <w:bottom w:val="single" w:sz="4" w:space="0" w:color="auto"/>
              <w:right w:val="single" w:sz="4" w:space="0" w:color="auto"/>
            </w:tcBorders>
            <w:shd w:val="clear" w:color="auto" w:fill="auto"/>
            <w:noWrap/>
            <w:vAlign w:val="bottom"/>
            <w:hideMark/>
          </w:tcPr>
          <w:p w14:paraId="39BDAB1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0.011</w:t>
            </w:r>
          </w:p>
        </w:tc>
        <w:tc>
          <w:tcPr>
            <w:tcW w:w="1009" w:type="dxa"/>
            <w:tcBorders>
              <w:top w:val="nil"/>
              <w:left w:val="nil"/>
              <w:bottom w:val="single" w:sz="4" w:space="0" w:color="auto"/>
              <w:right w:val="single" w:sz="4" w:space="0" w:color="auto"/>
            </w:tcBorders>
            <w:shd w:val="clear" w:color="auto" w:fill="auto"/>
            <w:noWrap/>
            <w:vAlign w:val="bottom"/>
            <w:hideMark/>
          </w:tcPr>
          <w:p w14:paraId="3C58827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66" w:type="dxa"/>
            <w:tcBorders>
              <w:top w:val="nil"/>
              <w:left w:val="nil"/>
              <w:bottom w:val="single" w:sz="4" w:space="0" w:color="auto"/>
              <w:right w:val="single" w:sz="4" w:space="0" w:color="auto"/>
            </w:tcBorders>
            <w:shd w:val="clear" w:color="auto" w:fill="auto"/>
            <w:noWrap/>
            <w:vAlign w:val="bottom"/>
            <w:hideMark/>
          </w:tcPr>
          <w:p w14:paraId="2A92178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-0.027</w:t>
            </w:r>
          </w:p>
        </w:tc>
        <w:tc>
          <w:tcPr>
            <w:tcW w:w="1017" w:type="dxa"/>
            <w:tcBorders>
              <w:top w:val="nil"/>
              <w:left w:val="nil"/>
              <w:bottom w:val="single" w:sz="4" w:space="0" w:color="auto"/>
              <w:right w:val="single" w:sz="4" w:space="0" w:color="auto"/>
            </w:tcBorders>
            <w:shd w:val="clear" w:color="auto" w:fill="auto"/>
            <w:noWrap/>
            <w:vAlign w:val="bottom"/>
            <w:hideMark/>
          </w:tcPr>
          <w:p w14:paraId="419D590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0.029</w:t>
            </w:r>
          </w:p>
        </w:tc>
        <w:tc>
          <w:tcPr>
            <w:tcW w:w="935" w:type="dxa"/>
            <w:tcBorders>
              <w:top w:val="nil"/>
              <w:left w:val="nil"/>
              <w:bottom w:val="single" w:sz="4" w:space="0" w:color="auto"/>
              <w:right w:val="single" w:sz="4" w:space="0" w:color="auto"/>
            </w:tcBorders>
            <w:shd w:val="clear" w:color="auto" w:fill="auto"/>
            <w:noWrap/>
            <w:vAlign w:val="bottom"/>
            <w:hideMark/>
          </w:tcPr>
          <w:p w14:paraId="4C6D4A3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0.007</w:t>
            </w:r>
          </w:p>
        </w:tc>
        <w:tc>
          <w:tcPr>
            <w:tcW w:w="986" w:type="dxa"/>
            <w:tcBorders>
              <w:top w:val="nil"/>
              <w:left w:val="nil"/>
              <w:bottom w:val="single" w:sz="4" w:space="0" w:color="auto"/>
              <w:right w:val="single" w:sz="4" w:space="0" w:color="auto"/>
            </w:tcBorders>
            <w:shd w:val="clear" w:color="auto" w:fill="auto"/>
            <w:noWrap/>
            <w:vAlign w:val="bottom"/>
            <w:hideMark/>
          </w:tcPr>
          <w:p w14:paraId="17C516A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0.009</w:t>
            </w:r>
          </w:p>
        </w:tc>
        <w:tc>
          <w:tcPr>
            <w:tcW w:w="966" w:type="dxa"/>
            <w:tcBorders>
              <w:top w:val="nil"/>
              <w:left w:val="nil"/>
              <w:bottom w:val="single" w:sz="4" w:space="0" w:color="auto"/>
              <w:right w:val="single" w:sz="4" w:space="0" w:color="auto"/>
            </w:tcBorders>
            <w:shd w:val="clear" w:color="auto" w:fill="auto"/>
            <w:noWrap/>
            <w:vAlign w:val="bottom"/>
            <w:hideMark/>
          </w:tcPr>
          <w:p w14:paraId="7F036D2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-0.021</w:t>
            </w:r>
          </w:p>
        </w:tc>
        <w:tc>
          <w:tcPr>
            <w:tcW w:w="1017" w:type="dxa"/>
            <w:tcBorders>
              <w:top w:val="nil"/>
              <w:left w:val="nil"/>
              <w:bottom w:val="single" w:sz="4" w:space="0" w:color="auto"/>
              <w:right w:val="single" w:sz="4" w:space="0" w:color="auto"/>
            </w:tcBorders>
            <w:shd w:val="clear" w:color="auto" w:fill="auto"/>
            <w:noWrap/>
            <w:vAlign w:val="bottom"/>
            <w:hideMark/>
          </w:tcPr>
          <w:p w14:paraId="417FFCAA"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0.023</w:t>
            </w:r>
          </w:p>
        </w:tc>
      </w:tr>
      <w:tr w:rsidR="00A86967" w:rsidRPr="00FB3D4C" w14:paraId="4EA5460B"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3D165F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5</w:t>
            </w:r>
          </w:p>
        </w:tc>
        <w:tc>
          <w:tcPr>
            <w:tcW w:w="935" w:type="dxa"/>
            <w:tcBorders>
              <w:top w:val="nil"/>
              <w:left w:val="nil"/>
              <w:bottom w:val="single" w:sz="4" w:space="0" w:color="auto"/>
              <w:right w:val="single" w:sz="4" w:space="0" w:color="auto"/>
            </w:tcBorders>
            <w:shd w:val="clear" w:color="auto" w:fill="auto"/>
            <w:noWrap/>
            <w:vAlign w:val="bottom"/>
            <w:hideMark/>
          </w:tcPr>
          <w:p w14:paraId="6340E72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1009" w:type="dxa"/>
            <w:tcBorders>
              <w:top w:val="nil"/>
              <w:left w:val="nil"/>
              <w:bottom w:val="single" w:sz="4" w:space="0" w:color="auto"/>
              <w:right w:val="single" w:sz="4" w:space="0" w:color="auto"/>
            </w:tcBorders>
            <w:shd w:val="clear" w:color="auto" w:fill="auto"/>
            <w:noWrap/>
            <w:vAlign w:val="bottom"/>
            <w:hideMark/>
          </w:tcPr>
          <w:p w14:paraId="4BF1A9A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0.006</w:t>
            </w:r>
          </w:p>
        </w:tc>
        <w:tc>
          <w:tcPr>
            <w:tcW w:w="966" w:type="dxa"/>
            <w:tcBorders>
              <w:top w:val="nil"/>
              <w:left w:val="nil"/>
              <w:bottom w:val="single" w:sz="4" w:space="0" w:color="auto"/>
              <w:right w:val="single" w:sz="4" w:space="0" w:color="auto"/>
            </w:tcBorders>
            <w:shd w:val="clear" w:color="auto" w:fill="auto"/>
            <w:noWrap/>
            <w:vAlign w:val="bottom"/>
            <w:hideMark/>
          </w:tcPr>
          <w:p w14:paraId="110537C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1017" w:type="dxa"/>
            <w:tcBorders>
              <w:top w:val="nil"/>
              <w:left w:val="nil"/>
              <w:bottom w:val="single" w:sz="4" w:space="0" w:color="auto"/>
              <w:right w:val="single" w:sz="4" w:space="0" w:color="auto"/>
            </w:tcBorders>
            <w:shd w:val="clear" w:color="auto" w:fill="auto"/>
            <w:noWrap/>
            <w:vAlign w:val="bottom"/>
            <w:hideMark/>
          </w:tcPr>
          <w:p w14:paraId="10392F7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0.032</w:t>
            </w:r>
          </w:p>
        </w:tc>
        <w:tc>
          <w:tcPr>
            <w:tcW w:w="935" w:type="dxa"/>
            <w:tcBorders>
              <w:top w:val="nil"/>
              <w:left w:val="nil"/>
              <w:bottom w:val="single" w:sz="4" w:space="0" w:color="auto"/>
              <w:right w:val="single" w:sz="4" w:space="0" w:color="auto"/>
            </w:tcBorders>
            <w:shd w:val="clear" w:color="auto" w:fill="auto"/>
            <w:noWrap/>
            <w:vAlign w:val="bottom"/>
            <w:hideMark/>
          </w:tcPr>
          <w:p w14:paraId="7CDF038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0.005</w:t>
            </w:r>
          </w:p>
        </w:tc>
        <w:tc>
          <w:tcPr>
            <w:tcW w:w="986" w:type="dxa"/>
            <w:tcBorders>
              <w:top w:val="nil"/>
              <w:left w:val="nil"/>
              <w:bottom w:val="single" w:sz="4" w:space="0" w:color="auto"/>
              <w:right w:val="single" w:sz="4" w:space="0" w:color="auto"/>
            </w:tcBorders>
            <w:shd w:val="clear" w:color="auto" w:fill="auto"/>
            <w:noWrap/>
            <w:vAlign w:val="bottom"/>
            <w:hideMark/>
          </w:tcPr>
          <w:p w14:paraId="12984D2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0.006</w:t>
            </w:r>
          </w:p>
        </w:tc>
        <w:tc>
          <w:tcPr>
            <w:tcW w:w="966" w:type="dxa"/>
            <w:tcBorders>
              <w:top w:val="nil"/>
              <w:left w:val="nil"/>
              <w:bottom w:val="single" w:sz="4" w:space="0" w:color="auto"/>
              <w:right w:val="single" w:sz="4" w:space="0" w:color="auto"/>
            </w:tcBorders>
            <w:shd w:val="clear" w:color="auto" w:fill="auto"/>
            <w:noWrap/>
            <w:vAlign w:val="bottom"/>
            <w:hideMark/>
          </w:tcPr>
          <w:p w14:paraId="77D5BB7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-0.014</w:t>
            </w:r>
          </w:p>
        </w:tc>
        <w:tc>
          <w:tcPr>
            <w:tcW w:w="1017" w:type="dxa"/>
            <w:tcBorders>
              <w:top w:val="nil"/>
              <w:left w:val="nil"/>
              <w:bottom w:val="single" w:sz="4" w:space="0" w:color="auto"/>
              <w:right w:val="single" w:sz="4" w:space="0" w:color="auto"/>
            </w:tcBorders>
            <w:shd w:val="clear" w:color="auto" w:fill="auto"/>
            <w:noWrap/>
            <w:vAlign w:val="bottom"/>
            <w:hideMark/>
          </w:tcPr>
          <w:p w14:paraId="5D84E72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0.017</w:t>
            </w:r>
          </w:p>
        </w:tc>
      </w:tr>
      <w:tr w:rsidR="00A86967" w:rsidRPr="00FB3D4C" w14:paraId="7AE0F482"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357D03A4"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5b</w:t>
            </w:r>
          </w:p>
        </w:tc>
        <w:tc>
          <w:tcPr>
            <w:tcW w:w="935" w:type="dxa"/>
            <w:tcBorders>
              <w:top w:val="nil"/>
              <w:left w:val="nil"/>
              <w:bottom w:val="single" w:sz="4" w:space="0" w:color="auto"/>
              <w:right w:val="single" w:sz="4" w:space="0" w:color="auto"/>
            </w:tcBorders>
            <w:shd w:val="clear" w:color="auto" w:fill="auto"/>
            <w:noWrap/>
            <w:vAlign w:val="bottom"/>
            <w:hideMark/>
          </w:tcPr>
          <w:p w14:paraId="180176C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0.004</w:t>
            </w:r>
          </w:p>
        </w:tc>
        <w:tc>
          <w:tcPr>
            <w:tcW w:w="1009" w:type="dxa"/>
            <w:tcBorders>
              <w:top w:val="nil"/>
              <w:left w:val="nil"/>
              <w:bottom w:val="single" w:sz="4" w:space="0" w:color="auto"/>
              <w:right w:val="single" w:sz="4" w:space="0" w:color="auto"/>
            </w:tcBorders>
            <w:shd w:val="clear" w:color="auto" w:fill="auto"/>
            <w:noWrap/>
            <w:vAlign w:val="bottom"/>
            <w:hideMark/>
          </w:tcPr>
          <w:p w14:paraId="0B36A61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966" w:type="dxa"/>
            <w:tcBorders>
              <w:top w:val="nil"/>
              <w:left w:val="nil"/>
              <w:bottom w:val="single" w:sz="4" w:space="0" w:color="auto"/>
              <w:right w:val="single" w:sz="4" w:space="0" w:color="auto"/>
            </w:tcBorders>
            <w:shd w:val="clear" w:color="auto" w:fill="auto"/>
            <w:noWrap/>
            <w:vAlign w:val="bottom"/>
            <w:hideMark/>
          </w:tcPr>
          <w:p w14:paraId="4A8E3BC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1017" w:type="dxa"/>
            <w:tcBorders>
              <w:top w:val="nil"/>
              <w:left w:val="nil"/>
              <w:bottom w:val="single" w:sz="4" w:space="0" w:color="auto"/>
              <w:right w:val="single" w:sz="4" w:space="0" w:color="auto"/>
            </w:tcBorders>
            <w:shd w:val="clear" w:color="auto" w:fill="auto"/>
            <w:noWrap/>
            <w:vAlign w:val="bottom"/>
            <w:hideMark/>
          </w:tcPr>
          <w:p w14:paraId="4D9864C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0.021</w:t>
            </w:r>
          </w:p>
        </w:tc>
        <w:tc>
          <w:tcPr>
            <w:tcW w:w="935" w:type="dxa"/>
            <w:tcBorders>
              <w:top w:val="nil"/>
              <w:left w:val="nil"/>
              <w:bottom w:val="single" w:sz="4" w:space="0" w:color="auto"/>
              <w:right w:val="single" w:sz="4" w:space="0" w:color="auto"/>
            </w:tcBorders>
            <w:shd w:val="clear" w:color="auto" w:fill="auto"/>
            <w:noWrap/>
            <w:vAlign w:val="bottom"/>
            <w:hideMark/>
          </w:tcPr>
          <w:p w14:paraId="6A5F59E5"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0.008</w:t>
            </w:r>
          </w:p>
        </w:tc>
        <w:tc>
          <w:tcPr>
            <w:tcW w:w="986" w:type="dxa"/>
            <w:tcBorders>
              <w:top w:val="nil"/>
              <w:left w:val="nil"/>
              <w:bottom w:val="single" w:sz="4" w:space="0" w:color="auto"/>
              <w:right w:val="single" w:sz="4" w:space="0" w:color="auto"/>
            </w:tcBorders>
            <w:shd w:val="clear" w:color="auto" w:fill="auto"/>
            <w:noWrap/>
            <w:vAlign w:val="bottom"/>
            <w:hideMark/>
          </w:tcPr>
          <w:p w14:paraId="67088F1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0.010</w:t>
            </w:r>
          </w:p>
        </w:tc>
        <w:tc>
          <w:tcPr>
            <w:tcW w:w="966" w:type="dxa"/>
            <w:tcBorders>
              <w:top w:val="nil"/>
              <w:left w:val="nil"/>
              <w:bottom w:val="single" w:sz="4" w:space="0" w:color="auto"/>
              <w:right w:val="single" w:sz="4" w:space="0" w:color="auto"/>
            </w:tcBorders>
            <w:shd w:val="clear" w:color="auto" w:fill="auto"/>
            <w:noWrap/>
            <w:vAlign w:val="bottom"/>
            <w:hideMark/>
          </w:tcPr>
          <w:p w14:paraId="4E664A95"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-0.022</w:t>
            </w:r>
          </w:p>
        </w:tc>
        <w:tc>
          <w:tcPr>
            <w:tcW w:w="1017" w:type="dxa"/>
            <w:tcBorders>
              <w:top w:val="nil"/>
              <w:left w:val="nil"/>
              <w:bottom w:val="single" w:sz="4" w:space="0" w:color="auto"/>
              <w:right w:val="single" w:sz="4" w:space="0" w:color="auto"/>
            </w:tcBorders>
            <w:shd w:val="clear" w:color="auto" w:fill="auto"/>
            <w:noWrap/>
            <w:vAlign w:val="bottom"/>
            <w:hideMark/>
          </w:tcPr>
          <w:p w14:paraId="45481F2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0.042</w:t>
            </w:r>
          </w:p>
        </w:tc>
      </w:tr>
      <w:tr w:rsidR="00A86967" w:rsidRPr="00FB3D4C" w14:paraId="15EEABED"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23112666"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35" w:type="dxa"/>
            <w:tcBorders>
              <w:top w:val="nil"/>
              <w:left w:val="nil"/>
              <w:bottom w:val="single" w:sz="4" w:space="0" w:color="auto"/>
              <w:right w:val="single" w:sz="4" w:space="0" w:color="auto"/>
            </w:tcBorders>
            <w:shd w:val="clear" w:color="auto" w:fill="auto"/>
            <w:noWrap/>
            <w:vAlign w:val="bottom"/>
            <w:hideMark/>
          </w:tcPr>
          <w:p w14:paraId="63FAE49B"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1009" w:type="dxa"/>
            <w:tcBorders>
              <w:top w:val="nil"/>
              <w:left w:val="nil"/>
              <w:bottom w:val="single" w:sz="4" w:space="0" w:color="auto"/>
              <w:right w:val="single" w:sz="4" w:space="0" w:color="auto"/>
            </w:tcBorders>
            <w:shd w:val="clear" w:color="auto" w:fill="auto"/>
            <w:noWrap/>
            <w:vAlign w:val="bottom"/>
            <w:hideMark/>
          </w:tcPr>
          <w:p w14:paraId="2B20E813"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14:paraId="2873EB9C"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14:paraId="022276D3"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35" w:type="dxa"/>
            <w:tcBorders>
              <w:top w:val="nil"/>
              <w:left w:val="nil"/>
              <w:bottom w:val="single" w:sz="4" w:space="0" w:color="auto"/>
              <w:right w:val="single" w:sz="4" w:space="0" w:color="auto"/>
            </w:tcBorders>
            <w:shd w:val="clear" w:color="auto" w:fill="auto"/>
            <w:noWrap/>
            <w:vAlign w:val="bottom"/>
            <w:hideMark/>
          </w:tcPr>
          <w:p w14:paraId="7F352423"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86" w:type="dxa"/>
            <w:tcBorders>
              <w:top w:val="nil"/>
              <w:left w:val="nil"/>
              <w:bottom w:val="single" w:sz="4" w:space="0" w:color="auto"/>
              <w:right w:val="single" w:sz="4" w:space="0" w:color="auto"/>
            </w:tcBorders>
            <w:shd w:val="clear" w:color="auto" w:fill="auto"/>
            <w:noWrap/>
            <w:vAlign w:val="bottom"/>
            <w:hideMark/>
          </w:tcPr>
          <w:p w14:paraId="34B8485B"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14:paraId="1CBC9C5C"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14:paraId="0AC72BF9"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A86967" w:rsidRPr="00FB3D4C" w14:paraId="26B6D242"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0466CFB"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CA</w:t>
            </w:r>
          </w:p>
        </w:tc>
        <w:tc>
          <w:tcPr>
            <w:tcW w:w="935" w:type="dxa"/>
            <w:tcBorders>
              <w:top w:val="nil"/>
              <w:left w:val="nil"/>
              <w:bottom w:val="single" w:sz="4" w:space="0" w:color="auto"/>
              <w:right w:val="single" w:sz="4" w:space="0" w:color="auto"/>
            </w:tcBorders>
            <w:shd w:val="clear" w:color="auto" w:fill="auto"/>
            <w:noWrap/>
            <w:vAlign w:val="bottom"/>
            <w:hideMark/>
          </w:tcPr>
          <w:p w14:paraId="28CF906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0.003</w:t>
            </w:r>
          </w:p>
        </w:tc>
        <w:tc>
          <w:tcPr>
            <w:tcW w:w="1009" w:type="dxa"/>
            <w:tcBorders>
              <w:top w:val="nil"/>
              <w:left w:val="nil"/>
              <w:bottom w:val="single" w:sz="4" w:space="0" w:color="auto"/>
              <w:right w:val="single" w:sz="4" w:space="0" w:color="auto"/>
            </w:tcBorders>
            <w:shd w:val="clear" w:color="auto" w:fill="auto"/>
            <w:noWrap/>
            <w:vAlign w:val="bottom"/>
            <w:hideMark/>
          </w:tcPr>
          <w:p w14:paraId="3DE3BA9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0.004</w:t>
            </w:r>
          </w:p>
        </w:tc>
        <w:tc>
          <w:tcPr>
            <w:tcW w:w="966" w:type="dxa"/>
            <w:tcBorders>
              <w:top w:val="nil"/>
              <w:left w:val="nil"/>
              <w:bottom w:val="single" w:sz="4" w:space="0" w:color="auto"/>
              <w:right w:val="single" w:sz="4" w:space="0" w:color="auto"/>
            </w:tcBorders>
            <w:shd w:val="clear" w:color="auto" w:fill="auto"/>
            <w:noWrap/>
            <w:vAlign w:val="bottom"/>
            <w:hideMark/>
          </w:tcPr>
          <w:p w14:paraId="647A7F7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-0.009</w:t>
            </w:r>
          </w:p>
        </w:tc>
        <w:tc>
          <w:tcPr>
            <w:tcW w:w="1017" w:type="dxa"/>
            <w:tcBorders>
              <w:top w:val="nil"/>
              <w:left w:val="nil"/>
              <w:bottom w:val="single" w:sz="4" w:space="0" w:color="auto"/>
              <w:right w:val="single" w:sz="4" w:space="0" w:color="auto"/>
            </w:tcBorders>
            <w:shd w:val="clear" w:color="auto" w:fill="auto"/>
            <w:noWrap/>
            <w:vAlign w:val="bottom"/>
            <w:hideMark/>
          </w:tcPr>
          <w:p w14:paraId="4A79943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0.033</w:t>
            </w:r>
          </w:p>
        </w:tc>
        <w:tc>
          <w:tcPr>
            <w:tcW w:w="935" w:type="dxa"/>
            <w:tcBorders>
              <w:top w:val="nil"/>
              <w:left w:val="nil"/>
              <w:bottom w:val="single" w:sz="4" w:space="0" w:color="auto"/>
              <w:right w:val="single" w:sz="4" w:space="0" w:color="auto"/>
            </w:tcBorders>
            <w:shd w:val="clear" w:color="auto" w:fill="auto"/>
            <w:noWrap/>
            <w:vAlign w:val="bottom"/>
            <w:hideMark/>
          </w:tcPr>
          <w:p w14:paraId="35379F2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0.003</w:t>
            </w:r>
          </w:p>
        </w:tc>
        <w:tc>
          <w:tcPr>
            <w:tcW w:w="986" w:type="dxa"/>
            <w:tcBorders>
              <w:top w:val="nil"/>
              <w:left w:val="nil"/>
              <w:bottom w:val="single" w:sz="4" w:space="0" w:color="auto"/>
              <w:right w:val="single" w:sz="4" w:space="0" w:color="auto"/>
            </w:tcBorders>
            <w:shd w:val="clear" w:color="auto" w:fill="auto"/>
            <w:noWrap/>
            <w:vAlign w:val="bottom"/>
            <w:hideMark/>
          </w:tcPr>
          <w:p w14:paraId="31E081B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0.005</w:t>
            </w:r>
          </w:p>
        </w:tc>
        <w:tc>
          <w:tcPr>
            <w:tcW w:w="966" w:type="dxa"/>
            <w:tcBorders>
              <w:top w:val="nil"/>
              <w:left w:val="nil"/>
              <w:bottom w:val="single" w:sz="4" w:space="0" w:color="auto"/>
              <w:right w:val="single" w:sz="4" w:space="0" w:color="auto"/>
            </w:tcBorders>
            <w:shd w:val="clear" w:color="auto" w:fill="auto"/>
            <w:noWrap/>
            <w:vAlign w:val="bottom"/>
            <w:hideMark/>
          </w:tcPr>
          <w:p w14:paraId="0CDD235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-0.009</w:t>
            </w:r>
          </w:p>
        </w:tc>
        <w:tc>
          <w:tcPr>
            <w:tcW w:w="1017" w:type="dxa"/>
            <w:tcBorders>
              <w:top w:val="nil"/>
              <w:left w:val="nil"/>
              <w:bottom w:val="single" w:sz="4" w:space="0" w:color="auto"/>
              <w:right w:val="single" w:sz="4" w:space="0" w:color="auto"/>
            </w:tcBorders>
            <w:shd w:val="clear" w:color="auto" w:fill="auto"/>
            <w:noWrap/>
            <w:vAlign w:val="bottom"/>
            <w:hideMark/>
          </w:tcPr>
          <w:p w14:paraId="1AA0D27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0.029</w:t>
            </w:r>
          </w:p>
        </w:tc>
      </w:tr>
      <w:tr w:rsidR="00A86967" w:rsidRPr="00FB3D4C" w14:paraId="235172B0"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4EACFC3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CO</w:t>
            </w:r>
          </w:p>
        </w:tc>
        <w:tc>
          <w:tcPr>
            <w:tcW w:w="935" w:type="dxa"/>
            <w:tcBorders>
              <w:top w:val="nil"/>
              <w:left w:val="nil"/>
              <w:bottom w:val="single" w:sz="4" w:space="0" w:color="auto"/>
              <w:right w:val="single" w:sz="4" w:space="0" w:color="auto"/>
            </w:tcBorders>
            <w:shd w:val="clear" w:color="auto" w:fill="auto"/>
            <w:noWrap/>
            <w:vAlign w:val="bottom"/>
            <w:hideMark/>
          </w:tcPr>
          <w:p w14:paraId="5D5422A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0.002</w:t>
            </w:r>
          </w:p>
        </w:tc>
        <w:tc>
          <w:tcPr>
            <w:tcW w:w="1009" w:type="dxa"/>
            <w:tcBorders>
              <w:top w:val="nil"/>
              <w:left w:val="nil"/>
              <w:bottom w:val="single" w:sz="4" w:space="0" w:color="auto"/>
              <w:right w:val="single" w:sz="4" w:space="0" w:color="auto"/>
            </w:tcBorders>
            <w:shd w:val="clear" w:color="auto" w:fill="auto"/>
            <w:noWrap/>
            <w:vAlign w:val="bottom"/>
            <w:hideMark/>
          </w:tcPr>
          <w:p w14:paraId="7FC1DFE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0.002</w:t>
            </w:r>
          </w:p>
        </w:tc>
        <w:tc>
          <w:tcPr>
            <w:tcW w:w="966" w:type="dxa"/>
            <w:tcBorders>
              <w:top w:val="nil"/>
              <w:left w:val="nil"/>
              <w:bottom w:val="single" w:sz="4" w:space="0" w:color="auto"/>
              <w:right w:val="single" w:sz="4" w:space="0" w:color="auto"/>
            </w:tcBorders>
            <w:shd w:val="clear" w:color="auto" w:fill="auto"/>
            <w:noWrap/>
            <w:vAlign w:val="bottom"/>
            <w:hideMark/>
          </w:tcPr>
          <w:p w14:paraId="4BB81B4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1017" w:type="dxa"/>
            <w:tcBorders>
              <w:top w:val="nil"/>
              <w:left w:val="nil"/>
              <w:bottom w:val="single" w:sz="4" w:space="0" w:color="auto"/>
              <w:right w:val="single" w:sz="4" w:space="0" w:color="auto"/>
            </w:tcBorders>
            <w:shd w:val="clear" w:color="auto" w:fill="auto"/>
            <w:noWrap/>
            <w:vAlign w:val="bottom"/>
            <w:hideMark/>
          </w:tcPr>
          <w:p w14:paraId="70FA613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0.009</w:t>
            </w:r>
          </w:p>
        </w:tc>
        <w:tc>
          <w:tcPr>
            <w:tcW w:w="935" w:type="dxa"/>
            <w:tcBorders>
              <w:top w:val="nil"/>
              <w:left w:val="nil"/>
              <w:bottom w:val="single" w:sz="4" w:space="0" w:color="auto"/>
              <w:right w:val="single" w:sz="4" w:space="0" w:color="auto"/>
            </w:tcBorders>
            <w:shd w:val="clear" w:color="auto" w:fill="auto"/>
            <w:noWrap/>
            <w:vAlign w:val="bottom"/>
            <w:hideMark/>
          </w:tcPr>
          <w:p w14:paraId="50700AD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0.002</w:t>
            </w:r>
          </w:p>
        </w:tc>
        <w:tc>
          <w:tcPr>
            <w:tcW w:w="986" w:type="dxa"/>
            <w:tcBorders>
              <w:top w:val="nil"/>
              <w:left w:val="nil"/>
              <w:bottom w:val="single" w:sz="4" w:space="0" w:color="auto"/>
              <w:right w:val="single" w:sz="4" w:space="0" w:color="auto"/>
            </w:tcBorders>
            <w:shd w:val="clear" w:color="auto" w:fill="auto"/>
            <w:noWrap/>
            <w:vAlign w:val="bottom"/>
            <w:hideMark/>
          </w:tcPr>
          <w:p w14:paraId="755DAD9A"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0.003</w:t>
            </w:r>
          </w:p>
        </w:tc>
        <w:tc>
          <w:tcPr>
            <w:tcW w:w="966" w:type="dxa"/>
            <w:tcBorders>
              <w:top w:val="nil"/>
              <w:left w:val="nil"/>
              <w:bottom w:val="single" w:sz="4" w:space="0" w:color="auto"/>
              <w:right w:val="single" w:sz="4" w:space="0" w:color="auto"/>
            </w:tcBorders>
            <w:shd w:val="clear" w:color="auto" w:fill="auto"/>
            <w:noWrap/>
            <w:vAlign w:val="bottom"/>
            <w:hideMark/>
          </w:tcPr>
          <w:p w14:paraId="25D9EDA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-0.006</w:t>
            </w:r>
          </w:p>
        </w:tc>
        <w:tc>
          <w:tcPr>
            <w:tcW w:w="1017" w:type="dxa"/>
            <w:tcBorders>
              <w:top w:val="nil"/>
              <w:left w:val="nil"/>
              <w:bottom w:val="single" w:sz="4" w:space="0" w:color="auto"/>
              <w:right w:val="single" w:sz="4" w:space="0" w:color="auto"/>
            </w:tcBorders>
            <w:shd w:val="clear" w:color="auto" w:fill="auto"/>
            <w:noWrap/>
            <w:vAlign w:val="bottom"/>
            <w:hideMark/>
          </w:tcPr>
          <w:p w14:paraId="347FBBB9"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0.010</w:t>
            </w:r>
          </w:p>
        </w:tc>
      </w:tr>
      <w:tr w:rsidR="00A86967" w:rsidRPr="00FB3D4C" w14:paraId="1E84BF80"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6A9928C"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FL</w:t>
            </w:r>
          </w:p>
        </w:tc>
        <w:tc>
          <w:tcPr>
            <w:tcW w:w="935" w:type="dxa"/>
            <w:tcBorders>
              <w:top w:val="nil"/>
              <w:left w:val="nil"/>
              <w:bottom w:val="single" w:sz="4" w:space="0" w:color="auto"/>
              <w:right w:val="single" w:sz="4" w:space="0" w:color="auto"/>
            </w:tcBorders>
            <w:shd w:val="clear" w:color="auto" w:fill="auto"/>
            <w:noWrap/>
            <w:vAlign w:val="bottom"/>
            <w:hideMark/>
          </w:tcPr>
          <w:p w14:paraId="3267B8B6"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0.009</w:t>
            </w:r>
          </w:p>
        </w:tc>
        <w:tc>
          <w:tcPr>
            <w:tcW w:w="1009" w:type="dxa"/>
            <w:tcBorders>
              <w:top w:val="nil"/>
              <w:left w:val="nil"/>
              <w:bottom w:val="single" w:sz="4" w:space="0" w:color="auto"/>
              <w:right w:val="single" w:sz="4" w:space="0" w:color="auto"/>
            </w:tcBorders>
            <w:shd w:val="clear" w:color="auto" w:fill="auto"/>
            <w:noWrap/>
            <w:vAlign w:val="bottom"/>
            <w:hideMark/>
          </w:tcPr>
          <w:p w14:paraId="5025EC4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0.011</w:t>
            </w:r>
          </w:p>
        </w:tc>
        <w:tc>
          <w:tcPr>
            <w:tcW w:w="966" w:type="dxa"/>
            <w:tcBorders>
              <w:top w:val="nil"/>
              <w:left w:val="nil"/>
              <w:bottom w:val="single" w:sz="4" w:space="0" w:color="auto"/>
              <w:right w:val="single" w:sz="4" w:space="0" w:color="auto"/>
            </w:tcBorders>
            <w:shd w:val="clear" w:color="auto" w:fill="auto"/>
            <w:noWrap/>
            <w:vAlign w:val="bottom"/>
            <w:hideMark/>
          </w:tcPr>
          <w:p w14:paraId="59E5D7D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-0.022</w:t>
            </w:r>
          </w:p>
        </w:tc>
        <w:tc>
          <w:tcPr>
            <w:tcW w:w="1017" w:type="dxa"/>
            <w:tcBorders>
              <w:top w:val="nil"/>
              <w:left w:val="nil"/>
              <w:bottom w:val="single" w:sz="4" w:space="0" w:color="auto"/>
              <w:right w:val="single" w:sz="4" w:space="0" w:color="auto"/>
            </w:tcBorders>
            <w:shd w:val="clear" w:color="auto" w:fill="auto"/>
            <w:noWrap/>
            <w:vAlign w:val="bottom"/>
            <w:hideMark/>
          </w:tcPr>
          <w:p w14:paraId="6196964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0.034</w:t>
            </w:r>
          </w:p>
        </w:tc>
        <w:tc>
          <w:tcPr>
            <w:tcW w:w="935" w:type="dxa"/>
            <w:tcBorders>
              <w:top w:val="nil"/>
              <w:left w:val="nil"/>
              <w:bottom w:val="single" w:sz="4" w:space="0" w:color="auto"/>
              <w:right w:val="single" w:sz="4" w:space="0" w:color="auto"/>
            </w:tcBorders>
            <w:shd w:val="clear" w:color="auto" w:fill="auto"/>
            <w:noWrap/>
            <w:vAlign w:val="bottom"/>
            <w:hideMark/>
          </w:tcPr>
          <w:p w14:paraId="69109BC0"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0.013</w:t>
            </w:r>
          </w:p>
        </w:tc>
        <w:tc>
          <w:tcPr>
            <w:tcW w:w="986" w:type="dxa"/>
            <w:tcBorders>
              <w:top w:val="nil"/>
              <w:left w:val="nil"/>
              <w:bottom w:val="single" w:sz="4" w:space="0" w:color="auto"/>
              <w:right w:val="single" w:sz="4" w:space="0" w:color="auto"/>
            </w:tcBorders>
            <w:shd w:val="clear" w:color="auto" w:fill="auto"/>
            <w:noWrap/>
            <w:vAlign w:val="bottom"/>
            <w:hideMark/>
          </w:tcPr>
          <w:p w14:paraId="3D34132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0.017</w:t>
            </w:r>
          </w:p>
        </w:tc>
        <w:tc>
          <w:tcPr>
            <w:tcW w:w="966" w:type="dxa"/>
            <w:tcBorders>
              <w:top w:val="nil"/>
              <w:left w:val="nil"/>
              <w:bottom w:val="single" w:sz="4" w:space="0" w:color="auto"/>
              <w:right w:val="single" w:sz="4" w:space="0" w:color="auto"/>
            </w:tcBorders>
            <w:shd w:val="clear" w:color="auto" w:fill="auto"/>
            <w:noWrap/>
            <w:vAlign w:val="bottom"/>
            <w:hideMark/>
          </w:tcPr>
          <w:p w14:paraId="11CFA96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-0.029</w:t>
            </w:r>
          </w:p>
        </w:tc>
        <w:tc>
          <w:tcPr>
            <w:tcW w:w="1017" w:type="dxa"/>
            <w:tcBorders>
              <w:top w:val="nil"/>
              <w:left w:val="nil"/>
              <w:bottom w:val="single" w:sz="4" w:space="0" w:color="auto"/>
              <w:right w:val="single" w:sz="4" w:space="0" w:color="auto"/>
            </w:tcBorders>
            <w:shd w:val="clear" w:color="auto" w:fill="auto"/>
            <w:noWrap/>
            <w:vAlign w:val="bottom"/>
            <w:hideMark/>
          </w:tcPr>
          <w:p w14:paraId="66A3371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0.056</w:t>
            </w:r>
          </w:p>
        </w:tc>
      </w:tr>
      <w:tr w:rsidR="00A86967" w:rsidRPr="00FB3D4C" w14:paraId="1DF42598"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65B3650B"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MA</w:t>
            </w:r>
          </w:p>
        </w:tc>
        <w:tc>
          <w:tcPr>
            <w:tcW w:w="935" w:type="dxa"/>
            <w:tcBorders>
              <w:top w:val="nil"/>
              <w:left w:val="nil"/>
              <w:bottom w:val="single" w:sz="4" w:space="0" w:color="auto"/>
              <w:right w:val="single" w:sz="4" w:space="0" w:color="auto"/>
            </w:tcBorders>
            <w:shd w:val="clear" w:color="auto" w:fill="auto"/>
            <w:noWrap/>
            <w:vAlign w:val="bottom"/>
            <w:hideMark/>
          </w:tcPr>
          <w:p w14:paraId="2E38452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1009" w:type="dxa"/>
            <w:tcBorders>
              <w:top w:val="nil"/>
              <w:left w:val="nil"/>
              <w:bottom w:val="single" w:sz="4" w:space="0" w:color="auto"/>
              <w:right w:val="single" w:sz="4" w:space="0" w:color="auto"/>
            </w:tcBorders>
            <w:shd w:val="clear" w:color="auto" w:fill="auto"/>
            <w:noWrap/>
            <w:vAlign w:val="bottom"/>
            <w:hideMark/>
          </w:tcPr>
          <w:p w14:paraId="3FC1505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0.025</w:t>
            </w:r>
          </w:p>
        </w:tc>
        <w:tc>
          <w:tcPr>
            <w:tcW w:w="966" w:type="dxa"/>
            <w:tcBorders>
              <w:top w:val="nil"/>
              <w:left w:val="nil"/>
              <w:bottom w:val="single" w:sz="4" w:space="0" w:color="auto"/>
              <w:right w:val="single" w:sz="4" w:space="0" w:color="auto"/>
            </w:tcBorders>
            <w:shd w:val="clear" w:color="auto" w:fill="auto"/>
            <w:noWrap/>
            <w:vAlign w:val="bottom"/>
            <w:hideMark/>
          </w:tcPr>
          <w:p w14:paraId="7634FB4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-0.057</w:t>
            </w:r>
          </w:p>
        </w:tc>
        <w:tc>
          <w:tcPr>
            <w:tcW w:w="1017" w:type="dxa"/>
            <w:tcBorders>
              <w:top w:val="nil"/>
              <w:left w:val="nil"/>
              <w:bottom w:val="single" w:sz="4" w:space="0" w:color="auto"/>
              <w:right w:val="single" w:sz="4" w:space="0" w:color="auto"/>
            </w:tcBorders>
            <w:shd w:val="clear" w:color="auto" w:fill="auto"/>
            <w:noWrap/>
            <w:vAlign w:val="bottom"/>
            <w:hideMark/>
          </w:tcPr>
          <w:p w14:paraId="699846B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0.074</w:t>
            </w:r>
          </w:p>
        </w:tc>
        <w:tc>
          <w:tcPr>
            <w:tcW w:w="935" w:type="dxa"/>
            <w:tcBorders>
              <w:top w:val="nil"/>
              <w:left w:val="nil"/>
              <w:bottom w:val="single" w:sz="4" w:space="0" w:color="auto"/>
              <w:right w:val="single" w:sz="4" w:space="0" w:color="auto"/>
            </w:tcBorders>
            <w:shd w:val="clear" w:color="auto" w:fill="auto"/>
            <w:noWrap/>
            <w:vAlign w:val="bottom"/>
            <w:hideMark/>
          </w:tcPr>
          <w:p w14:paraId="11DE447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0.024</w:t>
            </w:r>
          </w:p>
        </w:tc>
        <w:tc>
          <w:tcPr>
            <w:tcW w:w="986" w:type="dxa"/>
            <w:tcBorders>
              <w:top w:val="nil"/>
              <w:left w:val="nil"/>
              <w:bottom w:val="single" w:sz="4" w:space="0" w:color="auto"/>
              <w:right w:val="single" w:sz="4" w:space="0" w:color="auto"/>
            </w:tcBorders>
            <w:shd w:val="clear" w:color="auto" w:fill="auto"/>
            <w:noWrap/>
            <w:vAlign w:val="bottom"/>
            <w:hideMark/>
          </w:tcPr>
          <w:p w14:paraId="16F606A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0.029</w:t>
            </w:r>
          </w:p>
        </w:tc>
        <w:tc>
          <w:tcPr>
            <w:tcW w:w="966" w:type="dxa"/>
            <w:tcBorders>
              <w:top w:val="nil"/>
              <w:left w:val="nil"/>
              <w:bottom w:val="single" w:sz="4" w:space="0" w:color="auto"/>
              <w:right w:val="single" w:sz="4" w:space="0" w:color="auto"/>
            </w:tcBorders>
            <w:shd w:val="clear" w:color="auto" w:fill="auto"/>
            <w:noWrap/>
            <w:vAlign w:val="bottom"/>
            <w:hideMark/>
          </w:tcPr>
          <w:p w14:paraId="776980E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-0.062</w:t>
            </w:r>
          </w:p>
        </w:tc>
        <w:tc>
          <w:tcPr>
            <w:tcW w:w="1017" w:type="dxa"/>
            <w:tcBorders>
              <w:top w:val="nil"/>
              <w:left w:val="nil"/>
              <w:bottom w:val="single" w:sz="4" w:space="0" w:color="auto"/>
              <w:right w:val="single" w:sz="4" w:space="0" w:color="auto"/>
            </w:tcBorders>
            <w:shd w:val="clear" w:color="auto" w:fill="auto"/>
            <w:noWrap/>
            <w:vAlign w:val="bottom"/>
            <w:hideMark/>
          </w:tcPr>
          <w:p w14:paraId="2582975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0.096</w:t>
            </w:r>
          </w:p>
        </w:tc>
      </w:tr>
      <w:tr w:rsidR="00A86967" w:rsidRPr="00FB3D4C" w14:paraId="111CDB97"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3A52F4E9"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MN</w:t>
            </w:r>
          </w:p>
        </w:tc>
        <w:tc>
          <w:tcPr>
            <w:tcW w:w="935" w:type="dxa"/>
            <w:tcBorders>
              <w:top w:val="nil"/>
              <w:left w:val="nil"/>
              <w:bottom w:val="single" w:sz="4" w:space="0" w:color="auto"/>
              <w:right w:val="single" w:sz="4" w:space="0" w:color="auto"/>
            </w:tcBorders>
            <w:shd w:val="clear" w:color="auto" w:fill="auto"/>
            <w:noWrap/>
            <w:vAlign w:val="bottom"/>
            <w:hideMark/>
          </w:tcPr>
          <w:p w14:paraId="1B8A6D6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0.002</w:t>
            </w:r>
          </w:p>
        </w:tc>
        <w:tc>
          <w:tcPr>
            <w:tcW w:w="1009" w:type="dxa"/>
            <w:tcBorders>
              <w:top w:val="nil"/>
              <w:left w:val="nil"/>
              <w:bottom w:val="single" w:sz="4" w:space="0" w:color="auto"/>
              <w:right w:val="single" w:sz="4" w:space="0" w:color="auto"/>
            </w:tcBorders>
            <w:shd w:val="clear" w:color="auto" w:fill="auto"/>
            <w:noWrap/>
            <w:vAlign w:val="bottom"/>
            <w:hideMark/>
          </w:tcPr>
          <w:p w14:paraId="2894E62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0.004</w:t>
            </w:r>
          </w:p>
        </w:tc>
        <w:tc>
          <w:tcPr>
            <w:tcW w:w="966" w:type="dxa"/>
            <w:tcBorders>
              <w:top w:val="nil"/>
              <w:left w:val="nil"/>
              <w:bottom w:val="single" w:sz="4" w:space="0" w:color="auto"/>
              <w:right w:val="single" w:sz="4" w:space="0" w:color="auto"/>
            </w:tcBorders>
            <w:shd w:val="clear" w:color="auto" w:fill="auto"/>
            <w:noWrap/>
            <w:vAlign w:val="bottom"/>
            <w:hideMark/>
          </w:tcPr>
          <w:p w14:paraId="734F6F0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-0.016</w:t>
            </w:r>
          </w:p>
        </w:tc>
        <w:tc>
          <w:tcPr>
            <w:tcW w:w="1017" w:type="dxa"/>
            <w:tcBorders>
              <w:top w:val="nil"/>
              <w:left w:val="nil"/>
              <w:bottom w:val="single" w:sz="4" w:space="0" w:color="auto"/>
              <w:right w:val="single" w:sz="4" w:space="0" w:color="auto"/>
            </w:tcBorders>
            <w:shd w:val="clear" w:color="auto" w:fill="auto"/>
            <w:noWrap/>
            <w:vAlign w:val="bottom"/>
            <w:hideMark/>
          </w:tcPr>
          <w:p w14:paraId="4962D36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0.017</w:t>
            </w:r>
          </w:p>
        </w:tc>
        <w:tc>
          <w:tcPr>
            <w:tcW w:w="935" w:type="dxa"/>
            <w:tcBorders>
              <w:top w:val="nil"/>
              <w:left w:val="nil"/>
              <w:bottom w:val="single" w:sz="4" w:space="0" w:color="auto"/>
              <w:right w:val="single" w:sz="4" w:space="0" w:color="auto"/>
            </w:tcBorders>
            <w:shd w:val="clear" w:color="auto" w:fill="auto"/>
            <w:noWrap/>
            <w:vAlign w:val="bottom"/>
            <w:hideMark/>
          </w:tcPr>
          <w:p w14:paraId="6F55066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0.015</w:t>
            </w:r>
          </w:p>
        </w:tc>
        <w:tc>
          <w:tcPr>
            <w:tcW w:w="986" w:type="dxa"/>
            <w:tcBorders>
              <w:top w:val="nil"/>
              <w:left w:val="nil"/>
              <w:bottom w:val="single" w:sz="4" w:space="0" w:color="auto"/>
              <w:right w:val="single" w:sz="4" w:space="0" w:color="auto"/>
            </w:tcBorders>
            <w:shd w:val="clear" w:color="auto" w:fill="auto"/>
            <w:noWrap/>
            <w:vAlign w:val="bottom"/>
            <w:hideMark/>
          </w:tcPr>
          <w:p w14:paraId="2BE4BF5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0.021</w:t>
            </w:r>
          </w:p>
        </w:tc>
        <w:tc>
          <w:tcPr>
            <w:tcW w:w="966" w:type="dxa"/>
            <w:tcBorders>
              <w:top w:val="nil"/>
              <w:left w:val="nil"/>
              <w:bottom w:val="single" w:sz="4" w:space="0" w:color="auto"/>
              <w:right w:val="single" w:sz="4" w:space="0" w:color="auto"/>
            </w:tcBorders>
            <w:shd w:val="clear" w:color="auto" w:fill="auto"/>
            <w:noWrap/>
            <w:vAlign w:val="bottom"/>
            <w:hideMark/>
          </w:tcPr>
          <w:p w14:paraId="018E5A7C"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-0.043</w:t>
            </w:r>
          </w:p>
        </w:tc>
        <w:tc>
          <w:tcPr>
            <w:tcW w:w="1017" w:type="dxa"/>
            <w:tcBorders>
              <w:top w:val="nil"/>
              <w:left w:val="nil"/>
              <w:bottom w:val="single" w:sz="4" w:space="0" w:color="auto"/>
              <w:right w:val="single" w:sz="4" w:space="0" w:color="auto"/>
            </w:tcBorders>
            <w:shd w:val="clear" w:color="auto" w:fill="auto"/>
            <w:noWrap/>
            <w:vAlign w:val="bottom"/>
            <w:hideMark/>
          </w:tcPr>
          <w:p w14:paraId="4D31F8A6"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0.071</w:t>
            </w:r>
          </w:p>
        </w:tc>
      </w:tr>
      <w:tr w:rsidR="00A86967" w:rsidRPr="00FB3D4C" w14:paraId="2F899E86"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B20E249"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NY</w:t>
            </w:r>
          </w:p>
        </w:tc>
        <w:tc>
          <w:tcPr>
            <w:tcW w:w="935" w:type="dxa"/>
            <w:tcBorders>
              <w:top w:val="nil"/>
              <w:left w:val="nil"/>
              <w:bottom w:val="single" w:sz="4" w:space="0" w:color="auto"/>
              <w:right w:val="single" w:sz="4" w:space="0" w:color="auto"/>
            </w:tcBorders>
            <w:shd w:val="clear" w:color="auto" w:fill="auto"/>
            <w:noWrap/>
            <w:vAlign w:val="bottom"/>
            <w:hideMark/>
          </w:tcPr>
          <w:p w14:paraId="5795C75C"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0.020</w:t>
            </w:r>
          </w:p>
        </w:tc>
        <w:tc>
          <w:tcPr>
            <w:tcW w:w="1009" w:type="dxa"/>
            <w:tcBorders>
              <w:top w:val="nil"/>
              <w:left w:val="nil"/>
              <w:bottom w:val="single" w:sz="4" w:space="0" w:color="auto"/>
              <w:right w:val="single" w:sz="4" w:space="0" w:color="auto"/>
            </w:tcBorders>
            <w:shd w:val="clear" w:color="auto" w:fill="auto"/>
            <w:noWrap/>
            <w:vAlign w:val="bottom"/>
            <w:hideMark/>
          </w:tcPr>
          <w:p w14:paraId="280E0125"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66" w:type="dxa"/>
            <w:tcBorders>
              <w:top w:val="nil"/>
              <w:left w:val="nil"/>
              <w:bottom w:val="single" w:sz="4" w:space="0" w:color="auto"/>
              <w:right w:val="single" w:sz="4" w:space="0" w:color="auto"/>
            </w:tcBorders>
            <w:shd w:val="clear" w:color="auto" w:fill="auto"/>
            <w:noWrap/>
            <w:vAlign w:val="bottom"/>
            <w:hideMark/>
          </w:tcPr>
          <w:p w14:paraId="3C4EB16C"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-0.050</w:t>
            </w:r>
          </w:p>
        </w:tc>
        <w:tc>
          <w:tcPr>
            <w:tcW w:w="1017" w:type="dxa"/>
            <w:tcBorders>
              <w:top w:val="nil"/>
              <w:left w:val="nil"/>
              <w:bottom w:val="single" w:sz="4" w:space="0" w:color="auto"/>
              <w:right w:val="single" w:sz="4" w:space="0" w:color="auto"/>
            </w:tcBorders>
            <w:shd w:val="clear" w:color="auto" w:fill="auto"/>
            <w:noWrap/>
            <w:vAlign w:val="bottom"/>
            <w:hideMark/>
          </w:tcPr>
          <w:p w14:paraId="31F952ED"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0.062</w:t>
            </w:r>
          </w:p>
        </w:tc>
        <w:tc>
          <w:tcPr>
            <w:tcW w:w="935" w:type="dxa"/>
            <w:tcBorders>
              <w:top w:val="nil"/>
              <w:left w:val="nil"/>
              <w:bottom w:val="single" w:sz="4" w:space="0" w:color="auto"/>
              <w:right w:val="single" w:sz="4" w:space="0" w:color="auto"/>
            </w:tcBorders>
            <w:shd w:val="clear" w:color="auto" w:fill="auto"/>
            <w:noWrap/>
            <w:vAlign w:val="bottom"/>
            <w:hideMark/>
          </w:tcPr>
          <w:p w14:paraId="44EF2E02"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0.025</w:t>
            </w:r>
          </w:p>
        </w:tc>
        <w:tc>
          <w:tcPr>
            <w:tcW w:w="986" w:type="dxa"/>
            <w:tcBorders>
              <w:top w:val="nil"/>
              <w:left w:val="nil"/>
              <w:bottom w:val="single" w:sz="4" w:space="0" w:color="auto"/>
              <w:right w:val="single" w:sz="4" w:space="0" w:color="auto"/>
            </w:tcBorders>
            <w:shd w:val="clear" w:color="auto" w:fill="auto"/>
            <w:noWrap/>
            <w:vAlign w:val="bottom"/>
            <w:hideMark/>
          </w:tcPr>
          <w:p w14:paraId="26C4C963"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0.032</w:t>
            </w:r>
          </w:p>
        </w:tc>
        <w:tc>
          <w:tcPr>
            <w:tcW w:w="966" w:type="dxa"/>
            <w:tcBorders>
              <w:top w:val="nil"/>
              <w:left w:val="nil"/>
              <w:bottom w:val="single" w:sz="4" w:space="0" w:color="auto"/>
              <w:right w:val="single" w:sz="4" w:space="0" w:color="auto"/>
            </w:tcBorders>
            <w:shd w:val="clear" w:color="auto" w:fill="auto"/>
            <w:noWrap/>
            <w:vAlign w:val="bottom"/>
            <w:hideMark/>
          </w:tcPr>
          <w:p w14:paraId="666E997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-0.064</w:t>
            </w:r>
          </w:p>
        </w:tc>
        <w:tc>
          <w:tcPr>
            <w:tcW w:w="1017" w:type="dxa"/>
            <w:tcBorders>
              <w:top w:val="nil"/>
              <w:left w:val="nil"/>
              <w:bottom w:val="single" w:sz="4" w:space="0" w:color="auto"/>
              <w:right w:val="single" w:sz="4" w:space="0" w:color="auto"/>
            </w:tcBorders>
            <w:shd w:val="clear" w:color="auto" w:fill="auto"/>
            <w:noWrap/>
            <w:vAlign w:val="bottom"/>
            <w:hideMark/>
          </w:tcPr>
          <w:p w14:paraId="3C01E3B6"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0.083</w:t>
            </w:r>
          </w:p>
        </w:tc>
      </w:tr>
      <w:tr w:rsidR="00A86967" w:rsidRPr="00FB3D4C" w14:paraId="3216E1F2"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4D93599D"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OH</w:t>
            </w:r>
          </w:p>
        </w:tc>
        <w:tc>
          <w:tcPr>
            <w:tcW w:w="935" w:type="dxa"/>
            <w:tcBorders>
              <w:top w:val="nil"/>
              <w:left w:val="nil"/>
              <w:bottom w:val="single" w:sz="4" w:space="0" w:color="auto"/>
              <w:right w:val="single" w:sz="4" w:space="0" w:color="auto"/>
            </w:tcBorders>
            <w:shd w:val="clear" w:color="auto" w:fill="auto"/>
            <w:noWrap/>
            <w:vAlign w:val="bottom"/>
            <w:hideMark/>
          </w:tcPr>
          <w:p w14:paraId="28E1BB3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0.002</w:t>
            </w:r>
          </w:p>
        </w:tc>
        <w:tc>
          <w:tcPr>
            <w:tcW w:w="1009" w:type="dxa"/>
            <w:tcBorders>
              <w:top w:val="nil"/>
              <w:left w:val="nil"/>
              <w:bottom w:val="single" w:sz="4" w:space="0" w:color="auto"/>
              <w:right w:val="single" w:sz="4" w:space="0" w:color="auto"/>
            </w:tcBorders>
            <w:shd w:val="clear" w:color="auto" w:fill="auto"/>
            <w:noWrap/>
            <w:vAlign w:val="bottom"/>
            <w:hideMark/>
          </w:tcPr>
          <w:p w14:paraId="76D73ADD"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0.003</w:t>
            </w:r>
          </w:p>
        </w:tc>
        <w:tc>
          <w:tcPr>
            <w:tcW w:w="966" w:type="dxa"/>
            <w:tcBorders>
              <w:top w:val="nil"/>
              <w:left w:val="nil"/>
              <w:bottom w:val="single" w:sz="4" w:space="0" w:color="auto"/>
              <w:right w:val="single" w:sz="4" w:space="0" w:color="auto"/>
            </w:tcBorders>
            <w:shd w:val="clear" w:color="auto" w:fill="auto"/>
            <w:noWrap/>
            <w:vAlign w:val="bottom"/>
            <w:hideMark/>
          </w:tcPr>
          <w:p w14:paraId="39FA17FD"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-0.006</w:t>
            </w:r>
          </w:p>
        </w:tc>
        <w:tc>
          <w:tcPr>
            <w:tcW w:w="1017" w:type="dxa"/>
            <w:tcBorders>
              <w:top w:val="nil"/>
              <w:left w:val="nil"/>
              <w:bottom w:val="single" w:sz="4" w:space="0" w:color="auto"/>
              <w:right w:val="single" w:sz="4" w:space="0" w:color="auto"/>
            </w:tcBorders>
            <w:shd w:val="clear" w:color="auto" w:fill="auto"/>
            <w:noWrap/>
            <w:vAlign w:val="bottom"/>
            <w:hideMark/>
          </w:tcPr>
          <w:p w14:paraId="4A77075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35" w:type="dxa"/>
            <w:tcBorders>
              <w:top w:val="nil"/>
              <w:left w:val="nil"/>
              <w:bottom w:val="single" w:sz="4" w:space="0" w:color="auto"/>
              <w:right w:val="single" w:sz="4" w:space="0" w:color="auto"/>
            </w:tcBorders>
            <w:shd w:val="clear" w:color="auto" w:fill="auto"/>
            <w:noWrap/>
            <w:vAlign w:val="bottom"/>
            <w:hideMark/>
          </w:tcPr>
          <w:p w14:paraId="5362A5C5"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0.005</w:t>
            </w:r>
          </w:p>
        </w:tc>
        <w:tc>
          <w:tcPr>
            <w:tcW w:w="986" w:type="dxa"/>
            <w:tcBorders>
              <w:top w:val="nil"/>
              <w:left w:val="nil"/>
              <w:bottom w:val="single" w:sz="4" w:space="0" w:color="auto"/>
              <w:right w:val="single" w:sz="4" w:space="0" w:color="auto"/>
            </w:tcBorders>
            <w:shd w:val="clear" w:color="auto" w:fill="auto"/>
            <w:noWrap/>
            <w:vAlign w:val="bottom"/>
            <w:hideMark/>
          </w:tcPr>
          <w:p w14:paraId="0A7E63B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0.007</w:t>
            </w:r>
          </w:p>
        </w:tc>
        <w:tc>
          <w:tcPr>
            <w:tcW w:w="966" w:type="dxa"/>
            <w:tcBorders>
              <w:top w:val="nil"/>
              <w:left w:val="nil"/>
              <w:bottom w:val="single" w:sz="4" w:space="0" w:color="auto"/>
              <w:right w:val="single" w:sz="4" w:space="0" w:color="auto"/>
            </w:tcBorders>
            <w:shd w:val="clear" w:color="auto" w:fill="auto"/>
            <w:noWrap/>
            <w:vAlign w:val="bottom"/>
            <w:hideMark/>
          </w:tcPr>
          <w:p w14:paraId="2DC5161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-0.017</w:t>
            </w:r>
          </w:p>
        </w:tc>
        <w:tc>
          <w:tcPr>
            <w:tcW w:w="1017" w:type="dxa"/>
            <w:tcBorders>
              <w:top w:val="nil"/>
              <w:left w:val="nil"/>
              <w:bottom w:val="single" w:sz="4" w:space="0" w:color="auto"/>
              <w:right w:val="single" w:sz="4" w:space="0" w:color="auto"/>
            </w:tcBorders>
            <w:shd w:val="clear" w:color="auto" w:fill="auto"/>
            <w:noWrap/>
            <w:vAlign w:val="bottom"/>
            <w:hideMark/>
          </w:tcPr>
          <w:p w14:paraId="7CED2E5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0.028</w:t>
            </w:r>
          </w:p>
        </w:tc>
      </w:tr>
      <w:tr w:rsidR="00A86967" w:rsidRPr="00FB3D4C" w14:paraId="1C6FFB66"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32E6D8F5"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TX</w:t>
            </w:r>
          </w:p>
        </w:tc>
        <w:tc>
          <w:tcPr>
            <w:tcW w:w="935" w:type="dxa"/>
            <w:tcBorders>
              <w:top w:val="nil"/>
              <w:left w:val="nil"/>
              <w:bottom w:val="single" w:sz="4" w:space="0" w:color="auto"/>
              <w:right w:val="single" w:sz="4" w:space="0" w:color="auto"/>
            </w:tcBorders>
            <w:shd w:val="clear" w:color="auto" w:fill="auto"/>
            <w:noWrap/>
            <w:vAlign w:val="bottom"/>
            <w:hideMark/>
          </w:tcPr>
          <w:p w14:paraId="5D1DF2E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1009" w:type="dxa"/>
            <w:tcBorders>
              <w:top w:val="nil"/>
              <w:left w:val="nil"/>
              <w:bottom w:val="single" w:sz="4" w:space="0" w:color="auto"/>
              <w:right w:val="single" w:sz="4" w:space="0" w:color="auto"/>
            </w:tcBorders>
            <w:shd w:val="clear" w:color="auto" w:fill="auto"/>
            <w:noWrap/>
            <w:vAlign w:val="bottom"/>
            <w:hideMark/>
          </w:tcPr>
          <w:p w14:paraId="60FBDE0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966" w:type="dxa"/>
            <w:tcBorders>
              <w:top w:val="nil"/>
              <w:left w:val="nil"/>
              <w:bottom w:val="single" w:sz="4" w:space="0" w:color="auto"/>
              <w:right w:val="single" w:sz="4" w:space="0" w:color="auto"/>
            </w:tcBorders>
            <w:shd w:val="clear" w:color="auto" w:fill="auto"/>
            <w:noWrap/>
            <w:vAlign w:val="bottom"/>
            <w:hideMark/>
          </w:tcPr>
          <w:p w14:paraId="3981C48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1017" w:type="dxa"/>
            <w:tcBorders>
              <w:top w:val="nil"/>
              <w:left w:val="nil"/>
              <w:bottom w:val="single" w:sz="4" w:space="0" w:color="auto"/>
              <w:right w:val="single" w:sz="4" w:space="0" w:color="auto"/>
            </w:tcBorders>
            <w:shd w:val="clear" w:color="auto" w:fill="auto"/>
            <w:noWrap/>
            <w:vAlign w:val="bottom"/>
            <w:hideMark/>
          </w:tcPr>
          <w:p w14:paraId="425C5C6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0.031</w:t>
            </w:r>
          </w:p>
        </w:tc>
        <w:tc>
          <w:tcPr>
            <w:tcW w:w="935" w:type="dxa"/>
            <w:tcBorders>
              <w:top w:val="nil"/>
              <w:left w:val="nil"/>
              <w:bottom w:val="single" w:sz="4" w:space="0" w:color="auto"/>
              <w:right w:val="single" w:sz="4" w:space="0" w:color="auto"/>
            </w:tcBorders>
            <w:shd w:val="clear" w:color="auto" w:fill="auto"/>
            <w:noWrap/>
            <w:vAlign w:val="bottom"/>
            <w:hideMark/>
          </w:tcPr>
          <w:p w14:paraId="6C51EFEC"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0.008</w:t>
            </w:r>
          </w:p>
        </w:tc>
        <w:tc>
          <w:tcPr>
            <w:tcW w:w="986" w:type="dxa"/>
            <w:tcBorders>
              <w:top w:val="nil"/>
              <w:left w:val="nil"/>
              <w:bottom w:val="single" w:sz="4" w:space="0" w:color="auto"/>
              <w:right w:val="single" w:sz="4" w:space="0" w:color="auto"/>
            </w:tcBorders>
            <w:shd w:val="clear" w:color="auto" w:fill="auto"/>
            <w:noWrap/>
            <w:vAlign w:val="bottom"/>
            <w:hideMark/>
          </w:tcPr>
          <w:p w14:paraId="1E6E316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0.011</w:t>
            </w:r>
          </w:p>
        </w:tc>
        <w:tc>
          <w:tcPr>
            <w:tcW w:w="966" w:type="dxa"/>
            <w:tcBorders>
              <w:top w:val="nil"/>
              <w:left w:val="nil"/>
              <w:bottom w:val="single" w:sz="4" w:space="0" w:color="auto"/>
              <w:right w:val="single" w:sz="4" w:space="0" w:color="auto"/>
            </w:tcBorders>
            <w:shd w:val="clear" w:color="auto" w:fill="auto"/>
            <w:noWrap/>
            <w:vAlign w:val="bottom"/>
            <w:hideMark/>
          </w:tcPr>
          <w:p w14:paraId="0469782A"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-0.026</w:t>
            </w:r>
          </w:p>
        </w:tc>
        <w:tc>
          <w:tcPr>
            <w:tcW w:w="1017" w:type="dxa"/>
            <w:tcBorders>
              <w:top w:val="nil"/>
              <w:left w:val="nil"/>
              <w:bottom w:val="single" w:sz="4" w:space="0" w:color="auto"/>
              <w:right w:val="single" w:sz="4" w:space="0" w:color="auto"/>
            </w:tcBorders>
            <w:shd w:val="clear" w:color="auto" w:fill="auto"/>
            <w:noWrap/>
            <w:vAlign w:val="bottom"/>
            <w:hideMark/>
          </w:tcPr>
          <w:p w14:paraId="5D338486"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0.043</w:t>
            </w:r>
          </w:p>
        </w:tc>
      </w:tr>
      <w:tr w:rsidR="00A86967" w:rsidRPr="00FB3D4C" w14:paraId="33A8DF5E"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F0C2F0E"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WA</w:t>
            </w:r>
          </w:p>
        </w:tc>
        <w:tc>
          <w:tcPr>
            <w:tcW w:w="935" w:type="dxa"/>
            <w:tcBorders>
              <w:top w:val="nil"/>
              <w:left w:val="nil"/>
              <w:bottom w:val="single" w:sz="4" w:space="0" w:color="auto"/>
              <w:right w:val="single" w:sz="4" w:space="0" w:color="auto"/>
            </w:tcBorders>
            <w:shd w:val="clear" w:color="auto" w:fill="auto"/>
            <w:noWrap/>
            <w:vAlign w:val="bottom"/>
            <w:hideMark/>
          </w:tcPr>
          <w:p w14:paraId="6175EC0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1009" w:type="dxa"/>
            <w:tcBorders>
              <w:top w:val="nil"/>
              <w:left w:val="nil"/>
              <w:bottom w:val="single" w:sz="4" w:space="0" w:color="auto"/>
              <w:right w:val="single" w:sz="4" w:space="0" w:color="auto"/>
            </w:tcBorders>
            <w:shd w:val="clear" w:color="auto" w:fill="auto"/>
            <w:noWrap/>
            <w:vAlign w:val="bottom"/>
            <w:hideMark/>
          </w:tcPr>
          <w:p w14:paraId="03EB938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66" w:type="dxa"/>
            <w:tcBorders>
              <w:top w:val="nil"/>
              <w:left w:val="nil"/>
              <w:bottom w:val="single" w:sz="4" w:space="0" w:color="auto"/>
              <w:right w:val="single" w:sz="4" w:space="0" w:color="auto"/>
            </w:tcBorders>
            <w:shd w:val="clear" w:color="auto" w:fill="auto"/>
            <w:noWrap/>
            <w:vAlign w:val="bottom"/>
            <w:hideMark/>
          </w:tcPr>
          <w:p w14:paraId="7F870EC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-0.018</w:t>
            </w:r>
          </w:p>
        </w:tc>
        <w:tc>
          <w:tcPr>
            <w:tcW w:w="1017" w:type="dxa"/>
            <w:tcBorders>
              <w:top w:val="nil"/>
              <w:left w:val="nil"/>
              <w:bottom w:val="single" w:sz="4" w:space="0" w:color="auto"/>
              <w:right w:val="single" w:sz="4" w:space="0" w:color="auto"/>
            </w:tcBorders>
            <w:shd w:val="clear" w:color="auto" w:fill="auto"/>
            <w:noWrap/>
            <w:vAlign w:val="bottom"/>
            <w:hideMark/>
          </w:tcPr>
          <w:p w14:paraId="7B4F1B1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0.041</w:t>
            </w:r>
          </w:p>
        </w:tc>
        <w:tc>
          <w:tcPr>
            <w:tcW w:w="935" w:type="dxa"/>
            <w:tcBorders>
              <w:top w:val="nil"/>
              <w:left w:val="nil"/>
              <w:bottom w:val="single" w:sz="4" w:space="0" w:color="auto"/>
              <w:right w:val="single" w:sz="4" w:space="0" w:color="auto"/>
            </w:tcBorders>
            <w:shd w:val="clear" w:color="auto" w:fill="auto"/>
            <w:noWrap/>
            <w:vAlign w:val="bottom"/>
            <w:hideMark/>
          </w:tcPr>
          <w:p w14:paraId="24CE6AAA"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0.010</w:t>
            </w:r>
          </w:p>
        </w:tc>
        <w:tc>
          <w:tcPr>
            <w:tcW w:w="986" w:type="dxa"/>
            <w:tcBorders>
              <w:top w:val="nil"/>
              <w:left w:val="nil"/>
              <w:bottom w:val="single" w:sz="4" w:space="0" w:color="auto"/>
              <w:right w:val="single" w:sz="4" w:space="0" w:color="auto"/>
            </w:tcBorders>
            <w:shd w:val="clear" w:color="auto" w:fill="auto"/>
            <w:noWrap/>
            <w:vAlign w:val="bottom"/>
            <w:hideMark/>
          </w:tcPr>
          <w:p w14:paraId="1DDECF9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0.015</w:t>
            </w:r>
          </w:p>
        </w:tc>
        <w:tc>
          <w:tcPr>
            <w:tcW w:w="966" w:type="dxa"/>
            <w:tcBorders>
              <w:top w:val="nil"/>
              <w:left w:val="nil"/>
              <w:bottom w:val="single" w:sz="4" w:space="0" w:color="auto"/>
              <w:right w:val="single" w:sz="4" w:space="0" w:color="auto"/>
            </w:tcBorders>
            <w:shd w:val="clear" w:color="auto" w:fill="auto"/>
            <w:noWrap/>
            <w:vAlign w:val="bottom"/>
            <w:hideMark/>
          </w:tcPr>
          <w:p w14:paraId="07CF2A9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-0.019</w:t>
            </w:r>
          </w:p>
        </w:tc>
        <w:tc>
          <w:tcPr>
            <w:tcW w:w="1017" w:type="dxa"/>
            <w:tcBorders>
              <w:top w:val="nil"/>
              <w:left w:val="nil"/>
              <w:bottom w:val="single" w:sz="4" w:space="0" w:color="auto"/>
              <w:right w:val="single" w:sz="4" w:space="0" w:color="auto"/>
            </w:tcBorders>
            <w:shd w:val="clear" w:color="auto" w:fill="auto"/>
            <w:noWrap/>
            <w:vAlign w:val="bottom"/>
            <w:hideMark/>
          </w:tcPr>
          <w:p w14:paraId="31A21FC0"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0.104</w:t>
            </w:r>
          </w:p>
        </w:tc>
      </w:tr>
      <w:tr w:rsidR="00A86967" w:rsidRPr="00FB3D4C" w14:paraId="5724F66D"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708DF216"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35" w:type="dxa"/>
            <w:tcBorders>
              <w:top w:val="nil"/>
              <w:left w:val="nil"/>
              <w:bottom w:val="single" w:sz="4" w:space="0" w:color="auto"/>
              <w:right w:val="single" w:sz="4" w:space="0" w:color="auto"/>
            </w:tcBorders>
            <w:shd w:val="clear" w:color="auto" w:fill="auto"/>
            <w:noWrap/>
            <w:vAlign w:val="bottom"/>
            <w:hideMark/>
          </w:tcPr>
          <w:p w14:paraId="108D2723"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1009" w:type="dxa"/>
            <w:tcBorders>
              <w:top w:val="nil"/>
              <w:left w:val="nil"/>
              <w:bottom w:val="single" w:sz="4" w:space="0" w:color="auto"/>
              <w:right w:val="single" w:sz="4" w:space="0" w:color="auto"/>
            </w:tcBorders>
            <w:shd w:val="clear" w:color="auto" w:fill="auto"/>
            <w:noWrap/>
            <w:vAlign w:val="bottom"/>
            <w:hideMark/>
          </w:tcPr>
          <w:p w14:paraId="122327FC"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14:paraId="69C19FD9"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14:paraId="441E359A"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35" w:type="dxa"/>
            <w:tcBorders>
              <w:top w:val="nil"/>
              <w:left w:val="nil"/>
              <w:bottom w:val="single" w:sz="4" w:space="0" w:color="auto"/>
              <w:right w:val="single" w:sz="4" w:space="0" w:color="auto"/>
            </w:tcBorders>
            <w:shd w:val="clear" w:color="auto" w:fill="auto"/>
            <w:noWrap/>
            <w:vAlign w:val="bottom"/>
            <w:hideMark/>
          </w:tcPr>
          <w:p w14:paraId="55FB32C1"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86" w:type="dxa"/>
            <w:tcBorders>
              <w:top w:val="nil"/>
              <w:left w:val="nil"/>
              <w:bottom w:val="single" w:sz="4" w:space="0" w:color="auto"/>
              <w:right w:val="single" w:sz="4" w:space="0" w:color="auto"/>
            </w:tcBorders>
            <w:shd w:val="clear" w:color="auto" w:fill="auto"/>
            <w:noWrap/>
            <w:vAlign w:val="bottom"/>
            <w:hideMark/>
          </w:tcPr>
          <w:p w14:paraId="20D6FFD7"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66" w:type="dxa"/>
            <w:tcBorders>
              <w:top w:val="nil"/>
              <w:left w:val="nil"/>
              <w:bottom w:val="single" w:sz="4" w:space="0" w:color="auto"/>
              <w:right w:val="single" w:sz="4" w:space="0" w:color="auto"/>
            </w:tcBorders>
            <w:shd w:val="clear" w:color="auto" w:fill="auto"/>
            <w:noWrap/>
            <w:vAlign w:val="bottom"/>
            <w:hideMark/>
          </w:tcPr>
          <w:p w14:paraId="732199E5"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14:paraId="6B19C845"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A86967" w:rsidRPr="00FB3D4C" w14:paraId="4013C8B4"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400E9B1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Boston</w:t>
            </w:r>
          </w:p>
        </w:tc>
        <w:tc>
          <w:tcPr>
            <w:tcW w:w="935" w:type="dxa"/>
            <w:tcBorders>
              <w:top w:val="nil"/>
              <w:left w:val="nil"/>
              <w:bottom w:val="single" w:sz="4" w:space="0" w:color="auto"/>
              <w:right w:val="single" w:sz="4" w:space="0" w:color="auto"/>
            </w:tcBorders>
            <w:shd w:val="clear" w:color="auto" w:fill="auto"/>
            <w:noWrap/>
            <w:vAlign w:val="bottom"/>
            <w:hideMark/>
          </w:tcPr>
          <w:p w14:paraId="0B5FFBD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1009" w:type="dxa"/>
            <w:tcBorders>
              <w:top w:val="nil"/>
              <w:left w:val="nil"/>
              <w:bottom w:val="single" w:sz="4" w:space="0" w:color="auto"/>
              <w:right w:val="single" w:sz="4" w:space="0" w:color="auto"/>
            </w:tcBorders>
            <w:shd w:val="clear" w:color="auto" w:fill="auto"/>
            <w:noWrap/>
            <w:vAlign w:val="bottom"/>
            <w:hideMark/>
          </w:tcPr>
          <w:p w14:paraId="7C4C91E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0.024</w:t>
            </w:r>
          </w:p>
        </w:tc>
        <w:tc>
          <w:tcPr>
            <w:tcW w:w="966" w:type="dxa"/>
            <w:tcBorders>
              <w:top w:val="nil"/>
              <w:left w:val="nil"/>
              <w:bottom w:val="single" w:sz="4" w:space="0" w:color="auto"/>
              <w:right w:val="single" w:sz="4" w:space="0" w:color="auto"/>
            </w:tcBorders>
            <w:shd w:val="clear" w:color="auto" w:fill="auto"/>
            <w:noWrap/>
            <w:vAlign w:val="bottom"/>
            <w:hideMark/>
          </w:tcPr>
          <w:p w14:paraId="208683B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-0.056</w:t>
            </w:r>
          </w:p>
        </w:tc>
        <w:tc>
          <w:tcPr>
            <w:tcW w:w="1017" w:type="dxa"/>
            <w:tcBorders>
              <w:top w:val="nil"/>
              <w:left w:val="nil"/>
              <w:bottom w:val="single" w:sz="4" w:space="0" w:color="auto"/>
              <w:right w:val="single" w:sz="4" w:space="0" w:color="auto"/>
            </w:tcBorders>
            <w:shd w:val="clear" w:color="auto" w:fill="auto"/>
            <w:noWrap/>
            <w:vAlign w:val="bottom"/>
            <w:hideMark/>
          </w:tcPr>
          <w:p w14:paraId="6376F47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0.070</w:t>
            </w:r>
          </w:p>
        </w:tc>
        <w:tc>
          <w:tcPr>
            <w:tcW w:w="935" w:type="dxa"/>
            <w:tcBorders>
              <w:top w:val="nil"/>
              <w:left w:val="nil"/>
              <w:bottom w:val="single" w:sz="4" w:space="0" w:color="auto"/>
              <w:right w:val="single" w:sz="4" w:space="0" w:color="auto"/>
            </w:tcBorders>
            <w:shd w:val="clear" w:color="auto" w:fill="auto"/>
            <w:noWrap/>
            <w:vAlign w:val="bottom"/>
            <w:hideMark/>
          </w:tcPr>
          <w:p w14:paraId="658C7667"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0.024</w:t>
            </w:r>
          </w:p>
        </w:tc>
        <w:tc>
          <w:tcPr>
            <w:tcW w:w="986" w:type="dxa"/>
            <w:tcBorders>
              <w:top w:val="nil"/>
              <w:left w:val="nil"/>
              <w:bottom w:val="single" w:sz="4" w:space="0" w:color="auto"/>
              <w:right w:val="single" w:sz="4" w:space="0" w:color="auto"/>
            </w:tcBorders>
            <w:shd w:val="clear" w:color="auto" w:fill="auto"/>
            <w:noWrap/>
            <w:vAlign w:val="bottom"/>
            <w:hideMark/>
          </w:tcPr>
          <w:p w14:paraId="58A74813"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0.030</w:t>
            </w:r>
          </w:p>
        </w:tc>
        <w:tc>
          <w:tcPr>
            <w:tcW w:w="966" w:type="dxa"/>
            <w:tcBorders>
              <w:top w:val="nil"/>
              <w:left w:val="nil"/>
              <w:bottom w:val="single" w:sz="4" w:space="0" w:color="auto"/>
              <w:right w:val="single" w:sz="4" w:space="0" w:color="auto"/>
            </w:tcBorders>
            <w:shd w:val="clear" w:color="auto" w:fill="auto"/>
            <w:noWrap/>
            <w:vAlign w:val="bottom"/>
            <w:hideMark/>
          </w:tcPr>
          <w:p w14:paraId="2484E80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-0.065</w:t>
            </w:r>
          </w:p>
        </w:tc>
        <w:tc>
          <w:tcPr>
            <w:tcW w:w="1017" w:type="dxa"/>
            <w:tcBorders>
              <w:top w:val="nil"/>
              <w:left w:val="nil"/>
              <w:bottom w:val="single" w:sz="4" w:space="0" w:color="auto"/>
              <w:right w:val="single" w:sz="4" w:space="0" w:color="auto"/>
            </w:tcBorders>
            <w:shd w:val="clear" w:color="auto" w:fill="auto"/>
            <w:noWrap/>
            <w:vAlign w:val="bottom"/>
            <w:hideMark/>
          </w:tcPr>
          <w:p w14:paraId="19C545CF"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0.098</w:t>
            </w:r>
          </w:p>
        </w:tc>
      </w:tr>
      <w:tr w:rsidR="00A86967" w:rsidRPr="00FB3D4C" w14:paraId="1E6AB167"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5207653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Chicago</w:t>
            </w:r>
          </w:p>
        </w:tc>
        <w:tc>
          <w:tcPr>
            <w:tcW w:w="935" w:type="dxa"/>
            <w:tcBorders>
              <w:top w:val="nil"/>
              <w:left w:val="nil"/>
              <w:bottom w:val="single" w:sz="4" w:space="0" w:color="auto"/>
              <w:right w:val="single" w:sz="4" w:space="0" w:color="auto"/>
            </w:tcBorders>
            <w:shd w:val="clear" w:color="auto" w:fill="auto"/>
            <w:noWrap/>
            <w:vAlign w:val="bottom"/>
            <w:hideMark/>
          </w:tcPr>
          <w:p w14:paraId="00C23E2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1009" w:type="dxa"/>
            <w:tcBorders>
              <w:top w:val="nil"/>
              <w:left w:val="nil"/>
              <w:bottom w:val="single" w:sz="4" w:space="0" w:color="auto"/>
              <w:right w:val="single" w:sz="4" w:space="0" w:color="auto"/>
            </w:tcBorders>
            <w:shd w:val="clear" w:color="auto" w:fill="auto"/>
            <w:noWrap/>
            <w:vAlign w:val="bottom"/>
            <w:hideMark/>
          </w:tcPr>
          <w:p w14:paraId="36D6415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966" w:type="dxa"/>
            <w:tcBorders>
              <w:top w:val="nil"/>
              <w:left w:val="nil"/>
              <w:bottom w:val="single" w:sz="4" w:space="0" w:color="auto"/>
              <w:right w:val="single" w:sz="4" w:space="0" w:color="auto"/>
            </w:tcBorders>
            <w:shd w:val="clear" w:color="auto" w:fill="auto"/>
            <w:noWrap/>
            <w:vAlign w:val="bottom"/>
            <w:hideMark/>
          </w:tcPr>
          <w:p w14:paraId="5495A02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-0.024</w:t>
            </w:r>
          </w:p>
        </w:tc>
        <w:tc>
          <w:tcPr>
            <w:tcW w:w="1017" w:type="dxa"/>
            <w:tcBorders>
              <w:top w:val="nil"/>
              <w:left w:val="nil"/>
              <w:bottom w:val="single" w:sz="4" w:space="0" w:color="auto"/>
              <w:right w:val="single" w:sz="4" w:space="0" w:color="auto"/>
            </w:tcBorders>
            <w:shd w:val="clear" w:color="auto" w:fill="auto"/>
            <w:noWrap/>
            <w:vAlign w:val="bottom"/>
            <w:hideMark/>
          </w:tcPr>
          <w:p w14:paraId="0B2D5BD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0.048</w:t>
            </w:r>
          </w:p>
        </w:tc>
        <w:tc>
          <w:tcPr>
            <w:tcW w:w="935" w:type="dxa"/>
            <w:tcBorders>
              <w:top w:val="nil"/>
              <w:left w:val="nil"/>
              <w:bottom w:val="single" w:sz="4" w:space="0" w:color="auto"/>
              <w:right w:val="single" w:sz="4" w:space="0" w:color="auto"/>
            </w:tcBorders>
            <w:shd w:val="clear" w:color="auto" w:fill="auto"/>
            <w:noWrap/>
            <w:vAlign w:val="bottom"/>
            <w:hideMark/>
          </w:tcPr>
          <w:p w14:paraId="6629545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0.014</w:t>
            </w:r>
          </w:p>
        </w:tc>
        <w:tc>
          <w:tcPr>
            <w:tcW w:w="986" w:type="dxa"/>
            <w:tcBorders>
              <w:top w:val="nil"/>
              <w:left w:val="nil"/>
              <w:bottom w:val="single" w:sz="4" w:space="0" w:color="auto"/>
              <w:right w:val="single" w:sz="4" w:space="0" w:color="auto"/>
            </w:tcBorders>
            <w:shd w:val="clear" w:color="auto" w:fill="auto"/>
            <w:noWrap/>
            <w:vAlign w:val="bottom"/>
            <w:hideMark/>
          </w:tcPr>
          <w:p w14:paraId="5A959CD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0.025</w:t>
            </w:r>
          </w:p>
        </w:tc>
        <w:tc>
          <w:tcPr>
            <w:tcW w:w="966" w:type="dxa"/>
            <w:tcBorders>
              <w:top w:val="nil"/>
              <w:left w:val="nil"/>
              <w:bottom w:val="single" w:sz="4" w:space="0" w:color="auto"/>
              <w:right w:val="single" w:sz="4" w:space="0" w:color="auto"/>
            </w:tcBorders>
            <w:shd w:val="clear" w:color="auto" w:fill="auto"/>
            <w:noWrap/>
            <w:vAlign w:val="bottom"/>
            <w:hideMark/>
          </w:tcPr>
          <w:p w14:paraId="38AFD5E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-0.029</w:t>
            </w:r>
          </w:p>
        </w:tc>
        <w:tc>
          <w:tcPr>
            <w:tcW w:w="1017" w:type="dxa"/>
            <w:tcBorders>
              <w:top w:val="nil"/>
              <w:left w:val="nil"/>
              <w:bottom w:val="single" w:sz="4" w:space="0" w:color="auto"/>
              <w:right w:val="single" w:sz="4" w:space="0" w:color="auto"/>
            </w:tcBorders>
            <w:shd w:val="clear" w:color="auto" w:fill="auto"/>
            <w:noWrap/>
            <w:vAlign w:val="bottom"/>
            <w:hideMark/>
          </w:tcPr>
          <w:p w14:paraId="4CACDB6D" w14:textId="77777777" w:rsidR="00CC7E92" w:rsidRPr="000B3157" w:rsidRDefault="00CC7E92" w:rsidP="000A39F0">
            <w:pPr>
              <w:spacing w:after="0" w:line="240" w:lineRule="auto"/>
              <w:jc w:val="right"/>
              <w:rPr>
                <w:rFonts w:ascii="Arial" w:eastAsia="Times New Roman" w:hAnsi="Arial" w:cs="Arial"/>
                <w:b/>
                <w:i/>
                <w:color w:val="70AD47"/>
                <w:sz w:val="16"/>
                <w:szCs w:val="16"/>
              </w:rPr>
            </w:pPr>
            <w:r w:rsidRPr="000B3157">
              <w:rPr>
                <w:rFonts w:ascii="Arial" w:eastAsia="Times New Roman" w:hAnsi="Arial" w:cs="Arial"/>
                <w:b/>
                <w:i/>
                <w:color w:val="70AD47"/>
                <w:sz w:val="16"/>
                <w:szCs w:val="16"/>
              </w:rPr>
              <w:t>0.110</w:t>
            </w:r>
          </w:p>
        </w:tc>
      </w:tr>
      <w:tr w:rsidR="00A86967" w:rsidRPr="00FB3D4C" w14:paraId="36F0782C"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7E2476DC"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Cleveland</w:t>
            </w:r>
          </w:p>
        </w:tc>
        <w:tc>
          <w:tcPr>
            <w:tcW w:w="935" w:type="dxa"/>
            <w:tcBorders>
              <w:top w:val="nil"/>
              <w:left w:val="nil"/>
              <w:bottom w:val="single" w:sz="4" w:space="0" w:color="auto"/>
              <w:right w:val="single" w:sz="4" w:space="0" w:color="auto"/>
            </w:tcBorders>
            <w:shd w:val="clear" w:color="auto" w:fill="auto"/>
            <w:noWrap/>
            <w:vAlign w:val="bottom"/>
            <w:hideMark/>
          </w:tcPr>
          <w:p w14:paraId="57F0C9D6"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0.006</w:t>
            </w:r>
          </w:p>
        </w:tc>
        <w:tc>
          <w:tcPr>
            <w:tcW w:w="1009" w:type="dxa"/>
            <w:tcBorders>
              <w:top w:val="nil"/>
              <w:left w:val="nil"/>
              <w:bottom w:val="single" w:sz="4" w:space="0" w:color="auto"/>
              <w:right w:val="single" w:sz="4" w:space="0" w:color="auto"/>
            </w:tcBorders>
            <w:shd w:val="clear" w:color="auto" w:fill="auto"/>
            <w:noWrap/>
            <w:vAlign w:val="bottom"/>
            <w:hideMark/>
          </w:tcPr>
          <w:p w14:paraId="4B7BF09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0.009</w:t>
            </w:r>
          </w:p>
        </w:tc>
        <w:tc>
          <w:tcPr>
            <w:tcW w:w="966" w:type="dxa"/>
            <w:tcBorders>
              <w:top w:val="nil"/>
              <w:left w:val="nil"/>
              <w:bottom w:val="single" w:sz="4" w:space="0" w:color="auto"/>
              <w:right w:val="single" w:sz="4" w:space="0" w:color="auto"/>
            </w:tcBorders>
            <w:shd w:val="clear" w:color="auto" w:fill="auto"/>
            <w:noWrap/>
            <w:vAlign w:val="bottom"/>
            <w:hideMark/>
          </w:tcPr>
          <w:p w14:paraId="6CC955C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-0.020</w:t>
            </w:r>
          </w:p>
        </w:tc>
        <w:tc>
          <w:tcPr>
            <w:tcW w:w="1017" w:type="dxa"/>
            <w:tcBorders>
              <w:top w:val="nil"/>
              <w:left w:val="nil"/>
              <w:bottom w:val="single" w:sz="4" w:space="0" w:color="auto"/>
              <w:right w:val="single" w:sz="4" w:space="0" w:color="auto"/>
            </w:tcBorders>
            <w:shd w:val="clear" w:color="auto" w:fill="auto"/>
            <w:noWrap/>
            <w:vAlign w:val="bottom"/>
            <w:hideMark/>
          </w:tcPr>
          <w:p w14:paraId="02ED72D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0.044</w:t>
            </w:r>
          </w:p>
        </w:tc>
        <w:tc>
          <w:tcPr>
            <w:tcW w:w="935" w:type="dxa"/>
            <w:tcBorders>
              <w:top w:val="nil"/>
              <w:left w:val="nil"/>
              <w:bottom w:val="single" w:sz="4" w:space="0" w:color="auto"/>
              <w:right w:val="single" w:sz="4" w:space="0" w:color="auto"/>
            </w:tcBorders>
            <w:shd w:val="clear" w:color="auto" w:fill="auto"/>
            <w:noWrap/>
            <w:vAlign w:val="bottom"/>
            <w:hideMark/>
          </w:tcPr>
          <w:p w14:paraId="6A5C5695"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0.007</w:t>
            </w:r>
          </w:p>
        </w:tc>
        <w:tc>
          <w:tcPr>
            <w:tcW w:w="986" w:type="dxa"/>
            <w:tcBorders>
              <w:top w:val="nil"/>
              <w:left w:val="nil"/>
              <w:bottom w:val="single" w:sz="4" w:space="0" w:color="auto"/>
              <w:right w:val="single" w:sz="4" w:space="0" w:color="auto"/>
            </w:tcBorders>
            <w:shd w:val="clear" w:color="auto" w:fill="auto"/>
            <w:noWrap/>
            <w:vAlign w:val="bottom"/>
            <w:hideMark/>
          </w:tcPr>
          <w:p w14:paraId="73728B36"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0.010</w:t>
            </w:r>
          </w:p>
        </w:tc>
        <w:tc>
          <w:tcPr>
            <w:tcW w:w="966" w:type="dxa"/>
            <w:tcBorders>
              <w:top w:val="nil"/>
              <w:left w:val="nil"/>
              <w:bottom w:val="single" w:sz="4" w:space="0" w:color="auto"/>
              <w:right w:val="single" w:sz="4" w:space="0" w:color="auto"/>
            </w:tcBorders>
            <w:shd w:val="clear" w:color="auto" w:fill="auto"/>
            <w:noWrap/>
            <w:vAlign w:val="bottom"/>
            <w:hideMark/>
          </w:tcPr>
          <w:p w14:paraId="0C539BD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-0.025</w:t>
            </w:r>
          </w:p>
        </w:tc>
        <w:tc>
          <w:tcPr>
            <w:tcW w:w="1017" w:type="dxa"/>
            <w:tcBorders>
              <w:top w:val="nil"/>
              <w:left w:val="nil"/>
              <w:bottom w:val="single" w:sz="4" w:space="0" w:color="auto"/>
              <w:right w:val="single" w:sz="4" w:space="0" w:color="auto"/>
            </w:tcBorders>
            <w:shd w:val="clear" w:color="auto" w:fill="auto"/>
            <w:noWrap/>
            <w:vAlign w:val="bottom"/>
            <w:hideMark/>
          </w:tcPr>
          <w:p w14:paraId="7E8E5F7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0.057</w:t>
            </w:r>
          </w:p>
        </w:tc>
      </w:tr>
      <w:tr w:rsidR="00A86967" w:rsidRPr="00FB3D4C" w14:paraId="4FDDEAEF"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423F0F38"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Denver</w:t>
            </w:r>
          </w:p>
        </w:tc>
        <w:tc>
          <w:tcPr>
            <w:tcW w:w="935" w:type="dxa"/>
            <w:tcBorders>
              <w:top w:val="nil"/>
              <w:left w:val="nil"/>
              <w:bottom w:val="single" w:sz="4" w:space="0" w:color="auto"/>
              <w:right w:val="single" w:sz="4" w:space="0" w:color="auto"/>
            </w:tcBorders>
            <w:shd w:val="clear" w:color="auto" w:fill="auto"/>
            <w:noWrap/>
            <w:vAlign w:val="bottom"/>
            <w:hideMark/>
          </w:tcPr>
          <w:p w14:paraId="0837AC0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0.002</w:t>
            </w:r>
          </w:p>
        </w:tc>
        <w:tc>
          <w:tcPr>
            <w:tcW w:w="1009" w:type="dxa"/>
            <w:tcBorders>
              <w:top w:val="nil"/>
              <w:left w:val="nil"/>
              <w:bottom w:val="single" w:sz="4" w:space="0" w:color="auto"/>
              <w:right w:val="single" w:sz="4" w:space="0" w:color="auto"/>
            </w:tcBorders>
            <w:shd w:val="clear" w:color="auto" w:fill="auto"/>
            <w:noWrap/>
            <w:vAlign w:val="bottom"/>
            <w:hideMark/>
          </w:tcPr>
          <w:p w14:paraId="5ACED2A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0.003</w:t>
            </w:r>
          </w:p>
        </w:tc>
        <w:tc>
          <w:tcPr>
            <w:tcW w:w="966" w:type="dxa"/>
            <w:tcBorders>
              <w:top w:val="nil"/>
              <w:left w:val="nil"/>
              <w:bottom w:val="single" w:sz="4" w:space="0" w:color="auto"/>
              <w:right w:val="single" w:sz="4" w:space="0" w:color="auto"/>
            </w:tcBorders>
            <w:shd w:val="clear" w:color="auto" w:fill="auto"/>
            <w:noWrap/>
            <w:vAlign w:val="bottom"/>
            <w:hideMark/>
          </w:tcPr>
          <w:p w14:paraId="4B74D35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-0.009</w:t>
            </w:r>
          </w:p>
        </w:tc>
        <w:tc>
          <w:tcPr>
            <w:tcW w:w="1017" w:type="dxa"/>
            <w:tcBorders>
              <w:top w:val="nil"/>
              <w:left w:val="nil"/>
              <w:bottom w:val="single" w:sz="4" w:space="0" w:color="auto"/>
              <w:right w:val="single" w:sz="4" w:space="0" w:color="auto"/>
            </w:tcBorders>
            <w:shd w:val="clear" w:color="auto" w:fill="auto"/>
            <w:noWrap/>
            <w:vAlign w:val="bottom"/>
            <w:hideMark/>
          </w:tcPr>
          <w:p w14:paraId="5BDBCB8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935" w:type="dxa"/>
            <w:tcBorders>
              <w:top w:val="nil"/>
              <w:left w:val="nil"/>
              <w:bottom w:val="single" w:sz="4" w:space="0" w:color="auto"/>
              <w:right w:val="single" w:sz="4" w:space="0" w:color="auto"/>
            </w:tcBorders>
            <w:shd w:val="clear" w:color="auto" w:fill="auto"/>
            <w:noWrap/>
            <w:vAlign w:val="bottom"/>
            <w:hideMark/>
          </w:tcPr>
          <w:p w14:paraId="1A1BD29C"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0.003</w:t>
            </w:r>
          </w:p>
        </w:tc>
        <w:tc>
          <w:tcPr>
            <w:tcW w:w="986" w:type="dxa"/>
            <w:tcBorders>
              <w:top w:val="nil"/>
              <w:left w:val="nil"/>
              <w:bottom w:val="single" w:sz="4" w:space="0" w:color="auto"/>
              <w:right w:val="single" w:sz="4" w:space="0" w:color="auto"/>
            </w:tcBorders>
            <w:shd w:val="clear" w:color="auto" w:fill="auto"/>
            <w:noWrap/>
            <w:vAlign w:val="bottom"/>
            <w:hideMark/>
          </w:tcPr>
          <w:p w14:paraId="386B78F9"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0.004</w:t>
            </w:r>
          </w:p>
        </w:tc>
        <w:tc>
          <w:tcPr>
            <w:tcW w:w="966" w:type="dxa"/>
            <w:tcBorders>
              <w:top w:val="nil"/>
              <w:left w:val="nil"/>
              <w:bottom w:val="single" w:sz="4" w:space="0" w:color="auto"/>
              <w:right w:val="single" w:sz="4" w:space="0" w:color="auto"/>
            </w:tcBorders>
            <w:shd w:val="clear" w:color="auto" w:fill="auto"/>
            <w:noWrap/>
            <w:vAlign w:val="bottom"/>
            <w:hideMark/>
          </w:tcPr>
          <w:p w14:paraId="0E0CBB2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-0.013</w:t>
            </w:r>
          </w:p>
        </w:tc>
        <w:tc>
          <w:tcPr>
            <w:tcW w:w="1017" w:type="dxa"/>
            <w:tcBorders>
              <w:top w:val="nil"/>
              <w:left w:val="nil"/>
              <w:bottom w:val="single" w:sz="4" w:space="0" w:color="auto"/>
              <w:right w:val="single" w:sz="4" w:space="0" w:color="auto"/>
            </w:tcBorders>
            <w:shd w:val="clear" w:color="auto" w:fill="auto"/>
            <w:noWrap/>
            <w:vAlign w:val="bottom"/>
            <w:hideMark/>
          </w:tcPr>
          <w:p w14:paraId="19759B92"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0.015</w:t>
            </w:r>
          </w:p>
        </w:tc>
      </w:tr>
      <w:tr w:rsidR="00A86967" w:rsidRPr="00FB3D4C" w14:paraId="58D75396"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0F8AA3D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Houston</w:t>
            </w:r>
          </w:p>
        </w:tc>
        <w:tc>
          <w:tcPr>
            <w:tcW w:w="935" w:type="dxa"/>
            <w:tcBorders>
              <w:top w:val="nil"/>
              <w:left w:val="nil"/>
              <w:bottom w:val="single" w:sz="4" w:space="0" w:color="auto"/>
              <w:right w:val="single" w:sz="4" w:space="0" w:color="auto"/>
            </w:tcBorders>
            <w:shd w:val="clear" w:color="auto" w:fill="auto"/>
            <w:noWrap/>
            <w:vAlign w:val="bottom"/>
            <w:hideMark/>
          </w:tcPr>
          <w:p w14:paraId="54BB96B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1009" w:type="dxa"/>
            <w:tcBorders>
              <w:top w:val="nil"/>
              <w:left w:val="nil"/>
              <w:bottom w:val="single" w:sz="4" w:space="0" w:color="auto"/>
              <w:right w:val="single" w:sz="4" w:space="0" w:color="auto"/>
            </w:tcBorders>
            <w:shd w:val="clear" w:color="auto" w:fill="auto"/>
            <w:noWrap/>
            <w:vAlign w:val="bottom"/>
            <w:hideMark/>
          </w:tcPr>
          <w:p w14:paraId="3B90D14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66" w:type="dxa"/>
            <w:tcBorders>
              <w:top w:val="nil"/>
              <w:left w:val="nil"/>
              <w:bottom w:val="single" w:sz="4" w:space="0" w:color="auto"/>
              <w:right w:val="single" w:sz="4" w:space="0" w:color="auto"/>
            </w:tcBorders>
            <w:shd w:val="clear" w:color="auto" w:fill="auto"/>
            <w:noWrap/>
            <w:vAlign w:val="bottom"/>
            <w:hideMark/>
          </w:tcPr>
          <w:p w14:paraId="3DB872F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-0.027</w:t>
            </w:r>
          </w:p>
        </w:tc>
        <w:tc>
          <w:tcPr>
            <w:tcW w:w="1017" w:type="dxa"/>
            <w:tcBorders>
              <w:top w:val="nil"/>
              <w:left w:val="nil"/>
              <w:bottom w:val="single" w:sz="4" w:space="0" w:color="auto"/>
              <w:right w:val="single" w:sz="4" w:space="0" w:color="auto"/>
            </w:tcBorders>
            <w:shd w:val="clear" w:color="auto" w:fill="auto"/>
            <w:noWrap/>
            <w:vAlign w:val="bottom"/>
            <w:hideMark/>
          </w:tcPr>
          <w:p w14:paraId="682065F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0.054</w:t>
            </w:r>
          </w:p>
        </w:tc>
        <w:tc>
          <w:tcPr>
            <w:tcW w:w="935" w:type="dxa"/>
            <w:tcBorders>
              <w:top w:val="nil"/>
              <w:left w:val="nil"/>
              <w:bottom w:val="single" w:sz="4" w:space="0" w:color="auto"/>
              <w:right w:val="single" w:sz="4" w:space="0" w:color="auto"/>
            </w:tcBorders>
            <w:shd w:val="clear" w:color="auto" w:fill="auto"/>
            <w:noWrap/>
            <w:vAlign w:val="bottom"/>
            <w:hideMark/>
          </w:tcPr>
          <w:p w14:paraId="3DF3CF6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0.014</w:t>
            </w:r>
          </w:p>
        </w:tc>
        <w:tc>
          <w:tcPr>
            <w:tcW w:w="986" w:type="dxa"/>
            <w:tcBorders>
              <w:top w:val="nil"/>
              <w:left w:val="nil"/>
              <w:bottom w:val="single" w:sz="4" w:space="0" w:color="auto"/>
              <w:right w:val="single" w:sz="4" w:space="0" w:color="auto"/>
            </w:tcBorders>
            <w:shd w:val="clear" w:color="auto" w:fill="auto"/>
            <w:noWrap/>
            <w:vAlign w:val="bottom"/>
            <w:hideMark/>
          </w:tcPr>
          <w:p w14:paraId="4D69729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0.019</w:t>
            </w:r>
          </w:p>
        </w:tc>
        <w:tc>
          <w:tcPr>
            <w:tcW w:w="966" w:type="dxa"/>
            <w:tcBorders>
              <w:top w:val="nil"/>
              <w:left w:val="nil"/>
              <w:bottom w:val="single" w:sz="4" w:space="0" w:color="auto"/>
              <w:right w:val="single" w:sz="4" w:space="0" w:color="auto"/>
            </w:tcBorders>
            <w:shd w:val="clear" w:color="auto" w:fill="auto"/>
            <w:noWrap/>
            <w:vAlign w:val="bottom"/>
            <w:hideMark/>
          </w:tcPr>
          <w:p w14:paraId="615F186C"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-0.036</w:t>
            </w:r>
          </w:p>
        </w:tc>
        <w:tc>
          <w:tcPr>
            <w:tcW w:w="1017" w:type="dxa"/>
            <w:tcBorders>
              <w:top w:val="nil"/>
              <w:left w:val="nil"/>
              <w:bottom w:val="single" w:sz="4" w:space="0" w:color="auto"/>
              <w:right w:val="single" w:sz="4" w:space="0" w:color="auto"/>
            </w:tcBorders>
            <w:shd w:val="clear" w:color="auto" w:fill="auto"/>
            <w:noWrap/>
            <w:vAlign w:val="bottom"/>
            <w:hideMark/>
          </w:tcPr>
          <w:p w14:paraId="1838DF3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0.091</w:t>
            </w:r>
          </w:p>
        </w:tc>
      </w:tr>
      <w:tr w:rsidR="00A86967" w:rsidRPr="00FB3D4C" w14:paraId="4F1625A3"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57AE73D6"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Los Angeles</w:t>
            </w:r>
          </w:p>
        </w:tc>
        <w:tc>
          <w:tcPr>
            <w:tcW w:w="935" w:type="dxa"/>
            <w:tcBorders>
              <w:top w:val="nil"/>
              <w:left w:val="nil"/>
              <w:bottom w:val="single" w:sz="4" w:space="0" w:color="auto"/>
              <w:right w:val="single" w:sz="4" w:space="0" w:color="auto"/>
            </w:tcBorders>
            <w:shd w:val="clear" w:color="auto" w:fill="auto"/>
            <w:noWrap/>
            <w:vAlign w:val="bottom"/>
            <w:hideMark/>
          </w:tcPr>
          <w:p w14:paraId="5A9ECA7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0.003</w:t>
            </w:r>
          </w:p>
        </w:tc>
        <w:tc>
          <w:tcPr>
            <w:tcW w:w="1009" w:type="dxa"/>
            <w:tcBorders>
              <w:top w:val="nil"/>
              <w:left w:val="nil"/>
              <w:bottom w:val="single" w:sz="4" w:space="0" w:color="auto"/>
              <w:right w:val="single" w:sz="4" w:space="0" w:color="auto"/>
            </w:tcBorders>
            <w:shd w:val="clear" w:color="auto" w:fill="auto"/>
            <w:noWrap/>
            <w:vAlign w:val="bottom"/>
            <w:hideMark/>
          </w:tcPr>
          <w:p w14:paraId="18CAC68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966" w:type="dxa"/>
            <w:tcBorders>
              <w:top w:val="nil"/>
              <w:left w:val="nil"/>
              <w:bottom w:val="single" w:sz="4" w:space="0" w:color="auto"/>
              <w:right w:val="single" w:sz="4" w:space="0" w:color="auto"/>
            </w:tcBorders>
            <w:shd w:val="clear" w:color="auto" w:fill="auto"/>
            <w:noWrap/>
            <w:vAlign w:val="bottom"/>
            <w:hideMark/>
          </w:tcPr>
          <w:p w14:paraId="362FB7F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1017" w:type="dxa"/>
            <w:tcBorders>
              <w:top w:val="nil"/>
              <w:left w:val="nil"/>
              <w:bottom w:val="single" w:sz="4" w:space="0" w:color="auto"/>
              <w:right w:val="single" w:sz="4" w:space="0" w:color="auto"/>
            </w:tcBorders>
            <w:shd w:val="clear" w:color="auto" w:fill="auto"/>
            <w:noWrap/>
            <w:vAlign w:val="bottom"/>
            <w:hideMark/>
          </w:tcPr>
          <w:p w14:paraId="5FB2113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0.064</w:t>
            </w:r>
          </w:p>
        </w:tc>
        <w:tc>
          <w:tcPr>
            <w:tcW w:w="935" w:type="dxa"/>
            <w:tcBorders>
              <w:top w:val="nil"/>
              <w:left w:val="nil"/>
              <w:bottom w:val="single" w:sz="4" w:space="0" w:color="auto"/>
              <w:right w:val="single" w:sz="4" w:space="0" w:color="auto"/>
            </w:tcBorders>
            <w:shd w:val="clear" w:color="auto" w:fill="auto"/>
            <w:noWrap/>
            <w:vAlign w:val="bottom"/>
            <w:hideMark/>
          </w:tcPr>
          <w:p w14:paraId="4D4A6C0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0.004</w:t>
            </w:r>
          </w:p>
        </w:tc>
        <w:tc>
          <w:tcPr>
            <w:tcW w:w="986" w:type="dxa"/>
            <w:tcBorders>
              <w:top w:val="nil"/>
              <w:left w:val="nil"/>
              <w:bottom w:val="single" w:sz="4" w:space="0" w:color="auto"/>
              <w:right w:val="single" w:sz="4" w:space="0" w:color="auto"/>
            </w:tcBorders>
            <w:shd w:val="clear" w:color="auto" w:fill="auto"/>
            <w:noWrap/>
            <w:vAlign w:val="bottom"/>
            <w:hideMark/>
          </w:tcPr>
          <w:p w14:paraId="3B20141A"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0.006</w:t>
            </w:r>
          </w:p>
        </w:tc>
        <w:tc>
          <w:tcPr>
            <w:tcW w:w="966" w:type="dxa"/>
            <w:tcBorders>
              <w:top w:val="nil"/>
              <w:left w:val="nil"/>
              <w:bottom w:val="single" w:sz="4" w:space="0" w:color="auto"/>
              <w:right w:val="single" w:sz="4" w:space="0" w:color="auto"/>
            </w:tcBorders>
            <w:shd w:val="clear" w:color="auto" w:fill="auto"/>
            <w:noWrap/>
            <w:vAlign w:val="bottom"/>
            <w:hideMark/>
          </w:tcPr>
          <w:p w14:paraId="58AFFA1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-0.014</w:t>
            </w:r>
          </w:p>
        </w:tc>
        <w:tc>
          <w:tcPr>
            <w:tcW w:w="1017" w:type="dxa"/>
            <w:tcBorders>
              <w:top w:val="nil"/>
              <w:left w:val="nil"/>
              <w:bottom w:val="single" w:sz="4" w:space="0" w:color="auto"/>
              <w:right w:val="single" w:sz="4" w:space="0" w:color="auto"/>
            </w:tcBorders>
            <w:shd w:val="clear" w:color="auto" w:fill="auto"/>
            <w:noWrap/>
            <w:vAlign w:val="bottom"/>
            <w:hideMark/>
          </w:tcPr>
          <w:p w14:paraId="72194919"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0.064</w:t>
            </w:r>
          </w:p>
        </w:tc>
      </w:tr>
      <w:tr w:rsidR="00A86967" w:rsidRPr="00FB3D4C" w14:paraId="509CFD37"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1FAECB3D"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Miami</w:t>
            </w:r>
          </w:p>
        </w:tc>
        <w:tc>
          <w:tcPr>
            <w:tcW w:w="935" w:type="dxa"/>
            <w:tcBorders>
              <w:top w:val="nil"/>
              <w:left w:val="nil"/>
              <w:bottom w:val="single" w:sz="4" w:space="0" w:color="auto"/>
              <w:right w:val="single" w:sz="4" w:space="0" w:color="auto"/>
            </w:tcBorders>
            <w:shd w:val="clear" w:color="auto" w:fill="auto"/>
            <w:noWrap/>
            <w:vAlign w:val="bottom"/>
            <w:hideMark/>
          </w:tcPr>
          <w:p w14:paraId="0FB7A1A7"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0.020</w:t>
            </w:r>
          </w:p>
        </w:tc>
        <w:tc>
          <w:tcPr>
            <w:tcW w:w="1009" w:type="dxa"/>
            <w:tcBorders>
              <w:top w:val="nil"/>
              <w:left w:val="nil"/>
              <w:bottom w:val="single" w:sz="4" w:space="0" w:color="auto"/>
              <w:right w:val="single" w:sz="4" w:space="0" w:color="auto"/>
            </w:tcBorders>
            <w:shd w:val="clear" w:color="auto" w:fill="auto"/>
            <w:noWrap/>
            <w:vAlign w:val="bottom"/>
            <w:hideMark/>
          </w:tcPr>
          <w:p w14:paraId="12C149E1"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66" w:type="dxa"/>
            <w:tcBorders>
              <w:top w:val="nil"/>
              <w:left w:val="nil"/>
              <w:bottom w:val="single" w:sz="4" w:space="0" w:color="auto"/>
              <w:right w:val="single" w:sz="4" w:space="0" w:color="auto"/>
            </w:tcBorders>
            <w:shd w:val="clear" w:color="auto" w:fill="auto"/>
            <w:noWrap/>
            <w:vAlign w:val="bottom"/>
            <w:hideMark/>
          </w:tcPr>
          <w:p w14:paraId="1C3BF7C9"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-0.065</w:t>
            </w:r>
          </w:p>
        </w:tc>
        <w:tc>
          <w:tcPr>
            <w:tcW w:w="1017" w:type="dxa"/>
            <w:tcBorders>
              <w:top w:val="nil"/>
              <w:left w:val="nil"/>
              <w:bottom w:val="single" w:sz="4" w:space="0" w:color="auto"/>
              <w:right w:val="single" w:sz="4" w:space="0" w:color="auto"/>
            </w:tcBorders>
            <w:shd w:val="clear" w:color="auto" w:fill="auto"/>
            <w:noWrap/>
            <w:vAlign w:val="bottom"/>
            <w:hideMark/>
          </w:tcPr>
          <w:p w14:paraId="439D9297"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0.078</w:t>
            </w:r>
          </w:p>
        </w:tc>
        <w:tc>
          <w:tcPr>
            <w:tcW w:w="935" w:type="dxa"/>
            <w:tcBorders>
              <w:top w:val="nil"/>
              <w:left w:val="nil"/>
              <w:bottom w:val="single" w:sz="4" w:space="0" w:color="auto"/>
              <w:right w:val="single" w:sz="4" w:space="0" w:color="auto"/>
            </w:tcBorders>
            <w:shd w:val="clear" w:color="auto" w:fill="auto"/>
            <w:noWrap/>
            <w:vAlign w:val="bottom"/>
            <w:hideMark/>
          </w:tcPr>
          <w:p w14:paraId="0F0D8A0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0.023</w:t>
            </w:r>
          </w:p>
        </w:tc>
        <w:tc>
          <w:tcPr>
            <w:tcW w:w="986" w:type="dxa"/>
            <w:tcBorders>
              <w:top w:val="nil"/>
              <w:left w:val="nil"/>
              <w:bottom w:val="single" w:sz="4" w:space="0" w:color="auto"/>
              <w:right w:val="single" w:sz="4" w:space="0" w:color="auto"/>
            </w:tcBorders>
            <w:shd w:val="clear" w:color="auto" w:fill="auto"/>
            <w:noWrap/>
            <w:vAlign w:val="bottom"/>
            <w:hideMark/>
          </w:tcPr>
          <w:p w14:paraId="15748928"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0.030</w:t>
            </w:r>
          </w:p>
        </w:tc>
        <w:tc>
          <w:tcPr>
            <w:tcW w:w="966" w:type="dxa"/>
            <w:tcBorders>
              <w:top w:val="nil"/>
              <w:left w:val="nil"/>
              <w:bottom w:val="single" w:sz="4" w:space="0" w:color="auto"/>
              <w:right w:val="single" w:sz="4" w:space="0" w:color="auto"/>
            </w:tcBorders>
            <w:shd w:val="clear" w:color="auto" w:fill="auto"/>
            <w:noWrap/>
            <w:vAlign w:val="bottom"/>
            <w:hideMark/>
          </w:tcPr>
          <w:p w14:paraId="32BE84DF"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-0.062</w:t>
            </w:r>
          </w:p>
        </w:tc>
        <w:tc>
          <w:tcPr>
            <w:tcW w:w="1017" w:type="dxa"/>
            <w:tcBorders>
              <w:top w:val="nil"/>
              <w:left w:val="nil"/>
              <w:bottom w:val="single" w:sz="4" w:space="0" w:color="auto"/>
              <w:right w:val="single" w:sz="4" w:space="0" w:color="auto"/>
            </w:tcBorders>
            <w:shd w:val="clear" w:color="auto" w:fill="auto"/>
            <w:noWrap/>
            <w:vAlign w:val="bottom"/>
            <w:hideMark/>
          </w:tcPr>
          <w:p w14:paraId="51FC2179"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0.086</w:t>
            </w:r>
          </w:p>
        </w:tc>
      </w:tr>
      <w:tr w:rsidR="00A86967" w:rsidRPr="00FB3D4C" w14:paraId="13F103B0"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31AB1427"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New York</w:t>
            </w:r>
          </w:p>
        </w:tc>
        <w:tc>
          <w:tcPr>
            <w:tcW w:w="935" w:type="dxa"/>
            <w:tcBorders>
              <w:top w:val="nil"/>
              <w:left w:val="nil"/>
              <w:bottom w:val="single" w:sz="4" w:space="0" w:color="auto"/>
              <w:right w:val="single" w:sz="4" w:space="0" w:color="auto"/>
            </w:tcBorders>
            <w:shd w:val="clear" w:color="auto" w:fill="auto"/>
            <w:noWrap/>
            <w:vAlign w:val="bottom"/>
            <w:hideMark/>
          </w:tcPr>
          <w:p w14:paraId="0B30E899"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1009" w:type="dxa"/>
            <w:tcBorders>
              <w:top w:val="nil"/>
              <w:left w:val="nil"/>
              <w:bottom w:val="single" w:sz="4" w:space="0" w:color="auto"/>
              <w:right w:val="single" w:sz="4" w:space="0" w:color="auto"/>
            </w:tcBorders>
            <w:shd w:val="clear" w:color="auto" w:fill="auto"/>
            <w:noWrap/>
            <w:vAlign w:val="bottom"/>
            <w:hideMark/>
          </w:tcPr>
          <w:p w14:paraId="6E57F38C"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0.029</w:t>
            </w:r>
          </w:p>
        </w:tc>
        <w:tc>
          <w:tcPr>
            <w:tcW w:w="966" w:type="dxa"/>
            <w:tcBorders>
              <w:top w:val="nil"/>
              <w:left w:val="nil"/>
              <w:bottom w:val="single" w:sz="4" w:space="0" w:color="auto"/>
              <w:right w:val="single" w:sz="4" w:space="0" w:color="auto"/>
            </w:tcBorders>
            <w:shd w:val="clear" w:color="auto" w:fill="auto"/>
            <w:noWrap/>
            <w:vAlign w:val="bottom"/>
            <w:hideMark/>
          </w:tcPr>
          <w:p w14:paraId="3F272404"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-0.048</w:t>
            </w:r>
          </w:p>
        </w:tc>
        <w:tc>
          <w:tcPr>
            <w:tcW w:w="1017" w:type="dxa"/>
            <w:tcBorders>
              <w:top w:val="nil"/>
              <w:left w:val="nil"/>
              <w:bottom w:val="single" w:sz="4" w:space="0" w:color="auto"/>
              <w:right w:val="single" w:sz="4" w:space="0" w:color="auto"/>
            </w:tcBorders>
            <w:shd w:val="clear" w:color="auto" w:fill="auto"/>
            <w:noWrap/>
            <w:vAlign w:val="bottom"/>
            <w:hideMark/>
          </w:tcPr>
          <w:p w14:paraId="5B9D857E"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0.078</w:t>
            </w:r>
          </w:p>
        </w:tc>
        <w:tc>
          <w:tcPr>
            <w:tcW w:w="935" w:type="dxa"/>
            <w:tcBorders>
              <w:top w:val="nil"/>
              <w:left w:val="nil"/>
              <w:bottom w:val="single" w:sz="4" w:space="0" w:color="auto"/>
              <w:right w:val="single" w:sz="4" w:space="0" w:color="auto"/>
            </w:tcBorders>
            <w:shd w:val="clear" w:color="auto" w:fill="auto"/>
            <w:noWrap/>
            <w:vAlign w:val="bottom"/>
            <w:hideMark/>
          </w:tcPr>
          <w:p w14:paraId="45171D06"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0.029</w:t>
            </w:r>
          </w:p>
        </w:tc>
        <w:tc>
          <w:tcPr>
            <w:tcW w:w="986" w:type="dxa"/>
            <w:tcBorders>
              <w:top w:val="nil"/>
              <w:left w:val="nil"/>
              <w:bottom w:val="single" w:sz="4" w:space="0" w:color="auto"/>
              <w:right w:val="single" w:sz="4" w:space="0" w:color="auto"/>
            </w:tcBorders>
            <w:shd w:val="clear" w:color="auto" w:fill="auto"/>
            <w:noWrap/>
            <w:vAlign w:val="bottom"/>
            <w:hideMark/>
          </w:tcPr>
          <w:p w14:paraId="22C13863" w14:textId="77777777" w:rsidR="00CC7E92" w:rsidRPr="00890EE9" w:rsidRDefault="00CC7E92" w:rsidP="000A39F0">
            <w:pPr>
              <w:spacing w:after="0" w:line="240" w:lineRule="auto"/>
              <w:jc w:val="right"/>
              <w:rPr>
                <w:rFonts w:ascii="Arial" w:eastAsia="Times New Roman" w:hAnsi="Arial" w:cs="Arial"/>
                <w:color w:val="FF0000"/>
                <w:sz w:val="16"/>
                <w:szCs w:val="16"/>
              </w:rPr>
            </w:pPr>
            <w:r w:rsidRPr="00890EE9">
              <w:rPr>
                <w:rFonts w:ascii="Arial" w:eastAsia="Times New Roman" w:hAnsi="Arial" w:cs="Arial"/>
                <w:color w:val="FF0000"/>
                <w:sz w:val="16"/>
                <w:szCs w:val="16"/>
              </w:rPr>
              <w:t>0.035</w:t>
            </w:r>
          </w:p>
        </w:tc>
        <w:tc>
          <w:tcPr>
            <w:tcW w:w="966" w:type="dxa"/>
            <w:tcBorders>
              <w:top w:val="nil"/>
              <w:left w:val="nil"/>
              <w:bottom w:val="single" w:sz="4" w:space="0" w:color="auto"/>
              <w:right w:val="single" w:sz="4" w:space="0" w:color="auto"/>
            </w:tcBorders>
            <w:shd w:val="clear" w:color="auto" w:fill="auto"/>
            <w:noWrap/>
            <w:vAlign w:val="bottom"/>
            <w:hideMark/>
          </w:tcPr>
          <w:p w14:paraId="699CF332"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-0.071</w:t>
            </w:r>
          </w:p>
        </w:tc>
        <w:tc>
          <w:tcPr>
            <w:tcW w:w="1017" w:type="dxa"/>
            <w:tcBorders>
              <w:top w:val="nil"/>
              <w:left w:val="nil"/>
              <w:bottom w:val="single" w:sz="4" w:space="0" w:color="auto"/>
              <w:right w:val="single" w:sz="4" w:space="0" w:color="auto"/>
            </w:tcBorders>
            <w:shd w:val="clear" w:color="auto" w:fill="auto"/>
            <w:noWrap/>
            <w:vAlign w:val="bottom"/>
            <w:hideMark/>
          </w:tcPr>
          <w:p w14:paraId="452ABF13"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0.101</w:t>
            </w:r>
          </w:p>
        </w:tc>
      </w:tr>
      <w:tr w:rsidR="00A86967" w:rsidRPr="00FB3D4C" w14:paraId="35A1C549"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20272ADD"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San Francisco</w:t>
            </w:r>
          </w:p>
        </w:tc>
        <w:tc>
          <w:tcPr>
            <w:tcW w:w="935" w:type="dxa"/>
            <w:tcBorders>
              <w:top w:val="nil"/>
              <w:left w:val="nil"/>
              <w:bottom w:val="single" w:sz="4" w:space="0" w:color="auto"/>
              <w:right w:val="single" w:sz="4" w:space="0" w:color="auto"/>
            </w:tcBorders>
            <w:shd w:val="clear" w:color="auto" w:fill="auto"/>
            <w:noWrap/>
            <w:vAlign w:val="bottom"/>
            <w:hideMark/>
          </w:tcPr>
          <w:p w14:paraId="19A4356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1009" w:type="dxa"/>
            <w:tcBorders>
              <w:top w:val="nil"/>
              <w:left w:val="nil"/>
              <w:bottom w:val="single" w:sz="4" w:space="0" w:color="auto"/>
              <w:right w:val="single" w:sz="4" w:space="0" w:color="auto"/>
            </w:tcBorders>
            <w:shd w:val="clear" w:color="auto" w:fill="auto"/>
            <w:noWrap/>
            <w:vAlign w:val="bottom"/>
            <w:hideMark/>
          </w:tcPr>
          <w:p w14:paraId="4BA1977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0.009</w:t>
            </w:r>
          </w:p>
        </w:tc>
        <w:tc>
          <w:tcPr>
            <w:tcW w:w="966" w:type="dxa"/>
            <w:tcBorders>
              <w:top w:val="nil"/>
              <w:left w:val="nil"/>
              <w:bottom w:val="single" w:sz="4" w:space="0" w:color="auto"/>
              <w:right w:val="single" w:sz="4" w:space="0" w:color="auto"/>
            </w:tcBorders>
            <w:shd w:val="clear" w:color="auto" w:fill="auto"/>
            <w:noWrap/>
            <w:vAlign w:val="bottom"/>
            <w:hideMark/>
          </w:tcPr>
          <w:p w14:paraId="113BC0E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1017" w:type="dxa"/>
            <w:tcBorders>
              <w:top w:val="nil"/>
              <w:left w:val="nil"/>
              <w:bottom w:val="single" w:sz="4" w:space="0" w:color="auto"/>
              <w:right w:val="single" w:sz="4" w:space="0" w:color="auto"/>
            </w:tcBorders>
            <w:shd w:val="clear" w:color="auto" w:fill="auto"/>
            <w:noWrap/>
            <w:vAlign w:val="bottom"/>
            <w:hideMark/>
          </w:tcPr>
          <w:p w14:paraId="3C63A17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0.027</w:t>
            </w:r>
          </w:p>
        </w:tc>
        <w:tc>
          <w:tcPr>
            <w:tcW w:w="935" w:type="dxa"/>
            <w:tcBorders>
              <w:top w:val="nil"/>
              <w:left w:val="nil"/>
              <w:bottom w:val="single" w:sz="4" w:space="0" w:color="auto"/>
              <w:right w:val="single" w:sz="4" w:space="0" w:color="auto"/>
            </w:tcBorders>
            <w:shd w:val="clear" w:color="auto" w:fill="auto"/>
            <w:noWrap/>
            <w:vAlign w:val="bottom"/>
            <w:hideMark/>
          </w:tcPr>
          <w:p w14:paraId="5535A29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0.008</w:t>
            </w:r>
          </w:p>
        </w:tc>
        <w:tc>
          <w:tcPr>
            <w:tcW w:w="986" w:type="dxa"/>
            <w:tcBorders>
              <w:top w:val="nil"/>
              <w:left w:val="nil"/>
              <w:bottom w:val="single" w:sz="4" w:space="0" w:color="auto"/>
              <w:right w:val="single" w:sz="4" w:space="0" w:color="auto"/>
            </w:tcBorders>
            <w:shd w:val="clear" w:color="auto" w:fill="auto"/>
            <w:noWrap/>
            <w:vAlign w:val="bottom"/>
            <w:hideMark/>
          </w:tcPr>
          <w:p w14:paraId="05AACD8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0.010</w:t>
            </w:r>
          </w:p>
        </w:tc>
        <w:tc>
          <w:tcPr>
            <w:tcW w:w="966" w:type="dxa"/>
            <w:tcBorders>
              <w:top w:val="nil"/>
              <w:left w:val="nil"/>
              <w:bottom w:val="single" w:sz="4" w:space="0" w:color="auto"/>
              <w:right w:val="single" w:sz="4" w:space="0" w:color="auto"/>
            </w:tcBorders>
            <w:shd w:val="clear" w:color="auto" w:fill="auto"/>
            <w:noWrap/>
            <w:vAlign w:val="bottom"/>
            <w:hideMark/>
          </w:tcPr>
          <w:p w14:paraId="049B6BA5"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-0.027</w:t>
            </w:r>
          </w:p>
        </w:tc>
        <w:tc>
          <w:tcPr>
            <w:tcW w:w="1017" w:type="dxa"/>
            <w:tcBorders>
              <w:top w:val="nil"/>
              <w:left w:val="nil"/>
              <w:bottom w:val="single" w:sz="4" w:space="0" w:color="auto"/>
              <w:right w:val="single" w:sz="4" w:space="0" w:color="auto"/>
            </w:tcBorders>
            <w:shd w:val="clear" w:color="auto" w:fill="auto"/>
            <w:noWrap/>
            <w:vAlign w:val="bottom"/>
            <w:hideMark/>
          </w:tcPr>
          <w:p w14:paraId="597D43E0"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0.038</w:t>
            </w:r>
          </w:p>
        </w:tc>
      </w:tr>
      <w:tr w:rsidR="00A86967" w:rsidRPr="00FB3D4C" w14:paraId="5DC168FB" w14:textId="77777777" w:rsidTr="00A86967">
        <w:trPr>
          <w:trHeight w:val="29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1A1A645A"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Seattle</w:t>
            </w:r>
          </w:p>
        </w:tc>
        <w:tc>
          <w:tcPr>
            <w:tcW w:w="935" w:type="dxa"/>
            <w:tcBorders>
              <w:top w:val="nil"/>
              <w:left w:val="nil"/>
              <w:bottom w:val="single" w:sz="4" w:space="0" w:color="auto"/>
              <w:right w:val="single" w:sz="4" w:space="0" w:color="auto"/>
            </w:tcBorders>
            <w:shd w:val="clear" w:color="auto" w:fill="auto"/>
            <w:noWrap/>
            <w:vAlign w:val="bottom"/>
            <w:hideMark/>
          </w:tcPr>
          <w:p w14:paraId="01889A9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1009" w:type="dxa"/>
            <w:tcBorders>
              <w:top w:val="nil"/>
              <w:left w:val="nil"/>
              <w:bottom w:val="single" w:sz="4" w:space="0" w:color="auto"/>
              <w:right w:val="single" w:sz="4" w:space="0" w:color="auto"/>
            </w:tcBorders>
            <w:shd w:val="clear" w:color="auto" w:fill="auto"/>
            <w:noWrap/>
            <w:vAlign w:val="bottom"/>
            <w:hideMark/>
          </w:tcPr>
          <w:p w14:paraId="709ED6F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0.006</w:t>
            </w:r>
          </w:p>
        </w:tc>
        <w:tc>
          <w:tcPr>
            <w:tcW w:w="966" w:type="dxa"/>
            <w:tcBorders>
              <w:top w:val="nil"/>
              <w:left w:val="nil"/>
              <w:bottom w:val="single" w:sz="4" w:space="0" w:color="auto"/>
              <w:right w:val="single" w:sz="4" w:space="0" w:color="auto"/>
            </w:tcBorders>
            <w:shd w:val="clear" w:color="auto" w:fill="auto"/>
            <w:noWrap/>
            <w:vAlign w:val="bottom"/>
            <w:hideMark/>
          </w:tcPr>
          <w:p w14:paraId="18AA7CB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1017" w:type="dxa"/>
            <w:tcBorders>
              <w:top w:val="nil"/>
              <w:left w:val="nil"/>
              <w:bottom w:val="single" w:sz="4" w:space="0" w:color="auto"/>
              <w:right w:val="single" w:sz="4" w:space="0" w:color="auto"/>
            </w:tcBorders>
            <w:shd w:val="clear" w:color="auto" w:fill="auto"/>
            <w:noWrap/>
            <w:vAlign w:val="bottom"/>
            <w:hideMark/>
          </w:tcPr>
          <w:p w14:paraId="5F7FE8A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0.016</w:t>
            </w:r>
          </w:p>
        </w:tc>
        <w:tc>
          <w:tcPr>
            <w:tcW w:w="935" w:type="dxa"/>
            <w:tcBorders>
              <w:top w:val="nil"/>
              <w:left w:val="nil"/>
              <w:bottom w:val="single" w:sz="4" w:space="0" w:color="auto"/>
              <w:right w:val="single" w:sz="4" w:space="0" w:color="auto"/>
            </w:tcBorders>
            <w:shd w:val="clear" w:color="auto" w:fill="auto"/>
            <w:noWrap/>
            <w:vAlign w:val="bottom"/>
            <w:hideMark/>
          </w:tcPr>
          <w:p w14:paraId="490C220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0.005</w:t>
            </w:r>
          </w:p>
        </w:tc>
        <w:tc>
          <w:tcPr>
            <w:tcW w:w="986" w:type="dxa"/>
            <w:tcBorders>
              <w:top w:val="nil"/>
              <w:left w:val="nil"/>
              <w:bottom w:val="single" w:sz="4" w:space="0" w:color="auto"/>
              <w:right w:val="single" w:sz="4" w:space="0" w:color="auto"/>
            </w:tcBorders>
            <w:shd w:val="clear" w:color="auto" w:fill="auto"/>
            <w:noWrap/>
            <w:vAlign w:val="bottom"/>
            <w:hideMark/>
          </w:tcPr>
          <w:p w14:paraId="718279E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0.006</w:t>
            </w:r>
          </w:p>
        </w:tc>
        <w:tc>
          <w:tcPr>
            <w:tcW w:w="966" w:type="dxa"/>
            <w:tcBorders>
              <w:top w:val="nil"/>
              <w:left w:val="nil"/>
              <w:bottom w:val="single" w:sz="4" w:space="0" w:color="auto"/>
              <w:right w:val="single" w:sz="4" w:space="0" w:color="auto"/>
            </w:tcBorders>
            <w:shd w:val="clear" w:color="auto" w:fill="auto"/>
            <w:noWrap/>
            <w:vAlign w:val="bottom"/>
            <w:hideMark/>
          </w:tcPr>
          <w:p w14:paraId="358C5DF4"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-0.017</w:t>
            </w:r>
          </w:p>
        </w:tc>
        <w:tc>
          <w:tcPr>
            <w:tcW w:w="1017" w:type="dxa"/>
            <w:tcBorders>
              <w:top w:val="nil"/>
              <w:left w:val="nil"/>
              <w:bottom w:val="single" w:sz="4" w:space="0" w:color="auto"/>
              <w:right w:val="single" w:sz="4" w:space="0" w:color="auto"/>
            </w:tcBorders>
            <w:shd w:val="clear" w:color="auto" w:fill="auto"/>
            <w:noWrap/>
            <w:vAlign w:val="bottom"/>
            <w:hideMark/>
          </w:tcPr>
          <w:p w14:paraId="64FD1FF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0.016</w:t>
            </w:r>
          </w:p>
        </w:tc>
      </w:tr>
    </w:tbl>
    <w:p w14:paraId="2F113220" w14:textId="77777777" w:rsidR="00890EE9" w:rsidRPr="00890EE9" w:rsidRDefault="00890EE9" w:rsidP="00890EE9">
      <w:pPr>
        <w:spacing w:line="240" w:lineRule="auto"/>
        <w:rPr>
          <w:sz w:val="18"/>
          <w:szCs w:val="20"/>
        </w:rPr>
      </w:pPr>
      <w:r w:rsidRPr="00890EE9">
        <w:rPr>
          <w:sz w:val="18"/>
          <w:szCs w:val="20"/>
        </w:rPr>
        <w:t>Note: Rows in red indicate estimates with relatively low accuracy</w:t>
      </w:r>
      <w:r>
        <w:rPr>
          <w:sz w:val="18"/>
          <w:szCs w:val="20"/>
        </w:rPr>
        <w:t>.</w:t>
      </w:r>
    </w:p>
    <w:p w14:paraId="175F7A31" w14:textId="77777777" w:rsidR="00037E7C" w:rsidRDefault="00037E7C" w:rsidP="000E683D">
      <w:pPr>
        <w:spacing w:line="240" w:lineRule="auto"/>
        <w:rPr>
          <w:b/>
          <w:bCs/>
          <w:noProof/>
          <w:color w:val="1396D8"/>
          <w:szCs w:val="18"/>
        </w:rPr>
      </w:pPr>
    </w:p>
    <w:p w14:paraId="5B5C2E3D" w14:textId="77777777" w:rsidR="003B09B3" w:rsidRDefault="003B09B3" w:rsidP="000E683D">
      <w:pPr>
        <w:spacing w:line="240" w:lineRule="auto"/>
        <w:rPr>
          <w:b/>
          <w:bCs/>
          <w:noProof/>
          <w:color w:val="1396D8"/>
          <w:szCs w:val="18"/>
        </w:rPr>
      </w:pPr>
    </w:p>
    <w:p w14:paraId="7A66CF7F" w14:textId="77777777" w:rsidR="003B09B3" w:rsidRDefault="003B09B3" w:rsidP="000E683D">
      <w:pPr>
        <w:spacing w:line="240" w:lineRule="auto"/>
        <w:rPr>
          <w:b/>
          <w:bCs/>
          <w:noProof/>
          <w:color w:val="1396D8"/>
          <w:szCs w:val="18"/>
        </w:rPr>
      </w:pPr>
    </w:p>
    <w:tbl>
      <w:tblPr>
        <w:tblW w:w="8851" w:type="dxa"/>
        <w:tblInd w:w="445" w:type="dxa"/>
        <w:tblLook w:val="04A0" w:firstRow="1" w:lastRow="0" w:firstColumn="1" w:lastColumn="0" w:noHBand="0" w:noVBand="1"/>
      </w:tblPr>
      <w:tblGrid>
        <w:gridCol w:w="1295"/>
        <w:gridCol w:w="940"/>
        <w:gridCol w:w="940"/>
        <w:gridCol w:w="940"/>
        <w:gridCol w:w="958"/>
        <w:gridCol w:w="940"/>
        <w:gridCol w:w="940"/>
        <w:gridCol w:w="940"/>
        <w:gridCol w:w="958"/>
      </w:tblGrid>
      <w:tr w:rsidR="00CC7E92" w:rsidRPr="00A86967" w14:paraId="7D131154" w14:textId="77777777" w:rsidTr="00A86967">
        <w:trPr>
          <w:trHeight w:val="290"/>
        </w:trPr>
        <w:tc>
          <w:tcPr>
            <w:tcW w:w="8851"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B3F7908" w14:textId="5A07F6F2" w:rsidR="00CC7E92" w:rsidRPr="000B3157" w:rsidRDefault="00CC7E92" w:rsidP="00114932">
            <w:pPr>
              <w:pStyle w:val="Caption"/>
              <w:rPr>
                <w:rFonts w:ascii="Arial" w:eastAsia="Times New Roman" w:hAnsi="Arial" w:cs="Arial"/>
                <w:sz w:val="16"/>
                <w:szCs w:val="16"/>
              </w:rPr>
            </w:pPr>
            <w:r w:rsidRPr="001A77D2">
              <w:rPr>
                <w:noProof/>
              </w:rPr>
              <w:t xml:space="preserve">Table </w:t>
            </w:r>
            <w:r w:rsidR="00A86967" w:rsidRPr="001A77D2">
              <w:rPr>
                <w:noProof/>
              </w:rPr>
              <w:t>A.</w:t>
            </w:r>
            <w:r w:rsidR="00374CD5">
              <w:rPr>
                <w:noProof/>
              </w:rPr>
              <w:t>8</w:t>
            </w:r>
            <w:r w:rsidRPr="001A77D2">
              <w:rPr>
                <w:noProof/>
              </w:rPr>
              <w:t xml:space="preserve">. EIA </w:t>
            </w:r>
            <w:r w:rsidR="00114932">
              <w:rPr>
                <w:noProof/>
              </w:rPr>
              <w:t>-878 m</w:t>
            </w:r>
            <w:r w:rsidRPr="001A77D2">
              <w:rPr>
                <w:noProof/>
              </w:rPr>
              <w:t xml:space="preserve">idgrade and </w:t>
            </w:r>
            <w:r w:rsidR="00114932">
              <w:rPr>
                <w:noProof/>
              </w:rPr>
              <w:t>p</w:t>
            </w:r>
            <w:r w:rsidRPr="001A77D2">
              <w:rPr>
                <w:noProof/>
              </w:rPr>
              <w:t xml:space="preserve">remium </w:t>
            </w:r>
            <w:r w:rsidR="00114932">
              <w:rPr>
                <w:noProof/>
              </w:rPr>
              <w:t>motor gasoline p</w:t>
            </w:r>
            <w:r w:rsidRPr="001A77D2">
              <w:rPr>
                <w:noProof/>
              </w:rPr>
              <w:t xml:space="preserve">rice </w:t>
            </w:r>
            <w:r w:rsidR="00114932">
              <w:rPr>
                <w:noProof/>
              </w:rPr>
              <w:t>p</w:t>
            </w:r>
            <w:r w:rsidRPr="001A77D2">
              <w:rPr>
                <w:noProof/>
              </w:rPr>
              <w:t xml:space="preserve">redicted </w:t>
            </w:r>
            <w:r w:rsidR="00114932">
              <w:rPr>
                <w:noProof/>
              </w:rPr>
              <w:t>v</w:t>
            </w:r>
            <w:r w:rsidRPr="001A77D2">
              <w:rPr>
                <w:noProof/>
              </w:rPr>
              <w:t xml:space="preserve">alue </w:t>
            </w:r>
            <w:r w:rsidR="00114932">
              <w:rPr>
                <w:noProof/>
              </w:rPr>
              <w:t>s</w:t>
            </w:r>
            <w:r w:rsidRPr="001A77D2">
              <w:rPr>
                <w:noProof/>
              </w:rPr>
              <w:t>tatistics (2013-2017)</w:t>
            </w:r>
            <w:r w:rsidR="00114932">
              <w:rPr>
                <w:noProof/>
              </w:rPr>
              <w:t>.</w:t>
            </w:r>
          </w:p>
        </w:tc>
      </w:tr>
      <w:tr w:rsidR="00CC7E92" w:rsidRPr="00A86967" w14:paraId="362E4B7A"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F8CB33B"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3778" w:type="dxa"/>
            <w:gridSpan w:val="4"/>
            <w:tcBorders>
              <w:top w:val="nil"/>
              <w:left w:val="nil"/>
              <w:bottom w:val="single" w:sz="4" w:space="0" w:color="auto"/>
              <w:right w:val="single" w:sz="4" w:space="0" w:color="auto"/>
            </w:tcBorders>
            <w:shd w:val="clear" w:color="auto" w:fill="auto"/>
            <w:noWrap/>
            <w:vAlign w:val="bottom"/>
            <w:hideMark/>
          </w:tcPr>
          <w:p w14:paraId="33C4D80B"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Midgrade Price Residual</w:t>
            </w:r>
          </w:p>
        </w:tc>
        <w:tc>
          <w:tcPr>
            <w:tcW w:w="3778" w:type="dxa"/>
            <w:gridSpan w:val="4"/>
            <w:tcBorders>
              <w:top w:val="nil"/>
              <w:left w:val="nil"/>
              <w:bottom w:val="single" w:sz="4" w:space="0" w:color="auto"/>
              <w:right w:val="single" w:sz="4" w:space="0" w:color="auto"/>
            </w:tcBorders>
            <w:shd w:val="clear" w:color="auto" w:fill="auto"/>
            <w:noWrap/>
            <w:vAlign w:val="bottom"/>
            <w:hideMark/>
          </w:tcPr>
          <w:p w14:paraId="21A0F045"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Premium Price Residual</w:t>
            </w:r>
          </w:p>
        </w:tc>
      </w:tr>
      <w:tr w:rsidR="00CC7E92" w:rsidRPr="00A86967" w14:paraId="35542271" w14:textId="77777777" w:rsidTr="000A39F0">
        <w:trPr>
          <w:trHeight w:val="73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9125AF1" w14:textId="77777777" w:rsidR="00CC7E92" w:rsidRPr="000B3157" w:rsidRDefault="00CC7E92" w:rsidP="000B3157">
            <w:pPr>
              <w:spacing w:after="0" w:line="240" w:lineRule="auto"/>
              <w:rPr>
                <w:rFonts w:ascii="Arial" w:eastAsia="Times New Roman" w:hAnsi="Arial" w:cs="Arial"/>
                <w:sz w:val="16"/>
                <w:szCs w:val="16"/>
              </w:rPr>
            </w:pPr>
            <w:r w:rsidRPr="000B3157">
              <w:rPr>
                <w:rFonts w:ascii="Arial" w:eastAsia="Times New Roman" w:hAnsi="Arial" w:cs="Arial"/>
                <w:sz w:val="16"/>
                <w:szCs w:val="16"/>
              </w:rPr>
              <w:t>Region</w:t>
            </w:r>
          </w:p>
        </w:tc>
        <w:tc>
          <w:tcPr>
            <w:tcW w:w="940" w:type="dxa"/>
            <w:tcBorders>
              <w:top w:val="nil"/>
              <w:left w:val="nil"/>
              <w:bottom w:val="single" w:sz="4" w:space="0" w:color="auto"/>
              <w:right w:val="single" w:sz="4" w:space="0" w:color="auto"/>
            </w:tcBorders>
            <w:shd w:val="clear" w:color="auto" w:fill="auto"/>
            <w:vAlign w:val="bottom"/>
            <w:hideMark/>
          </w:tcPr>
          <w:p w14:paraId="40379E4D"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Mean Absolute Value</w:t>
            </w:r>
          </w:p>
        </w:tc>
        <w:tc>
          <w:tcPr>
            <w:tcW w:w="940" w:type="dxa"/>
            <w:tcBorders>
              <w:top w:val="nil"/>
              <w:left w:val="nil"/>
              <w:bottom w:val="single" w:sz="4" w:space="0" w:color="auto"/>
              <w:right w:val="single" w:sz="4" w:space="0" w:color="auto"/>
            </w:tcBorders>
            <w:shd w:val="clear" w:color="auto" w:fill="auto"/>
            <w:vAlign w:val="bottom"/>
            <w:hideMark/>
          </w:tcPr>
          <w:p w14:paraId="30C0C624"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Standard Deviation</w:t>
            </w:r>
          </w:p>
        </w:tc>
        <w:tc>
          <w:tcPr>
            <w:tcW w:w="940" w:type="dxa"/>
            <w:tcBorders>
              <w:top w:val="nil"/>
              <w:left w:val="nil"/>
              <w:bottom w:val="single" w:sz="4" w:space="0" w:color="auto"/>
              <w:right w:val="single" w:sz="4" w:space="0" w:color="auto"/>
            </w:tcBorders>
            <w:shd w:val="clear" w:color="auto" w:fill="auto"/>
            <w:noWrap/>
            <w:vAlign w:val="bottom"/>
            <w:hideMark/>
          </w:tcPr>
          <w:p w14:paraId="6E7E2892"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Minimum</w:t>
            </w:r>
          </w:p>
        </w:tc>
        <w:tc>
          <w:tcPr>
            <w:tcW w:w="958" w:type="dxa"/>
            <w:tcBorders>
              <w:top w:val="nil"/>
              <w:left w:val="nil"/>
              <w:bottom w:val="single" w:sz="4" w:space="0" w:color="auto"/>
              <w:right w:val="single" w:sz="4" w:space="0" w:color="auto"/>
            </w:tcBorders>
            <w:shd w:val="clear" w:color="auto" w:fill="auto"/>
            <w:noWrap/>
            <w:vAlign w:val="bottom"/>
            <w:hideMark/>
          </w:tcPr>
          <w:p w14:paraId="78E74C8A" w14:textId="77777777" w:rsidR="00CC7E92" w:rsidRPr="000B3157" w:rsidRDefault="00CC7E92"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Maximum</w:t>
            </w:r>
          </w:p>
        </w:tc>
        <w:tc>
          <w:tcPr>
            <w:tcW w:w="940" w:type="dxa"/>
            <w:tcBorders>
              <w:top w:val="nil"/>
              <w:left w:val="nil"/>
              <w:bottom w:val="single" w:sz="4" w:space="0" w:color="auto"/>
              <w:right w:val="single" w:sz="4" w:space="0" w:color="auto"/>
            </w:tcBorders>
            <w:shd w:val="clear" w:color="auto" w:fill="auto"/>
            <w:vAlign w:val="bottom"/>
            <w:hideMark/>
          </w:tcPr>
          <w:p w14:paraId="5C7052BA"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Mean Absolute Value</w:t>
            </w:r>
          </w:p>
        </w:tc>
        <w:tc>
          <w:tcPr>
            <w:tcW w:w="940" w:type="dxa"/>
            <w:tcBorders>
              <w:top w:val="nil"/>
              <w:left w:val="nil"/>
              <w:bottom w:val="single" w:sz="4" w:space="0" w:color="auto"/>
              <w:right w:val="single" w:sz="4" w:space="0" w:color="auto"/>
            </w:tcBorders>
            <w:shd w:val="clear" w:color="auto" w:fill="auto"/>
            <w:vAlign w:val="bottom"/>
            <w:hideMark/>
          </w:tcPr>
          <w:p w14:paraId="5C228881"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Standard Deviation</w:t>
            </w:r>
          </w:p>
        </w:tc>
        <w:tc>
          <w:tcPr>
            <w:tcW w:w="940" w:type="dxa"/>
            <w:tcBorders>
              <w:top w:val="nil"/>
              <w:left w:val="nil"/>
              <w:bottom w:val="single" w:sz="4" w:space="0" w:color="auto"/>
              <w:right w:val="single" w:sz="4" w:space="0" w:color="auto"/>
            </w:tcBorders>
            <w:shd w:val="clear" w:color="auto" w:fill="auto"/>
            <w:noWrap/>
            <w:vAlign w:val="bottom"/>
            <w:hideMark/>
          </w:tcPr>
          <w:p w14:paraId="33DB9C06"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Minimum</w:t>
            </w:r>
          </w:p>
        </w:tc>
        <w:tc>
          <w:tcPr>
            <w:tcW w:w="958" w:type="dxa"/>
            <w:tcBorders>
              <w:top w:val="nil"/>
              <w:left w:val="nil"/>
              <w:bottom w:val="single" w:sz="4" w:space="0" w:color="auto"/>
              <w:right w:val="single" w:sz="4" w:space="0" w:color="auto"/>
            </w:tcBorders>
            <w:shd w:val="clear" w:color="auto" w:fill="auto"/>
            <w:noWrap/>
            <w:vAlign w:val="bottom"/>
            <w:hideMark/>
          </w:tcPr>
          <w:p w14:paraId="0AFD5FE2" w14:textId="77777777" w:rsidR="00CC7E92" w:rsidRPr="000B3157" w:rsidRDefault="00CC7E92"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Maximum</w:t>
            </w:r>
          </w:p>
        </w:tc>
      </w:tr>
      <w:tr w:rsidR="00CC7E92" w:rsidRPr="00A86967" w14:paraId="79C8A343"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7BA0B82"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U.S.</w:t>
            </w:r>
          </w:p>
        </w:tc>
        <w:tc>
          <w:tcPr>
            <w:tcW w:w="940" w:type="dxa"/>
            <w:tcBorders>
              <w:top w:val="nil"/>
              <w:left w:val="nil"/>
              <w:bottom w:val="single" w:sz="4" w:space="0" w:color="auto"/>
              <w:right w:val="single" w:sz="4" w:space="0" w:color="auto"/>
            </w:tcBorders>
            <w:shd w:val="clear" w:color="auto" w:fill="auto"/>
            <w:noWrap/>
            <w:vAlign w:val="bottom"/>
            <w:hideMark/>
          </w:tcPr>
          <w:p w14:paraId="37587ED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940" w:type="dxa"/>
            <w:tcBorders>
              <w:top w:val="nil"/>
              <w:left w:val="nil"/>
              <w:bottom w:val="single" w:sz="4" w:space="0" w:color="auto"/>
              <w:right w:val="single" w:sz="4" w:space="0" w:color="auto"/>
            </w:tcBorders>
            <w:shd w:val="clear" w:color="auto" w:fill="auto"/>
            <w:noWrap/>
            <w:vAlign w:val="bottom"/>
            <w:hideMark/>
          </w:tcPr>
          <w:p w14:paraId="5907382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40" w:type="dxa"/>
            <w:tcBorders>
              <w:top w:val="nil"/>
              <w:left w:val="nil"/>
              <w:bottom w:val="single" w:sz="4" w:space="0" w:color="auto"/>
              <w:right w:val="single" w:sz="4" w:space="0" w:color="auto"/>
            </w:tcBorders>
            <w:shd w:val="clear" w:color="auto" w:fill="auto"/>
            <w:noWrap/>
            <w:vAlign w:val="bottom"/>
            <w:hideMark/>
          </w:tcPr>
          <w:p w14:paraId="05020A8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-0.047</w:t>
            </w:r>
          </w:p>
        </w:tc>
        <w:tc>
          <w:tcPr>
            <w:tcW w:w="958" w:type="dxa"/>
            <w:tcBorders>
              <w:top w:val="nil"/>
              <w:left w:val="nil"/>
              <w:bottom w:val="single" w:sz="4" w:space="0" w:color="auto"/>
              <w:right w:val="single" w:sz="4" w:space="0" w:color="auto"/>
            </w:tcBorders>
            <w:shd w:val="clear" w:color="auto" w:fill="auto"/>
            <w:noWrap/>
            <w:vAlign w:val="bottom"/>
            <w:hideMark/>
          </w:tcPr>
          <w:p w14:paraId="3A5ADF7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0.031</w:t>
            </w:r>
          </w:p>
        </w:tc>
        <w:tc>
          <w:tcPr>
            <w:tcW w:w="940" w:type="dxa"/>
            <w:tcBorders>
              <w:top w:val="nil"/>
              <w:left w:val="nil"/>
              <w:bottom w:val="single" w:sz="4" w:space="0" w:color="auto"/>
              <w:right w:val="single" w:sz="4" w:space="0" w:color="auto"/>
            </w:tcBorders>
            <w:shd w:val="clear" w:color="auto" w:fill="auto"/>
            <w:noWrap/>
            <w:vAlign w:val="bottom"/>
            <w:hideMark/>
          </w:tcPr>
          <w:p w14:paraId="4B3CC7A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0.021</w:t>
            </w:r>
          </w:p>
        </w:tc>
        <w:tc>
          <w:tcPr>
            <w:tcW w:w="940" w:type="dxa"/>
            <w:tcBorders>
              <w:top w:val="nil"/>
              <w:left w:val="nil"/>
              <w:bottom w:val="single" w:sz="4" w:space="0" w:color="auto"/>
              <w:right w:val="single" w:sz="4" w:space="0" w:color="auto"/>
            </w:tcBorders>
            <w:shd w:val="clear" w:color="auto" w:fill="auto"/>
            <w:noWrap/>
            <w:vAlign w:val="bottom"/>
            <w:hideMark/>
          </w:tcPr>
          <w:p w14:paraId="75C52F0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0.028</w:t>
            </w:r>
          </w:p>
        </w:tc>
        <w:tc>
          <w:tcPr>
            <w:tcW w:w="940" w:type="dxa"/>
            <w:tcBorders>
              <w:top w:val="nil"/>
              <w:left w:val="nil"/>
              <w:bottom w:val="single" w:sz="4" w:space="0" w:color="auto"/>
              <w:right w:val="single" w:sz="4" w:space="0" w:color="auto"/>
            </w:tcBorders>
            <w:shd w:val="clear" w:color="auto" w:fill="auto"/>
            <w:noWrap/>
            <w:vAlign w:val="bottom"/>
            <w:hideMark/>
          </w:tcPr>
          <w:p w14:paraId="28AB2BE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-0.076</w:t>
            </w:r>
          </w:p>
        </w:tc>
        <w:tc>
          <w:tcPr>
            <w:tcW w:w="958" w:type="dxa"/>
            <w:tcBorders>
              <w:top w:val="nil"/>
              <w:left w:val="nil"/>
              <w:bottom w:val="single" w:sz="4" w:space="0" w:color="auto"/>
              <w:right w:val="single" w:sz="4" w:space="0" w:color="auto"/>
            </w:tcBorders>
            <w:shd w:val="clear" w:color="auto" w:fill="auto"/>
            <w:noWrap/>
            <w:vAlign w:val="bottom"/>
            <w:hideMark/>
          </w:tcPr>
          <w:p w14:paraId="49C0855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0.059</w:t>
            </w:r>
          </w:p>
        </w:tc>
      </w:tr>
      <w:tr w:rsidR="00CC7E92" w:rsidRPr="00A86967" w14:paraId="0D3D217B"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12C2BD1"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3699A8C0"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3FEB8D97"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4AA3AA67"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14:paraId="03CD1560"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DB9C330"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0A81F4F0"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369E4F43"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14:paraId="7253A064"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CC7E92" w:rsidRPr="00A86967" w14:paraId="27841BC8"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D3A169D"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14:paraId="3882884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40" w:type="dxa"/>
            <w:tcBorders>
              <w:top w:val="nil"/>
              <w:left w:val="nil"/>
              <w:bottom w:val="single" w:sz="4" w:space="0" w:color="auto"/>
              <w:right w:val="single" w:sz="4" w:space="0" w:color="auto"/>
            </w:tcBorders>
            <w:shd w:val="clear" w:color="auto" w:fill="auto"/>
            <w:noWrap/>
            <w:vAlign w:val="bottom"/>
            <w:hideMark/>
          </w:tcPr>
          <w:p w14:paraId="02B4218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0.017</w:t>
            </w:r>
          </w:p>
        </w:tc>
        <w:tc>
          <w:tcPr>
            <w:tcW w:w="940" w:type="dxa"/>
            <w:tcBorders>
              <w:top w:val="nil"/>
              <w:left w:val="nil"/>
              <w:bottom w:val="single" w:sz="4" w:space="0" w:color="auto"/>
              <w:right w:val="single" w:sz="4" w:space="0" w:color="auto"/>
            </w:tcBorders>
            <w:shd w:val="clear" w:color="auto" w:fill="auto"/>
            <w:noWrap/>
            <w:vAlign w:val="bottom"/>
            <w:hideMark/>
          </w:tcPr>
          <w:p w14:paraId="5377284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-0.044</w:t>
            </w:r>
          </w:p>
        </w:tc>
        <w:tc>
          <w:tcPr>
            <w:tcW w:w="958" w:type="dxa"/>
            <w:tcBorders>
              <w:top w:val="nil"/>
              <w:left w:val="nil"/>
              <w:bottom w:val="single" w:sz="4" w:space="0" w:color="auto"/>
              <w:right w:val="single" w:sz="4" w:space="0" w:color="auto"/>
            </w:tcBorders>
            <w:shd w:val="clear" w:color="auto" w:fill="auto"/>
            <w:noWrap/>
            <w:vAlign w:val="bottom"/>
            <w:hideMark/>
          </w:tcPr>
          <w:p w14:paraId="1D51561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0.032</w:t>
            </w:r>
          </w:p>
        </w:tc>
        <w:tc>
          <w:tcPr>
            <w:tcW w:w="940" w:type="dxa"/>
            <w:tcBorders>
              <w:top w:val="nil"/>
              <w:left w:val="nil"/>
              <w:bottom w:val="single" w:sz="4" w:space="0" w:color="auto"/>
              <w:right w:val="single" w:sz="4" w:space="0" w:color="auto"/>
            </w:tcBorders>
            <w:shd w:val="clear" w:color="auto" w:fill="auto"/>
            <w:noWrap/>
            <w:vAlign w:val="bottom"/>
            <w:hideMark/>
          </w:tcPr>
          <w:p w14:paraId="546135A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0.022</w:t>
            </w:r>
          </w:p>
        </w:tc>
        <w:tc>
          <w:tcPr>
            <w:tcW w:w="940" w:type="dxa"/>
            <w:tcBorders>
              <w:top w:val="nil"/>
              <w:left w:val="nil"/>
              <w:bottom w:val="single" w:sz="4" w:space="0" w:color="auto"/>
              <w:right w:val="single" w:sz="4" w:space="0" w:color="auto"/>
            </w:tcBorders>
            <w:shd w:val="clear" w:color="auto" w:fill="auto"/>
            <w:noWrap/>
            <w:vAlign w:val="bottom"/>
            <w:hideMark/>
          </w:tcPr>
          <w:p w14:paraId="305349F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0.029</w:t>
            </w:r>
          </w:p>
        </w:tc>
        <w:tc>
          <w:tcPr>
            <w:tcW w:w="940" w:type="dxa"/>
            <w:tcBorders>
              <w:top w:val="nil"/>
              <w:left w:val="nil"/>
              <w:bottom w:val="single" w:sz="4" w:space="0" w:color="auto"/>
              <w:right w:val="single" w:sz="4" w:space="0" w:color="auto"/>
            </w:tcBorders>
            <w:shd w:val="clear" w:color="auto" w:fill="auto"/>
            <w:noWrap/>
            <w:vAlign w:val="bottom"/>
            <w:hideMark/>
          </w:tcPr>
          <w:p w14:paraId="06485DF9"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-0.077</w:t>
            </w:r>
          </w:p>
        </w:tc>
        <w:tc>
          <w:tcPr>
            <w:tcW w:w="958" w:type="dxa"/>
            <w:tcBorders>
              <w:top w:val="nil"/>
              <w:left w:val="nil"/>
              <w:bottom w:val="single" w:sz="4" w:space="0" w:color="auto"/>
              <w:right w:val="single" w:sz="4" w:space="0" w:color="auto"/>
            </w:tcBorders>
            <w:shd w:val="clear" w:color="auto" w:fill="auto"/>
            <w:noWrap/>
            <w:vAlign w:val="bottom"/>
            <w:hideMark/>
          </w:tcPr>
          <w:p w14:paraId="2149CE82"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0.061</w:t>
            </w:r>
          </w:p>
        </w:tc>
      </w:tr>
      <w:tr w:rsidR="00CC7E92" w:rsidRPr="00A86967" w14:paraId="02E72A8F"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122A973C"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1a</w:t>
            </w:r>
          </w:p>
        </w:tc>
        <w:tc>
          <w:tcPr>
            <w:tcW w:w="940" w:type="dxa"/>
            <w:tcBorders>
              <w:top w:val="nil"/>
              <w:left w:val="nil"/>
              <w:bottom w:val="single" w:sz="4" w:space="0" w:color="auto"/>
              <w:right w:val="single" w:sz="4" w:space="0" w:color="auto"/>
            </w:tcBorders>
            <w:shd w:val="clear" w:color="auto" w:fill="auto"/>
            <w:noWrap/>
            <w:vAlign w:val="bottom"/>
            <w:hideMark/>
          </w:tcPr>
          <w:p w14:paraId="06F88888"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0.021</w:t>
            </w:r>
          </w:p>
        </w:tc>
        <w:tc>
          <w:tcPr>
            <w:tcW w:w="940" w:type="dxa"/>
            <w:tcBorders>
              <w:top w:val="nil"/>
              <w:left w:val="nil"/>
              <w:bottom w:val="single" w:sz="4" w:space="0" w:color="auto"/>
              <w:right w:val="single" w:sz="4" w:space="0" w:color="auto"/>
            </w:tcBorders>
            <w:shd w:val="clear" w:color="auto" w:fill="auto"/>
            <w:noWrap/>
            <w:vAlign w:val="bottom"/>
            <w:hideMark/>
          </w:tcPr>
          <w:p w14:paraId="079A7192"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0.027</w:t>
            </w:r>
          </w:p>
        </w:tc>
        <w:tc>
          <w:tcPr>
            <w:tcW w:w="940" w:type="dxa"/>
            <w:tcBorders>
              <w:top w:val="nil"/>
              <w:left w:val="nil"/>
              <w:bottom w:val="single" w:sz="4" w:space="0" w:color="auto"/>
              <w:right w:val="single" w:sz="4" w:space="0" w:color="auto"/>
            </w:tcBorders>
            <w:shd w:val="clear" w:color="auto" w:fill="auto"/>
            <w:noWrap/>
            <w:vAlign w:val="bottom"/>
            <w:hideMark/>
          </w:tcPr>
          <w:p w14:paraId="4B03AF4D"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-0.066</w:t>
            </w:r>
          </w:p>
        </w:tc>
        <w:tc>
          <w:tcPr>
            <w:tcW w:w="958" w:type="dxa"/>
            <w:tcBorders>
              <w:top w:val="nil"/>
              <w:left w:val="nil"/>
              <w:bottom w:val="single" w:sz="4" w:space="0" w:color="auto"/>
              <w:right w:val="single" w:sz="4" w:space="0" w:color="auto"/>
            </w:tcBorders>
            <w:shd w:val="clear" w:color="auto" w:fill="auto"/>
            <w:noWrap/>
            <w:vAlign w:val="bottom"/>
            <w:hideMark/>
          </w:tcPr>
          <w:p w14:paraId="6768FED4"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0.062</w:t>
            </w:r>
          </w:p>
        </w:tc>
        <w:tc>
          <w:tcPr>
            <w:tcW w:w="940" w:type="dxa"/>
            <w:tcBorders>
              <w:top w:val="nil"/>
              <w:left w:val="nil"/>
              <w:bottom w:val="single" w:sz="4" w:space="0" w:color="auto"/>
              <w:right w:val="single" w:sz="4" w:space="0" w:color="auto"/>
            </w:tcBorders>
            <w:shd w:val="clear" w:color="auto" w:fill="auto"/>
            <w:noWrap/>
            <w:vAlign w:val="bottom"/>
            <w:hideMark/>
          </w:tcPr>
          <w:p w14:paraId="4204ED66"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0.024</w:t>
            </w:r>
          </w:p>
        </w:tc>
        <w:tc>
          <w:tcPr>
            <w:tcW w:w="940" w:type="dxa"/>
            <w:tcBorders>
              <w:top w:val="nil"/>
              <w:left w:val="nil"/>
              <w:bottom w:val="single" w:sz="4" w:space="0" w:color="auto"/>
              <w:right w:val="single" w:sz="4" w:space="0" w:color="auto"/>
            </w:tcBorders>
            <w:shd w:val="clear" w:color="auto" w:fill="auto"/>
            <w:noWrap/>
            <w:vAlign w:val="bottom"/>
            <w:hideMark/>
          </w:tcPr>
          <w:p w14:paraId="5214287D"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0.032</w:t>
            </w:r>
          </w:p>
        </w:tc>
        <w:tc>
          <w:tcPr>
            <w:tcW w:w="940" w:type="dxa"/>
            <w:tcBorders>
              <w:top w:val="nil"/>
              <w:left w:val="nil"/>
              <w:bottom w:val="single" w:sz="4" w:space="0" w:color="auto"/>
              <w:right w:val="single" w:sz="4" w:space="0" w:color="auto"/>
            </w:tcBorders>
            <w:shd w:val="clear" w:color="auto" w:fill="auto"/>
            <w:noWrap/>
            <w:vAlign w:val="bottom"/>
            <w:hideMark/>
          </w:tcPr>
          <w:p w14:paraId="6A62135B"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-0.097</w:t>
            </w:r>
          </w:p>
        </w:tc>
        <w:tc>
          <w:tcPr>
            <w:tcW w:w="958" w:type="dxa"/>
            <w:tcBorders>
              <w:top w:val="nil"/>
              <w:left w:val="nil"/>
              <w:bottom w:val="single" w:sz="4" w:space="0" w:color="auto"/>
              <w:right w:val="single" w:sz="4" w:space="0" w:color="auto"/>
            </w:tcBorders>
            <w:shd w:val="clear" w:color="auto" w:fill="auto"/>
            <w:noWrap/>
            <w:vAlign w:val="bottom"/>
            <w:hideMark/>
          </w:tcPr>
          <w:p w14:paraId="4F8D82F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0.055</w:t>
            </w:r>
          </w:p>
        </w:tc>
      </w:tr>
      <w:tr w:rsidR="00CC7E92" w:rsidRPr="00A86967" w14:paraId="3E43518B"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9587315"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1b</w:t>
            </w:r>
          </w:p>
        </w:tc>
        <w:tc>
          <w:tcPr>
            <w:tcW w:w="940" w:type="dxa"/>
            <w:tcBorders>
              <w:top w:val="nil"/>
              <w:left w:val="nil"/>
              <w:bottom w:val="single" w:sz="4" w:space="0" w:color="auto"/>
              <w:right w:val="single" w:sz="4" w:space="0" w:color="auto"/>
            </w:tcBorders>
            <w:shd w:val="clear" w:color="auto" w:fill="auto"/>
            <w:noWrap/>
            <w:vAlign w:val="bottom"/>
            <w:hideMark/>
          </w:tcPr>
          <w:p w14:paraId="5143E33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0.014</w:t>
            </w:r>
          </w:p>
        </w:tc>
        <w:tc>
          <w:tcPr>
            <w:tcW w:w="940" w:type="dxa"/>
            <w:tcBorders>
              <w:top w:val="nil"/>
              <w:left w:val="nil"/>
              <w:bottom w:val="single" w:sz="4" w:space="0" w:color="auto"/>
              <w:right w:val="single" w:sz="4" w:space="0" w:color="auto"/>
            </w:tcBorders>
            <w:shd w:val="clear" w:color="auto" w:fill="auto"/>
            <w:noWrap/>
            <w:vAlign w:val="bottom"/>
            <w:hideMark/>
          </w:tcPr>
          <w:p w14:paraId="3471A09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0.018</w:t>
            </w:r>
          </w:p>
        </w:tc>
        <w:tc>
          <w:tcPr>
            <w:tcW w:w="940" w:type="dxa"/>
            <w:tcBorders>
              <w:top w:val="nil"/>
              <w:left w:val="nil"/>
              <w:bottom w:val="single" w:sz="4" w:space="0" w:color="auto"/>
              <w:right w:val="single" w:sz="4" w:space="0" w:color="auto"/>
            </w:tcBorders>
            <w:shd w:val="clear" w:color="auto" w:fill="auto"/>
            <w:noWrap/>
            <w:vAlign w:val="bottom"/>
            <w:hideMark/>
          </w:tcPr>
          <w:p w14:paraId="062B4768"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-0.050</w:t>
            </w:r>
          </w:p>
        </w:tc>
        <w:tc>
          <w:tcPr>
            <w:tcW w:w="958" w:type="dxa"/>
            <w:tcBorders>
              <w:top w:val="nil"/>
              <w:left w:val="nil"/>
              <w:bottom w:val="single" w:sz="4" w:space="0" w:color="auto"/>
              <w:right w:val="single" w:sz="4" w:space="0" w:color="auto"/>
            </w:tcBorders>
            <w:shd w:val="clear" w:color="auto" w:fill="auto"/>
            <w:noWrap/>
            <w:vAlign w:val="bottom"/>
            <w:hideMark/>
          </w:tcPr>
          <w:p w14:paraId="455F263D"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0.031</w:t>
            </w:r>
          </w:p>
        </w:tc>
        <w:tc>
          <w:tcPr>
            <w:tcW w:w="940" w:type="dxa"/>
            <w:tcBorders>
              <w:top w:val="nil"/>
              <w:left w:val="nil"/>
              <w:bottom w:val="single" w:sz="4" w:space="0" w:color="auto"/>
              <w:right w:val="single" w:sz="4" w:space="0" w:color="auto"/>
            </w:tcBorders>
            <w:shd w:val="clear" w:color="auto" w:fill="auto"/>
            <w:noWrap/>
            <w:vAlign w:val="bottom"/>
            <w:hideMark/>
          </w:tcPr>
          <w:p w14:paraId="6E4ADA9C"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0.019</w:t>
            </w:r>
          </w:p>
        </w:tc>
        <w:tc>
          <w:tcPr>
            <w:tcW w:w="940" w:type="dxa"/>
            <w:tcBorders>
              <w:top w:val="nil"/>
              <w:left w:val="nil"/>
              <w:bottom w:val="single" w:sz="4" w:space="0" w:color="auto"/>
              <w:right w:val="single" w:sz="4" w:space="0" w:color="auto"/>
            </w:tcBorders>
            <w:shd w:val="clear" w:color="auto" w:fill="auto"/>
            <w:noWrap/>
            <w:vAlign w:val="bottom"/>
            <w:hideMark/>
          </w:tcPr>
          <w:p w14:paraId="48B17474"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0.025</w:t>
            </w:r>
          </w:p>
        </w:tc>
        <w:tc>
          <w:tcPr>
            <w:tcW w:w="940" w:type="dxa"/>
            <w:tcBorders>
              <w:top w:val="nil"/>
              <w:left w:val="nil"/>
              <w:bottom w:val="single" w:sz="4" w:space="0" w:color="auto"/>
              <w:right w:val="single" w:sz="4" w:space="0" w:color="auto"/>
            </w:tcBorders>
            <w:shd w:val="clear" w:color="auto" w:fill="auto"/>
            <w:noWrap/>
            <w:vAlign w:val="bottom"/>
            <w:hideMark/>
          </w:tcPr>
          <w:p w14:paraId="5ACD61A0"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-0.074</w:t>
            </w:r>
          </w:p>
        </w:tc>
        <w:tc>
          <w:tcPr>
            <w:tcW w:w="958" w:type="dxa"/>
            <w:tcBorders>
              <w:top w:val="nil"/>
              <w:left w:val="nil"/>
              <w:bottom w:val="single" w:sz="4" w:space="0" w:color="auto"/>
              <w:right w:val="single" w:sz="4" w:space="0" w:color="auto"/>
            </w:tcBorders>
            <w:shd w:val="clear" w:color="auto" w:fill="auto"/>
            <w:noWrap/>
            <w:vAlign w:val="bottom"/>
            <w:hideMark/>
          </w:tcPr>
          <w:p w14:paraId="14272F0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0.046</w:t>
            </w:r>
          </w:p>
        </w:tc>
      </w:tr>
      <w:tr w:rsidR="00CC7E92" w:rsidRPr="00A86967" w14:paraId="53880F2E"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379C17F7"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1c</w:t>
            </w:r>
          </w:p>
        </w:tc>
        <w:tc>
          <w:tcPr>
            <w:tcW w:w="940" w:type="dxa"/>
            <w:tcBorders>
              <w:top w:val="nil"/>
              <w:left w:val="nil"/>
              <w:bottom w:val="single" w:sz="4" w:space="0" w:color="auto"/>
              <w:right w:val="single" w:sz="4" w:space="0" w:color="auto"/>
            </w:tcBorders>
            <w:shd w:val="clear" w:color="auto" w:fill="auto"/>
            <w:noWrap/>
            <w:vAlign w:val="bottom"/>
            <w:hideMark/>
          </w:tcPr>
          <w:p w14:paraId="7A5029B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0.016</w:t>
            </w:r>
          </w:p>
        </w:tc>
        <w:tc>
          <w:tcPr>
            <w:tcW w:w="940" w:type="dxa"/>
            <w:tcBorders>
              <w:top w:val="nil"/>
              <w:left w:val="nil"/>
              <w:bottom w:val="single" w:sz="4" w:space="0" w:color="auto"/>
              <w:right w:val="single" w:sz="4" w:space="0" w:color="auto"/>
            </w:tcBorders>
            <w:shd w:val="clear" w:color="auto" w:fill="auto"/>
            <w:noWrap/>
            <w:vAlign w:val="bottom"/>
            <w:hideMark/>
          </w:tcPr>
          <w:p w14:paraId="705DE45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0.020</w:t>
            </w:r>
          </w:p>
        </w:tc>
        <w:tc>
          <w:tcPr>
            <w:tcW w:w="940" w:type="dxa"/>
            <w:tcBorders>
              <w:top w:val="nil"/>
              <w:left w:val="nil"/>
              <w:bottom w:val="single" w:sz="4" w:space="0" w:color="auto"/>
              <w:right w:val="single" w:sz="4" w:space="0" w:color="auto"/>
            </w:tcBorders>
            <w:shd w:val="clear" w:color="auto" w:fill="auto"/>
            <w:noWrap/>
            <w:vAlign w:val="bottom"/>
            <w:hideMark/>
          </w:tcPr>
          <w:p w14:paraId="5D0CDB2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-0.048</w:t>
            </w:r>
          </w:p>
        </w:tc>
        <w:tc>
          <w:tcPr>
            <w:tcW w:w="958" w:type="dxa"/>
            <w:tcBorders>
              <w:top w:val="nil"/>
              <w:left w:val="nil"/>
              <w:bottom w:val="single" w:sz="4" w:space="0" w:color="auto"/>
              <w:right w:val="single" w:sz="4" w:space="0" w:color="auto"/>
            </w:tcBorders>
            <w:shd w:val="clear" w:color="auto" w:fill="auto"/>
            <w:noWrap/>
            <w:vAlign w:val="bottom"/>
            <w:hideMark/>
          </w:tcPr>
          <w:p w14:paraId="51405E6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0.042</w:t>
            </w:r>
          </w:p>
        </w:tc>
        <w:tc>
          <w:tcPr>
            <w:tcW w:w="940" w:type="dxa"/>
            <w:tcBorders>
              <w:top w:val="nil"/>
              <w:left w:val="nil"/>
              <w:bottom w:val="single" w:sz="4" w:space="0" w:color="auto"/>
              <w:right w:val="single" w:sz="4" w:space="0" w:color="auto"/>
            </w:tcBorders>
            <w:shd w:val="clear" w:color="auto" w:fill="auto"/>
            <w:noWrap/>
            <w:vAlign w:val="bottom"/>
            <w:hideMark/>
          </w:tcPr>
          <w:p w14:paraId="2D7188B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0.030</w:t>
            </w:r>
          </w:p>
        </w:tc>
        <w:tc>
          <w:tcPr>
            <w:tcW w:w="940" w:type="dxa"/>
            <w:tcBorders>
              <w:top w:val="nil"/>
              <w:left w:val="nil"/>
              <w:bottom w:val="single" w:sz="4" w:space="0" w:color="auto"/>
              <w:right w:val="single" w:sz="4" w:space="0" w:color="auto"/>
            </w:tcBorders>
            <w:shd w:val="clear" w:color="auto" w:fill="auto"/>
            <w:noWrap/>
            <w:vAlign w:val="bottom"/>
            <w:hideMark/>
          </w:tcPr>
          <w:p w14:paraId="7796369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0.037</w:t>
            </w:r>
          </w:p>
        </w:tc>
        <w:tc>
          <w:tcPr>
            <w:tcW w:w="940" w:type="dxa"/>
            <w:tcBorders>
              <w:top w:val="nil"/>
              <w:left w:val="nil"/>
              <w:bottom w:val="single" w:sz="4" w:space="0" w:color="auto"/>
              <w:right w:val="single" w:sz="4" w:space="0" w:color="auto"/>
            </w:tcBorders>
            <w:shd w:val="clear" w:color="auto" w:fill="auto"/>
            <w:noWrap/>
            <w:vAlign w:val="bottom"/>
            <w:hideMark/>
          </w:tcPr>
          <w:p w14:paraId="58B8E01F"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-0.093</w:t>
            </w:r>
          </w:p>
        </w:tc>
        <w:tc>
          <w:tcPr>
            <w:tcW w:w="958" w:type="dxa"/>
            <w:tcBorders>
              <w:top w:val="nil"/>
              <w:left w:val="nil"/>
              <w:bottom w:val="single" w:sz="4" w:space="0" w:color="auto"/>
              <w:right w:val="single" w:sz="4" w:space="0" w:color="auto"/>
            </w:tcBorders>
            <w:shd w:val="clear" w:color="auto" w:fill="auto"/>
            <w:noWrap/>
            <w:vAlign w:val="bottom"/>
            <w:hideMark/>
          </w:tcPr>
          <w:p w14:paraId="477AF7F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0.080</w:t>
            </w:r>
          </w:p>
        </w:tc>
      </w:tr>
      <w:tr w:rsidR="00CC7E92" w:rsidRPr="00A86967" w14:paraId="3046D571"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5BB3DFD"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14:paraId="1B45EA6E"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0.022</w:t>
            </w:r>
          </w:p>
        </w:tc>
        <w:tc>
          <w:tcPr>
            <w:tcW w:w="940" w:type="dxa"/>
            <w:tcBorders>
              <w:top w:val="nil"/>
              <w:left w:val="nil"/>
              <w:bottom w:val="single" w:sz="4" w:space="0" w:color="auto"/>
              <w:right w:val="single" w:sz="4" w:space="0" w:color="auto"/>
            </w:tcBorders>
            <w:shd w:val="clear" w:color="auto" w:fill="auto"/>
            <w:noWrap/>
            <w:vAlign w:val="bottom"/>
            <w:hideMark/>
          </w:tcPr>
          <w:p w14:paraId="643F376E"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40" w:type="dxa"/>
            <w:tcBorders>
              <w:top w:val="nil"/>
              <w:left w:val="nil"/>
              <w:bottom w:val="single" w:sz="4" w:space="0" w:color="auto"/>
              <w:right w:val="single" w:sz="4" w:space="0" w:color="auto"/>
            </w:tcBorders>
            <w:shd w:val="clear" w:color="auto" w:fill="auto"/>
            <w:noWrap/>
            <w:vAlign w:val="bottom"/>
            <w:hideMark/>
          </w:tcPr>
          <w:p w14:paraId="683E5D03"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-0.064</w:t>
            </w:r>
          </w:p>
        </w:tc>
        <w:tc>
          <w:tcPr>
            <w:tcW w:w="958" w:type="dxa"/>
            <w:tcBorders>
              <w:top w:val="nil"/>
              <w:left w:val="nil"/>
              <w:bottom w:val="single" w:sz="4" w:space="0" w:color="auto"/>
              <w:right w:val="single" w:sz="4" w:space="0" w:color="auto"/>
            </w:tcBorders>
            <w:shd w:val="clear" w:color="auto" w:fill="auto"/>
            <w:noWrap/>
            <w:vAlign w:val="bottom"/>
            <w:hideMark/>
          </w:tcPr>
          <w:p w14:paraId="3B832511"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0.055</w:t>
            </w:r>
          </w:p>
        </w:tc>
        <w:tc>
          <w:tcPr>
            <w:tcW w:w="940" w:type="dxa"/>
            <w:tcBorders>
              <w:top w:val="nil"/>
              <w:left w:val="nil"/>
              <w:bottom w:val="single" w:sz="4" w:space="0" w:color="auto"/>
              <w:right w:val="single" w:sz="4" w:space="0" w:color="auto"/>
            </w:tcBorders>
            <w:shd w:val="clear" w:color="auto" w:fill="auto"/>
            <w:noWrap/>
            <w:vAlign w:val="bottom"/>
            <w:hideMark/>
          </w:tcPr>
          <w:p w14:paraId="3131C303"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0.035</w:t>
            </w:r>
          </w:p>
        </w:tc>
        <w:tc>
          <w:tcPr>
            <w:tcW w:w="940" w:type="dxa"/>
            <w:tcBorders>
              <w:top w:val="nil"/>
              <w:left w:val="nil"/>
              <w:bottom w:val="single" w:sz="4" w:space="0" w:color="auto"/>
              <w:right w:val="single" w:sz="4" w:space="0" w:color="auto"/>
            </w:tcBorders>
            <w:shd w:val="clear" w:color="auto" w:fill="auto"/>
            <w:noWrap/>
            <w:vAlign w:val="bottom"/>
            <w:hideMark/>
          </w:tcPr>
          <w:p w14:paraId="5D1308A7"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0.044</w:t>
            </w:r>
          </w:p>
        </w:tc>
        <w:tc>
          <w:tcPr>
            <w:tcW w:w="940" w:type="dxa"/>
            <w:tcBorders>
              <w:top w:val="nil"/>
              <w:left w:val="nil"/>
              <w:bottom w:val="single" w:sz="4" w:space="0" w:color="auto"/>
              <w:right w:val="single" w:sz="4" w:space="0" w:color="auto"/>
            </w:tcBorders>
            <w:shd w:val="clear" w:color="auto" w:fill="auto"/>
            <w:noWrap/>
            <w:vAlign w:val="bottom"/>
            <w:hideMark/>
          </w:tcPr>
          <w:p w14:paraId="3E3FE23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-0.122</w:t>
            </w:r>
          </w:p>
        </w:tc>
        <w:tc>
          <w:tcPr>
            <w:tcW w:w="958" w:type="dxa"/>
            <w:tcBorders>
              <w:top w:val="nil"/>
              <w:left w:val="nil"/>
              <w:bottom w:val="single" w:sz="4" w:space="0" w:color="auto"/>
              <w:right w:val="single" w:sz="4" w:space="0" w:color="auto"/>
            </w:tcBorders>
            <w:shd w:val="clear" w:color="auto" w:fill="auto"/>
            <w:noWrap/>
            <w:vAlign w:val="bottom"/>
            <w:hideMark/>
          </w:tcPr>
          <w:p w14:paraId="33D5E88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0.080</w:t>
            </w:r>
          </w:p>
        </w:tc>
      </w:tr>
      <w:tr w:rsidR="00CC7E92" w:rsidRPr="00A86967" w14:paraId="6138C84B"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8772BB1"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3</w:t>
            </w:r>
          </w:p>
        </w:tc>
        <w:tc>
          <w:tcPr>
            <w:tcW w:w="940" w:type="dxa"/>
            <w:tcBorders>
              <w:top w:val="nil"/>
              <w:left w:val="nil"/>
              <w:bottom w:val="single" w:sz="4" w:space="0" w:color="auto"/>
              <w:right w:val="single" w:sz="4" w:space="0" w:color="auto"/>
            </w:tcBorders>
            <w:shd w:val="clear" w:color="auto" w:fill="auto"/>
            <w:noWrap/>
            <w:vAlign w:val="bottom"/>
            <w:hideMark/>
          </w:tcPr>
          <w:p w14:paraId="7ED3DE6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0.011</w:t>
            </w:r>
          </w:p>
        </w:tc>
        <w:tc>
          <w:tcPr>
            <w:tcW w:w="940" w:type="dxa"/>
            <w:tcBorders>
              <w:top w:val="nil"/>
              <w:left w:val="nil"/>
              <w:bottom w:val="single" w:sz="4" w:space="0" w:color="auto"/>
              <w:right w:val="single" w:sz="4" w:space="0" w:color="auto"/>
            </w:tcBorders>
            <w:shd w:val="clear" w:color="auto" w:fill="auto"/>
            <w:noWrap/>
            <w:vAlign w:val="bottom"/>
            <w:hideMark/>
          </w:tcPr>
          <w:p w14:paraId="2107B24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40" w:type="dxa"/>
            <w:tcBorders>
              <w:top w:val="nil"/>
              <w:left w:val="nil"/>
              <w:bottom w:val="single" w:sz="4" w:space="0" w:color="auto"/>
              <w:right w:val="single" w:sz="4" w:space="0" w:color="auto"/>
            </w:tcBorders>
            <w:shd w:val="clear" w:color="auto" w:fill="auto"/>
            <w:noWrap/>
            <w:vAlign w:val="bottom"/>
            <w:hideMark/>
          </w:tcPr>
          <w:p w14:paraId="3F4EB1F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-0.034</w:t>
            </w:r>
          </w:p>
        </w:tc>
        <w:tc>
          <w:tcPr>
            <w:tcW w:w="958" w:type="dxa"/>
            <w:tcBorders>
              <w:top w:val="nil"/>
              <w:left w:val="nil"/>
              <w:bottom w:val="single" w:sz="4" w:space="0" w:color="auto"/>
              <w:right w:val="single" w:sz="4" w:space="0" w:color="auto"/>
            </w:tcBorders>
            <w:shd w:val="clear" w:color="auto" w:fill="auto"/>
            <w:noWrap/>
            <w:vAlign w:val="bottom"/>
            <w:hideMark/>
          </w:tcPr>
          <w:p w14:paraId="490F4E9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0.032</w:t>
            </w:r>
          </w:p>
        </w:tc>
        <w:tc>
          <w:tcPr>
            <w:tcW w:w="940" w:type="dxa"/>
            <w:tcBorders>
              <w:top w:val="nil"/>
              <w:left w:val="nil"/>
              <w:bottom w:val="single" w:sz="4" w:space="0" w:color="auto"/>
              <w:right w:val="single" w:sz="4" w:space="0" w:color="auto"/>
            </w:tcBorders>
            <w:shd w:val="clear" w:color="auto" w:fill="auto"/>
            <w:noWrap/>
            <w:vAlign w:val="bottom"/>
            <w:hideMark/>
          </w:tcPr>
          <w:p w14:paraId="6B45DCB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0.023</w:t>
            </w:r>
          </w:p>
        </w:tc>
        <w:tc>
          <w:tcPr>
            <w:tcW w:w="940" w:type="dxa"/>
            <w:tcBorders>
              <w:top w:val="nil"/>
              <w:left w:val="nil"/>
              <w:bottom w:val="single" w:sz="4" w:space="0" w:color="auto"/>
              <w:right w:val="single" w:sz="4" w:space="0" w:color="auto"/>
            </w:tcBorders>
            <w:shd w:val="clear" w:color="auto" w:fill="auto"/>
            <w:noWrap/>
            <w:vAlign w:val="bottom"/>
            <w:hideMark/>
          </w:tcPr>
          <w:p w14:paraId="7231B36B"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0.029</w:t>
            </w:r>
          </w:p>
        </w:tc>
        <w:tc>
          <w:tcPr>
            <w:tcW w:w="940" w:type="dxa"/>
            <w:tcBorders>
              <w:top w:val="nil"/>
              <w:left w:val="nil"/>
              <w:bottom w:val="single" w:sz="4" w:space="0" w:color="auto"/>
              <w:right w:val="single" w:sz="4" w:space="0" w:color="auto"/>
            </w:tcBorders>
            <w:shd w:val="clear" w:color="auto" w:fill="auto"/>
            <w:noWrap/>
            <w:vAlign w:val="bottom"/>
            <w:hideMark/>
          </w:tcPr>
          <w:p w14:paraId="77BD06C7"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-0.074</w:t>
            </w:r>
          </w:p>
        </w:tc>
        <w:tc>
          <w:tcPr>
            <w:tcW w:w="958" w:type="dxa"/>
            <w:tcBorders>
              <w:top w:val="nil"/>
              <w:left w:val="nil"/>
              <w:bottom w:val="single" w:sz="4" w:space="0" w:color="auto"/>
              <w:right w:val="single" w:sz="4" w:space="0" w:color="auto"/>
            </w:tcBorders>
            <w:shd w:val="clear" w:color="auto" w:fill="auto"/>
            <w:noWrap/>
            <w:vAlign w:val="bottom"/>
            <w:hideMark/>
          </w:tcPr>
          <w:p w14:paraId="29BA0AB0"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0.062</w:t>
            </w:r>
          </w:p>
        </w:tc>
      </w:tr>
      <w:tr w:rsidR="00CC7E92" w:rsidRPr="00A86967" w14:paraId="166FA965"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A68D497"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4</w:t>
            </w:r>
          </w:p>
        </w:tc>
        <w:tc>
          <w:tcPr>
            <w:tcW w:w="940" w:type="dxa"/>
            <w:tcBorders>
              <w:top w:val="nil"/>
              <w:left w:val="nil"/>
              <w:bottom w:val="single" w:sz="4" w:space="0" w:color="auto"/>
              <w:right w:val="single" w:sz="4" w:space="0" w:color="auto"/>
            </w:tcBorders>
            <w:shd w:val="clear" w:color="auto" w:fill="auto"/>
            <w:noWrap/>
            <w:vAlign w:val="bottom"/>
            <w:hideMark/>
          </w:tcPr>
          <w:p w14:paraId="02B07B8D"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0.016</w:t>
            </w:r>
          </w:p>
        </w:tc>
        <w:tc>
          <w:tcPr>
            <w:tcW w:w="940" w:type="dxa"/>
            <w:tcBorders>
              <w:top w:val="nil"/>
              <w:left w:val="nil"/>
              <w:bottom w:val="single" w:sz="4" w:space="0" w:color="auto"/>
              <w:right w:val="single" w:sz="4" w:space="0" w:color="auto"/>
            </w:tcBorders>
            <w:shd w:val="clear" w:color="auto" w:fill="auto"/>
            <w:noWrap/>
            <w:vAlign w:val="bottom"/>
            <w:hideMark/>
          </w:tcPr>
          <w:p w14:paraId="478089C4"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0.020</w:t>
            </w:r>
          </w:p>
        </w:tc>
        <w:tc>
          <w:tcPr>
            <w:tcW w:w="940" w:type="dxa"/>
            <w:tcBorders>
              <w:top w:val="nil"/>
              <w:left w:val="nil"/>
              <w:bottom w:val="single" w:sz="4" w:space="0" w:color="auto"/>
              <w:right w:val="single" w:sz="4" w:space="0" w:color="auto"/>
            </w:tcBorders>
            <w:shd w:val="clear" w:color="auto" w:fill="auto"/>
            <w:noWrap/>
            <w:vAlign w:val="bottom"/>
            <w:hideMark/>
          </w:tcPr>
          <w:p w14:paraId="2932113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-0.056</w:t>
            </w:r>
          </w:p>
        </w:tc>
        <w:tc>
          <w:tcPr>
            <w:tcW w:w="958" w:type="dxa"/>
            <w:tcBorders>
              <w:top w:val="nil"/>
              <w:left w:val="nil"/>
              <w:bottom w:val="single" w:sz="4" w:space="0" w:color="auto"/>
              <w:right w:val="single" w:sz="4" w:space="0" w:color="auto"/>
            </w:tcBorders>
            <w:shd w:val="clear" w:color="auto" w:fill="auto"/>
            <w:noWrap/>
            <w:vAlign w:val="bottom"/>
            <w:hideMark/>
          </w:tcPr>
          <w:p w14:paraId="00CBB39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0.046</w:t>
            </w:r>
          </w:p>
        </w:tc>
        <w:tc>
          <w:tcPr>
            <w:tcW w:w="940" w:type="dxa"/>
            <w:tcBorders>
              <w:top w:val="nil"/>
              <w:left w:val="nil"/>
              <w:bottom w:val="single" w:sz="4" w:space="0" w:color="auto"/>
              <w:right w:val="single" w:sz="4" w:space="0" w:color="auto"/>
            </w:tcBorders>
            <w:shd w:val="clear" w:color="auto" w:fill="auto"/>
            <w:noWrap/>
            <w:vAlign w:val="bottom"/>
            <w:hideMark/>
          </w:tcPr>
          <w:p w14:paraId="21B47ED2"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0.030</w:t>
            </w:r>
          </w:p>
        </w:tc>
        <w:tc>
          <w:tcPr>
            <w:tcW w:w="940" w:type="dxa"/>
            <w:tcBorders>
              <w:top w:val="nil"/>
              <w:left w:val="nil"/>
              <w:bottom w:val="single" w:sz="4" w:space="0" w:color="auto"/>
              <w:right w:val="single" w:sz="4" w:space="0" w:color="auto"/>
            </w:tcBorders>
            <w:shd w:val="clear" w:color="auto" w:fill="auto"/>
            <w:noWrap/>
            <w:vAlign w:val="bottom"/>
            <w:hideMark/>
          </w:tcPr>
          <w:p w14:paraId="2471FA29"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0.038</w:t>
            </w:r>
          </w:p>
        </w:tc>
        <w:tc>
          <w:tcPr>
            <w:tcW w:w="940" w:type="dxa"/>
            <w:tcBorders>
              <w:top w:val="nil"/>
              <w:left w:val="nil"/>
              <w:bottom w:val="single" w:sz="4" w:space="0" w:color="auto"/>
              <w:right w:val="single" w:sz="4" w:space="0" w:color="auto"/>
            </w:tcBorders>
            <w:shd w:val="clear" w:color="auto" w:fill="auto"/>
            <w:noWrap/>
            <w:vAlign w:val="bottom"/>
            <w:hideMark/>
          </w:tcPr>
          <w:p w14:paraId="4396BAE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-0.111</w:t>
            </w:r>
          </w:p>
        </w:tc>
        <w:tc>
          <w:tcPr>
            <w:tcW w:w="958" w:type="dxa"/>
            <w:tcBorders>
              <w:top w:val="nil"/>
              <w:left w:val="nil"/>
              <w:bottom w:val="single" w:sz="4" w:space="0" w:color="auto"/>
              <w:right w:val="single" w:sz="4" w:space="0" w:color="auto"/>
            </w:tcBorders>
            <w:shd w:val="clear" w:color="auto" w:fill="auto"/>
            <w:noWrap/>
            <w:vAlign w:val="bottom"/>
            <w:hideMark/>
          </w:tcPr>
          <w:p w14:paraId="088CA3A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0.063</w:t>
            </w:r>
          </w:p>
        </w:tc>
      </w:tr>
      <w:tr w:rsidR="00CC7E92" w:rsidRPr="00A86967" w14:paraId="10DDFB5C"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4C24C1A"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5</w:t>
            </w:r>
          </w:p>
        </w:tc>
        <w:tc>
          <w:tcPr>
            <w:tcW w:w="940" w:type="dxa"/>
            <w:tcBorders>
              <w:top w:val="nil"/>
              <w:left w:val="nil"/>
              <w:bottom w:val="single" w:sz="4" w:space="0" w:color="auto"/>
              <w:right w:val="single" w:sz="4" w:space="0" w:color="auto"/>
            </w:tcBorders>
            <w:shd w:val="clear" w:color="auto" w:fill="auto"/>
            <w:noWrap/>
            <w:vAlign w:val="bottom"/>
            <w:hideMark/>
          </w:tcPr>
          <w:p w14:paraId="3CEE551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940" w:type="dxa"/>
            <w:tcBorders>
              <w:top w:val="nil"/>
              <w:left w:val="nil"/>
              <w:bottom w:val="single" w:sz="4" w:space="0" w:color="auto"/>
              <w:right w:val="single" w:sz="4" w:space="0" w:color="auto"/>
            </w:tcBorders>
            <w:shd w:val="clear" w:color="auto" w:fill="auto"/>
            <w:noWrap/>
            <w:vAlign w:val="bottom"/>
            <w:hideMark/>
          </w:tcPr>
          <w:p w14:paraId="1E423BE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0.016</w:t>
            </w:r>
          </w:p>
        </w:tc>
        <w:tc>
          <w:tcPr>
            <w:tcW w:w="940" w:type="dxa"/>
            <w:tcBorders>
              <w:top w:val="nil"/>
              <w:left w:val="nil"/>
              <w:bottom w:val="single" w:sz="4" w:space="0" w:color="auto"/>
              <w:right w:val="single" w:sz="4" w:space="0" w:color="auto"/>
            </w:tcBorders>
            <w:shd w:val="clear" w:color="auto" w:fill="auto"/>
            <w:noWrap/>
            <w:vAlign w:val="bottom"/>
            <w:hideMark/>
          </w:tcPr>
          <w:p w14:paraId="6E01C94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-0.040</w:t>
            </w:r>
          </w:p>
        </w:tc>
        <w:tc>
          <w:tcPr>
            <w:tcW w:w="958" w:type="dxa"/>
            <w:tcBorders>
              <w:top w:val="nil"/>
              <w:left w:val="nil"/>
              <w:bottom w:val="single" w:sz="4" w:space="0" w:color="auto"/>
              <w:right w:val="single" w:sz="4" w:space="0" w:color="auto"/>
            </w:tcBorders>
            <w:shd w:val="clear" w:color="auto" w:fill="auto"/>
            <w:noWrap/>
            <w:vAlign w:val="bottom"/>
            <w:hideMark/>
          </w:tcPr>
          <w:p w14:paraId="55930B3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0.055</w:t>
            </w:r>
          </w:p>
        </w:tc>
        <w:tc>
          <w:tcPr>
            <w:tcW w:w="940" w:type="dxa"/>
            <w:tcBorders>
              <w:top w:val="nil"/>
              <w:left w:val="nil"/>
              <w:bottom w:val="single" w:sz="4" w:space="0" w:color="auto"/>
              <w:right w:val="single" w:sz="4" w:space="0" w:color="auto"/>
            </w:tcBorders>
            <w:shd w:val="clear" w:color="auto" w:fill="auto"/>
            <w:noWrap/>
            <w:vAlign w:val="bottom"/>
            <w:hideMark/>
          </w:tcPr>
          <w:p w14:paraId="052160B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0.012</w:t>
            </w:r>
          </w:p>
        </w:tc>
        <w:tc>
          <w:tcPr>
            <w:tcW w:w="940" w:type="dxa"/>
            <w:tcBorders>
              <w:top w:val="nil"/>
              <w:left w:val="nil"/>
              <w:bottom w:val="single" w:sz="4" w:space="0" w:color="auto"/>
              <w:right w:val="single" w:sz="4" w:space="0" w:color="auto"/>
            </w:tcBorders>
            <w:shd w:val="clear" w:color="auto" w:fill="auto"/>
            <w:noWrap/>
            <w:vAlign w:val="bottom"/>
            <w:hideMark/>
          </w:tcPr>
          <w:p w14:paraId="6C89423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0.015</w:t>
            </w:r>
          </w:p>
        </w:tc>
        <w:tc>
          <w:tcPr>
            <w:tcW w:w="940" w:type="dxa"/>
            <w:tcBorders>
              <w:top w:val="nil"/>
              <w:left w:val="nil"/>
              <w:bottom w:val="single" w:sz="4" w:space="0" w:color="auto"/>
              <w:right w:val="single" w:sz="4" w:space="0" w:color="auto"/>
            </w:tcBorders>
            <w:shd w:val="clear" w:color="auto" w:fill="auto"/>
            <w:noWrap/>
            <w:vAlign w:val="bottom"/>
            <w:hideMark/>
          </w:tcPr>
          <w:p w14:paraId="68BE5F71"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-0.039</w:t>
            </w:r>
          </w:p>
        </w:tc>
        <w:tc>
          <w:tcPr>
            <w:tcW w:w="958" w:type="dxa"/>
            <w:tcBorders>
              <w:top w:val="nil"/>
              <w:left w:val="nil"/>
              <w:bottom w:val="single" w:sz="4" w:space="0" w:color="auto"/>
              <w:right w:val="single" w:sz="4" w:space="0" w:color="auto"/>
            </w:tcBorders>
            <w:shd w:val="clear" w:color="auto" w:fill="auto"/>
            <w:noWrap/>
            <w:vAlign w:val="bottom"/>
            <w:hideMark/>
          </w:tcPr>
          <w:p w14:paraId="6A60710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0.051</w:t>
            </w:r>
          </w:p>
        </w:tc>
      </w:tr>
      <w:tr w:rsidR="00CC7E92" w:rsidRPr="00A86967" w14:paraId="0A1B04AC"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F00A0A9"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5b</w:t>
            </w:r>
          </w:p>
        </w:tc>
        <w:tc>
          <w:tcPr>
            <w:tcW w:w="940" w:type="dxa"/>
            <w:tcBorders>
              <w:top w:val="nil"/>
              <w:left w:val="nil"/>
              <w:bottom w:val="single" w:sz="4" w:space="0" w:color="auto"/>
              <w:right w:val="single" w:sz="4" w:space="0" w:color="auto"/>
            </w:tcBorders>
            <w:shd w:val="clear" w:color="auto" w:fill="auto"/>
            <w:noWrap/>
            <w:vAlign w:val="bottom"/>
            <w:hideMark/>
          </w:tcPr>
          <w:p w14:paraId="46203BA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940" w:type="dxa"/>
            <w:tcBorders>
              <w:top w:val="nil"/>
              <w:left w:val="nil"/>
              <w:bottom w:val="single" w:sz="4" w:space="0" w:color="auto"/>
              <w:right w:val="single" w:sz="4" w:space="0" w:color="auto"/>
            </w:tcBorders>
            <w:shd w:val="clear" w:color="auto" w:fill="auto"/>
            <w:noWrap/>
            <w:vAlign w:val="bottom"/>
            <w:hideMark/>
          </w:tcPr>
          <w:p w14:paraId="5D9C46D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40" w:type="dxa"/>
            <w:tcBorders>
              <w:top w:val="nil"/>
              <w:left w:val="nil"/>
              <w:bottom w:val="single" w:sz="4" w:space="0" w:color="auto"/>
              <w:right w:val="single" w:sz="4" w:space="0" w:color="auto"/>
            </w:tcBorders>
            <w:shd w:val="clear" w:color="auto" w:fill="auto"/>
            <w:noWrap/>
            <w:vAlign w:val="bottom"/>
            <w:hideMark/>
          </w:tcPr>
          <w:p w14:paraId="4F5748AD"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-0.044</w:t>
            </w:r>
          </w:p>
        </w:tc>
        <w:tc>
          <w:tcPr>
            <w:tcW w:w="958" w:type="dxa"/>
            <w:tcBorders>
              <w:top w:val="nil"/>
              <w:left w:val="nil"/>
              <w:bottom w:val="single" w:sz="4" w:space="0" w:color="auto"/>
              <w:right w:val="single" w:sz="4" w:space="0" w:color="auto"/>
            </w:tcBorders>
            <w:shd w:val="clear" w:color="auto" w:fill="auto"/>
            <w:noWrap/>
            <w:vAlign w:val="bottom"/>
            <w:hideMark/>
          </w:tcPr>
          <w:p w14:paraId="628BFE1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0.026</w:t>
            </w:r>
          </w:p>
        </w:tc>
        <w:tc>
          <w:tcPr>
            <w:tcW w:w="940" w:type="dxa"/>
            <w:tcBorders>
              <w:top w:val="nil"/>
              <w:left w:val="nil"/>
              <w:bottom w:val="single" w:sz="4" w:space="0" w:color="auto"/>
              <w:right w:val="single" w:sz="4" w:space="0" w:color="auto"/>
            </w:tcBorders>
            <w:shd w:val="clear" w:color="auto" w:fill="auto"/>
            <w:noWrap/>
            <w:vAlign w:val="bottom"/>
            <w:hideMark/>
          </w:tcPr>
          <w:p w14:paraId="2FA0CCF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0.012</w:t>
            </w:r>
          </w:p>
        </w:tc>
        <w:tc>
          <w:tcPr>
            <w:tcW w:w="940" w:type="dxa"/>
            <w:tcBorders>
              <w:top w:val="nil"/>
              <w:left w:val="nil"/>
              <w:bottom w:val="single" w:sz="4" w:space="0" w:color="auto"/>
              <w:right w:val="single" w:sz="4" w:space="0" w:color="auto"/>
            </w:tcBorders>
            <w:shd w:val="clear" w:color="auto" w:fill="auto"/>
            <w:noWrap/>
            <w:vAlign w:val="bottom"/>
            <w:hideMark/>
          </w:tcPr>
          <w:p w14:paraId="46E41A8A"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0.016</w:t>
            </w:r>
          </w:p>
        </w:tc>
        <w:tc>
          <w:tcPr>
            <w:tcW w:w="940" w:type="dxa"/>
            <w:tcBorders>
              <w:top w:val="nil"/>
              <w:left w:val="nil"/>
              <w:bottom w:val="single" w:sz="4" w:space="0" w:color="auto"/>
              <w:right w:val="single" w:sz="4" w:space="0" w:color="auto"/>
            </w:tcBorders>
            <w:shd w:val="clear" w:color="auto" w:fill="auto"/>
            <w:noWrap/>
            <w:vAlign w:val="bottom"/>
            <w:hideMark/>
          </w:tcPr>
          <w:p w14:paraId="37DAEEC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-0.047</w:t>
            </w:r>
          </w:p>
        </w:tc>
        <w:tc>
          <w:tcPr>
            <w:tcW w:w="958" w:type="dxa"/>
            <w:tcBorders>
              <w:top w:val="nil"/>
              <w:left w:val="nil"/>
              <w:bottom w:val="single" w:sz="4" w:space="0" w:color="auto"/>
              <w:right w:val="single" w:sz="4" w:space="0" w:color="auto"/>
            </w:tcBorders>
            <w:shd w:val="clear" w:color="auto" w:fill="auto"/>
            <w:noWrap/>
            <w:vAlign w:val="bottom"/>
            <w:hideMark/>
          </w:tcPr>
          <w:p w14:paraId="65084A66"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0.040</w:t>
            </w:r>
          </w:p>
        </w:tc>
      </w:tr>
      <w:tr w:rsidR="00CC7E92" w:rsidRPr="00A86967" w14:paraId="4CBBA0BE"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98EF740"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0CB03802"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5F614B77"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3298EA8D"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14:paraId="2F6AE04A"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322B5226"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42FB386C"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3AB05F0D"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14:paraId="1B3B4B12"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CC7E92" w:rsidRPr="00A86967" w14:paraId="0F33B3F2"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512837F"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CA</w:t>
            </w:r>
          </w:p>
        </w:tc>
        <w:tc>
          <w:tcPr>
            <w:tcW w:w="940" w:type="dxa"/>
            <w:tcBorders>
              <w:top w:val="nil"/>
              <w:left w:val="nil"/>
              <w:bottom w:val="single" w:sz="4" w:space="0" w:color="auto"/>
              <w:right w:val="single" w:sz="4" w:space="0" w:color="auto"/>
            </w:tcBorders>
            <w:shd w:val="clear" w:color="auto" w:fill="auto"/>
            <w:noWrap/>
            <w:vAlign w:val="bottom"/>
            <w:hideMark/>
          </w:tcPr>
          <w:p w14:paraId="424B7D3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940" w:type="dxa"/>
            <w:tcBorders>
              <w:top w:val="nil"/>
              <w:left w:val="nil"/>
              <w:bottom w:val="single" w:sz="4" w:space="0" w:color="auto"/>
              <w:right w:val="single" w:sz="4" w:space="0" w:color="auto"/>
            </w:tcBorders>
            <w:shd w:val="clear" w:color="auto" w:fill="auto"/>
            <w:noWrap/>
            <w:vAlign w:val="bottom"/>
            <w:hideMark/>
          </w:tcPr>
          <w:p w14:paraId="6510B91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940" w:type="dxa"/>
            <w:tcBorders>
              <w:top w:val="nil"/>
              <w:left w:val="nil"/>
              <w:bottom w:val="single" w:sz="4" w:space="0" w:color="auto"/>
              <w:right w:val="single" w:sz="4" w:space="0" w:color="auto"/>
            </w:tcBorders>
            <w:shd w:val="clear" w:color="auto" w:fill="auto"/>
            <w:noWrap/>
            <w:vAlign w:val="bottom"/>
            <w:hideMark/>
          </w:tcPr>
          <w:p w14:paraId="4D9AAEE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-0.017</w:t>
            </w:r>
          </w:p>
        </w:tc>
        <w:tc>
          <w:tcPr>
            <w:tcW w:w="958" w:type="dxa"/>
            <w:tcBorders>
              <w:top w:val="nil"/>
              <w:left w:val="nil"/>
              <w:bottom w:val="single" w:sz="4" w:space="0" w:color="auto"/>
              <w:right w:val="single" w:sz="4" w:space="0" w:color="auto"/>
            </w:tcBorders>
            <w:shd w:val="clear" w:color="auto" w:fill="auto"/>
            <w:noWrap/>
            <w:vAlign w:val="bottom"/>
            <w:hideMark/>
          </w:tcPr>
          <w:p w14:paraId="4235C40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0.023</w:t>
            </w:r>
          </w:p>
        </w:tc>
        <w:tc>
          <w:tcPr>
            <w:tcW w:w="940" w:type="dxa"/>
            <w:tcBorders>
              <w:top w:val="nil"/>
              <w:left w:val="nil"/>
              <w:bottom w:val="single" w:sz="4" w:space="0" w:color="auto"/>
              <w:right w:val="single" w:sz="4" w:space="0" w:color="auto"/>
            </w:tcBorders>
            <w:shd w:val="clear" w:color="auto" w:fill="auto"/>
            <w:noWrap/>
            <w:vAlign w:val="bottom"/>
            <w:hideMark/>
          </w:tcPr>
          <w:p w14:paraId="23AE9CD6"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0.009</w:t>
            </w:r>
          </w:p>
        </w:tc>
        <w:tc>
          <w:tcPr>
            <w:tcW w:w="940" w:type="dxa"/>
            <w:tcBorders>
              <w:top w:val="nil"/>
              <w:left w:val="nil"/>
              <w:bottom w:val="single" w:sz="4" w:space="0" w:color="auto"/>
              <w:right w:val="single" w:sz="4" w:space="0" w:color="auto"/>
            </w:tcBorders>
            <w:shd w:val="clear" w:color="auto" w:fill="auto"/>
            <w:noWrap/>
            <w:vAlign w:val="bottom"/>
            <w:hideMark/>
          </w:tcPr>
          <w:p w14:paraId="7CC3721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0.011</w:t>
            </w:r>
          </w:p>
        </w:tc>
        <w:tc>
          <w:tcPr>
            <w:tcW w:w="940" w:type="dxa"/>
            <w:tcBorders>
              <w:top w:val="nil"/>
              <w:left w:val="nil"/>
              <w:bottom w:val="single" w:sz="4" w:space="0" w:color="auto"/>
              <w:right w:val="single" w:sz="4" w:space="0" w:color="auto"/>
            </w:tcBorders>
            <w:shd w:val="clear" w:color="auto" w:fill="auto"/>
            <w:noWrap/>
            <w:vAlign w:val="bottom"/>
            <w:hideMark/>
          </w:tcPr>
          <w:p w14:paraId="70FDC176"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-0.027</w:t>
            </w:r>
          </w:p>
        </w:tc>
        <w:tc>
          <w:tcPr>
            <w:tcW w:w="958" w:type="dxa"/>
            <w:tcBorders>
              <w:top w:val="nil"/>
              <w:left w:val="nil"/>
              <w:bottom w:val="single" w:sz="4" w:space="0" w:color="auto"/>
              <w:right w:val="single" w:sz="4" w:space="0" w:color="auto"/>
            </w:tcBorders>
            <w:shd w:val="clear" w:color="auto" w:fill="auto"/>
            <w:noWrap/>
            <w:vAlign w:val="bottom"/>
            <w:hideMark/>
          </w:tcPr>
          <w:p w14:paraId="51F3C0A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0.040</w:t>
            </w:r>
          </w:p>
        </w:tc>
      </w:tr>
      <w:tr w:rsidR="00CC7E92" w:rsidRPr="00A86967" w14:paraId="0FAADBA5"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D8B117F"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CO</w:t>
            </w:r>
          </w:p>
        </w:tc>
        <w:tc>
          <w:tcPr>
            <w:tcW w:w="940" w:type="dxa"/>
            <w:tcBorders>
              <w:top w:val="nil"/>
              <w:left w:val="nil"/>
              <w:bottom w:val="single" w:sz="4" w:space="0" w:color="auto"/>
              <w:right w:val="single" w:sz="4" w:space="0" w:color="auto"/>
            </w:tcBorders>
            <w:shd w:val="clear" w:color="auto" w:fill="auto"/>
            <w:noWrap/>
            <w:vAlign w:val="bottom"/>
            <w:hideMark/>
          </w:tcPr>
          <w:p w14:paraId="6B2B1305"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0.023</w:t>
            </w:r>
          </w:p>
        </w:tc>
        <w:tc>
          <w:tcPr>
            <w:tcW w:w="940" w:type="dxa"/>
            <w:tcBorders>
              <w:top w:val="nil"/>
              <w:left w:val="nil"/>
              <w:bottom w:val="single" w:sz="4" w:space="0" w:color="auto"/>
              <w:right w:val="single" w:sz="4" w:space="0" w:color="auto"/>
            </w:tcBorders>
            <w:shd w:val="clear" w:color="auto" w:fill="auto"/>
            <w:noWrap/>
            <w:vAlign w:val="bottom"/>
            <w:hideMark/>
          </w:tcPr>
          <w:p w14:paraId="6E859782"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0.029</w:t>
            </w:r>
          </w:p>
        </w:tc>
        <w:tc>
          <w:tcPr>
            <w:tcW w:w="940" w:type="dxa"/>
            <w:tcBorders>
              <w:top w:val="nil"/>
              <w:left w:val="nil"/>
              <w:bottom w:val="single" w:sz="4" w:space="0" w:color="auto"/>
              <w:right w:val="single" w:sz="4" w:space="0" w:color="auto"/>
            </w:tcBorders>
            <w:shd w:val="clear" w:color="auto" w:fill="auto"/>
            <w:noWrap/>
            <w:vAlign w:val="bottom"/>
            <w:hideMark/>
          </w:tcPr>
          <w:p w14:paraId="16123743"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-0.079</w:t>
            </w:r>
          </w:p>
        </w:tc>
        <w:tc>
          <w:tcPr>
            <w:tcW w:w="958" w:type="dxa"/>
            <w:tcBorders>
              <w:top w:val="nil"/>
              <w:left w:val="nil"/>
              <w:bottom w:val="single" w:sz="4" w:space="0" w:color="auto"/>
              <w:right w:val="single" w:sz="4" w:space="0" w:color="auto"/>
            </w:tcBorders>
            <w:shd w:val="clear" w:color="auto" w:fill="auto"/>
            <w:noWrap/>
            <w:vAlign w:val="bottom"/>
            <w:hideMark/>
          </w:tcPr>
          <w:p w14:paraId="53DEC182"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0.044</w:t>
            </w:r>
          </w:p>
        </w:tc>
        <w:tc>
          <w:tcPr>
            <w:tcW w:w="940" w:type="dxa"/>
            <w:tcBorders>
              <w:top w:val="nil"/>
              <w:left w:val="nil"/>
              <w:bottom w:val="single" w:sz="4" w:space="0" w:color="auto"/>
              <w:right w:val="single" w:sz="4" w:space="0" w:color="auto"/>
            </w:tcBorders>
            <w:shd w:val="clear" w:color="auto" w:fill="auto"/>
            <w:noWrap/>
            <w:vAlign w:val="bottom"/>
            <w:hideMark/>
          </w:tcPr>
          <w:p w14:paraId="23B26C99"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0.045</w:t>
            </w:r>
          </w:p>
        </w:tc>
        <w:tc>
          <w:tcPr>
            <w:tcW w:w="940" w:type="dxa"/>
            <w:tcBorders>
              <w:top w:val="nil"/>
              <w:left w:val="nil"/>
              <w:bottom w:val="single" w:sz="4" w:space="0" w:color="auto"/>
              <w:right w:val="single" w:sz="4" w:space="0" w:color="auto"/>
            </w:tcBorders>
            <w:shd w:val="clear" w:color="auto" w:fill="auto"/>
            <w:noWrap/>
            <w:vAlign w:val="bottom"/>
            <w:hideMark/>
          </w:tcPr>
          <w:p w14:paraId="0EFCF14B"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0.058</w:t>
            </w:r>
          </w:p>
        </w:tc>
        <w:tc>
          <w:tcPr>
            <w:tcW w:w="940" w:type="dxa"/>
            <w:tcBorders>
              <w:top w:val="nil"/>
              <w:left w:val="nil"/>
              <w:bottom w:val="single" w:sz="4" w:space="0" w:color="auto"/>
              <w:right w:val="single" w:sz="4" w:space="0" w:color="auto"/>
            </w:tcBorders>
            <w:shd w:val="clear" w:color="auto" w:fill="auto"/>
            <w:noWrap/>
            <w:vAlign w:val="bottom"/>
            <w:hideMark/>
          </w:tcPr>
          <w:p w14:paraId="18C1773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-0.165</w:t>
            </w:r>
          </w:p>
        </w:tc>
        <w:tc>
          <w:tcPr>
            <w:tcW w:w="958" w:type="dxa"/>
            <w:tcBorders>
              <w:top w:val="nil"/>
              <w:left w:val="nil"/>
              <w:bottom w:val="single" w:sz="4" w:space="0" w:color="auto"/>
              <w:right w:val="single" w:sz="4" w:space="0" w:color="auto"/>
            </w:tcBorders>
            <w:shd w:val="clear" w:color="auto" w:fill="auto"/>
            <w:noWrap/>
            <w:vAlign w:val="bottom"/>
            <w:hideMark/>
          </w:tcPr>
          <w:p w14:paraId="5106DF2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0.093</w:t>
            </w:r>
          </w:p>
        </w:tc>
      </w:tr>
      <w:tr w:rsidR="00CC7E92" w:rsidRPr="00A86967" w14:paraId="7531CFD6"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8B8F69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FL</w:t>
            </w:r>
          </w:p>
        </w:tc>
        <w:tc>
          <w:tcPr>
            <w:tcW w:w="940" w:type="dxa"/>
            <w:tcBorders>
              <w:top w:val="nil"/>
              <w:left w:val="nil"/>
              <w:bottom w:val="single" w:sz="4" w:space="0" w:color="auto"/>
              <w:right w:val="single" w:sz="4" w:space="0" w:color="auto"/>
            </w:tcBorders>
            <w:shd w:val="clear" w:color="auto" w:fill="auto"/>
            <w:noWrap/>
            <w:vAlign w:val="bottom"/>
            <w:hideMark/>
          </w:tcPr>
          <w:p w14:paraId="5AD830A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40" w:type="dxa"/>
            <w:tcBorders>
              <w:top w:val="nil"/>
              <w:left w:val="nil"/>
              <w:bottom w:val="single" w:sz="4" w:space="0" w:color="auto"/>
              <w:right w:val="single" w:sz="4" w:space="0" w:color="auto"/>
            </w:tcBorders>
            <w:shd w:val="clear" w:color="auto" w:fill="auto"/>
            <w:noWrap/>
            <w:vAlign w:val="bottom"/>
            <w:hideMark/>
          </w:tcPr>
          <w:p w14:paraId="32CE786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0.017</w:t>
            </w:r>
          </w:p>
        </w:tc>
        <w:tc>
          <w:tcPr>
            <w:tcW w:w="940" w:type="dxa"/>
            <w:tcBorders>
              <w:top w:val="nil"/>
              <w:left w:val="nil"/>
              <w:bottom w:val="single" w:sz="4" w:space="0" w:color="auto"/>
              <w:right w:val="single" w:sz="4" w:space="0" w:color="auto"/>
            </w:tcBorders>
            <w:shd w:val="clear" w:color="auto" w:fill="auto"/>
            <w:noWrap/>
            <w:vAlign w:val="bottom"/>
            <w:hideMark/>
          </w:tcPr>
          <w:p w14:paraId="35EE51E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-0.050</w:t>
            </w:r>
          </w:p>
        </w:tc>
        <w:tc>
          <w:tcPr>
            <w:tcW w:w="958" w:type="dxa"/>
            <w:tcBorders>
              <w:top w:val="nil"/>
              <w:left w:val="nil"/>
              <w:bottom w:val="single" w:sz="4" w:space="0" w:color="auto"/>
              <w:right w:val="single" w:sz="4" w:space="0" w:color="auto"/>
            </w:tcBorders>
            <w:shd w:val="clear" w:color="auto" w:fill="auto"/>
            <w:noWrap/>
            <w:vAlign w:val="bottom"/>
            <w:hideMark/>
          </w:tcPr>
          <w:p w14:paraId="12C7D046"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0.030</w:t>
            </w:r>
          </w:p>
        </w:tc>
        <w:tc>
          <w:tcPr>
            <w:tcW w:w="940" w:type="dxa"/>
            <w:tcBorders>
              <w:top w:val="nil"/>
              <w:left w:val="nil"/>
              <w:bottom w:val="single" w:sz="4" w:space="0" w:color="auto"/>
              <w:right w:val="single" w:sz="4" w:space="0" w:color="auto"/>
            </w:tcBorders>
            <w:shd w:val="clear" w:color="auto" w:fill="auto"/>
            <w:noWrap/>
            <w:vAlign w:val="bottom"/>
            <w:hideMark/>
          </w:tcPr>
          <w:p w14:paraId="168DD55D"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0.028</w:t>
            </w:r>
          </w:p>
        </w:tc>
        <w:tc>
          <w:tcPr>
            <w:tcW w:w="940" w:type="dxa"/>
            <w:tcBorders>
              <w:top w:val="nil"/>
              <w:left w:val="nil"/>
              <w:bottom w:val="single" w:sz="4" w:space="0" w:color="auto"/>
              <w:right w:val="single" w:sz="4" w:space="0" w:color="auto"/>
            </w:tcBorders>
            <w:shd w:val="clear" w:color="auto" w:fill="auto"/>
            <w:noWrap/>
            <w:vAlign w:val="bottom"/>
            <w:hideMark/>
          </w:tcPr>
          <w:p w14:paraId="5A3F12A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0.036</w:t>
            </w:r>
          </w:p>
        </w:tc>
        <w:tc>
          <w:tcPr>
            <w:tcW w:w="940" w:type="dxa"/>
            <w:tcBorders>
              <w:top w:val="nil"/>
              <w:left w:val="nil"/>
              <w:bottom w:val="single" w:sz="4" w:space="0" w:color="auto"/>
              <w:right w:val="single" w:sz="4" w:space="0" w:color="auto"/>
            </w:tcBorders>
            <w:shd w:val="clear" w:color="auto" w:fill="auto"/>
            <w:noWrap/>
            <w:vAlign w:val="bottom"/>
            <w:hideMark/>
          </w:tcPr>
          <w:p w14:paraId="40BB372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-0.086</w:t>
            </w:r>
          </w:p>
        </w:tc>
        <w:tc>
          <w:tcPr>
            <w:tcW w:w="958" w:type="dxa"/>
            <w:tcBorders>
              <w:top w:val="nil"/>
              <w:left w:val="nil"/>
              <w:bottom w:val="single" w:sz="4" w:space="0" w:color="auto"/>
              <w:right w:val="single" w:sz="4" w:space="0" w:color="auto"/>
            </w:tcBorders>
            <w:shd w:val="clear" w:color="auto" w:fill="auto"/>
            <w:noWrap/>
            <w:vAlign w:val="bottom"/>
            <w:hideMark/>
          </w:tcPr>
          <w:p w14:paraId="6940C77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0.075</w:t>
            </w:r>
          </w:p>
        </w:tc>
      </w:tr>
      <w:tr w:rsidR="00CC7E92" w:rsidRPr="00A86967" w14:paraId="3B64C68A"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12FF453F"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MA</w:t>
            </w:r>
          </w:p>
        </w:tc>
        <w:tc>
          <w:tcPr>
            <w:tcW w:w="940" w:type="dxa"/>
            <w:tcBorders>
              <w:top w:val="nil"/>
              <w:left w:val="nil"/>
              <w:bottom w:val="single" w:sz="4" w:space="0" w:color="auto"/>
              <w:right w:val="single" w:sz="4" w:space="0" w:color="auto"/>
            </w:tcBorders>
            <w:shd w:val="clear" w:color="auto" w:fill="auto"/>
            <w:noWrap/>
            <w:vAlign w:val="bottom"/>
            <w:hideMark/>
          </w:tcPr>
          <w:p w14:paraId="66104924"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40" w:type="dxa"/>
            <w:tcBorders>
              <w:top w:val="nil"/>
              <w:left w:val="nil"/>
              <w:bottom w:val="single" w:sz="4" w:space="0" w:color="auto"/>
              <w:right w:val="single" w:sz="4" w:space="0" w:color="auto"/>
            </w:tcBorders>
            <w:shd w:val="clear" w:color="auto" w:fill="auto"/>
            <w:noWrap/>
            <w:vAlign w:val="bottom"/>
            <w:hideMark/>
          </w:tcPr>
          <w:p w14:paraId="19D2E051"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0.033</w:t>
            </w:r>
          </w:p>
        </w:tc>
        <w:tc>
          <w:tcPr>
            <w:tcW w:w="940" w:type="dxa"/>
            <w:tcBorders>
              <w:top w:val="nil"/>
              <w:left w:val="nil"/>
              <w:bottom w:val="single" w:sz="4" w:space="0" w:color="auto"/>
              <w:right w:val="single" w:sz="4" w:space="0" w:color="auto"/>
            </w:tcBorders>
            <w:shd w:val="clear" w:color="auto" w:fill="auto"/>
            <w:noWrap/>
            <w:vAlign w:val="bottom"/>
            <w:hideMark/>
          </w:tcPr>
          <w:p w14:paraId="49F44F07"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-0.077</w:t>
            </w:r>
          </w:p>
        </w:tc>
        <w:tc>
          <w:tcPr>
            <w:tcW w:w="958" w:type="dxa"/>
            <w:tcBorders>
              <w:top w:val="nil"/>
              <w:left w:val="nil"/>
              <w:bottom w:val="single" w:sz="4" w:space="0" w:color="auto"/>
              <w:right w:val="single" w:sz="4" w:space="0" w:color="auto"/>
            </w:tcBorders>
            <w:shd w:val="clear" w:color="auto" w:fill="auto"/>
            <w:noWrap/>
            <w:vAlign w:val="bottom"/>
            <w:hideMark/>
          </w:tcPr>
          <w:p w14:paraId="3C88A3F3"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0.084</w:t>
            </w:r>
          </w:p>
        </w:tc>
        <w:tc>
          <w:tcPr>
            <w:tcW w:w="940" w:type="dxa"/>
            <w:tcBorders>
              <w:top w:val="nil"/>
              <w:left w:val="nil"/>
              <w:bottom w:val="single" w:sz="4" w:space="0" w:color="auto"/>
              <w:right w:val="single" w:sz="4" w:space="0" w:color="auto"/>
            </w:tcBorders>
            <w:shd w:val="clear" w:color="auto" w:fill="auto"/>
            <w:noWrap/>
            <w:vAlign w:val="bottom"/>
            <w:hideMark/>
          </w:tcPr>
          <w:p w14:paraId="61066409"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0.027</w:t>
            </w:r>
          </w:p>
        </w:tc>
        <w:tc>
          <w:tcPr>
            <w:tcW w:w="940" w:type="dxa"/>
            <w:tcBorders>
              <w:top w:val="nil"/>
              <w:left w:val="nil"/>
              <w:bottom w:val="single" w:sz="4" w:space="0" w:color="auto"/>
              <w:right w:val="single" w:sz="4" w:space="0" w:color="auto"/>
            </w:tcBorders>
            <w:shd w:val="clear" w:color="auto" w:fill="auto"/>
            <w:noWrap/>
            <w:vAlign w:val="bottom"/>
            <w:hideMark/>
          </w:tcPr>
          <w:p w14:paraId="4D38A767"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0.036</w:t>
            </w:r>
          </w:p>
        </w:tc>
        <w:tc>
          <w:tcPr>
            <w:tcW w:w="940" w:type="dxa"/>
            <w:tcBorders>
              <w:top w:val="nil"/>
              <w:left w:val="nil"/>
              <w:bottom w:val="single" w:sz="4" w:space="0" w:color="auto"/>
              <w:right w:val="single" w:sz="4" w:space="0" w:color="auto"/>
            </w:tcBorders>
            <w:shd w:val="clear" w:color="auto" w:fill="auto"/>
            <w:noWrap/>
            <w:vAlign w:val="bottom"/>
            <w:hideMark/>
          </w:tcPr>
          <w:p w14:paraId="117AF71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-0.109</w:t>
            </w:r>
          </w:p>
        </w:tc>
        <w:tc>
          <w:tcPr>
            <w:tcW w:w="958" w:type="dxa"/>
            <w:tcBorders>
              <w:top w:val="nil"/>
              <w:left w:val="nil"/>
              <w:bottom w:val="single" w:sz="4" w:space="0" w:color="auto"/>
              <w:right w:val="single" w:sz="4" w:space="0" w:color="auto"/>
            </w:tcBorders>
            <w:shd w:val="clear" w:color="auto" w:fill="auto"/>
            <w:noWrap/>
            <w:vAlign w:val="bottom"/>
            <w:hideMark/>
          </w:tcPr>
          <w:p w14:paraId="356694B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0.074</w:t>
            </w:r>
          </w:p>
        </w:tc>
      </w:tr>
      <w:tr w:rsidR="00CC7E92" w:rsidRPr="00A86967" w14:paraId="15039BC5"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4217899"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MN</w:t>
            </w:r>
          </w:p>
        </w:tc>
        <w:tc>
          <w:tcPr>
            <w:tcW w:w="940" w:type="dxa"/>
            <w:tcBorders>
              <w:top w:val="nil"/>
              <w:left w:val="nil"/>
              <w:bottom w:val="single" w:sz="4" w:space="0" w:color="auto"/>
              <w:right w:val="single" w:sz="4" w:space="0" w:color="auto"/>
            </w:tcBorders>
            <w:shd w:val="clear" w:color="auto" w:fill="auto"/>
            <w:noWrap/>
            <w:vAlign w:val="bottom"/>
            <w:hideMark/>
          </w:tcPr>
          <w:p w14:paraId="331C3E9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40" w:type="dxa"/>
            <w:tcBorders>
              <w:top w:val="nil"/>
              <w:left w:val="nil"/>
              <w:bottom w:val="single" w:sz="4" w:space="0" w:color="auto"/>
              <w:right w:val="single" w:sz="4" w:space="0" w:color="auto"/>
            </w:tcBorders>
            <w:shd w:val="clear" w:color="auto" w:fill="auto"/>
            <w:noWrap/>
            <w:vAlign w:val="bottom"/>
            <w:hideMark/>
          </w:tcPr>
          <w:p w14:paraId="5D9A7C8D"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40" w:type="dxa"/>
            <w:tcBorders>
              <w:top w:val="nil"/>
              <w:left w:val="nil"/>
              <w:bottom w:val="single" w:sz="4" w:space="0" w:color="auto"/>
              <w:right w:val="single" w:sz="4" w:space="0" w:color="auto"/>
            </w:tcBorders>
            <w:shd w:val="clear" w:color="auto" w:fill="auto"/>
            <w:noWrap/>
            <w:vAlign w:val="bottom"/>
            <w:hideMark/>
          </w:tcPr>
          <w:p w14:paraId="0AA9089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-0.043</w:t>
            </w:r>
          </w:p>
        </w:tc>
        <w:tc>
          <w:tcPr>
            <w:tcW w:w="958" w:type="dxa"/>
            <w:tcBorders>
              <w:top w:val="nil"/>
              <w:left w:val="nil"/>
              <w:bottom w:val="single" w:sz="4" w:space="0" w:color="auto"/>
              <w:right w:val="single" w:sz="4" w:space="0" w:color="auto"/>
            </w:tcBorders>
            <w:shd w:val="clear" w:color="auto" w:fill="auto"/>
            <w:noWrap/>
            <w:vAlign w:val="bottom"/>
            <w:hideMark/>
          </w:tcPr>
          <w:p w14:paraId="11BA3FE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0.039</w:t>
            </w:r>
          </w:p>
        </w:tc>
        <w:tc>
          <w:tcPr>
            <w:tcW w:w="940" w:type="dxa"/>
            <w:tcBorders>
              <w:top w:val="nil"/>
              <w:left w:val="nil"/>
              <w:bottom w:val="single" w:sz="4" w:space="0" w:color="auto"/>
              <w:right w:val="single" w:sz="4" w:space="0" w:color="auto"/>
            </w:tcBorders>
            <w:shd w:val="clear" w:color="auto" w:fill="auto"/>
            <w:noWrap/>
            <w:vAlign w:val="bottom"/>
            <w:hideMark/>
          </w:tcPr>
          <w:p w14:paraId="31322E40"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0.026</w:t>
            </w:r>
          </w:p>
        </w:tc>
        <w:tc>
          <w:tcPr>
            <w:tcW w:w="940" w:type="dxa"/>
            <w:tcBorders>
              <w:top w:val="nil"/>
              <w:left w:val="nil"/>
              <w:bottom w:val="single" w:sz="4" w:space="0" w:color="auto"/>
              <w:right w:val="single" w:sz="4" w:space="0" w:color="auto"/>
            </w:tcBorders>
            <w:shd w:val="clear" w:color="auto" w:fill="auto"/>
            <w:noWrap/>
            <w:vAlign w:val="bottom"/>
            <w:hideMark/>
          </w:tcPr>
          <w:p w14:paraId="6D2522F7"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0.033</w:t>
            </w:r>
          </w:p>
        </w:tc>
        <w:tc>
          <w:tcPr>
            <w:tcW w:w="940" w:type="dxa"/>
            <w:tcBorders>
              <w:top w:val="nil"/>
              <w:left w:val="nil"/>
              <w:bottom w:val="single" w:sz="4" w:space="0" w:color="auto"/>
              <w:right w:val="single" w:sz="4" w:space="0" w:color="auto"/>
            </w:tcBorders>
            <w:shd w:val="clear" w:color="auto" w:fill="auto"/>
            <w:noWrap/>
            <w:vAlign w:val="bottom"/>
            <w:hideMark/>
          </w:tcPr>
          <w:p w14:paraId="44BB562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-0.072</w:t>
            </w:r>
          </w:p>
        </w:tc>
        <w:tc>
          <w:tcPr>
            <w:tcW w:w="958" w:type="dxa"/>
            <w:tcBorders>
              <w:top w:val="nil"/>
              <w:left w:val="nil"/>
              <w:bottom w:val="single" w:sz="4" w:space="0" w:color="auto"/>
              <w:right w:val="single" w:sz="4" w:space="0" w:color="auto"/>
            </w:tcBorders>
            <w:shd w:val="clear" w:color="auto" w:fill="auto"/>
            <w:noWrap/>
            <w:vAlign w:val="bottom"/>
            <w:hideMark/>
          </w:tcPr>
          <w:p w14:paraId="61E4790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0.103</w:t>
            </w:r>
          </w:p>
        </w:tc>
      </w:tr>
      <w:tr w:rsidR="00CC7E92" w:rsidRPr="00A86967" w14:paraId="735C1DD1"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67B9E12"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NY</w:t>
            </w:r>
          </w:p>
        </w:tc>
        <w:tc>
          <w:tcPr>
            <w:tcW w:w="940" w:type="dxa"/>
            <w:tcBorders>
              <w:top w:val="nil"/>
              <w:left w:val="nil"/>
              <w:bottom w:val="single" w:sz="4" w:space="0" w:color="auto"/>
              <w:right w:val="single" w:sz="4" w:space="0" w:color="auto"/>
            </w:tcBorders>
            <w:shd w:val="clear" w:color="auto" w:fill="auto"/>
            <w:noWrap/>
            <w:vAlign w:val="bottom"/>
            <w:hideMark/>
          </w:tcPr>
          <w:p w14:paraId="0F6BF9A6"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940" w:type="dxa"/>
            <w:tcBorders>
              <w:top w:val="nil"/>
              <w:left w:val="nil"/>
              <w:bottom w:val="single" w:sz="4" w:space="0" w:color="auto"/>
              <w:right w:val="single" w:sz="4" w:space="0" w:color="auto"/>
            </w:tcBorders>
            <w:shd w:val="clear" w:color="auto" w:fill="auto"/>
            <w:noWrap/>
            <w:vAlign w:val="bottom"/>
            <w:hideMark/>
          </w:tcPr>
          <w:p w14:paraId="3C55185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0.025</w:t>
            </w:r>
          </w:p>
        </w:tc>
        <w:tc>
          <w:tcPr>
            <w:tcW w:w="940" w:type="dxa"/>
            <w:tcBorders>
              <w:top w:val="nil"/>
              <w:left w:val="nil"/>
              <w:bottom w:val="single" w:sz="4" w:space="0" w:color="auto"/>
              <w:right w:val="single" w:sz="4" w:space="0" w:color="auto"/>
            </w:tcBorders>
            <w:shd w:val="clear" w:color="auto" w:fill="auto"/>
            <w:noWrap/>
            <w:vAlign w:val="bottom"/>
            <w:hideMark/>
          </w:tcPr>
          <w:p w14:paraId="2794976E"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-0.059</w:t>
            </w:r>
          </w:p>
        </w:tc>
        <w:tc>
          <w:tcPr>
            <w:tcW w:w="958" w:type="dxa"/>
            <w:tcBorders>
              <w:top w:val="nil"/>
              <w:left w:val="nil"/>
              <w:bottom w:val="single" w:sz="4" w:space="0" w:color="auto"/>
              <w:right w:val="single" w:sz="4" w:space="0" w:color="auto"/>
            </w:tcBorders>
            <w:shd w:val="clear" w:color="auto" w:fill="auto"/>
            <w:noWrap/>
            <w:vAlign w:val="bottom"/>
            <w:hideMark/>
          </w:tcPr>
          <w:p w14:paraId="0A82232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0.089</w:t>
            </w:r>
          </w:p>
        </w:tc>
        <w:tc>
          <w:tcPr>
            <w:tcW w:w="940" w:type="dxa"/>
            <w:tcBorders>
              <w:top w:val="nil"/>
              <w:left w:val="nil"/>
              <w:bottom w:val="single" w:sz="4" w:space="0" w:color="auto"/>
              <w:right w:val="single" w:sz="4" w:space="0" w:color="auto"/>
            </w:tcBorders>
            <w:shd w:val="clear" w:color="auto" w:fill="auto"/>
            <w:noWrap/>
            <w:vAlign w:val="bottom"/>
            <w:hideMark/>
          </w:tcPr>
          <w:p w14:paraId="3D8BD1AF"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0.021</w:t>
            </w:r>
          </w:p>
        </w:tc>
        <w:tc>
          <w:tcPr>
            <w:tcW w:w="940" w:type="dxa"/>
            <w:tcBorders>
              <w:top w:val="nil"/>
              <w:left w:val="nil"/>
              <w:bottom w:val="single" w:sz="4" w:space="0" w:color="auto"/>
              <w:right w:val="single" w:sz="4" w:space="0" w:color="auto"/>
            </w:tcBorders>
            <w:shd w:val="clear" w:color="auto" w:fill="auto"/>
            <w:noWrap/>
            <w:vAlign w:val="bottom"/>
            <w:hideMark/>
          </w:tcPr>
          <w:p w14:paraId="37F7EEBB"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0.026</w:t>
            </w:r>
          </w:p>
        </w:tc>
        <w:tc>
          <w:tcPr>
            <w:tcW w:w="940" w:type="dxa"/>
            <w:tcBorders>
              <w:top w:val="nil"/>
              <w:left w:val="nil"/>
              <w:bottom w:val="single" w:sz="4" w:space="0" w:color="auto"/>
              <w:right w:val="single" w:sz="4" w:space="0" w:color="auto"/>
            </w:tcBorders>
            <w:shd w:val="clear" w:color="auto" w:fill="auto"/>
            <w:noWrap/>
            <w:vAlign w:val="bottom"/>
            <w:hideMark/>
          </w:tcPr>
          <w:p w14:paraId="3D8E52B3"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-0.059</w:t>
            </w:r>
          </w:p>
        </w:tc>
        <w:tc>
          <w:tcPr>
            <w:tcW w:w="958" w:type="dxa"/>
            <w:tcBorders>
              <w:top w:val="nil"/>
              <w:left w:val="nil"/>
              <w:bottom w:val="single" w:sz="4" w:space="0" w:color="auto"/>
              <w:right w:val="single" w:sz="4" w:space="0" w:color="auto"/>
            </w:tcBorders>
            <w:shd w:val="clear" w:color="auto" w:fill="auto"/>
            <w:noWrap/>
            <w:vAlign w:val="bottom"/>
            <w:hideMark/>
          </w:tcPr>
          <w:p w14:paraId="180783E8"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0.065</w:t>
            </w:r>
          </w:p>
        </w:tc>
      </w:tr>
      <w:tr w:rsidR="00CC7E92" w:rsidRPr="00A86967" w14:paraId="60454670"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2FF0C028"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OH</w:t>
            </w:r>
          </w:p>
        </w:tc>
        <w:tc>
          <w:tcPr>
            <w:tcW w:w="940" w:type="dxa"/>
            <w:tcBorders>
              <w:top w:val="nil"/>
              <w:left w:val="nil"/>
              <w:bottom w:val="single" w:sz="4" w:space="0" w:color="auto"/>
              <w:right w:val="single" w:sz="4" w:space="0" w:color="auto"/>
            </w:tcBorders>
            <w:shd w:val="clear" w:color="auto" w:fill="auto"/>
            <w:noWrap/>
            <w:vAlign w:val="bottom"/>
            <w:hideMark/>
          </w:tcPr>
          <w:p w14:paraId="4208814B"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940" w:type="dxa"/>
            <w:tcBorders>
              <w:top w:val="nil"/>
              <w:left w:val="nil"/>
              <w:bottom w:val="single" w:sz="4" w:space="0" w:color="auto"/>
              <w:right w:val="single" w:sz="4" w:space="0" w:color="auto"/>
            </w:tcBorders>
            <w:shd w:val="clear" w:color="auto" w:fill="auto"/>
            <w:noWrap/>
            <w:vAlign w:val="bottom"/>
            <w:hideMark/>
          </w:tcPr>
          <w:p w14:paraId="5B54EE04"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0.031</w:t>
            </w:r>
          </w:p>
        </w:tc>
        <w:tc>
          <w:tcPr>
            <w:tcW w:w="940" w:type="dxa"/>
            <w:tcBorders>
              <w:top w:val="nil"/>
              <w:left w:val="nil"/>
              <w:bottom w:val="single" w:sz="4" w:space="0" w:color="auto"/>
              <w:right w:val="single" w:sz="4" w:space="0" w:color="auto"/>
            </w:tcBorders>
            <w:shd w:val="clear" w:color="auto" w:fill="auto"/>
            <w:noWrap/>
            <w:vAlign w:val="bottom"/>
            <w:hideMark/>
          </w:tcPr>
          <w:p w14:paraId="643BEC23"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-0.078</w:t>
            </w:r>
          </w:p>
        </w:tc>
        <w:tc>
          <w:tcPr>
            <w:tcW w:w="958" w:type="dxa"/>
            <w:tcBorders>
              <w:top w:val="nil"/>
              <w:left w:val="nil"/>
              <w:bottom w:val="single" w:sz="4" w:space="0" w:color="auto"/>
              <w:right w:val="single" w:sz="4" w:space="0" w:color="auto"/>
            </w:tcBorders>
            <w:shd w:val="clear" w:color="auto" w:fill="auto"/>
            <w:noWrap/>
            <w:vAlign w:val="bottom"/>
            <w:hideMark/>
          </w:tcPr>
          <w:p w14:paraId="69DEEF00"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0.071</w:t>
            </w:r>
          </w:p>
        </w:tc>
        <w:tc>
          <w:tcPr>
            <w:tcW w:w="940" w:type="dxa"/>
            <w:tcBorders>
              <w:top w:val="nil"/>
              <w:left w:val="nil"/>
              <w:bottom w:val="single" w:sz="4" w:space="0" w:color="auto"/>
              <w:right w:val="single" w:sz="4" w:space="0" w:color="auto"/>
            </w:tcBorders>
            <w:shd w:val="clear" w:color="auto" w:fill="auto"/>
            <w:noWrap/>
            <w:vAlign w:val="bottom"/>
            <w:hideMark/>
          </w:tcPr>
          <w:p w14:paraId="2883CF9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0.048</w:t>
            </w:r>
          </w:p>
        </w:tc>
        <w:tc>
          <w:tcPr>
            <w:tcW w:w="940" w:type="dxa"/>
            <w:tcBorders>
              <w:top w:val="nil"/>
              <w:left w:val="nil"/>
              <w:bottom w:val="single" w:sz="4" w:space="0" w:color="auto"/>
              <w:right w:val="single" w:sz="4" w:space="0" w:color="auto"/>
            </w:tcBorders>
            <w:shd w:val="clear" w:color="auto" w:fill="auto"/>
            <w:noWrap/>
            <w:vAlign w:val="bottom"/>
            <w:hideMark/>
          </w:tcPr>
          <w:p w14:paraId="63C049C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0.062</w:t>
            </w:r>
          </w:p>
        </w:tc>
        <w:tc>
          <w:tcPr>
            <w:tcW w:w="940" w:type="dxa"/>
            <w:tcBorders>
              <w:top w:val="nil"/>
              <w:left w:val="nil"/>
              <w:bottom w:val="single" w:sz="4" w:space="0" w:color="auto"/>
              <w:right w:val="single" w:sz="4" w:space="0" w:color="auto"/>
            </w:tcBorders>
            <w:shd w:val="clear" w:color="auto" w:fill="auto"/>
            <w:noWrap/>
            <w:vAlign w:val="bottom"/>
            <w:hideMark/>
          </w:tcPr>
          <w:p w14:paraId="62DAE9F3"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-0.173</w:t>
            </w:r>
          </w:p>
        </w:tc>
        <w:tc>
          <w:tcPr>
            <w:tcW w:w="958" w:type="dxa"/>
            <w:tcBorders>
              <w:top w:val="nil"/>
              <w:left w:val="nil"/>
              <w:bottom w:val="single" w:sz="4" w:space="0" w:color="auto"/>
              <w:right w:val="single" w:sz="4" w:space="0" w:color="auto"/>
            </w:tcBorders>
            <w:shd w:val="clear" w:color="auto" w:fill="auto"/>
            <w:noWrap/>
            <w:vAlign w:val="bottom"/>
            <w:hideMark/>
          </w:tcPr>
          <w:p w14:paraId="034DF1E3"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0.140</w:t>
            </w:r>
          </w:p>
        </w:tc>
      </w:tr>
      <w:tr w:rsidR="00CC7E92" w:rsidRPr="00A86967" w14:paraId="16FFDCBE"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CAC20A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TX</w:t>
            </w:r>
          </w:p>
        </w:tc>
        <w:tc>
          <w:tcPr>
            <w:tcW w:w="940" w:type="dxa"/>
            <w:tcBorders>
              <w:top w:val="nil"/>
              <w:left w:val="nil"/>
              <w:bottom w:val="single" w:sz="4" w:space="0" w:color="auto"/>
              <w:right w:val="single" w:sz="4" w:space="0" w:color="auto"/>
            </w:tcBorders>
            <w:shd w:val="clear" w:color="auto" w:fill="auto"/>
            <w:noWrap/>
            <w:vAlign w:val="bottom"/>
            <w:hideMark/>
          </w:tcPr>
          <w:p w14:paraId="526CF7E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940" w:type="dxa"/>
            <w:tcBorders>
              <w:top w:val="nil"/>
              <w:left w:val="nil"/>
              <w:bottom w:val="single" w:sz="4" w:space="0" w:color="auto"/>
              <w:right w:val="single" w:sz="4" w:space="0" w:color="auto"/>
            </w:tcBorders>
            <w:shd w:val="clear" w:color="auto" w:fill="auto"/>
            <w:noWrap/>
            <w:vAlign w:val="bottom"/>
            <w:hideMark/>
          </w:tcPr>
          <w:p w14:paraId="396F98A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40" w:type="dxa"/>
            <w:tcBorders>
              <w:top w:val="nil"/>
              <w:left w:val="nil"/>
              <w:bottom w:val="single" w:sz="4" w:space="0" w:color="auto"/>
              <w:right w:val="single" w:sz="4" w:space="0" w:color="auto"/>
            </w:tcBorders>
            <w:shd w:val="clear" w:color="auto" w:fill="auto"/>
            <w:noWrap/>
            <w:vAlign w:val="bottom"/>
            <w:hideMark/>
          </w:tcPr>
          <w:p w14:paraId="09405E4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-0.037</w:t>
            </w:r>
          </w:p>
        </w:tc>
        <w:tc>
          <w:tcPr>
            <w:tcW w:w="958" w:type="dxa"/>
            <w:tcBorders>
              <w:top w:val="nil"/>
              <w:left w:val="nil"/>
              <w:bottom w:val="single" w:sz="4" w:space="0" w:color="auto"/>
              <w:right w:val="single" w:sz="4" w:space="0" w:color="auto"/>
            </w:tcBorders>
            <w:shd w:val="clear" w:color="auto" w:fill="auto"/>
            <w:noWrap/>
            <w:vAlign w:val="bottom"/>
            <w:hideMark/>
          </w:tcPr>
          <w:p w14:paraId="056D2C8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0.040</w:t>
            </w:r>
          </w:p>
        </w:tc>
        <w:tc>
          <w:tcPr>
            <w:tcW w:w="940" w:type="dxa"/>
            <w:tcBorders>
              <w:top w:val="nil"/>
              <w:left w:val="nil"/>
              <w:bottom w:val="single" w:sz="4" w:space="0" w:color="auto"/>
              <w:right w:val="single" w:sz="4" w:space="0" w:color="auto"/>
            </w:tcBorders>
            <w:shd w:val="clear" w:color="auto" w:fill="auto"/>
            <w:noWrap/>
            <w:vAlign w:val="bottom"/>
            <w:hideMark/>
          </w:tcPr>
          <w:p w14:paraId="4850DD27"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0.020</w:t>
            </w:r>
          </w:p>
        </w:tc>
        <w:tc>
          <w:tcPr>
            <w:tcW w:w="940" w:type="dxa"/>
            <w:tcBorders>
              <w:top w:val="nil"/>
              <w:left w:val="nil"/>
              <w:bottom w:val="single" w:sz="4" w:space="0" w:color="auto"/>
              <w:right w:val="single" w:sz="4" w:space="0" w:color="auto"/>
            </w:tcBorders>
            <w:shd w:val="clear" w:color="auto" w:fill="auto"/>
            <w:noWrap/>
            <w:vAlign w:val="bottom"/>
            <w:hideMark/>
          </w:tcPr>
          <w:p w14:paraId="6140F2E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0.025</w:t>
            </w:r>
          </w:p>
        </w:tc>
        <w:tc>
          <w:tcPr>
            <w:tcW w:w="940" w:type="dxa"/>
            <w:tcBorders>
              <w:top w:val="nil"/>
              <w:left w:val="nil"/>
              <w:bottom w:val="single" w:sz="4" w:space="0" w:color="auto"/>
              <w:right w:val="single" w:sz="4" w:space="0" w:color="auto"/>
            </w:tcBorders>
            <w:shd w:val="clear" w:color="auto" w:fill="auto"/>
            <w:noWrap/>
            <w:vAlign w:val="bottom"/>
            <w:hideMark/>
          </w:tcPr>
          <w:p w14:paraId="13B3DB5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-0.069</w:t>
            </w:r>
          </w:p>
        </w:tc>
        <w:tc>
          <w:tcPr>
            <w:tcW w:w="958" w:type="dxa"/>
            <w:tcBorders>
              <w:top w:val="nil"/>
              <w:left w:val="nil"/>
              <w:bottom w:val="single" w:sz="4" w:space="0" w:color="auto"/>
              <w:right w:val="single" w:sz="4" w:space="0" w:color="auto"/>
            </w:tcBorders>
            <w:shd w:val="clear" w:color="auto" w:fill="auto"/>
            <w:noWrap/>
            <w:vAlign w:val="bottom"/>
            <w:hideMark/>
          </w:tcPr>
          <w:p w14:paraId="75F36F40"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0.053</w:t>
            </w:r>
          </w:p>
        </w:tc>
      </w:tr>
      <w:tr w:rsidR="00CC7E92" w:rsidRPr="00A86967" w14:paraId="26E24693"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0C42D7A"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WA</w:t>
            </w:r>
          </w:p>
        </w:tc>
        <w:tc>
          <w:tcPr>
            <w:tcW w:w="940" w:type="dxa"/>
            <w:tcBorders>
              <w:top w:val="nil"/>
              <w:left w:val="nil"/>
              <w:bottom w:val="single" w:sz="4" w:space="0" w:color="auto"/>
              <w:right w:val="single" w:sz="4" w:space="0" w:color="auto"/>
            </w:tcBorders>
            <w:shd w:val="clear" w:color="auto" w:fill="auto"/>
            <w:noWrap/>
            <w:vAlign w:val="bottom"/>
            <w:hideMark/>
          </w:tcPr>
          <w:p w14:paraId="311193F6"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0.014</w:t>
            </w:r>
          </w:p>
        </w:tc>
        <w:tc>
          <w:tcPr>
            <w:tcW w:w="940" w:type="dxa"/>
            <w:tcBorders>
              <w:top w:val="nil"/>
              <w:left w:val="nil"/>
              <w:bottom w:val="single" w:sz="4" w:space="0" w:color="auto"/>
              <w:right w:val="single" w:sz="4" w:space="0" w:color="auto"/>
            </w:tcBorders>
            <w:shd w:val="clear" w:color="auto" w:fill="auto"/>
            <w:noWrap/>
            <w:vAlign w:val="bottom"/>
            <w:hideMark/>
          </w:tcPr>
          <w:p w14:paraId="0A661AE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0.018</w:t>
            </w:r>
          </w:p>
        </w:tc>
        <w:tc>
          <w:tcPr>
            <w:tcW w:w="940" w:type="dxa"/>
            <w:tcBorders>
              <w:top w:val="nil"/>
              <w:left w:val="nil"/>
              <w:bottom w:val="single" w:sz="4" w:space="0" w:color="auto"/>
              <w:right w:val="single" w:sz="4" w:space="0" w:color="auto"/>
            </w:tcBorders>
            <w:shd w:val="clear" w:color="auto" w:fill="auto"/>
            <w:noWrap/>
            <w:vAlign w:val="bottom"/>
            <w:hideMark/>
          </w:tcPr>
          <w:p w14:paraId="0A232E9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-0.056</w:t>
            </w:r>
          </w:p>
        </w:tc>
        <w:tc>
          <w:tcPr>
            <w:tcW w:w="958" w:type="dxa"/>
            <w:tcBorders>
              <w:top w:val="nil"/>
              <w:left w:val="nil"/>
              <w:bottom w:val="single" w:sz="4" w:space="0" w:color="auto"/>
              <w:right w:val="single" w:sz="4" w:space="0" w:color="auto"/>
            </w:tcBorders>
            <w:shd w:val="clear" w:color="auto" w:fill="auto"/>
            <w:noWrap/>
            <w:vAlign w:val="bottom"/>
            <w:hideMark/>
          </w:tcPr>
          <w:p w14:paraId="02C0324D"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0.056</w:t>
            </w:r>
          </w:p>
        </w:tc>
        <w:tc>
          <w:tcPr>
            <w:tcW w:w="940" w:type="dxa"/>
            <w:tcBorders>
              <w:top w:val="nil"/>
              <w:left w:val="nil"/>
              <w:bottom w:val="single" w:sz="4" w:space="0" w:color="auto"/>
              <w:right w:val="single" w:sz="4" w:space="0" w:color="auto"/>
            </w:tcBorders>
            <w:shd w:val="clear" w:color="auto" w:fill="auto"/>
            <w:noWrap/>
            <w:vAlign w:val="bottom"/>
            <w:hideMark/>
          </w:tcPr>
          <w:p w14:paraId="225671B7"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0.019</w:t>
            </w:r>
          </w:p>
        </w:tc>
        <w:tc>
          <w:tcPr>
            <w:tcW w:w="940" w:type="dxa"/>
            <w:tcBorders>
              <w:top w:val="nil"/>
              <w:left w:val="nil"/>
              <w:bottom w:val="single" w:sz="4" w:space="0" w:color="auto"/>
              <w:right w:val="single" w:sz="4" w:space="0" w:color="auto"/>
            </w:tcBorders>
            <w:shd w:val="clear" w:color="auto" w:fill="auto"/>
            <w:noWrap/>
            <w:vAlign w:val="bottom"/>
            <w:hideMark/>
          </w:tcPr>
          <w:p w14:paraId="695546B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0.024</w:t>
            </w:r>
          </w:p>
        </w:tc>
        <w:tc>
          <w:tcPr>
            <w:tcW w:w="940" w:type="dxa"/>
            <w:tcBorders>
              <w:top w:val="nil"/>
              <w:left w:val="nil"/>
              <w:bottom w:val="single" w:sz="4" w:space="0" w:color="auto"/>
              <w:right w:val="single" w:sz="4" w:space="0" w:color="auto"/>
            </w:tcBorders>
            <w:shd w:val="clear" w:color="auto" w:fill="auto"/>
            <w:noWrap/>
            <w:vAlign w:val="bottom"/>
            <w:hideMark/>
          </w:tcPr>
          <w:p w14:paraId="07876F32"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-0.068</w:t>
            </w:r>
          </w:p>
        </w:tc>
        <w:tc>
          <w:tcPr>
            <w:tcW w:w="958" w:type="dxa"/>
            <w:tcBorders>
              <w:top w:val="nil"/>
              <w:left w:val="nil"/>
              <w:bottom w:val="single" w:sz="4" w:space="0" w:color="auto"/>
              <w:right w:val="single" w:sz="4" w:space="0" w:color="auto"/>
            </w:tcBorders>
            <w:shd w:val="clear" w:color="auto" w:fill="auto"/>
            <w:noWrap/>
            <w:vAlign w:val="bottom"/>
            <w:hideMark/>
          </w:tcPr>
          <w:p w14:paraId="71C17CEB"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0.069</w:t>
            </w:r>
          </w:p>
        </w:tc>
      </w:tr>
      <w:tr w:rsidR="00CC7E92" w:rsidRPr="00A86967" w14:paraId="0AFBE72E"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1BA2AFA"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E0F8DC9"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5BF5778"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788B95BE"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14:paraId="1DFCA398" w14:textId="77777777" w:rsidR="00CC7E92" w:rsidRPr="000B3157" w:rsidRDefault="00CC7E92"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001CC495"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AAE2ABE"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36AAB815"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14:paraId="4E64C58F" w14:textId="77777777" w:rsidR="00CC7E92" w:rsidRPr="000B3157" w:rsidRDefault="00CC7E92"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CC7E92" w:rsidRPr="00A86967" w14:paraId="3C3961CA"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7CE07638"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Boston</w:t>
            </w:r>
          </w:p>
        </w:tc>
        <w:tc>
          <w:tcPr>
            <w:tcW w:w="940" w:type="dxa"/>
            <w:tcBorders>
              <w:top w:val="nil"/>
              <w:left w:val="nil"/>
              <w:bottom w:val="single" w:sz="4" w:space="0" w:color="auto"/>
              <w:right w:val="single" w:sz="4" w:space="0" w:color="auto"/>
            </w:tcBorders>
            <w:shd w:val="clear" w:color="auto" w:fill="auto"/>
            <w:noWrap/>
            <w:vAlign w:val="bottom"/>
            <w:hideMark/>
          </w:tcPr>
          <w:p w14:paraId="4A24507C"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40" w:type="dxa"/>
            <w:tcBorders>
              <w:top w:val="nil"/>
              <w:left w:val="nil"/>
              <w:bottom w:val="single" w:sz="4" w:space="0" w:color="auto"/>
              <w:right w:val="single" w:sz="4" w:space="0" w:color="auto"/>
            </w:tcBorders>
            <w:shd w:val="clear" w:color="auto" w:fill="auto"/>
            <w:noWrap/>
            <w:vAlign w:val="bottom"/>
            <w:hideMark/>
          </w:tcPr>
          <w:p w14:paraId="6E306E8D"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0.033</w:t>
            </w:r>
          </w:p>
        </w:tc>
        <w:tc>
          <w:tcPr>
            <w:tcW w:w="940" w:type="dxa"/>
            <w:tcBorders>
              <w:top w:val="nil"/>
              <w:left w:val="nil"/>
              <w:bottom w:val="single" w:sz="4" w:space="0" w:color="auto"/>
              <w:right w:val="single" w:sz="4" w:space="0" w:color="auto"/>
            </w:tcBorders>
            <w:shd w:val="clear" w:color="auto" w:fill="auto"/>
            <w:noWrap/>
            <w:vAlign w:val="bottom"/>
            <w:hideMark/>
          </w:tcPr>
          <w:p w14:paraId="530DF854"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-0.080</w:t>
            </w:r>
          </w:p>
        </w:tc>
        <w:tc>
          <w:tcPr>
            <w:tcW w:w="958" w:type="dxa"/>
            <w:tcBorders>
              <w:top w:val="nil"/>
              <w:left w:val="nil"/>
              <w:bottom w:val="single" w:sz="4" w:space="0" w:color="auto"/>
              <w:right w:val="single" w:sz="4" w:space="0" w:color="auto"/>
            </w:tcBorders>
            <w:shd w:val="clear" w:color="auto" w:fill="auto"/>
            <w:noWrap/>
            <w:vAlign w:val="bottom"/>
            <w:hideMark/>
          </w:tcPr>
          <w:p w14:paraId="59FC97F0"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0.092</w:t>
            </w:r>
          </w:p>
        </w:tc>
        <w:tc>
          <w:tcPr>
            <w:tcW w:w="940" w:type="dxa"/>
            <w:tcBorders>
              <w:top w:val="nil"/>
              <w:left w:val="nil"/>
              <w:bottom w:val="single" w:sz="4" w:space="0" w:color="auto"/>
              <w:right w:val="single" w:sz="4" w:space="0" w:color="auto"/>
            </w:tcBorders>
            <w:shd w:val="clear" w:color="auto" w:fill="auto"/>
            <w:noWrap/>
            <w:vAlign w:val="bottom"/>
            <w:hideMark/>
          </w:tcPr>
          <w:p w14:paraId="4A5DC1D5"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0.029</w:t>
            </w:r>
          </w:p>
        </w:tc>
        <w:tc>
          <w:tcPr>
            <w:tcW w:w="940" w:type="dxa"/>
            <w:tcBorders>
              <w:top w:val="nil"/>
              <w:left w:val="nil"/>
              <w:bottom w:val="single" w:sz="4" w:space="0" w:color="auto"/>
              <w:right w:val="single" w:sz="4" w:space="0" w:color="auto"/>
            </w:tcBorders>
            <w:shd w:val="clear" w:color="auto" w:fill="auto"/>
            <w:noWrap/>
            <w:vAlign w:val="bottom"/>
            <w:hideMark/>
          </w:tcPr>
          <w:p w14:paraId="09E1D496"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0.040</w:t>
            </w:r>
          </w:p>
        </w:tc>
        <w:tc>
          <w:tcPr>
            <w:tcW w:w="940" w:type="dxa"/>
            <w:tcBorders>
              <w:top w:val="nil"/>
              <w:left w:val="nil"/>
              <w:bottom w:val="single" w:sz="4" w:space="0" w:color="auto"/>
              <w:right w:val="single" w:sz="4" w:space="0" w:color="auto"/>
            </w:tcBorders>
            <w:shd w:val="clear" w:color="auto" w:fill="auto"/>
            <w:noWrap/>
            <w:vAlign w:val="bottom"/>
            <w:hideMark/>
          </w:tcPr>
          <w:p w14:paraId="37A5278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-0.120</w:t>
            </w:r>
          </w:p>
        </w:tc>
        <w:tc>
          <w:tcPr>
            <w:tcW w:w="958" w:type="dxa"/>
            <w:tcBorders>
              <w:top w:val="nil"/>
              <w:left w:val="nil"/>
              <w:bottom w:val="single" w:sz="4" w:space="0" w:color="auto"/>
              <w:right w:val="single" w:sz="4" w:space="0" w:color="auto"/>
            </w:tcBorders>
            <w:shd w:val="clear" w:color="auto" w:fill="auto"/>
            <w:noWrap/>
            <w:vAlign w:val="bottom"/>
            <w:hideMark/>
          </w:tcPr>
          <w:p w14:paraId="55EB3AB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0.085</w:t>
            </w:r>
          </w:p>
        </w:tc>
      </w:tr>
      <w:tr w:rsidR="00CC7E92" w:rsidRPr="00A86967" w14:paraId="717A4CE2"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0696943"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Chicago</w:t>
            </w:r>
          </w:p>
        </w:tc>
        <w:tc>
          <w:tcPr>
            <w:tcW w:w="940" w:type="dxa"/>
            <w:tcBorders>
              <w:top w:val="nil"/>
              <w:left w:val="nil"/>
              <w:bottom w:val="single" w:sz="4" w:space="0" w:color="auto"/>
              <w:right w:val="single" w:sz="4" w:space="0" w:color="auto"/>
            </w:tcBorders>
            <w:shd w:val="clear" w:color="auto" w:fill="auto"/>
            <w:noWrap/>
            <w:vAlign w:val="bottom"/>
            <w:hideMark/>
          </w:tcPr>
          <w:p w14:paraId="66F7F1E0"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40" w:type="dxa"/>
            <w:tcBorders>
              <w:top w:val="nil"/>
              <w:left w:val="nil"/>
              <w:bottom w:val="single" w:sz="4" w:space="0" w:color="auto"/>
              <w:right w:val="single" w:sz="4" w:space="0" w:color="auto"/>
            </w:tcBorders>
            <w:shd w:val="clear" w:color="auto" w:fill="auto"/>
            <w:noWrap/>
            <w:vAlign w:val="bottom"/>
            <w:hideMark/>
          </w:tcPr>
          <w:p w14:paraId="5107039B"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0.033</w:t>
            </w:r>
          </w:p>
        </w:tc>
        <w:tc>
          <w:tcPr>
            <w:tcW w:w="940" w:type="dxa"/>
            <w:tcBorders>
              <w:top w:val="nil"/>
              <w:left w:val="nil"/>
              <w:bottom w:val="single" w:sz="4" w:space="0" w:color="auto"/>
              <w:right w:val="single" w:sz="4" w:space="0" w:color="auto"/>
            </w:tcBorders>
            <w:shd w:val="clear" w:color="auto" w:fill="auto"/>
            <w:noWrap/>
            <w:vAlign w:val="bottom"/>
            <w:hideMark/>
          </w:tcPr>
          <w:p w14:paraId="15222262"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-0.095</w:t>
            </w:r>
          </w:p>
        </w:tc>
        <w:tc>
          <w:tcPr>
            <w:tcW w:w="958" w:type="dxa"/>
            <w:tcBorders>
              <w:top w:val="nil"/>
              <w:left w:val="nil"/>
              <w:bottom w:val="single" w:sz="4" w:space="0" w:color="auto"/>
              <w:right w:val="single" w:sz="4" w:space="0" w:color="auto"/>
            </w:tcBorders>
            <w:shd w:val="clear" w:color="auto" w:fill="auto"/>
            <w:noWrap/>
            <w:vAlign w:val="bottom"/>
            <w:hideMark/>
          </w:tcPr>
          <w:p w14:paraId="598DD19B"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0.081</w:t>
            </w:r>
          </w:p>
        </w:tc>
        <w:tc>
          <w:tcPr>
            <w:tcW w:w="940" w:type="dxa"/>
            <w:tcBorders>
              <w:top w:val="nil"/>
              <w:left w:val="nil"/>
              <w:bottom w:val="single" w:sz="4" w:space="0" w:color="auto"/>
              <w:right w:val="single" w:sz="4" w:space="0" w:color="auto"/>
            </w:tcBorders>
            <w:shd w:val="clear" w:color="auto" w:fill="auto"/>
            <w:noWrap/>
            <w:vAlign w:val="bottom"/>
            <w:hideMark/>
          </w:tcPr>
          <w:p w14:paraId="30AF168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0.052</w:t>
            </w:r>
          </w:p>
        </w:tc>
        <w:tc>
          <w:tcPr>
            <w:tcW w:w="940" w:type="dxa"/>
            <w:tcBorders>
              <w:top w:val="nil"/>
              <w:left w:val="nil"/>
              <w:bottom w:val="single" w:sz="4" w:space="0" w:color="auto"/>
              <w:right w:val="single" w:sz="4" w:space="0" w:color="auto"/>
            </w:tcBorders>
            <w:shd w:val="clear" w:color="auto" w:fill="auto"/>
            <w:noWrap/>
            <w:vAlign w:val="bottom"/>
            <w:hideMark/>
          </w:tcPr>
          <w:p w14:paraId="47FF1B9E" w14:textId="77777777" w:rsidR="00CC7E92" w:rsidRPr="000B3157" w:rsidRDefault="00CC7E92" w:rsidP="000A39F0">
            <w:pPr>
              <w:spacing w:after="0" w:line="240" w:lineRule="auto"/>
              <w:jc w:val="right"/>
              <w:rPr>
                <w:rFonts w:ascii="Arial" w:eastAsia="Times New Roman" w:hAnsi="Arial" w:cs="Arial"/>
                <w:b/>
                <w:i/>
                <w:color w:val="FF0000"/>
                <w:sz w:val="16"/>
                <w:szCs w:val="16"/>
              </w:rPr>
            </w:pPr>
            <w:r w:rsidRPr="000B3157">
              <w:rPr>
                <w:rFonts w:ascii="Arial" w:eastAsia="Times New Roman" w:hAnsi="Arial" w:cs="Arial"/>
                <w:b/>
                <w:i/>
                <w:color w:val="FF0000"/>
                <w:sz w:val="16"/>
                <w:szCs w:val="16"/>
              </w:rPr>
              <w:t>0.067</w:t>
            </w:r>
          </w:p>
        </w:tc>
        <w:tc>
          <w:tcPr>
            <w:tcW w:w="940" w:type="dxa"/>
            <w:tcBorders>
              <w:top w:val="nil"/>
              <w:left w:val="nil"/>
              <w:bottom w:val="single" w:sz="4" w:space="0" w:color="auto"/>
              <w:right w:val="single" w:sz="4" w:space="0" w:color="auto"/>
            </w:tcBorders>
            <w:shd w:val="clear" w:color="auto" w:fill="auto"/>
            <w:noWrap/>
            <w:vAlign w:val="bottom"/>
            <w:hideMark/>
          </w:tcPr>
          <w:p w14:paraId="20D3648D" w14:textId="77777777" w:rsidR="00CC7E92" w:rsidRPr="000B3157" w:rsidRDefault="00CC7E92" w:rsidP="000A39F0">
            <w:pPr>
              <w:spacing w:after="0" w:line="240" w:lineRule="auto"/>
              <w:jc w:val="right"/>
              <w:rPr>
                <w:rFonts w:ascii="Arial" w:eastAsia="Times New Roman" w:hAnsi="Arial" w:cs="Arial"/>
                <w:b/>
                <w:i/>
                <w:color w:val="FF0000"/>
                <w:sz w:val="16"/>
                <w:szCs w:val="16"/>
              </w:rPr>
            </w:pPr>
            <w:r w:rsidRPr="000B3157">
              <w:rPr>
                <w:rFonts w:ascii="Arial" w:eastAsia="Times New Roman" w:hAnsi="Arial" w:cs="Arial"/>
                <w:b/>
                <w:i/>
                <w:color w:val="FF0000"/>
                <w:sz w:val="16"/>
                <w:szCs w:val="16"/>
              </w:rPr>
              <w:t>-0.202</w:t>
            </w:r>
          </w:p>
        </w:tc>
        <w:tc>
          <w:tcPr>
            <w:tcW w:w="958" w:type="dxa"/>
            <w:tcBorders>
              <w:top w:val="nil"/>
              <w:left w:val="nil"/>
              <w:bottom w:val="single" w:sz="4" w:space="0" w:color="auto"/>
              <w:right w:val="single" w:sz="4" w:space="0" w:color="auto"/>
            </w:tcBorders>
            <w:shd w:val="clear" w:color="auto" w:fill="auto"/>
            <w:noWrap/>
            <w:vAlign w:val="bottom"/>
            <w:hideMark/>
          </w:tcPr>
          <w:p w14:paraId="68C53B2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0.147</w:t>
            </w:r>
          </w:p>
        </w:tc>
      </w:tr>
      <w:tr w:rsidR="00CC7E92" w:rsidRPr="00A86967" w14:paraId="20866EE2"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7BE46984"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Cleveland</w:t>
            </w:r>
          </w:p>
        </w:tc>
        <w:tc>
          <w:tcPr>
            <w:tcW w:w="940" w:type="dxa"/>
            <w:tcBorders>
              <w:top w:val="nil"/>
              <w:left w:val="nil"/>
              <w:bottom w:val="single" w:sz="4" w:space="0" w:color="auto"/>
              <w:right w:val="single" w:sz="4" w:space="0" w:color="auto"/>
            </w:tcBorders>
            <w:shd w:val="clear" w:color="auto" w:fill="auto"/>
            <w:noWrap/>
            <w:vAlign w:val="bottom"/>
            <w:hideMark/>
          </w:tcPr>
          <w:p w14:paraId="04B0F10E"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940" w:type="dxa"/>
            <w:tcBorders>
              <w:top w:val="nil"/>
              <w:left w:val="nil"/>
              <w:bottom w:val="single" w:sz="4" w:space="0" w:color="auto"/>
              <w:right w:val="single" w:sz="4" w:space="0" w:color="auto"/>
            </w:tcBorders>
            <w:shd w:val="clear" w:color="auto" w:fill="auto"/>
            <w:noWrap/>
            <w:vAlign w:val="bottom"/>
            <w:hideMark/>
          </w:tcPr>
          <w:p w14:paraId="131C628E"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0.031</w:t>
            </w:r>
          </w:p>
        </w:tc>
        <w:tc>
          <w:tcPr>
            <w:tcW w:w="940" w:type="dxa"/>
            <w:tcBorders>
              <w:top w:val="nil"/>
              <w:left w:val="nil"/>
              <w:bottom w:val="single" w:sz="4" w:space="0" w:color="auto"/>
              <w:right w:val="single" w:sz="4" w:space="0" w:color="auto"/>
            </w:tcBorders>
            <w:shd w:val="clear" w:color="auto" w:fill="auto"/>
            <w:noWrap/>
            <w:vAlign w:val="bottom"/>
            <w:hideMark/>
          </w:tcPr>
          <w:p w14:paraId="42FDAB77"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-0.095</w:t>
            </w:r>
          </w:p>
        </w:tc>
        <w:tc>
          <w:tcPr>
            <w:tcW w:w="958" w:type="dxa"/>
            <w:tcBorders>
              <w:top w:val="nil"/>
              <w:left w:val="nil"/>
              <w:bottom w:val="single" w:sz="4" w:space="0" w:color="auto"/>
              <w:right w:val="single" w:sz="4" w:space="0" w:color="auto"/>
            </w:tcBorders>
            <w:shd w:val="clear" w:color="auto" w:fill="auto"/>
            <w:noWrap/>
            <w:vAlign w:val="bottom"/>
            <w:hideMark/>
          </w:tcPr>
          <w:p w14:paraId="18A7D1D2"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0.073</w:t>
            </w:r>
          </w:p>
        </w:tc>
        <w:tc>
          <w:tcPr>
            <w:tcW w:w="940" w:type="dxa"/>
            <w:tcBorders>
              <w:top w:val="nil"/>
              <w:left w:val="nil"/>
              <w:bottom w:val="single" w:sz="4" w:space="0" w:color="auto"/>
              <w:right w:val="single" w:sz="4" w:space="0" w:color="auto"/>
            </w:tcBorders>
            <w:shd w:val="clear" w:color="auto" w:fill="auto"/>
            <w:noWrap/>
            <w:vAlign w:val="bottom"/>
            <w:hideMark/>
          </w:tcPr>
          <w:p w14:paraId="792913B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0.047</w:t>
            </w:r>
          </w:p>
        </w:tc>
        <w:tc>
          <w:tcPr>
            <w:tcW w:w="940" w:type="dxa"/>
            <w:tcBorders>
              <w:top w:val="nil"/>
              <w:left w:val="nil"/>
              <w:bottom w:val="single" w:sz="4" w:space="0" w:color="auto"/>
              <w:right w:val="single" w:sz="4" w:space="0" w:color="auto"/>
            </w:tcBorders>
            <w:shd w:val="clear" w:color="auto" w:fill="auto"/>
            <w:noWrap/>
            <w:vAlign w:val="bottom"/>
            <w:hideMark/>
          </w:tcPr>
          <w:p w14:paraId="37E7518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0.061</w:t>
            </w:r>
          </w:p>
        </w:tc>
        <w:tc>
          <w:tcPr>
            <w:tcW w:w="940" w:type="dxa"/>
            <w:tcBorders>
              <w:top w:val="nil"/>
              <w:left w:val="nil"/>
              <w:bottom w:val="single" w:sz="4" w:space="0" w:color="auto"/>
              <w:right w:val="single" w:sz="4" w:space="0" w:color="auto"/>
            </w:tcBorders>
            <w:shd w:val="clear" w:color="auto" w:fill="auto"/>
            <w:noWrap/>
            <w:vAlign w:val="bottom"/>
            <w:hideMark/>
          </w:tcPr>
          <w:p w14:paraId="402FFC2A"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-0.166</w:t>
            </w:r>
          </w:p>
        </w:tc>
        <w:tc>
          <w:tcPr>
            <w:tcW w:w="958" w:type="dxa"/>
            <w:tcBorders>
              <w:top w:val="nil"/>
              <w:left w:val="nil"/>
              <w:bottom w:val="single" w:sz="4" w:space="0" w:color="auto"/>
              <w:right w:val="single" w:sz="4" w:space="0" w:color="auto"/>
            </w:tcBorders>
            <w:shd w:val="clear" w:color="auto" w:fill="auto"/>
            <w:noWrap/>
            <w:vAlign w:val="bottom"/>
            <w:hideMark/>
          </w:tcPr>
          <w:p w14:paraId="0BE9B9B8"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0.139</w:t>
            </w:r>
          </w:p>
        </w:tc>
      </w:tr>
      <w:tr w:rsidR="00CC7E92" w:rsidRPr="00A86967" w14:paraId="498B4EA7"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60589FED"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Denver</w:t>
            </w:r>
          </w:p>
        </w:tc>
        <w:tc>
          <w:tcPr>
            <w:tcW w:w="940" w:type="dxa"/>
            <w:tcBorders>
              <w:top w:val="nil"/>
              <w:left w:val="nil"/>
              <w:bottom w:val="single" w:sz="4" w:space="0" w:color="auto"/>
              <w:right w:val="single" w:sz="4" w:space="0" w:color="auto"/>
            </w:tcBorders>
            <w:shd w:val="clear" w:color="auto" w:fill="auto"/>
            <w:noWrap/>
            <w:vAlign w:val="bottom"/>
            <w:hideMark/>
          </w:tcPr>
          <w:p w14:paraId="42FC4068"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0.025</w:t>
            </w:r>
          </w:p>
        </w:tc>
        <w:tc>
          <w:tcPr>
            <w:tcW w:w="940" w:type="dxa"/>
            <w:tcBorders>
              <w:top w:val="nil"/>
              <w:left w:val="nil"/>
              <w:bottom w:val="single" w:sz="4" w:space="0" w:color="auto"/>
              <w:right w:val="single" w:sz="4" w:space="0" w:color="auto"/>
            </w:tcBorders>
            <w:shd w:val="clear" w:color="auto" w:fill="auto"/>
            <w:noWrap/>
            <w:vAlign w:val="bottom"/>
            <w:hideMark/>
          </w:tcPr>
          <w:p w14:paraId="623FB28A"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0.032</w:t>
            </w:r>
          </w:p>
        </w:tc>
        <w:tc>
          <w:tcPr>
            <w:tcW w:w="940" w:type="dxa"/>
            <w:tcBorders>
              <w:top w:val="nil"/>
              <w:left w:val="nil"/>
              <w:bottom w:val="single" w:sz="4" w:space="0" w:color="auto"/>
              <w:right w:val="single" w:sz="4" w:space="0" w:color="auto"/>
            </w:tcBorders>
            <w:shd w:val="clear" w:color="auto" w:fill="auto"/>
            <w:noWrap/>
            <w:vAlign w:val="bottom"/>
            <w:hideMark/>
          </w:tcPr>
          <w:p w14:paraId="40B15364"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-0.090</w:t>
            </w:r>
          </w:p>
        </w:tc>
        <w:tc>
          <w:tcPr>
            <w:tcW w:w="958" w:type="dxa"/>
            <w:tcBorders>
              <w:top w:val="nil"/>
              <w:left w:val="nil"/>
              <w:bottom w:val="single" w:sz="4" w:space="0" w:color="auto"/>
              <w:right w:val="single" w:sz="4" w:space="0" w:color="auto"/>
            </w:tcBorders>
            <w:shd w:val="clear" w:color="auto" w:fill="auto"/>
            <w:noWrap/>
            <w:vAlign w:val="bottom"/>
            <w:hideMark/>
          </w:tcPr>
          <w:p w14:paraId="6DD8F572"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0.047</w:t>
            </w:r>
          </w:p>
        </w:tc>
        <w:tc>
          <w:tcPr>
            <w:tcW w:w="940" w:type="dxa"/>
            <w:tcBorders>
              <w:top w:val="nil"/>
              <w:left w:val="nil"/>
              <w:bottom w:val="single" w:sz="4" w:space="0" w:color="auto"/>
              <w:right w:val="single" w:sz="4" w:space="0" w:color="auto"/>
            </w:tcBorders>
            <w:shd w:val="clear" w:color="auto" w:fill="auto"/>
            <w:noWrap/>
            <w:vAlign w:val="bottom"/>
            <w:hideMark/>
          </w:tcPr>
          <w:p w14:paraId="374D199D"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0.049</w:t>
            </w:r>
          </w:p>
        </w:tc>
        <w:tc>
          <w:tcPr>
            <w:tcW w:w="940" w:type="dxa"/>
            <w:tcBorders>
              <w:top w:val="nil"/>
              <w:left w:val="nil"/>
              <w:bottom w:val="single" w:sz="4" w:space="0" w:color="auto"/>
              <w:right w:val="single" w:sz="4" w:space="0" w:color="auto"/>
            </w:tcBorders>
            <w:shd w:val="clear" w:color="auto" w:fill="auto"/>
            <w:noWrap/>
            <w:vAlign w:val="bottom"/>
            <w:hideMark/>
          </w:tcPr>
          <w:p w14:paraId="23DC77F9"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0.063</w:t>
            </w:r>
          </w:p>
        </w:tc>
        <w:tc>
          <w:tcPr>
            <w:tcW w:w="940" w:type="dxa"/>
            <w:tcBorders>
              <w:top w:val="nil"/>
              <w:left w:val="nil"/>
              <w:bottom w:val="single" w:sz="4" w:space="0" w:color="auto"/>
              <w:right w:val="single" w:sz="4" w:space="0" w:color="auto"/>
            </w:tcBorders>
            <w:shd w:val="clear" w:color="auto" w:fill="auto"/>
            <w:noWrap/>
            <w:vAlign w:val="bottom"/>
            <w:hideMark/>
          </w:tcPr>
          <w:p w14:paraId="5BF3606D"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-0.189</w:t>
            </w:r>
          </w:p>
        </w:tc>
        <w:tc>
          <w:tcPr>
            <w:tcW w:w="958" w:type="dxa"/>
            <w:tcBorders>
              <w:top w:val="nil"/>
              <w:left w:val="nil"/>
              <w:bottom w:val="single" w:sz="4" w:space="0" w:color="auto"/>
              <w:right w:val="single" w:sz="4" w:space="0" w:color="auto"/>
            </w:tcBorders>
            <w:shd w:val="clear" w:color="auto" w:fill="auto"/>
            <w:noWrap/>
            <w:vAlign w:val="bottom"/>
            <w:hideMark/>
          </w:tcPr>
          <w:p w14:paraId="22C70EB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0.091</w:t>
            </w:r>
          </w:p>
        </w:tc>
      </w:tr>
      <w:tr w:rsidR="00CC7E92" w:rsidRPr="00A86967" w14:paraId="6636CF05"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05538E9"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Houston</w:t>
            </w:r>
          </w:p>
        </w:tc>
        <w:tc>
          <w:tcPr>
            <w:tcW w:w="940" w:type="dxa"/>
            <w:tcBorders>
              <w:top w:val="nil"/>
              <w:left w:val="nil"/>
              <w:bottom w:val="single" w:sz="4" w:space="0" w:color="auto"/>
              <w:right w:val="single" w:sz="4" w:space="0" w:color="auto"/>
            </w:tcBorders>
            <w:shd w:val="clear" w:color="auto" w:fill="auto"/>
            <w:noWrap/>
            <w:vAlign w:val="bottom"/>
            <w:hideMark/>
          </w:tcPr>
          <w:p w14:paraId="6074E6C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40" w:type="dxa"/>
            <w:tcBorders>
              <w:top w:val="nil"/>
              <w:left w:val="nil"/>
              <w:bottom w:val="single" w:sz="4" w:space="0" w:color="auto"/>
              <w:right w:val="single" w:sz="4" w:space="0" w:color="auto"/>
            </w:tcBorders>
            <w:shd w:val="clear" w:color="auto" w:fill="auto"/>
            <w:noWrap/>
            <w:vAlign w:val="bottom"/>
            <w:hideMark/>
          </w:tcPr>
          <w:p w14:paraId="7FC58F71"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0.021</w:t>
            </w:r>
          </w:p>
        </w:tc>
        <w:tc>
          <w:tcPr>
            <w:tcW w:w="940" w:type="dxa"/>
            <w:tcBorders>
              <w:top w:val="nil"/>
              <w:left w:val="nil"/>
              <w:bottom w:val="single" w:sz="4" w:space="0" w:color="auto"/>
              <w:right w:val="single" w:sz="4" w:space="0" w:color="auto"/>
            </w:tcBorders>
            <w:shd w:val="clear" w:color="auto" w:fill="auto"/>
            <w:noWrap/>
            <w:vAlign w:val="bottom"/>
            <w:hideMark/>
          </w:tcPr>
          <w:p w14:paraId="591CF10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-0.050</w:t>
            </w:r>
          </w:p>
        </w:tc>
        <w:tc>
          <w:tcPr>
            <w:tcW w:w="958" w:type="dxa"/>
            <w:tcBorders>
              <w:top w:val="nil"/>
              <w:left w:val="nil"/>
              <w:bottom w:val="single" w:sz="4" w:space="0" w:color="auto"/>
              <w:right w:val="single" w:sz="4" w:space="0" w:color="auto"/>
            </w:tcBorders>
            <w:shd w:val="clear" w:color="auto" w:fill="auto"/>
            <w:noWrap/>
            <w:vAlign w:val="bottom"/>
            <w:hideMark/>
          </w:tcPr>
          <w:p w14:paraId="4656EFC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0.066</w:t>
            </w:r>
          </w:p>
        </w:tc>
        <w:tc>
          <w:tcPr>
            <w:tcW w:w="940" w:type="dxa"/>
            <w:tcBorders>
              <w:top w:val="nil"/>
              <w:left w:val="nil"/>
              <w:bottom w:val="single" w:sz="4" w:space="0" w:color="auto"/>
              <w:right w:val="single" w:sz="4" w:space="0" w:color="auto"/>
            </w:tcBorders>
            <w:shd w:val="clear" w:color="auto" w:fill="auto"/>
            <w:noWrap/>
            <w:vAlign w:val="bottom"/>
            <w:hideMark/>
          </w:tcPr>
          <w:p w14:paraId="103AAB5F"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0.021</w:t>
            </w:r>
          </w:p>
        </w:tc>
        <w:tc>
          <w:tcPr>
            <w:tcW w:w="940" w:type="dxa"/>
            <w:tcBorders>
              <w:top w:val="nil"/>
              <w:left w:val="nil"/>
              <w:bottom w:val="single" w:sz="4" w:space="0" w:color="auto"/>
              <w:right w:val="single" w:sz="4" w:space="0" w:color="auto"/>
            </w:tcBorders>
            <w:shd w:val="clear" w:color="auto" w:fill="auto"/>
            <w:noWrap/>
            <w:vAlign w:val="bottom"/>
            <w:hideMark/>
          </w:tcPr>
          <w:p w14:paraId="35CD26D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0.027</w:t>
            </w:r>
          </w:p>
        </w:tc>
        <w:tc>
          <w:tcPr>
            <w:tcW w:w="940" w:type="dxa"/>
            <w:tcBorders>
              <w:top w:val="nil"/>
              <w:left w:val="nil"/>
              <w:bottom w:val="single" w:sz="4" w:space="0" w:color="auto"/>
              <w:right w:val="single" w:sz="4" w:space="0" w:color="auto"/>
            </w:tcBorders>
            <w:shd w:val="clear" w:color="auto" w:fill="auto"/>
            <w:noWrap/>
            <w:vAlign w:val="bottom"/>
            <w:hideMark/>
          </w:tcPr>
          <w:p w14:paraId="1A56E876"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-0.069</w:t>
            </w:r>
          </w:p>
        </w:tc>
        <w:tc>
          <w:tcPr>
            <w:tcW w:w="958" w:type="dxa"/>
            <w:tcBorders>
              <w:top w:val="nil"/>
              <w:left w:val="nil"/>
              <w:bottom w:val="single" w:sz="4" w:space="0" w:color="auto"/>
              <w:right w:val="single" w:sz="4" w:space="0" w:color="auto"/>
            </w:tcBorders>
            <w:shd w:val="clear" w:color="auto" w:fill="auto"/>
            <w:noWrap/>
            <w:vAlign w:val="bottom"/>
            <w:hideMark/>
          </w:tcPr>
          <w:p w14:paraId="1320A3C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0.075</w:t>
            </w:r>
          </w:p>
        </w:tc>
      </w:tr>
      <w:tr w:rsidR="00CC7E92" w:rsidRPr="00A86967" w14:paraId="287EF00B"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5FB0DD96"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Los Angeles</w:t>
            </w:r>
          </w:p>
        </w:tc>
        <w:tc>
          <w:tcPr>
            <w:tcW w:w="940" w:type="dxa"/>
            <w:tcBorders>
              <w:top w:val="nil"/>
              <w:left w:val="nil"/>
              <w:bottom w:val="single" w:sz="4" w:space="0" w:color="auto"/>
              <w:right w:val="single" w:sz="4" w:space="0" w:color="auto"/>
            </w:tcBorders>
            <w:shd w:val="clear" w:color="auto" w:fill="auto"/>
            <w:noWrap/>
            <w:vAlign w:val="bottom"/>
            <w:hideMark/>
          </w:tcPr>
          <w:p w14:paraId="1F31BD7A"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0.004</w:t>
            </w:r>
          </w:p>
        </w:tc>
        <w:tc>
          <w:tcPr>
            <w:tcW w:w="940" w:type="dxa"/>
            <w:tcBorders>
              <w:top w:val="nil"/>
              <w:left w:val="nil"/>
              <w:bottom w:val="single" w:sz="4" w:space="0" w:color="auto"/>
              <w:right w:val="single" w:sz="4" w:space="0" w:color="auto"/>
            </w:tcBorders>
            <w:shd w:val="clear" w:color="auto" w:fill="auto"/>
            <w:noWrap/>
            <w:vAlign w:val="bottom"/>
            <w:hideMark/>
          </w:tcPr>
          <w:p w14:paraId="523EC01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0.006</w:t>
            </w:r>
          </w:p>
        </w:tc>
        <w:tc>
          <w:tcPr>
            <w:tcW w:w="940" w:type="dxa"/>
            <w:tcBorders>
              <w:top w:val="nil"/>
              <w:left w:val="nil"/>
              <w:bottom w:val="single" w:sz="4" w:space="0" w:color="auto"/>
              <w:right w:val="single" w:sz="4" w:space="0" w:color="auto"/>
            </w:tcBorders>
            <w:shd w:val="clear" w:color="auto" w:fill="auto"/>
            <w:noWrap/>
            <w:vAlign w:val="bottom"/>
            <w:hideMark/>
          </w:tcPr>
          <w:p w14:paraId="4C5B48B5"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-0.011</w:t>
            </w:r>
          </w:p>
        </w:tc>
        <w:tc>
          <w:tcPr>
            <w:tcW w:w="958" w:type="dxa"/>
            <w:tcBorders>
              <w:top w:val="nil"/>
              <w:left w:val="nil"/>
              <w:bottom w:val="single" w:sz="4" w:space="0" w:color="auto"/>
              <w:right w:val="single" w:sz="4" w:space="0" w:color="auto"/>
            </w:tcBorders>
            <w:shd w:val="clear" w:color="auto" w:fill="auto"/>
            <w:noWrap/>
            <w:vAlign w:val="bottom"/>
            <w:hideMark/>
          </w:tcPr>
          <w:p w14:paraId="65011D3F"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0.031</w:t>
            </w:r>
          </w:p>
        </w:tc>
        <w:tc>
          <w:tcPr>
            <w:tcW w:w="940" w:type="dxa"/>
            <w:tcBorders>
              <w:top w:val="nil"/>
              <w:left w:val="nil"/>
              <w:bottom w:val="single" w:sz="4" w:space="0" w:color="auto"/>
              <w:right w:val="single" w:sz="4" w:space="0" w:color="auto"/>
            </w:tcBorders>
            <w:shd w:val="clear" w:color="auto" w:fill="auto"/>
            <w:noWrap/>
            <w:vAlign w:val="bottom"/>
            <w:hideMark/>
          </w:tcPr>
          <w:p w14:paraId="76CBDD6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0.007</w:t>
            </w:r>
          </w:p>
        </w:tc>
        <w:tc>
          <w:tcPr>
            <w:tcW w:w="940" w:type="dxa"/>
            <w:tcBorders>
              <w:top w:val="nil"/>
              <w:left w:val="nil"/>
              <w:bottom w:val="single" w:sz="4" w:space="0" w:color="auto"/>
              <w:right w:val="single" w:sz="4" w:space="0" w:color="auto"/>
            </w:tcBorders>
            <w:shd w:val="clear" w:color="auto" w:fill="auto"/>
            <w:noWrap/>
            <w:vAlign w:val="bottom"/>
            <w:hideMark/>
          </w:tcPr>
          <w:p w14:paraId="05F92790"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0.010</w:t>
            </w:r>
          </w:p>
        </w:tc>
        <w:tc>
          <w:tcPr>
            <w:tcW w:w="940" w:type="dxa"/>
            <w:tcBorders>
              <w:top w:val="nil"/>
              <w:left w:val="nil"/>
              <w:bottom w:val="single" w:sz="4" w:space="0" w:color="auto"/>
              <w:right w:val="single" w:sz="4" w:space="0" w:color="auto"/>
            </w:tcBorders>
            <w:shd w:val="clear" w:color="auto" w:fill="auto"/>
            <w:noWrap/>
            <w:vAlign w:val="bottom"/>
            <w:hideMark/>
          </w:tcPr>
          <w:p w14:paraId="426F77E2"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-0.019</w:t>
            </w:r>
          </w:p>
        </w:tc>
        <w:tc>
          <w:tcPr>
            <w:tcW w:w="958" w:type="dxa"/>
            <w:tcBorders>
              <w:top w:val="nil"/>
              <w:left w:val="nil"/>
              <w:bottom w:val="single" w:sz="4" w:space="0" w:color="auto"/>
              <w:right w:val="single" w:sz="4" w:space="0" w:color="auto"/>
            </w:tcBorders>
            <w:shd w:val="clear" w:color="auto" w:fill="auto"/>
            <w:noWrap/>
            <w:vAlign w:val="bottom"/>
            <w:hideMark/>
          </w:tcPr>
          <w:p w14:paraId="4956F843"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0.057</w:t>
            </w:r>
          </w:p>
        </w:tc>
      </w:tr>
      <w:tr w:rsidR="00CC7E92" w:rsidRPr="00A86967" w14:paraId="456E3EF5"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28CB9756"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Miami</w:t>
            </w:r>
          </w:p>
        </w:tc>
        <w:tc>
          <w:tcPr>
            <w:tcW w:w="940" w:type="dxa"/>
            <w:tcBorders>
              <w:top w:val="nil"/>
              <w:left w:val="nil"/>
              <w:bottom w:val="single" w:sz="4" w:space="0" w:color="auto"/>
              <w:right w:val="single" w:sz="4" w:space="0" w:color="auto"/>
            </w:tcBorders>
            <w:shd w:val="clear" w:color="auto" w:fill="auto"/>
            <w:noWrap/>
            <w:vAlign w:val="bottom"/>
            <w:hideMark/>
          </w:tcPr>
          <w:p w14:paraId="257980B5"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0.021</w:t>
            </w:r>
          </w:p>
        </w:tc>
        <w:tc>
          <w:tcPr>
            <w:tcW w:w="940" w:type="dxa"/>
            <w:tcBorders>
              <w:top w:val="nil"/>
              <w:left w:val="nil"/>
              <w:bottom w:val="single" w:sz="4" w:space="0" w:color="auto"/>
              <w:right w:val="single" w:sz="4" w:space="0" w:color="auto"/>
            </w:tcBorders>
            <w:shd w:val="clear" w:color="auto" w:fill="auto"/>
            <w:noWrap/>
            <w:vAlign w:val="bottom"/>
            <w:hideMark/>
          </w:tcPr>
          <w:p w14:paraId="414B57A7"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0.025</w:t>
            </w:r>
          </w:p>
        </w:tc>
        <w:tc>
          <w:tcPr>
            <w:tcW w:w="940" w:type="dxa"/>
            <w:tcBorders>
              <w:top w:val="nil"/>
              <w:left w:val="nil"/>
              <w:bottom w:val="single" w:sz="4" w:space="0" w:color="auto"/>
              <w:right w:val="single" w:sz="4" w:space="0" w:color="auto"/>
            </w:tcBorders>
            <w:shd w:val="clear" w:color="auto" w:fill="auto"/>
            <w:noWrap/>
            <w:vAlign w:val="bottom"/>
            <w:hideMark/>
          </w:tcPr>
          <w:p w14:paraId="026E687B"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-0.062</w:t>
            </w:r>
          </w:p>
        </w:tc>
        <w:tc>
          <w:tcPr>
            <w:tcW w:w="958" w:type="dxa"/>
            <w:tcBorders>
              <w:top w:val="nil"/>
              <w:left w:val="nil"/>
              <w:bottom w:val="single" w:sz="4" w:space="0" w:color="auto"/>
              <w:right w:val="single" w:sz="4" w:space="0" w:color="auto"/>
            </w:tcBorders>
            <w:shd w:val="clear" w:color="auto" w:fill="auto"/>
            <w:noWrap/>
            <w:vAlign w:val="bottom"/>
            <w:hideMark/>
          </w:tcPr>
          <w:p w14:paraId="60AADCBF"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0.051</w:t>
            </w:r>
          </w:p>
        </w:tc>
        <w:tc>
          <w:tcPr>
            <w:tcW w:w="940" w:type="dxa"/>
            <w:tcBorders>
              <w:top w:val="nil"/>
              <w:left w:val="nil"/>
              <w:bottom w:val="single" w:sz="4" w:space="0" w:color="auto"/>
              <w:right w:val="single" w:sz="4" w:space="0" w:color="auto"/>
            </w:tcBorders>
            <w:shd w:val="clear" w:color="auto" w:fill="auto"/>
            <w:noWrap/>
            <w:vAlign w:val="bottom"/>
            <w:hideMark/>
          </w:tcPr>
          <w:p w14:paraId="15E36FB9"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0.030</w:t>
            </w:r>
          </w:p>
        </w:tc>
        <w:tc>
          <w:tcPr>
            <w:tcW w:w="940" w:type="dxa"/>
            <w:tcBorders>
              <w:top w:val="nil"/>
              <w:left w:val="nil"/>
              <w:bottom w:val="single" w:sz="4" w:space="0" w:color="auto"/>
              <w:right w:val="single" w:sz="4" w:space="0" w:color="auto"/>
            </w:tcBorders>
            <w:shd w:val="clear" w:color="auto" w:fill="auto"/>
            <w:noWrap/>
            <w:vAlign w:val="bottom"/>
            <w:hideMark/>
          </w:tcPr>
          <w:p w14:paraId="5141B8A4"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0.040</w:t>
            </w:r>
          </w:p>
        </w:tc>
        <w:tc>
          <w:tcPr>
            <w:tcW w:w="940" w:type="dxa"/>
            <w:tcBorders>
              <w:top w:val="nil"/>
              <w:left w:val="nil"/>
              <w:bottom w:val="single" w:sz="4" w:space="0" w:color="auto"/>
              <w:right w:val="single" w:sz="4" w:space="0" w:color="auto"/>
            </w:tcBorders>
            <w:shd w:val="clear" w:color="auto" w:fill="auto"/>
            <w:noWrap/>
            <w:vAlign w:val="bottom"/>
            <w:hideMark/>
          </w:tcPr>
          <w:p w14:paraId="61553A67"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-0.117</w:t>
            </w:r>
          </w:p>
        </w:tc>
        <w:tc>
          <w:tcPr>
            <w:tcW w:w="958" w:type="dxa"/>
            <w:tcBorders>
              <w:top w:val="nil"/>
              <w:left w:val="nil"/>
              <w:bottom w:val="single" w:sz="4" w:space="0" w:color="auto"/>
              <w:right w:val="single" w:sz="4" w:space="0" w:color="auto"/>
            </w:tcBorders>
            <w:shd w:val="clear" w:color="auto" w:fill="auto"/>
            <w:noWrap/>
            <w:vAlign w:val="bottom"/>
            <w:hideMark/>
          </w:tcPr>
          <w:p w14:paraId="1DAE5E8E"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0.070</w:t>
            </w:r>
          </w:p>
        </w:tc>
      </w:tr>
      <w:tr w:rsidR="00CC7E92" w:rsidRPr="00A86967" w14:paraId="5D5B0020"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317220E2"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New York</w:t>
            </w:r>
          </w:p>
        </w:tc>
        <w:tc>
          <w:tcPr>
            <w:tcW w:w="940" w:type="dxa"/>
            <w:tcBorders>
              <w:top w:val="nil"/>
              <w:left w:val="nil"/>
              <w:bottom w:val="single" w:sz="4" w:space="0" w:color="auto"/>
              <w:right w:val="single" w:sz="4" w:space="0" w:color="auto"/>
            </w:tcBorders>
            <w:shd w:val="clear" w:color="auto" w:fill="auto"/>
            <w:noWrap/>
            <w:vAlign w:val="bottom"/>
            <w:hideMark/>
          </w:tcPr>
          <w:p w14:paraId="02645CD1"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0.022</w:t>
            </w:r>
          </w:p>
        </w:tc>
        <w:tc>
          <w:tcPr>
            <w:tcW w:w="940" w:type="dxa"/>
            <w:tcBorders>
              <w:top w:val="nil"/>
              <w:left w:val="nil"/>
              <w:bottom w:val="single" w:sz="4" w:space="0" w:color="auto"/>
              <w:right w:val="single" w:sz="4" w:space="0" w:color="auto"/>
            </w:tcBorders>
            <w:shd w:val="clear" w:color="auto" w:fill="auto"/>
            <w:noWrap/>
            <w:vAlign w:val="bottom"/>
            <w:hideMark/>
          </w:tcPr>
          <w:p w14:paraId="5F4961D1"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0.028</w:t>
            </w:r>
          </w:p>
        </w:tc>
        <w:tc>
          <w:tcPr>
            <w:tcW w:w="940" w:type="dxa"/>
            <w:tcBorders>
              <w:top w:val="nil"/>
              <w:left w:val="nil"/>
              <w:bottom w:val="single" w:sz="4" w:space="0" w:color="auto"/>
              <w:right w:val="single" w:sz="4" w:space="0" w:color="auto"/>
            </w:tcBorders>
            <w:shd w:val="clear" w:color="auto" w:fill="auto"/>
            <w:noWrap/>
            <w:vAlign w:val="bottom"/>
            <w:hideMark/>
          </w:tcPr>
          <w:p w14:paraId="1D3A68FF"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-0.077</w:t>
            </w:r>
          </w:p>
        </w:tc>
        <w:tc>
          <w:tcPr>
            <w:tcW w:w="958" w:type="dxa"/>
            <w:tcBorders>
              <w:top w:val="nil"/>
              <w:left w:val="nil"/>
              <w:bottom w:val="single" w:sz="4" w:space="0" w:color="auto"/>
              <w:right w:val="single" w:sz="4" w:space="0" w:color="auto"/>
            </w:tcBorders>
            <w:shd w:val="clear" w:color="auto" w:fill="auto"/>
            <w:noWrap/>
            <w:vAlign w:val="bottom"/>
            <w:hideMark/>
          </w:tcPr>
          <w:p w14:paraId="64DAAF7D" w14:textId="77777777" w:rsidR="00CC7E92" w:rsidRPr="000B3157" w:rsidRDefault="00CC7E92"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0.079</w:t>
            </w:r>
          </w:p>
        </w:tc>
        <w:tc>
          <w:tcPr>
            <w:tcW w:w="940" w:type="dxa"/>
            <w:tcBorders>
              <w:top w:val="nil"/>
              <w:left w:val="nil"/>
              <w:bottom w:val="single" w:sz="4" w:space="0" w:color="auto"/>
              <w:right w:val="single" w:sz="4" w:space="0" w:color="auto"/>
            </w:tcBorders>
            <w:shd w:val="clear" w:color="auto" w:fill="auto"/>
            <w:noWrap/>
            <w:vAlign w:val="bottom"/>
            <w:hideMark/>
          </w:tcPr>
          <w:p w14:paraId="348B38BC"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0.025</w:t>
            </w:r>
          </w:p>
        </w:tc>
        <w:tc>
          <w:tcPr>
            <w:tcW w:w="940" w:type="dxa"/>
            <w:tcBorders>
              <w:top w:val="nil"/>
              <w:left w:val="nil"/>
              <w:bottom w:val="single" w:sz="4" w:space="0" w:color="auto"/>
              <w:right w:val="single" w:sz="4" w:space="0" w:color="auto"/>
            </w:tcBorders>
            <w:shd w:val="clear" w:color="auto" w:fill="auto"/>
            <w:noWrap/>
            <w:vAlign w:val="bottom"/>
            <w:hideMark/>
          </w:tcPr>
          <w:p w14:paraId="5C0C5478"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0.031</w:t>
            </w:r>
          </w:p>
        </w:tc>
        <w:tc>
          <w:tcPr>
            <w:tcW w:w="940" w:type="dxa"/>
            <w:tcBorders>
              <w:top w:val="nil"/>
              <w:left w:val="nil"/>
              <w:bottom w:val="single" w:sz="4" w:space="0" w:color="auto"/>
              <w:right w:val="single" w:sz="4" w:space="0" w:color="auto"/>
            </w:tcBorders>
            <w:shd w:val="clear" w:color="auto" w:fill="auto"/>
            <w:noWrap/>
            <w:vAlign w:val="bottom"/>
            <w:hideMark/>
          </w:tcPr>
          <w:p w14:paraId="60116711"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-0.079</w:t>
            </w:r>
          </w:p>
        </w:tc>
        <w:tc>
          <w:tcPr>
            <w:tcW w:w="958" w:type="dxa"/>
            <w:tcBorders>
              <w:top w:val="nil"/>
              <w:left w:val="nil"/>
              <w:bottom w:val="single" w:sz="4" w:space="0" w:color="auto"/>
              <w:right w:val="single" w:sz="4" w:space="0" w:color="auto"/>
            </w:tcBorders>
            <w:shd w:val="clear" w:color="auto" w:fill="auto"/>
            <w:noWrap/>
            <w:vAlign w:val="bottom"/>
            <w:hideMark/>
          </w:tcPr>
          <w:p w14:paraId="16ABF176" w14:textId="77777777" w:rsidR="00CC7E92" w:rsidRPr="000B3157" w:rsidRDefault="00CC7E92"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0.068</w:t>
            </w:r>
          </w:p>
        </w:tc>
      </w:tr>
      <w:tr w:rsidR="00CC7E92" w:rsidRPr="00A86967" w14:paraId="1852825D"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720B7AD"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San Francisco</w:t>
            </w:r>
          </w:p>
        </w:tc>
        <w:tc>
          <w:tcPr>
            <w:tcW w:w="940" w:type="dxa"/>
            <w:tcBorders>
              <w:top w:val="nil"/>
              <w:left w:val="nil"/>
              <w:bottom w:val="single" w:sz="4" w:space="0" w:color="auto"/>
              <w:right w:val="single" w:sz="4" w:space="0" w:color="auto"/>
            </w:tcBorders>
            <w:shd w:val="clear" w:color="auto" w:fill="auto"/>
            <w:noWrap/>
            <w:vAlign w:val="bottom"/>
            <w:hideMark/>
          </w:tcPr>
          <w:p w14:paraId="0D33187B"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40" w:type="dxa"/>
            <w:tcBorders>
              <w:top w:val="nil"/>
              <w:left w:val="nil"/>
              <w:bottom w:val="single" w:sz="4" w:space="0" w:color="auto"/>
              <w:right w:val="single" w:sz="4" w:space="0" w:color="auto"/>
            </w:tcBorders>
            <w:shd w:val="clear" w:color="auto" w:fill="auto"/>
            <w:noWrap/>
            <w:vAlign w:val="bottom"/>
            <w:hideMark/>
          </w:tcPr>
          <w:p w14:paraId="7C3ED5BC"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40" w:type="dxa"/>
            <w:tcBorders>
              <w:top w:val="nil"/>
              <w:left w:val="nil"/>
              <w:bottom w:val="single" w:sz="4" w:space="0" w:color="auto"/>
              <w:right w:val="single" w:sz="4" w:space="0" w:color="auto"/>
            </w:tcBorders>
            <w:shd w:val="clear" w:color="auto" w:fill="auto"/>
            <w:noWrap/>
            <w:vAlign w:val="bottom"/>
            <w:hideMark/>
          </w:tcPr>
          <w:p w14:paraId="119A9033"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-0.027</w:t>
            </w:r>
          </w:p>
        </w:tc>
        <w:tc>
          <w:tcPr>
            <w:tcW w:w="958" w:type="dxa"/>
            <w:tcBorders>
              <w:top w:val="nil"/>
              <w:left w:val="nil"/>
              <w:bottom w:val="single" w:sz="4" w:space="0" w:color="auto"/>
              <w:right w:val="single" w:sz="4" w:space="0" w:color="auto"/>
            </w:tcBorders>
            <w:shd w:val="clear" w:color="auto" w:fill="auto"/>
            <w:noWrap/>
            <w:vAlign w:val="bottom"/>
            <w:hideMark/>
          </w:tcPr>
          <w:p w14:paraId="719AB497"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0.047</w:t>
            </w:r>
          </w:p>
        </w:tc>
        <w:tc>
          <w:tcPr>
            <w:tcW w:w="940" w:type="dxa"/>
            <w:tcBorders>
              <w:top w:val="nil"/>
              <w:left w:val="nil"/>
              <w:bottom w:val="single" w:sz="4" w:space="0" w:color="auto"/>
              <w:right w:val="single" w:sz="4" w:space="0" w:color="auto"/>
            </w:tcBorders>
            <w:shd w:val="clear" w:color="auto" w:fill="auto"/>
            <w:noWrap/>
            <w:vAlign w:val="bottom"/>
            <w:hideMark/>
          </w:tcPr>
          <w:p w14:paraId="570EEA4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0.013</w:t>
            </w:r>
          </w:p>
        </w:tc>
        <w:tc>
          <w:tcPr>
            <w:tcW w:w="940" w:type="dxa"/>
            <w:tcBorders>
              <w:top w:val="nil"/>
              <w:left w:val="nil"/>
              <w:bottom w:val="single" w:sz="4" w:space="0" w:color="auto"/>
              <w:right w:val="single" w:sz="4" w:space="0" w:color="auto"/>
            </w:tcBorders>
            <w:shd w:val="clear" w:color="auto" w:fill="auto"/>
            <w:noWrap/>
            <w:vAlign w:val="bottom"/>
            <w:hideMark/>
          </w:tcPr>
          <w:p w14:paraId="723FB070"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0.016</w:t>
            </w:r>
          </w:p>
        </w:tc>
        <w:tc>
          <w:tcPr>
            <w:tcW w:w="940" w:type="dxa"/>
            <w:tcBorders>
              <w:top w:val="nil"/>
              <w:left w:val="nil"/>
              <w:bottom w:val="single" w:sz="4" w:space="0" w:color="auto"/>
              <w:right w:val="single" w:sz="4" w:space="0" w:color="auto"/>
            </w:tcBorders>
            <w:shd w:val="clear" w:color="auto" w:fill="auto"/>
            <w:noWrap/>
            <w:vAlign w:val="bottom"/>
            <w:hideMark/>
          </w:tcPr>
          <w:p w14:paraId="1060AD6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-0.043</w:t>
            </w:r>
          </w:p>
        </w:tc>
        <w:tc>
          <w:tcPr>
            <w:tcW w:w="958" w:type="dxa"/>
            <w:tcBorders>
              <w:top w:val="nil"/>
              <w:left w:val="nil"/>
              <w:bottom w:val="single" w:sz="4" w:space="0" w:color="auto"/>
              <w:right w:val="single" w:sz="4" w:space="0" w:color="auto"/>
            </w:tcBorders>
            <w:shd w:val="clear" w:color="auto" w:fill="auto"/>
            <w:noWrap/>
            <w:vAlign w:val="bottom"/>
            <w:hideMark/>
          </w:tcPr>
          <w:p w14:paraId="67EA086F"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0.059</w:t>
            </w:r>
          </w:p>
        </w:tc>
      </w:tr>
      <w:tr w:rsidR="00CC7E92" w:rsidRPr="00A86967" w14:paraId="40475B8A" w14:textId="77777777" w:rsidTr="000A39F0">
        <w:trPr>
          <w:trHeight w:val="29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305FDCD0" w14:textId="77777777" w:rsidR="00CC7E92" w:rsidRPr="000B3157" w:rsidRDefault="00CC7E92"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Seattle</w:t>
            </w:r>
          </w:p>
        </w:tc>
        <w:tc>
          <w:tcPr>
            <w:tcW w:w="940" w:type="dxa"/>
            <w:tcBorders>
              <w:top w:val="nil"/>
              <w:left w:val="nil"/>
              <w:bottom w:val="single" w:sz="4" w:space="0" w:color="auto"/>
              <w:right w:val="single" w:sz="4" w:space="0" w:color="auto"/>
            </w:tcBorders>
            <w:shd w:val="clear" w:color="auto" w:fill="auto"/>
            <w:noWrap/>
            <w:vAlign w:val="bottom"/>
            <w:hideMark/>
          </w:tcPr>
          <w:p w14:paraId="68A6E5C9"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0.011</w:t>
            </w:r>
          </w:p>
        </w:tc>
        <w:tc>
          <w:tcPr>
            <w:tcW w:w="940" w:type="dxa"/>
            <w:tcBorders>
              <w:top w:val="nil"/>
              <w:left w:val="nil"/>
              <w:bottom w:val="single" w:sz="4" w:space="0" w:color="auto"/>
              <w:right w:val="single" w:sz="4" w:space="0" w:color="auto"/>
            </w:tcBorders>
            <w:shd w:val="clear" w:color="auto" w:fill="auto"/>
            <w:noWrap/>
            <w:vAlign w:val="bottom"/>
            <w:hideMark/>
          </w:tcPr>
          <w:p w14:paraId="65CA422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40" w:type="dxa"/>
            <w:tcBorders>
              <w:top w:val="nil"/>
              <w:left w:val="nil"/>
              <w:bottom w:val="single" w:sz="4" w:space="0" w:color="auto"/>
              <w:right w:val="single" w:sz="4" w:space="0" w:color="auto"/>
            </w:tcBorders>
            <w:shd w:val="clear" w:color="auto" w:fill="auto"/>
            <w:noWrap/>
            <w:vAlign w:val="bottom"/>
            <w:hideMark/>
          </w:tcPr>
          <w:p w14:paraId="1B5804B2"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-0.035</w:t>
            </w:r>
          </w:p>
        </w:tc>
        <w:tc>
          <w:tcPr>
            <w:tcW w:w="958" w:type="dxa"/>
            <w:tcBorders>
              <w:top w:val="nil"/>
              <w:left w:val="nil"/>
              <w:bottom w:val="single" w:sz="4" w:space="0" w:color="auto"/>
              <w:right w:val="single" w:sz="4" w:space="0" w:color="auto"/>
            </w:tcBorders>
            <w:shd w:val="clear" w:color="auto" w:fill="auto"/>
            <w:noWrap/>
            <w:vAlign w:val="bottom"/>
            <w:hideMark/>
          </w:tcPr>
          <w:p w14:paraId="1AB8DB30" w14:textId="77777777" w:rsidR="00CC7E92" w:rsidRPr="000B3157" w:rsidRDefault="00CC7E92"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0.030</w:t>
            </w:r>
          </w:p>
        </w:tc>
        <w:tc>
          <w:tcPr>
            <w:tcW w:w="940" w:type="dxa"/>
            <w:tcBorders>
              <w:top w:val="nil"/>
              <w:left w:val="nil"/>
              <w:bottom w:val="single" w:sz="4" w:space="0" w:color="auto"/>
              <w:right w:val="single" w:sz="4" w:space="0" w:color="auto"/>
            </w:tcBorders>
            <w:shd w:val="clear" w:color="auto" w:fill="auto"/>
            <w:noWrap/>
            <w:vAlign w:val="bottom"/>
            <w:hideMark/>
          </w:tcPr>
          <w:p w14:paraId="40BD6E98"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0.015</w:t>
            </w:r>
          </w:p>
        </w:tc>
        <w:tc>
          <w:tcPr>
            <w:tcW w:w="940" w:type="dxa"/>
            <w:tcBorders>
              <w:top w:val="nil"/>
              <w:left w:val="nil"/>
              <w:bottom w:val="single" w:sz="4" w:space="0" w:color="auto"/>
              <w:right w:val="single" w:sz="4" w:space="0" w:color="auto"/>
            </w:tcBorders>
            <w:shd w:val="clear" w:color="auto" w:fill="auto"/>
            <w:noWrap/>
            <w:vAlign w:val="bottom"/>
            <w:hideMark/>
          </w:tcPr>
          <w:p w14:paraId="3E4892DD"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0.018</w:t>
            </w:r>
          </w:p>
        </w:tc>
        <w:tc>
          <w:tcPr>
            <w:tcW w:w="940" w:type="dxa"/>
            <w:tcBorders>
              <w:top w:val="nil"/>
              <w:left w:val="nil"/>
              <w:bottom w:val="single" w:sz="4" w:space="0" w:color="auto"/>
              <w:right w:val="single" w:sz="4" w:space="0" w:color="auto"/>
            </w:tcBorders>
            <w:shd w:val="clear" w:color="auto" w:fill="auto"/>
            <w:noWrap/>
            <w:vAlign w:val="bottom"/>
            <w:hideMark/>
          </w:tcPr>
          <w:p w14:paraId="0136F35E"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-0.048</w:t>
            </w:r>
          </w:p>
        </w:tc>
        <w:tc>
          <w:tcPr>
            <w:tcW w:w="958" w:type="dxa"/>
            <w:tcBorders>
              <w:top w:val="nil"/>
              <w:left w:val="nil"/>
              <w:bottom w:val="single" w:sz="4" w:space="0" w:color="auto"/>
              <w:right w:val="single" w:sz="4" w:space="0" w:color="auto"/>
            </w:tcBorders>
            <w:shd w:val="clear" w:color="auto" w:fill="auto"/>
            <w:noWrap/>
            <w:vAlign w:val="bottom"/>
            <w:hideMark/>
          </w:tcPr>
          <w:p w14:paraId="342310C6" w14:textId="77777777" w:rsidR="00CC7E92" w:rsidRPr="000B3157" w:rsidRDefault="00CC7E92"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0.042</w:t>
            </w:r>
          </w:p>
        </w:tc>
      </w:tr>
    </w:tbl>
    <w:p w14:paraId="41BCC786" w14:textId="77777777" w:rsidR="00890EE9" w:rsidRPr="00890EE9" w:rsidRDefault="00890EE9" w:rsidP="00890EE9">
      <w:pPr>
        <w:spacing w:line="240" w:lineRule="auto"/>
        <w:rPr>
          <w:sz w:val="18"/>
          <w:szCs w:val="20"/>
        </w:rPr>
      </w:pPr>
      <w:r w:rsidRPr="00890EE9">
        <w:rPr>
          <w:sz w:val="18"/>
          <w:szCs w:val="20"/>
        </w:rPr>
        <w:t>Note: Rows in red indicate estimates with relatively low accuracy</w:t>
      </w:r>
      <w:r>
        <w:rPr>
          <w:sz w:val="18"/>
          <w:szCs w:val="20"/>
        </w:rPr>
        <w:t>.</w:t>
      </w:r>
    </w:p>
    <w:p w14:paraId="6B7F6E58" w14:textId="77777777" w:rsidR="00CC7E92" w:rsidRDefault="00CC7E92" w:rsidP="000E683D">
      <w:pPr>
        <w:spacing w:line="240" w:lineRule="auto"/>
        <w:rPr>
          <w:b/>
          <w:bCs/>
          <w:noProof/>
          <w:color w:val="1396D8"/>
          <w:szCs w:val="18"/>
        </w:rPr>
      </w:pPr>
    </w:p>
    <w:p w14:paraId="55332635" w14:textId="77777777" w:rsidR="003B09B3" w:rsidRDefault="003B09B3" w:rsidP="000E683D">
      <w:pPr>
        <w:spacing w:line="240" w:lineRule="auto"/>
        <w:rPr>
          <w:b/>
          <w:bCs/>
          <w:noProof/>
          <w:color w:val="1396D8"/>
          <w:szCs w:val="18"/>
        </w:rPr>
      </w:pPr>
    </w:p>
    <w:p w14:paraId="264DAED3" w14:textId="77777777" w:rsidR="003B09B3" w:rsidRDefault="003B09B3" w:rsidP="000E683D">
      <w:pPr>
        <w:spacing w:line="240" w:lineRule="auto"/>
        <w:rPr>
          <w:b/>
          <w:bCs/>
          <w:noProof/>
          <w:color w:val="1396D8"/>
          <w:szCs w:val="18"/>
        </w:rPr>
      </w:pPr>
    </w:p>
    <w:tbl>
      <w:tblPr>
        <w:tblW w:w="8770" w:type="dxa"/>
        <w:tblInd w:w="445" w:type="dxa"/>
        <w:tblLook w:val="04A0" w:firstRow="1" w:lastRow="0" w:firstColumn="1" w:lastColumn="0" w:noHBand="0" w:noVBand="1"/>
      </w:tblPr>
      <w:tblGrid>
        <w:gridCol w:w="1295"/>
        <w:gridCol w:w="955"/>
        <w:gridCol w:w="917"/>
        <w:gridCol w:w="930"/>
        <w:gridCol w:w="958"/>
        <w:gridCol w:w="885"/>
        <w:gridCol w:w="990"/>
        <w:gridCol w:w="930"/>
        <w:gridCol w:w="910"/>
      </w:tblGrid>
      <w:tr w:rsidR="00CC6F8F" w:rsidRPr="00B65C47" w14:paraId="21F1ED68" w14:textId="77777777" w:rsidTr="00890EE9">
        <w:trPr>
          <w:trHeight w:val="290"/>
        </w:trPr>
        <w:tc>
          <w:tcPr>
            <w:tcW w:w="8770"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7B986F47" w14:textId="37C67F37" w:rsidR="00CC6F8F" w:rsidRPr="000B3157" w:rsidRDefault="00CC6F8F" w:rsidP="00114932">
            <w:pPr>
              <w:pStyle w:val="Caption"/>
              <w:rPr>
                <w:rFonts w:ascii="Arial" w:eastAsia="Times New Roman" w:hAnsi="Arial" w:cs="Arial"/>
                <w:sz w:val="16"/>
                <w:szCs w:val="16"/>
              </w:rPr>
            </w:pPr>
            <w:r w:rsidRPr="001A77D2">
              <w:rPr>
                <w:noProof/>
              </w:rPr>
              <w:t xml:space="preserve">Table </w:t>
            </w:r>
            <w:r w:rsidR="00B65C47" w:rsidRPr="001A77D2">
              <w:rPr>
                <w:noProof/>
              </w:rPr>
              <w:t>A.</w:t>
            </w:r>
            <w:r w:rsidR="00374CD5">
              <w:rPr>
                <w:noProof/>
              </w:rPr>
              <w:t>9</w:t>
            </w:r>
            <w:r w:rsidR="00B65C47" w:rsidRPr="001A77D2">
              <w:rPr>
                <w:noProof/>
              </w:rPr>
              <w:t>.</w:t>
            </w:r>
            <w:r w:rsidRPr="001A77D2">
              <w:rPr>
                <w:noProof/>
              </w:rPr>
              <w:t xml:space="preserve"> AAA </w:t>
            </w:r>
            <w:r w:rsidR="00114932">
              <w:rPr>
                <w:noProof/>
              </w:rPr>
              <w:t>m</w:t>
            </w:r>
            <w:r w:rsidRPr="001A77D2">
              <w:rPr>
                <w:noProof/>
              </w:rPr>
              <w:t xml:space="preserve">idgrade and </w:t>
            </w:r>
            <w:r w:rsidR="00114932">
              <w:rPr>
                <w:noProof/>
              </w:rPr>
              <w:t>p</w:t>
            </w:r>
            <w:r w:rsidRPr="001A77D2">
              <w:rPr>
                <w:noProof/>
              </w:rPr>
              <w:t xml:space="preserve">remium </w:t>
            </w:r>
            <w:r w:rsidR="00114932">
              <w:rPr>
                <w:noProof/>
              </w:rPr>
              <w:t>motor gasolin</w:t>
            </w:r>
            <w:r w:rsidR="00FB5311">
              <w:rPr>
                <w:noProof/>
              </w:rPr>
              <w:t>e</w:t>
            </w:r>
            <w:r w:rsidR="00114932">
              <w:rPr>
                <w:noProof/>
              </w:rPr>
              <w:t xml:space="preserve"> p</w:t>
            </w:r>
            <w:r w:rsidRPr="001A77D2">
              <w:rPr>
                <w:noProof/>
              </w:rPr>
              <w:t xml:space="preserve">rice </w:t>
            </w:r>
            <w:r w:rsidR="00114932">
              <w:rPr>
                <w:noProof/>
              </w:rPr>
              <w:t>p</w:t>
            </w:r>
            <w:r w:rsidRPr="001A77D2">
              <w:rPr>
                <w:noProof/>
              </w:rPr>
              <w:t xml:space="preserve">redicted </w:t>
            </w:r>
            <w:r w:rsidR="00114932">
              <w:rPr>
                <w:noProof/>
              </w:rPr>
              <w:t>v</w:t>
            </w:r>
            <w:r w:rsidRPr="001A77D2">
              <w:rPr>
                <w:noProof/>
              </w:rPr>
              <w:t xml:space="preserve">alue </w:t>
            </w:r>
            <w:r w:rsidR="00114932">
              <w:rPr>
                <w:noProof/>
              </w:rPr>
              <w:t>s</w:t>
            </w:r>
            <w:r w:rsidRPr="001A77D2">
              <w:rPr>
                <w:noProof/>
              </w:rPr>
              <w:t>tatistics (2013-2017)</w:t>
            </w:r>
            <w:r w:rsidR="00114932">
              <w:rPr>
                <w:noProof/>
              </w:rPr>
              <w:t>.</w:t>
            </w:r>
          </w:p>
        </w:tc>
      </w:tr>
      <w:tr w:rsidR="00CC6F8F" w:rsidRPr="00B65C47" w14:paraId="2B802EDB"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92D76F0"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3760" w:type="dxa"/>
            <w:gridSpan w:val="4"/>
            <w:tcBorders>
              <w:top w:val="nil"/>
              <w:left w:val="nil"/>
              <w:bottom w:val="single" w:sz="4" w:space="0" w:color="auto"/>
              <w:right w:val="single" w:sz="4" w:space="0" w:color="auto"/>
            </w:tcBorders>
            <w:shd w:val="clear" w:color="auto" w:fill="auto"/>
            <w:noWrap/>
            <w:vAlign w:val="bottom"/>
            <w:hideMark/>
          </w:tcPr>
          <w:p w14:paraId="4038ABF4" w14:textId="77777777" w:rsidR="00CC6F8F" w:rsidRPr="000B3157" w:rsidRDefault="00CC6F8F"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Midgrade Price Residual</w:t>
            </w:r>
          </w:p>
        </w:tc>
        <w:tc>
          <w:tcPr>
            <w:tcW w:w="3715" w:type="dxa"/>
            <w:gridSpan w:val="4"/>
            <w:tcBorders>
              <w:top w:val="nil"/>
              <w:left w:val="nil"/>
              <w:bottom w:val="single" w:sz="4" w:space="0" w:color="auto"/>
              <w:right w:val="single" w:sz="4" w:space="0" w:color="auto"/>
            </w:tcBorders>
            <w:shd w:val="clear" w:color="auto" w:fill="auto"/>
            <w:noWrap/>
            <w:vAlign w:val="bottom"/>
            <w:hideMark/>
          </w:tcPr>
          <w:p w14:paraId="59299684" w14:textId="77777777" w:rsidR="00CC6F8F" w:rsidRPr="000B3157" w:rsidRDefault="00CC6F8F"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Premium Price Residual</w:t>
            </w:r>
          </w:p>
        </w:tc>
      </w:tr>
      <w:tr w:rsidR="00CC6F8F" w:rsidRPr="00B65C47" w14:paraId="1B9CAC12" w14:textId="77777777" w:rsidTr="00890EE9">
        <w:trPr>
          <w:trHeight w:val="73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6F92466C" w14:textId="77777777" w:rsidR="00CC6F8F" w:rsidRPr="000B3157" w:rsidRDefault="00CC6F8F" w:rsidP="000B3157">
            <w:pPr>
              <w:spacing w:after="0" w:line="240" w:lineRule="auto"/>
              <w:rPr>
                <w:rFonts w:ascii="Arial" w:eastAsia="Times New Roman" w:hAnsi="Arial" w:cs="Arial"/>
                <w:sz w:val="16"/>
                <w:szCs w:val="16"/>
              </w:rPr>
            </w:pPr>
            <w:r w:rsidRPr="000B3157">
              <w:rPr>
                <w:rFonts w:ascii="Arial" w:eastAsia="Times New Roman" w:hAnsi="Arial" w:cs="Arial"/>
                <w:sz w:val="16"/>
                <w:szCs w:val="16"/>
              </w:rPr>
              <w:t>Region</w:t>
            </w:r>
          </w:p>
        </w:tc>
        <w:tc>
          <w:tcPr>
            <w:tcW w:w="955" w:type="dxa"/>
            <w:tcBorders>
              <w:top w:val="nil"/>
              <w:left w:val="nil"/>
              <w:bottom w:val="single" w:sz="4" w:space="0" w:color="auto"/>
              <w:right w:val="single" w:sz="4" w:space="0" w:color="auto"/>
            </w:tcBorders>
            <w:shd w:val="clear" w:color="auto" w:fill="auto"/>
            <w:vAlign w:val="bottom"/>
            <w:hideMark/>
          </w:tcPr>
          <w:p w14:paraId="59A48648" w14:textId="77777777" w:rsidR="00CC6F8F" w:rsidRPr="000B3157" w:rsidRDefault="00CC6F8F"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Mean Absolute Value</w:t>
            </w:r>
          </w:p>
        </w:tc>
        <w:tc>
          <w:tcPr>
            <w:tcW w:w="917" w:type="dxa"/>
            <w:tcBorders>
              <w:top w:val="nil"/>
              <w:left w:val="nil"/>
              <w:bottom w:val="single" w:sz="4" w:space="0" w:color="auto"/>
              <w:right w:val="single" w:sz="4" w:space="0" w:color="auto"/>
            </w:tcBorders>
            <w:shd w:val="clear" w:color="auto" w:fill="auto"/>
            <w:vAlign w:val="bottom"/>
            <w:hideMark/>
          </w:tcPr>
          <w:p w14:paraId="17C06B79" w14:textId="77777777" w:rsidR="00CC6F8F" w:rsidRPr="000B3157" w:rsidRDefault="00CC6F8F"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Standard Deviation</w:t>
            </w:r>
          </w:p>
        </w:tc>
        <w:tc>
          <w:tcPr>
            <w:tcW w:w="930" w:type="dxa"/>
            <w:tcBorders>
              <w:top w:val="nil"/>
              <w:left w:val="nil"/>
              <w:bottom w:val="single" w:sz="4" w:space="0" w:color="auto"/>
              <w:right w:val="single" w:sz="4" w:space="0" w:color="auto"/>
            </w:tcBorders>
            <w:shd w:val="clear" w:color="auto" w:fill="auto"/>
            <w:noWrap/>
            <w:vAlign w:val="bottom"/>
            <w:hideMark/>
          </w:tcPr>
          <w:p w14:paraId="4BE7C956" w14:textId="77777777" w:rsidR="00CC6F8F" w:rsidRPr="000B3157" w:rsidRDefault="00CC6F8F"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Minimum</w:t>
            </w:r>
          </w:p>
        </w:tc>
        <w:tc>
          <w:tcPr>
            <w:tcW w:w="958" w:type="dxa"/>
            <w:tcBorders>
              <w:top w:val="nil"/>
              <w:left w:val="nil"/>
              <w:bottom w:val="single" w:sz="4" w:space="0" w:color="auto"/>
              <w:right w:val="single" w:sz="4" w:space="0" w:color="auto"/>
            </w:tcBorders>
            <w:shd w:val="clear" w:color="auto" w:fill="auto"/>
            <w:noWrap/>
            <w:vAlign w:val="bottom"/>
            <w:hideMark/>
          </w:tcPr>
          <w:p w14:paraId="1623D3EB" w14:textId="77777777" w:rsidR="00CC6F8F" w:rsidRPr="000B3157" w:rsidRDefault="00CC6F8F" w:rsidP="000A39F0">
            <w:pPr>
              <w:spacing w:after="0" w:line="240" w:lineRule="auto"/>
              <w:jc w:val="center"/>
              <w:rPr>
                <w:rFonts w:ascii="Arial" w:eastAsia="Times New Roman" w:hAnsi="Arial" w:cs="Arial"/>
                <w:color w:val="5B9BD5"/>
                <w:sz w:val="16"/>
                <w:szCs w:val="16"/>
              </w:rPr>
            </w:pPr>
            <w:r w:rsidRPr="000B3157">
              <w:rPr>
                <w:rFonts w:ascii="Arial" w:eastAsia="Times New Roman" w:hAnsi="Arial" w:cs="Arial"/>
                <w:color w:val="5B9BD5"/>
                <w:sz w:val="16"/>
                <w:szCs w:val="16"/>
              </w:rPr>
              <w:t>Maximum</w:t>
            </w:r>
          </w:p>
        </w:tc>
        <w:tc>
          <w:tcPr>
            <w:tcW w:w="885" w:type="dxa"/>
            <w:tcBorders>
              <w:top w:val="nil"/>
              <w:left w:val="nil"/>
              <w:bottom w:val="single" w:sz="4" w:space="0" w:color="auto"/>
              <w:right w:val="single" w:sz="4" w:space="0" w:color="auto"/>
            </w:tcBorders>
            <w:shd w:val="clear" w:color="auto" w:fill="auto"/>
            <w:vAlign w:val="bottom"/>
            <w:hideMark/>
          </w:tcPr>
          <w:p w14:paraId="77859285" w14:textId="77777777" w:rsidR="00CC6F8F" w:rsidRPr="000B3157" w:rsidRDefault="00CC6F8F"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Mean Absolute Value</w:t>
            </w:r>
          </w:p>
        </w:tc>
        <w:tc>
          <w:tcPr>
            <w:tcW w:w="990" w:type="dxa"/>
            <w:tcBorders>
              <w:top w:val="nil"/>
              <w:left w:val="nil"/>
              <w:bottom w:val="single" w:sz="4" w:space="0" w:color="auto"/>
              <w:right w:val="single" w:sz="4" w:space="0" w:color="auto"/>
            </w:tcBorders>
            <w:shd w:val="clear" w:color="auto" w:fill="auto"/>
            <w:vAlign w:val="bottom"/>
            <w:hideMark/>
          </w:tcPr>
          <w:p w14:paraId="5A52E257" w14:textId="77777777" w:rsidR="00CC6F8F" w:rsidRPr="000B3157" w:rsidRDefault="00CC6F8F"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Standard Deviation</w:t>
            </w:r>
          </w:p>
        </w:tc>
        <w:tc>
          <w:tcPr>
            <w:tcW w:w="930" w:type="dxa"/>
            <w:tcBorders>
              <w:top w:val="nil"/>
              <w:left w:val="nil"/>
              <w:bottom w:val="single" w:sz="4" w:space="0" w:color="auto"/>
              <w:right w:val="single" w:sz="4" w:space="0" w:color="auto"/>
            </w:tcBorders>
            <w:shd w:val="clear" w:color="auto" w:fill="auto"/>
            <w:noWrap/>
            <w:vAlign w:val="bottom"/>
            <w:hideMark/>
          </w:tcPr>
          <w:p w14:paraId="38C1FE58" w14:textId="77777777" w:rsidR="00CC6F8F" w:rsidRPr="000B3157" w:rsidRDefault="00CC6F8F"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Minimum</w:t>
            </w:r>
          </w:p>
        </w:tc>
        <w:tc>
          <w:tcPr>
            <w:tcW w:w="910" w:type="dxa"/>
            <w:tcBorders>
              <w:top w:val="nil"/>
              <w:left w:val="nil"/>
              <w:bottom w:val="single" w:sz="4" w:space="0" w:color="auto"/>
              <w:right w:val="single" w:sz="4" w:space="0" w:color="auto"/>
            </w:tcBorders>
            <w:shd w:val="clear" w:color="auto" w:fill="auto"/>
            <w:noWrap/>
            <w:vAlign w:val="bottom"/>
            <w:hideMark/>
          </w:tcPr>
          <w:p w14:paraId="05474E8A" w14:textId="77777777" w:rsidR="00CC6F8F" w:rsidRPr="000B3157" w:rsidRDefault="00CC6F8F" w:rsidP="000A39F0">
            <w:pPr>
              <w:spacing w:after="0" w:line="240" w:lineRule="auto"/>
              <w:jc w:val="center"/>
              <w:rPr>
                <w:rFonts w:ascii="Arial" w:eastAsia="Times New Roman" w:hAnsi="Arial" w:cs="Arial"/>
                <w:color w:val="70AD47"/>
                <w:sz w:val="16"/>
                <w:szCs w:val="16"/>
              </w:rPr>
            </w:pPr>
            <w:r w:rsidRPr="000B3157">
              <w:rPr>
                <w:rFonts w:ascii="Arial" w:eastAsia="Times New Roman" w:hAnsi="Arial" w:cs="Arial"/>
                <w:color w:val="70AD47"/>
                <w:sz w:val="16"/>
                <w:szCs w:val="16"/>
              </w:rPr>
              <w:t>Maximum</w:t>
            </w:r>
          </w:p>
        </w:tc>
      </w:tr>
      <w:tr w:rsidR="00CC6F8F" w:rsidRPr="00B65C47" w14:paraId="2E5665C8"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64820142"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CA</w:t>
            </w:r>
          </w:p>
        </w:tc>
        <w:tc>
          <w:tcPr>
            <w:tcW w:w="955" w:type="dxa"/>
            <w:tcBorders>
              <w:top w:val="nil"/>
              <w:left w:val="nil"/>
              <w:bottom w:val="single" w:sz="4" w:space="0" w:color="auto"/>
              <w:right w:val="single" w:sz="4" w:space="0" w:color="auto"/>
            </w:tcBorders>
            <w:shd w:val="clear" w:color="auto" w:fill="auto"/>
            <w:noWrap/>
            <w:vAlign w:val="bottom"/>
            <w:hideMark/>
          </w:tcPr>
          <w:p w14:paraId="6A772F32"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0.008</w:t>
            </w:r>
          </w:p>
        </w:tc>
        <w:tc>
          <w:tcPr>
            <w:tcW w:w="917" w:type="dxa"/>
            <w:tcBorders>
              <w:top w:val="nil"/>
              <w:left w:val="nil"/>
              <w:bottom w:val="single" w:sz="4" w:space="0" w:color="auto"/>
              <w:right w:val="single" w:sz="4" w:space="0" w:color="auto"/>
            </w:tcBorders>
            <w:shd w:val="clear" w:color="auto" w:fill="auto"/>
            <w:noWrap/>
            <w:vAlign w:val="bottom"/>
            <w:hideMark/>
          </w:tcPr>
          <w:p w14:paraId="795A726B"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30" w:type="dxa"/>
            <w:tcBorders>
              <w:top w:val="nil"/>
              <w:left w:val="nil"/>
              <w:bottom w:val="single" w:sz="4" w:space="0" w:color="auto"/>
              <w:right w:val="single" w:sz="4" w:space="0" w:color="auto"/>
            </w:tcBorders>
            <w:shd w:val="clear" w:color="auto" w:fill="auto"/>
            <w:noWrap/>
            <w:vAlign w:val="bottom"/>
            <w:hideMark/>
          </w:tcPr>
          <w:p w14:paraId="1DE46A3C"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-0.029</w:t>
            </w:r>
          </w:p>
        </w:tc>
        <w:tc>
          <w:tcPr>
            <w:tcW w:w="958" w:type="dxa"/>
            <w:tcBorders>
              <w:top w:val="nil"/>
              <w:left w:val="nil"/>
              <w:bottom w:val="single" w:sz="4" w:space="0" w:color="auto"/>
              <w:right w:val="single" w:sz="4" w:space="0" w:color="auto"/>
            </w:tcBorders>
            <w:shd w:val="clear" w:color="auto" w:fill="auto"/>
            <w:noWrap/>
            <w:vAlign w:val="bottom"/>
            <w:hideMark/>
          </w:tcPr>
          <w:p w14:paraId="5ECC40E8"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0.025</w:t>
            </w:r>
          </w:p>
        </w:tc>
        <w:tc>
          <w:tcPr>
            <w:tcW w:w="885" w:type="dxa"/>
            <w:tcBorders>
              <w:top w:val="nil"/>
              <w:left w:val="nil"/>
              <w:bottom w:val="single" w:sz="4" w:space="0" w:color="auto"/>
              <w:right w:val="single" w:sz="4" w:space="0" w:color="auto"/>
            </w:tcBorders>
            <w:shd w:val="clear" w:color="auto" w:fill="auto"/>
            <w:noWrap/>
            <w:vAlign w:val="bottom"/>
            <w:hideMark/>
          </w:tcPr>
          <w:p w14:paraId="5CE2FE90"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0.010</w:t>
            </w:r>
          </w:p>
        </w:tc>
        <w:tc>
          <w:tcPr>
            <w:tcW w:w="990" w:type="dxa"/>
            <w:tcBorders>
              <w:top w:val="nil"/>
              <w:left w:val="nil"/>
              <w:bottom w:val="single" w:sz="4" w:space="0" w:color="auto"/>
              <w:right w:val="single" w:sz="4" w:space="0" w:color="auto"/>
            </w:tcBorders>
            <w:shd w:val="clear" w:color="auto" w:fill="auto"/>
            <w:noWrap/>
            <w:vAlign w:val="bottom"/>
            <w:hideMark/>
          </w:tcPr>
          <w:p w14:paraId="0B4CC4F0"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0.012</w:t>
            </w:r>
          </w:p>
        </w:tc>
        <w:tc>
          <w:tcPr>
            <w:tcW w:w="930" w:type="dxa"/>
            <w:tcBorders>
              <w:top w:val="nil"/>
              <w:left w:val="nil"/>
              <w:bottom w:val="single" w:sz="4" w:space="0" w:color="auto"/>
              <w:right w:val="single" w:sz="4" w:space="0" w:color="auto"/>
            </w:tcBorders>
            <w:shd w:val="clear" w:color="auto" w:fill="auto"/>
            <w:noWrap/>
            <w:vAlign w:val="bottom"/>
            <w:hideMark/>
          </w:tcPr>
          <w:p w14:paraId="1B2BF0E0"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-0.035</w:t>
            </w:r>
          </w:p>
        </w:tc>
        <w:tc>
          <w:tcPr>
            <w:tcW w:w="910" w:type="dxa"/>
            <w:tcBorders>
              <w:top w:val="nil"/>
              <w:left w:val="nil"/>
              <w:bottom w:val="single" w:sz="4" w:space="0" w:color="auto"/>
              <w:right w:val="single" w:sz="4" w:space="0" w:color="auto"/>
            </w:tcBorders>
            <w:shd w:val="clear" w:color="auto" w:fill="auto"/>
            <w:noWrap/>
            <w:vAlign w:val="bottom"/>
            <w:hideMark/>
          </w:tcPr>
          <w:p w14:paraId="7FC47200"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0.029</w:t>
            </w:r>
          </w:p>
        </w:tc>
      </w:tr>
      <w:tr w:rsidR="00CC6F8F" w:rsidRPr="00B65C47" w14:paraId="20E19A1E"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38B8631"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CO</w:t>
            </w:r>
          </w:p>
        </w:tc>
        <w:tc>
          <w:tcPr>
            <w:tcW w:w="955" w:type="dxa"/>
            <w:tcBorders>
              <w:top w:val="nil"/>
              <w:left w:val="nil"/>
              <w:bottom w:val="single" w:sz="4" w:space="0" w:color="auto"/>
              <w:right w:val="single" w:sz="4" w:space="0" w:color="auto"/>
            </w:tcBorders>
            <w:shd w:val="clear" w:color="auto" w:fill="auto"/>
            <w:noWrap/>
            <w:vAlign w:val="bottom"/>
            <w:hideMark/>
          </w:tcPr>
          <w:p w14:paraId="5AA7EC27"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0.022</w:t>
            </w:r>
          </w:p>
        </w:tc>
        <w:tc>
          <w:tcPr>
            <w:tcW w:w="917" w:type="dxa"/>
            <w:tcBorders>
              <w:top w:val="nil"/>
              <w:left w:val="nil"/>
              <w:bottom w:val="single" w:sz="4" w:space="0" w:color="auto"/>
              <w:right w:val="single" w:sz="4" w:space="0" w:color="auto"/>
            </w:tcBorders>
            <w:shd w:val="clear" w:color="auto" w:fill="auto"/>
            <w:noWrap/>
            <w:vAlign w:val="bottom"/>
            <w:hideMark/>
          </w:tcPr>
          <w:p w14:paraId="771B72A6"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0.027</w:t>
            </w:r>
          </w:p>
        </w:tc>
        <w:tc>
          <w:tcPr>
            <w:tcW w:w="930" w:type="dxa"/>
            <w:tcBorders>
              <w:top w:val="nil"/>
              <w:left w:val="nil"/>
              <w:bottom w:val="single" w:sz="4" w:space="0" w:color="auto"/>
              <w:right w:val="single" w:sz="4" w:space="0" w:color="auto"/>
            </w:tcBorders>
            <w:shd w:val="clear" w:color="auto" w:fill="auto"/>
            <w:noWrap/>
            <w:vAlign w:val="bottom"/>
            <w:hideMark/>
          </w:tcPr>
          <w:p w14:paraId="730A4C61"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-0.075</w:t>
            </w:r>
          </w:p>
        </w:tc>
        <w:tc>
          <w:tcPr>
            <w:tcW w:w="958" w:type="dxa"/>
            <w:tcBorders>
              <w:top w:val="nil"/>
              <w:left w:val="nil"/>
              <w:bottom w:val="single" w:sz="4" w:space="0" w:color="auto"/>
              <w:right w:val="single" w:sz="4" w:space="0" w:color="auto"/>
            </w:tcBorders>
            <w:shd w:val="clear" w:color="auto" w:fill="auto"/>
            <w:noWrap/>
            <w:vAlign w:val="bottom"/>
            <w:hideMark/>
          </w:tcPr>
          <w:p w14:paraId="6D210BAA"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0.042</w:t>
            </w:r>
          </w:p>
        </w:tc>
        <w:tc>
          <w:tcPr>
            <w:tcW w:w="885" w:type="dxa"/>
            <w:tcBorders>
              <w:top w:val="nil"/>
              <w:left w:val="nil"/>
              <w:bottom w:val="single" w:sz="4" w:space="0" w:color="auto"/>
              <w:right w:val="single" w:sz="4" w:space="0" w:color="auto"/>
            </w:tcBorders>
            <w:shd w:val="clear" w:color="auto" w:fill="auto"/>
            <w:noWrap/>
            <w:vAlign w:val="bottom"/>
            <w:hideMark/>
          </w:tcPr>
          <w:p w14:paraId="27C95E4A"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0.042</w:t>
            </w:r>
          </w:p>
        </w:tc>
        <w:tc>
          <w:tcPr>
            <w:tcW w:w="990" w:type="dxa"/>
            <w:tcBorders>
              <w:top w:val="nil"/>
              <w:left w:val="nil"/>
              <w:bottom w:val="single" w:sz="4" w:space="0" w:color="auto"/>
              <w:right w:val="single" w:sz="4" w:space="0" w:color="auto"/>
            </w:tcBorders>
            <w:shd w:val="clear" w:color="auto" w:fill="auto"/>
            <w:noWrap/>
            <w:vAlign w:val="bottom"/>
            <w:hideMark/>
          </w:tcPr>
          <w:p w14:paraId="7332F527"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0.054</w:t>
            </w:r>
          </w:p>
        </w:tc>
        <w:tc>
          <w:tcPr>
            <w:tcW w:w="930" w:type="dxa"/>
            <w:tcBorders>
              <w:top w:val="nil"/>
              <w:left w:val="nil"/>
              <w:bottom w:val="single" w:sz="4" w:space="0" w:color="auto"/>
              <w:right w:val="single" w:sz="4" w:space="0" w:color="auto"/>
            </w:tcBorders>
            <w:shd w:val="clear" w:color="auto" w:fill="auto"/>
            <w:noWrap/>
            <w:vAlign w:val="bottom"/>
            <w:hideMark/>
          </w:tcPr>
          <w:p w14:paraId="04F3C2D2"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-0.151</w:t>
            </w:r>
          </w:p>
        </w:tc>
        <w:tc>
          <w:tcPr>
            <w:tcW w:w="910" w:type="dxa"/>
            <w:tcBorders>
              <w:top w:val="nil"/>
              <w:left w:val="nil"/>
              <w:bottom w:val="single" w:sz="4" w:space="0" w:color="auto"/>
              <w:right w:val="single" w:sz="4" w:space="0" w:color="auto"/>
            </w:tcBorders>
            <w:shd w:val="clear" w:color="auto" w:fill="auto"/>
            <w:noWrap/>
            <w:vAlign w:val="bottom"/>
            <w:hideMark/>
          </w:tcPr>
          <w:p w14:paraId="1685AA43"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0.087</w:t>
            </w:r>
          </w:p>
        </w:tc>
      </w:tr>
      <w:tr w:rsidR="00CC6F8F" w:rsidRPr="00B65C47" w14:paraId="6FF8E374"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09E23935"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FL</w:t>
            </w:r>
          </w:p>
        </w:tc>
        <w:tc>
          <w:tcPr>
            <w:tcW w:w="955" w:type="dxa"/>
            <w:tcBorders>
              <w:top w:val="nil"/>
              <w:left w:val="nil"/>
              <w:bottom w:val="single" w:sz="4" w:space="0" w:color="auto"/>
              <w:right w:val="single" w:sz="4" w:space="0" w:color="auto"/>
            </w:tcBorders>
            <w:shd w:val="clear" w:color="auto" w:fill="auto"/>
            <w:noWrap/>
            <w:vAlign w:val="bottom"/>
            <w:hideMark/>
          </w:tcPr>
          <w:p w14:paraId="46B96498"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17" w:type="dxa"/>
            <w:tcBorders>
              <w:top w:val="nil"/>
              <w:left w:val="nil"/>
              <w:bottom w:val="single" w:sz="4" w:space="0" w:color="auto"/>
              <w:right w:val="single" w:sz="4" w:space="0" w:color="auto"/>
            </w:tcBorders>
            <w:shd w:val="clear" w:color="auto" w:fill="auto"/>
            <w:noWrap/>
            <w:vAlign w:val="bottom"/>
            <w:hideMark/>
          </w:tcPr>
          <w:p w14:paraId="5154F9DA"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930" w:type="dxa"/>
            <w:tcBorders>
              <w:top w:val="nil"/>
              <w:left w:val="nil"/>
              <w:bottom w:val="single" w:sz="4" w:space="0" w:color="auto"/>
              <w:right w:val="single" w:sz="4" w:space="0" w:color="auto"/>
            </w:tcBorders>
            <w:shd w:val="clear" w:color="auto" w:fill="auto"/>
            <w:noWrap/>
            <w:vAlign w:val="bottom"/>
            <w:hideMark/>
          </w:tcPr>
          <w:p w14:paraId="440209D8"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-0.048</w:t>
            </w:r>
          </w:p>
        </w:tc>
        <w:tc>
          <w:tcPr>
            <w:tcW w:w="958" w:type="dxa"/>
            <w:tcBorders>
              <w:top w:val="nil"/>
              <w:left w:val="nil"/>
              <w:bottom w:val="single" w:sz="4" w:space="0" w:color="auto"/>
              <w:right w:val="single" w:sz="4" w:space="0" w:color="auto"/>
            </w:tcBorders>
            <w:shd w:val="clear" w:color="auto" w:fill="auto"/>
            <w:noWrap/>
            <w:vAlign w:val="bottom"/>
            <w:hideMark/>
          </w:tcPr>
          <w:p w14:paraId="1D4081A8"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0.035</w:t>
            </w:r>
          </w:p>
        </w:tc>
        <w:tc>
          <w:tcPr>
            <w:tcW w:w="885" w:type="dxa"/>
            <w:tcBorders>
              <w:top w:val="nil"/>
              <w:left w:val="nil"/>
              <w:bottom w:val="single" w:sz="4" w:space="0" w:color="auto"/>
              <w:right w:val="single" w:sz="4" w:space="0" w:color="auto"/>
            </w:tcBorders>
            <w:shd w:val="clear" w:color="auto" w:fill="auto"/>
            <w:noWrap/>
            <w:vAlign w:val="bottom"/>
            <w:hideMark/>
          </w:tcPr>
          <w:p w14:paraId="4EBAC9DF"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0.022</w:t>
            </w:r>
          </w:p>
        </w:tc>
        <w:tc>
          <w:tcPr>
            <w:tcW w:w="990" w:type="dxa"/>
            <w:tcBorders>
              <w:top w:val="nil"/>
              <w:left w:val="nil"/>
              <w:bottom w:val="single" w:sz="4" w:space="0" w:color="auto"/>
              <w:right w:val="single" w:sz="4" w:space="0" w:color="auto"/>
            </w:tcBorders>
            <w:shd w:val="clear" w:color="auto" w:fill="auto"/>
            <w:noWrap/>
            <w:vAlign w:val="bottom"/>
            <w:hideMark/>
          </w:tcPr>
          <w:p w14:paraId="6EDF408F"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0.028</w:t>
            </w:r>
          </w:p>
        </w:tc>
        <w:tc>
          <w:tcPr>
            <w:tcW w:w="930" w:type="dxa"/>
            <w:tcBorders>
              <w:top w:val="nil"/>
              <w:left w:val="nil"/>
              <w:bottom w:val="single" w:sz="4" w:space="0" w:color="auto"/>
              <w:right w:val="single" w:sz="4" w:space="0" w:color="auto"/>
            </w:tcBorders>
            <w:shd w:val="clear" w:color="auto" w:fill="auto"/>
            <w:noWrap/>
            <w:vAlign w:val="bottom"/>
            <w:hideMark/>
          </w:tcPr>
          <w:p w14:paraId="05BC91E8"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-0.074</w:t>
            </w:r>
          </w:p>
        </w:tc>
        <w:tc>
          <w:tcPr>
            <w:tcW w:w="910" w:type="dxa"/>
            <w:tcBorders>
              <w:top w:val="nil"/>
              <w:left w:val="nil"/>
              <w:bottom w:val="single" w:sz="4" w:space="0" w:color="auto"/>
              <w:right w:val="single" w:sz="4" w:space="0" w:color="auto"/>
            </w:tcBorders>
            <w:shd w:val="clear" w:color="auto" w:fill="auto"/>
            <w:noWrap/>
            <w:vAlign w:val="bottom"/>
            <w:hideMark/>
          </w:tcPr>
          <w:p w14:paraId="2E3630BF"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0.044</w:t>
            </w:r>
          </w:p>
        </w:tc>
      </w:tr>
      <w:tr w:rsidR="00CC6F8F" w:rsidRPr="00B65C47" w14:paraId="15DE64DC"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3A3AD1B3"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MA</w:t>
            </w:r>
          </w:p>
        </w:tc>
        <w:tc>
          <w:tcPr>
            <w:tcW w:w="955" w:type="dxa"/>
            <w:tcBorders>
              <w:top w:val="nil"/>
              <w:left w:val="nil"/>
              <w:bottom w:val="single" w:sz="4" w:space="0" w:color="auto"/>
              <w:right w:val="single" w:sz="4" w:space="0" w:color="auto"/>
            </w:tcBorders>
            <w:shd w:val="clear" w:color="auto" w:fill="auto"/>
            <w:noWrap/>
            <w:vAlign w:val="bottom"/>
            <w:hideMark/>
          </w:tcPr>
          <w:p w14:paraId="7D8BA3E7"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0.023</w:t>
            </w:r>
          </w:p>
        </w:tc>
        <w:tc>
          <w:tcPr>
            <w:tcW w:w="917" w:type="dxa"/>
            <w:tcBorders>
              <w:top w:val="nil"/>
              <w:left w:val="nil"/>
              <w:bottom w:val="single" w:sz="4" w:space="0" w:color="auto"/>
              <w:right w:val="single" w:sz="4" w:space="0" w:color="auto"/>
            </w:tcBorders>
            <w:shd w:val="clear" w:color="auto" w:fill="auto"/>
            <w:noWrap/>
            <w:vAlign w:val="bottom"/>
            <w:hideMark/>
          </w:tcPr>
          <w:p w14:paraId="711BD9FD"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0.028</w:t>
            </w:r>
          </w:p>
        </w:tc>
        <w:tc>
          <w:tcPr>
            <w:tcW w:w="930" w:type="dxa"/>
            <w:tcBorders>
              <w:top w:val="nil"/>
              <w:left w:val="nil"/>
              <w:bottom w:val="single" w:sz="4" w:space="0" w:color="auto"/>
              <w:right w:val="single" w:sz="4" w:space="0" w:color="auto"/>
            </w:tcBorders>
            <w:shd w:val="clear" w:color="auto" w:fill="auto"/>
            <w:noWrap/>
            <w:vAlign w:val="bottom"/>
            <w:hideMark/>
          </w:tcPr>
          <w:p w14:paraId="5486AF87"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-0.059</w:t>
            </w:r>
          </w:p>
        </w:tc>
        <w:tc>
          <w:tcPr>
            <w:tcW w:w="958" w:type="dxa"/>
            <w:tcBorders>
              <w:top w:val="nil"/>
              <w:left w:val="nil"/>
              <w:bottom w:val="single" w:sz="4" w:space="0" w:color="auto"/>
              <w:right w:val="single" w:sz="4" w:space="0" w:color="auto"/>
            </w:tcBorders>
            <w:shd w:val="clear" w:color="auto" w:fill="auto"/>
            <w:noWrap/>
            <w:vAlign w:val="bottom"/>
            <w:hideMark/>
          </w:tcPr>
          <w:p w14:paraId="4E08A82E"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0.052</w:t>
            </w:r>
          </w:p>
        </w:tc>
        <w:tc>
          <w:tcPr>
            <w:tcW w:w="885" w:type="dxa"/>
            <w:tcBorders>
              <w:top w:val="nil"/>
              <w:left w:val="nil"/>
              <w:bottom w:val="single" w:sz="4" w:space="0" w:color="auto"/>
              <w:right w:val="single" w:sz="4" w:space="0" w:color="auto"/>
            </w:tcBorders>
            <w:shd w:val="clear" w:color="auto" w:fill="auto"/>
            <w:noWrap/>
            <w:vAlign w:val="bottom"/>
            <w:hideMark/>
          </w:tcPr>
          <w:p w14:paraId="3D28DA42"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0.025</w:t>
            </w:r>
          </w:p>
        </w:tc>
        <w:tc>
          <w:tcPr>
            <w:tcW w:w="990" w:type="dxa"/>
            <w:tcBorders>
              <w:top w:val="nil"/>
              <w:left w:val="nil"/>
              <w:bottom w:val="single" w:sz="4" w:space="0" w:color="auto"/>
              <w:right w:val="single" w:sz="4" w:space="0" w:color="auto"/>
            </w:tcBorders>
            <w:shd w:val="clear" w:color="auto" w:fill="auto"/>
            <w:noWrap/>
            <w:vAlign w:val="bottom"/>
            <w:hideMark/>
          </w:tcPr>
          <w:p w14:paraId="6349DEE1"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0.032</w:t>
            </w:r>
          </w:p>
        </w:tc>
        <w:tc>
          <w:tcPr>
            <w:tcW w:w="930" w:type="dxa"/>
            <w:tcBorders>
              <w:top w:val="nil"/>
              <w:left w:val="nil"/>
              <w:bottom w:val="single" w:sz="4" w:space="0" w:color="auto"/>
              <w:right w:val="single" w:sz="4" w:space="0" w:color="auto"/>
            </w:tcBorders>
            <w:shd w:val="clear" w:color="auto" w:fill="auto"/>
            <w:noWrap/>
            <w:vAlign w:val="bottom"/>
            <w:hideMark/>
          </w:tcPr>
          <w:p w14:paraId="23F853D4"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-0.079</w:t>
            </w:r>
          </w:p>
        </w:tc>
        <w:tc>
          <w:tcPr>
            <w:tcW w:w="910" w:type="dxa"/>
            <w:tcBorders>
              <w:top w:val="nil"/>
              <w:left w:val="nil"/>
              <w:bottom w:val="single" w:sz="4" w:space="0" w:color="auto"/>
              <w:right w:val="single" w:sz="4" w:space="0" w:color="auto"/>
            </w:tcBorders>
            <w:shd w:val="clear" w:color="auto" w:fill="auto"/>
            <w:noWrap/>
            <w:vAlign w:val="bottom"/>
            <w:hideMark/>
          </w:tcPr>
          <w:p w14:paraId="08B4A9AF"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0.059</w:t>
            </w:r>
          </w:p>
        </w:tc>
      </w:tr>
      <w:tr w:rsidR="00CC6F8F" w:rsidRPr="00B65C47" w14:paraId="697F3B18"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0FD00DF0"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MN</w:t>
            </w:r>
          </w:p>
        </w:tc>
        <w:tc>
          <w:tcPr>
            <w:tcW w:w="955" w:type="dxa"/>
            <w:tcBorders>
              <w:top w:val="nil"/>
              <w:left w:val="nil"/>
              <w:bottom w:val="single" w:sz="4" w:space="0" w:color="auto"/>
              <w:right w:val="single" w:sz="4" w:space="0" w:color="auto"/>
            </w:tcBorders>
            <w:shd w:val="clear" w:color="auto" w:fill="auto"/>
            <w:noWrap/>
            <w:vAlign w:val="bottom"/>
            <w:hideMark/>
          </w:tcPr>
          <w:p w14:paraId="3BB364A3"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0.016</w:t>
            </w:r>
          </w:p>
        </w:tc>
        <w:tc>
          <w:tcPr>
            <w:tcW w:w="917" w:type="dxa"/>
            <w:tcBorders>
              <w:top w:val="nil"/>
              <w:left w:val="nil"/>
              <w:bottom w:val="single" w:sz="4" w:space="0" w:color="auto"/>
              <w:right w:val="single" w:sz="4" w:space="0" w:color="auto"/>
            </w:tcBorders>
            <w:shd w:val="clear" w:color="auto" w:fill="auto"/>
            <w:noWrap/>
            <w:vAlign w:val="bottom"/>
            <w:hideMark/>
          </w:tcPr>
          <w:p w14:paraId="6C28A0BF"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0.021</w:t>
            </w:r>
          </w:p>
        </w:tc>
        <w:tc>
          <w:tcPr>
            <w:tcW w:w="930" w:type="dxa"/>
            <w:tcBorders>
              <w:top w:val="nil"/>
              <w:left w:val="nil"/>
              <w:bottom w:val="single" w:sz="4" w:space="0" w:color="auto"/>
              <w:right w:val="single" w:sz="4" w:space="0" w:color="auto"/>
            </w:tcBorders>
            <w:shd w:val="clear" w:color="auto" w:fill="auto"/>
            <w:noWrap/>
            <w:vAlign w:val="bottom"/>
            <w:hideMark/>
          </w:tcPr>
          <w:p w14:paraId="6DABAFED"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-0.054</w:t>
            </w:r>
          </w:p>
        </w:tc>
        <w:tc>
          <w:tcPr>
            <w:tcW w:w="958" w:type="dxa"/>
            <w:tcBorders>
              <w:top w:val="nil"/>
              <w:left w:val="nil"/>
              <w:bottom w:val="single" w:sz="4" w:space="0" w:color="auto"/>
              <w:right w:val="single" w:sz="4" w:space="0" w:color="auto"/>
            </w:tcBorders>
            <w:shd w:val="clear" w:color="auto" w:fill="auto"/>
            <w:noWrap/>
            <w:vAlign w:val="bottom"/>
            <w:hideMark/>
          </w:tcPr>
          <w:p w14:paraId="6E8910B4"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0.080</w:t>
            </w:r>
          </w:p>
        </w:tc>
        <w:tc>
          <w:tcPr>
            <w:tcW w:w="885" w:type="dxa"/>
            <w:tcBorders>
              <w:top w:val="nil"/>
              <w:left w:val="nil"/>
              <w:bottom w:val="single" w:sz="4" w:space="0" w:color="auto"/>
              <w:right w:val="single" w:sz="4" w:space="0" w:color="auto"/>
            </w:tcBorders>
            <w:shd w:val="clear" w:color="auto" w:fill="auto"/>
            <w:noWrap/>
            <w:vAlign w:val="bottom"/>
            <w:hideMark/>
          </w:tcPr>
          <w:p w14:paraId="1B52C21A"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0.031</w:t>
            </w:r>
          </w:p>
        </w:tc>
        <w:tc>
          <w:tcPr>
            <w:tcW w:w="990" w:type="dxa"/>
            <w:tcBorders>
              <w:top w:val="nil"/>
              <w:left w:val="nil"/>
              <w:bottom w:val="single" w:sz="4" w:space="0" w:color="auto"/>
              <w:right w:val="single" w:sz="4" w:space="0" w:color="auto"/>
            </w:tcBorders>
            <w:shd w:val="clear" w:color="auto" w:fill="auto"/>
            <w:noWrap/>
            <w:vAlign w:val="bottom"/>
            <w:hideMark/>
          </w:tcPr>
          <w:p w14:paraId="50ED2AE6"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0.041</w:t>
            </w:r>
          </w:p>
        </w:tc>
        <w:tc>
          <w:tcPr>
            <w:tcW w:w="930" w:type="dxa"/>
            <w:tcBorders>
              <w:top w:val="nil"/>
              <w:left w:val="nil"/>
              <w:bottom w:val="single" w:sz="4" w:space="0" w:color="auto"/>
              <w:right w:val="single" w:sz="4" w:space="0" w:color="auto"/>
            </w:tcBorders>
            <w:shd w:val="clear" w:color="auto" w:fill="auto"/>
            <w:noWrap/>
            <w:vAlign w:val="bottom"/>
            <w:hideMark/>
          </w:tcPr>
          <w:p w14:paraId="35939006"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-0.107</w:t>
            </w:r>
          </w:p>
        </w:tc>
        <w:tc>
          <w:tcPr>
            <w:tcW w:w="910" w:type="dxa"/>
            <w:tcBorders>
              <w:top w:val="nil"/>
              <w:left w:val="nil"/>
              <w:bottom w:val="single" w:sz="4" w:space="0" w:color="auto"/>
              <w:right w:val="single" w:sz="4" w:space="0" w:color="auto"/>
            </w:tcBorders>
            <w:shd w:val="clear" w:color="auto" w:fill="auto"/>
            <w:noWrap/>
            <w:vAlign w:val="bottom"/>
            <w:hideMark/>
          </w:tcPr>
          <w:p w14:paraId="7909012E"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0.143</w:t>
            </w:r>
          </w:p>
        </w:tc>
      </w:tr>
      <w:tr w:rsidR="00CC6F8F" w:rsidRPr="00B65C47" w14:paraId="6DAE6EA8"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10AEB73"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NY</w:t>
            </w:r>
          </w:p>
        </w:tc>
        <w:tc>
          <w:tcPr>
            <w:tcW w:w="955" w:type="dxa"/>
            <w:tcBorders>
              <w:top w:val="nil"/>
              <w:left w:val="nil"/>
              <w:bottom w:val="single" w:sz="4" w:space="0" w:color="auto"/>
              <w:right w:val="single" w:sz="4" w:space="0" w:color="auto"/>
            </w:tcBorders>
            <w:shd w:val="clear" w:color="auto" w:fill="auto"/>
            <w:noWrap/>
            <w:vAlign w:val="bottom"/>
            <w:hideMark/>
          </w:tcPr>
          <w:p w14:paraId="2AF76B8D"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17" w:type="dxa"/>
            <w:tcBorders>
              <w:top w:val="nil"/>
              <w:left w:val="nil"/>
              <w:bottom w:val="single" w:sz="4" w:space="0" w:color="auto"/>
              <w:right w:val="single" w:sz="4" w:space="0" w:color="auto"/>
            </w:tcBorders>
            <w:shd w:val="clear" w:color="auto" w:fill="auto"/>
            <w:noWrap/>
            <w:vAlign w:val="bottom"/>
            <w:hideMark/>
          </w:tcPr>
          <w:p w14:paraId="70E5D2B7"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930" w:type="dxa"/>
            <w:tcBorders>
              <w:top w:val="nil"/>
              <w:left w:val="nil"/>
              <w:bottom w:val="single" w:sz="4" w:space="0" w:color="auto"/>
              <w:right w:val="single" w:sz="4" w:space="0" w:color="auto"/>
            </w:tcBorders>
            <w:shd w:val="clear" w:color="auto" w:fill="auto"/>
            <w:noWrap/>
            <w:vAlign w:val="bottom"/>
            <w:hideMark/>
          </w:tcPr>
          <w:p w14:paraId="3BD1B629"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-0.037</w:t>
            </w:r>
          </w:p>
        </w:tc>
        <w:tc>
          <w:tcPr>
            <w:tcW w:w="958" w:type="dxa"/>
            <w:tcBorders>
              <w:top w:val="nil"/>
              <w:left w:val="nil"/>
              <w:bottom w:val="single" w:sz="4" w:space="0" w:color="auto"/>
              <w:right w:val="single" w:sz="4" w:space="0" w:color="auto"/>
            </w:tcBorders>
            <w:shd w:val="clear" w:color="auto" w:fill="auto"/>
            <w:noWrap/>
            <w:vAlign w:val="bottom"/>
            <w:hideMark/>
          </w:tcPr>
          <w:p w14:paraId="77460A26"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0.043</w:t>
            </w:r>
          </w:p>
        </w:tc>
        <w:tc>
          <w:tcPr>
            <w:tcW w:w="885" w:type="dxa"/>
            <w:tcBorders>
              <w:top w:val="nil"/>
              <w:left w:val="nil"/>
              <w:bottom w:val="single" w:sz="4" w:space="0" w:color="auto"/>
              <w:right w:val="single" w:sz="4" w:space="0" w:color="auto"/>
            </w:tcBorders>
            <w:shd w:val="clear" w:color="auto" w:fill="auto"/>
            <w:noWrap/>
            <w:vAlign w:val="bottom"/>
            <w:hideMark/>
          </w:tcPr>
          <w:p w14:paraId="55004A0A"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0.018</w:t>
            </w:r>
          </w:p>
        </w:tc>
        <w:tc>
          <w:tcPr>
            <w:tcW w:w="990" w:type="dxa"/>
            <w:tcBorders>
              <w:top w:val="nil"/>
              <w:left w:val="nil"/>
              <w:bottom w:val="single" w:sz="4" w:space="0" w:color="auto"/>
              <w:right w:val="single" w:sz="4" w:space="0" w:color="auto"/>
            </w:tcBorders>
            <w:shd w:val="clear" w:color="auto" w:fill="auto"/>
            <w:noWrap/>
            <w:vAlign w:val="bottom"/>
            <w:hideMark/>
          </w:tcPr>
          <w:p w14:paraId="072553C1"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0.023</w:t>
            </w:r>
          </w:p>
        </w:tc>
        <w:tc>
          <w:tcPr>
            <w:tcW w:w="930" w:type="dxa"/>
            <w:tcBorders>
              <w:top w:val="nil"/>
              <w:left w:val="nil"/>
              <w:bottom w:val="single" w:sz="4" w:space="0" w:color="auto"/>
              <w:right w:val="single" w:sz="4" w:space="0" w:color="auto"/>
            </w:tcBorders>
            <w:shd w:val="clear" w:color="auto" w:fill="auto"/>
            <w:noWrap/>
            <w:vAlign w:val="bottom"/>
            <w:hideMark/>
          </w:tcPr>
          <w:p w14:paraId="3E0AB8BA"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-0.056</w:t>
            </w:r>
          </w:p>
        </w:tc>
        <w:tc>
          <w:tcPr>
            <w:tcW w:w="910" w:type="dxa"/>
            <w:tcBorders>
              <w:top w:val="nil"/>
              <w:left w:val="nil"/>
              <w:bottom w:val="single" w:sz="4" w:space="0" w:color="auto"/>
              <w:right w:val="single" w:sz="4" w:space="0" w:color="auto"/>
            </w:tcBorders>
            <w:shd w:val="clear" w:color="auto" w:fill="auto"/>
            <w:noWrap/>
            <w:vAlign w:val="bottom"/>
            <w:hideMark/>
          </w:tcPr>
          <w:p w14:paraId="3C5D9874"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0.059</w:t>
            </w:r>
          </w:p>
        </w:tc>
      </w:tr>
      <w:tr w:rsidR="00CC6F8F" w:rsidRPr="00B65C47" w14:paraId="746F5425"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7D81F09"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OH</w:t>
            </w:r>
          </w:p>
        </w:tc>
        <w:tc>
          <w:tcPr>
            <w:tcW w:w="955" w:type="dxa"/>
            <w:tcBorders>
              <w:top w:val="nil"/>
              <w:left w:val="nil"/>
              <w:bottom w:val="single" w:sz="4" w:space="0" w:color="auto"/>
              <w:right w:val="single" w:sz="4" w:space="0" w:color="auto"/>
            </w:tcBorders>
            <w:shd w:val="clear" w:color="auto" w:fill="auto"/>
            <w:noWrap/>
            <w:vAlign w:val="bottom"/>
            <w:hideMark/>
          </w:tcPr>
          <w:p w14:paraId="192B8DCA"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917" w:type="dxa"/>
            <w:tcBorders>
              <w:top w:val="nil"/>
              <w:left w:val="nil"/>
              <w:bottom w:val="single" w:sz="4" w:space="0" w:color="auto"/>
              <w:right w:val="single" w:sz="4" w:space="0" w:color="auto"/>
            </w:tcBorders>
            <w:shd w:val="clear" w:color="auto" w:fill="auto"/>
            <w:noWrap/>
            <w:vAlign w:val="bottom"/>
            <w:hideMark/>
          </w:tcPr>
          <w:p w14:paraId="36EB38FA"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0.030</w:t>
            </w:r>
          </w:p>
        </w:tc>
        <w:tc>
          <w:tcPr>
            <w:tcW w:w="930" w:type="dxa"/>
            <w:tcBorders>
              <w:top w:val="nil"/>
              <w:left w:val="nil"/>
              <w:bottom w:val="single" w:sz="4" w:space="0" w:color="auto"/>
              <w:right w:val="single" w:sz="4" w:space="0" w:color="auto"/>
            </w:tcBorders>
            <w:shd w:val="clear" w:color="auto" w:fill="auto"/>
            <w:noWrap/>
            <w:vAlign w:val="bottom"/>
            <w:hideMark/>
          </w:tcPr>
          <w:p w14:paraId="78F5AA4E"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-0.089</w:t>
            </w:r>
          </w:p>
        </w:tc>
        <w:tc>
          <w:tcPr>
            <w:tcW w:w="958" w:type="dxa"/>
            <w:tcBorders>
              <w:top w:val="nil"/>
              <w:left w:val="nil"/>
              <w:bottom w:val="single" w:sz="4" w:space="0" w:color="auto"/>
              <w:right w:val="single" w:sz="4" w:space="0" w:color="auto"/>
            </w:tcBorders>
            <w:shd w:val="clear" w:color="auto" w:fill="auto"/>
            <w:noWrap/>
            <w:vAlign w:val="bottom"/>
            <w:hideMark/>
          </w:tcPr>
          <w:p w14:paraId="03936A3A"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0.068</w:t>
            </w:r>
          </w:p>
        </w:tc>
        <w:tc>
          <w:tcPr>
            <w:tcW w:w="885" w:type="dxa"/>
            <w:tcBorders>
              <w:top w:val="nil"/>
              <w:left w:val="nil"/>
              <w:bottom w:val="single" w:sz="4" w:space="0" w:color="auto"/>
              <w:right w:val="single" w:sz="4" w:space="0" w:color="auto"/>
            </w:tcBorders>
            <w:shd w:val="clear" w:color="auto" w:fill="auto"/>
            <w:noWrap/>
            <w:vAlign w:val="bottom"/>
            <w:hideMark/>
          </w:tcPr>
          <w:p w14:paraId="495ED829"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0.046</w:t>
            </w:r>
          </w:p>
        </w:tc>
        <w:tc>
          <w:tcPr>
            <w:tcW w:w="990" w:type="dxa"/>
            <w:tcBorders>
              <w:top w:val="nil"/>
              <w:left w:val="nil"/>
              <w:bottom w:val="single" w:sz="4" w:space="0" w:color="auto"/>
              <w:right w:val="single" w:sz="4" w:space="0" w:color="auto"/>
            </w:tcBorders>
            <w:shd w:val="clear" w:color="auto" w:fill="auto"/>
            <w:noWrap/>
            <w:vAlign w:val="bottom"/>
            <w:hideMark/>
          </w:tcPr>
          <w:p w14:paraId="5697735C"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0.060</w:t>
            </w:r>
          </w:p>
        </w:tc>
        <w:tc>
          <w:tcPr>
            <w:tcW w:w="930" w:type="dxa"/>
            <w:tcBorders>
              <w:top w:val="nil"/>
              <w:left w:val="nil"/>
              <w:bottom w:val="single" w:sz="4" w:space="0" w:color="auto"/>
              <w:right w:val="single" w:sz="4" w:space="0" w:color="auto"/>
            </w:tcBorders>
            <w:shd w:val="clear" w:color="auto" w:fill="auto"/>
            <w:noWrap/>
            <w:vAlign w:val="bottom"/>
            <w:hideMark/>
          </w:tcPr>
          <w:p w14:paraId="0B3181CB"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-0.179</w:t>
            </w:r>
          </w:p>
        </w:tc>
        <w:tc>
          <w:tcPr>
            <w:tcW w:w="910" w:type="dxa"/>
            <w:tcBorders>
              <w:top w:val="nil"/>
              <w:left w:val="nil"/>
              <w:bottom w:val="single" w:sz="4" w:space="0" w:color="auto"/>
              <w:right w:val="single" w:sz="4" w:space="0" w:color="auto"/>
            </w:tcBorders>
            <w:shd w:val="clear" w:color="auto" w:fill="auto"/>
            <w:noWrap/>
            <w:vAlign w:val="bottom"/>
            <w:hideMark/>
          </w:tcPr>
          <w:p w14:paraId="054CF568"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0.128</w:t>
            </w:r>
          </w:p>
        </w:tc>
      </w:tr>
      <w:tr w:rsidR="00CC6F8F" w:rsidRPr="00B65C47" w14:paraId="344D8364"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6DFC0693"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TX</w:t>
            </w:r>
          </w:p>
        </w:tc>
        <w:tc>
          <w:tcPr>
            <w:tcW w:w="955" w:type="dxa"/>
            <w:tcBorders>
              <w:top w:val="nil"/>
              <w:left w:val="nil"/>
              <w:bottom w:val="single" w:sz="4" w:space="0" w:color="auto"/>
              <w:right w:val="single" w:sz="4" w:space="0" w:color="auto"/>
            </w:tcBorders>
            <w:shd w:val="clear" w:color="auto" w:fill="auto"/>
            <w:noWrap/>
            <w:vAlign w:val="bottom"/>
            <w:hideMark/>
          </w:tcPr>
          <w:p w14:paraId="78952E69"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917" w:type="dxa"/>
            <w:tcBorders>
              <w:top w:val="nil"/>
              <w:left w:val="nil"/>
              <w:bottom w:val="single" w:sz="4" w:space="0" w:color="auto"/>
              <w:right w:val="single" w:sz="4" w:space="0" w:color="auto"/>
            </w:tcBorders>
            <w:shd w:val="clear" w:color="auto" w:fill="auto"/>
            <w:noWrap/>
            <w:vAlign w:val="bottom"/>
            <w:hideMark/>
          </w:tcPr>
          <w:p w14:paraId="0E225979"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30" w:type="dxa"/>
            <w:tcBorders>
              <w:top w:val="nil"/>
              <w:left w:val="nil"/>
              <w:bottom w:val="single" w:sz="4" w:space="0" w:color="auto"/>
              <w:right w:val="single" w:sz="4" w:space="0" w:color="auto"/>
            </w:tcBorders>
            <w:shd w:val="clear" w:color="auto" w:fill="auto"/>
            <w:noWrap/>
            <w:vAlign w:val="bottom"/>
            <w:hideMark/>
          </w:tcPr>
          <w:p w14:paraId="56CF3D04"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-0.039</w:t>
            </w:r>
          </w:p>
        </w:tc>
        <w:tc>
          <w:tcPr>
            <w:tcW w:w="958" w:type="dxa"/>
            <w:tcBorders>
              <w:top w:val="nil"/>
              <w:left w:val="nil"/>
              <w:bottom w:val="single" w:sz="4" w:space="0" w:color="auto"/>
              <w:right w:val="single" w:sz="4" w:space="0" w:color="auto"/>
            </w:tcBorders>
            <w:shd w:val="clear" w:color="auto" w:fill="auto"/>
            <w:noWrap/>
            <w:vAlign w:val="bottom"/>
            <w:hideMark/>
          </w:tcPr>
          <w:p w14:paraId="676495EC"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0.037</w:t>
            </w:r>
          </w:p>
        </w:tc>
        <w:tc>
          <w:tcPr>
            <w:tcW w:w="885" w:type="dxa"/>
            <w:tcBorders>
              <w:top w:val="nil"/>
              <w:left w:val="nil"/>
              <w:bottom w:val="single" w:sz="4" w:space="0" w:color="auto"/>
              <w:right w:val="single" w:sz="4" w:space="0" w:color="auto"/>
            </w:tcBorders>
            <w:shd w:val="clear" w:color="auto" w:fill="auto"/>
            <w:noWrap/>
            <w:vAlign w:val="bottom"/>
            <w:hideMark/>
          </w:tcPr>
          <w:p w14:paraId="18D865EA"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0.019</w:t>
            </w:r>
          </w:p>
        </w:tc>
        <w:tc>
          <w:tcPr>
            <w:tcW w:w="990" w:type="dxa"/>
            <w:tcBorders>
              <w:top w:val="nil"/>
              <w:left w:val="nil"/>
              <w:bottom w:val="single" w:sz="4" w:space="0" w:color="auto"/>
              <w:right w:val="single" w:sz="4" w:space="0" w:color="auto"/>
            </w:tcBorders>
            <w:shd w:val="clear" w:color="auto" w:fill="auto"/>
            <w:noWrap/>
            <w:vAlign w:val="bottom"/>
            <w:hideMark/>
          </w:tcPr>
          <w:p w14:paraId="40CA7A0E"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0.024</w:t>
            </w:r>
          </w:p>
        </w:tc>
        <w:tc>
          <w:tcPr>
            <w:tcW w:w="930" w:type="dxa"/>
            <w:tcBorders>
              <w:top w:val="nil"/>
              <w:left w:val="nil"/>
              <w:bottom w:val="single" w:sz="4" w:space="0" w:color="auto"/>
              <w:right w:val="single" w:sz="4" w:space="0" w:color="auto"/>
            </w:tcBorders>
            <w:shd w:val="clear" w:color="auto" w:fill="auto"/>
            <w:noWrap/>
            <w:vAlign w:val="bottom"/>
            <w:hideMark/>
          </w:tcPr>
          <w:p w14:paraId="32B93FD5"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-0.064</w:t>
            </w:r>
          </w:p>
        </w:tc>
        <w:tc>
          <w:tcPr>
            <w:tcW w:w="910" w:type="dxa"/>
            <w:tcBorders>
              <w:top w:val="nil"/>
              <w:left w:val="nil"/>
              <w:bottom w:val="single" w:sz="4" w:space="0" w:color="auto"/>
              <w:right w:val="single" w:sz="4" w:space="0" w:color="auto"/>
            </w:tcBorders>
            <w:shd w:val="clear" w:color="auto" w:fill="auto"/>
            <w:noWrap/>
            <w:vAlign w:val="bottom"/>
            <w:hideMark/>
          </w:tcPr>
          <w:p w14:paraId="07D29291"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0.045</w:t>
            </w:r>
          </w:p>
        </w:tc>
      </w:tr>
      <w:tr w:rsidR="00CC6F8F" w:rsidRPr="00B65C47" w14:paraId="09B4BEC2"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1CB66E72"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WA</w:t>
            </w:r>
          </w:p>
        </w:tc>
        <w:tc>
          <w:tcPr>
            <w:tcW w:w="955" w:type="dxa"/>
            <w:tcBorders>
              <w:top w:val="nil"/>
              <w:left w:val="nil"/>
              <w:bottom w:val="single" w:sz="4" w:space="0" w:color="auto"/>
              <w:right w:val="single" w:sz="4" w:space="0" w:color="auto"/>
            </w:tcBorders>
            <w:shd w:val="clear" w:color="auto" w:fill="auto"/>
            <w:noWrap/>
            <w:vAlign w:val="bottom"/>
            <w:hideMark/>
          </w:tcPr>
          <w:p w14:paraId="1DB7BA19"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0.010</w:t>
            </w:r>
          </w:p>
        </w:tc>
        <w:tc>
          <w:tcPr>
            <w:tcW w:w="917" w:type="dxa"/>
            <w:tcBorders>
              <w:top w:val="nil"/>
              <w:left w:val="nil"/>
              <w:bottom w:val="single" w:sz="4" w:space="0" w:color="auto"/>
              <w:right w:val="single" w:sz="4" w:space="0" w:color="auto"/>
            </w:tcBorders>
            <w:shd w:val="clear" w:color="auto" w:fill="auto"/>
            <w:noWrap/>
            <w:vAlign w:val="bottom"/>
            <w:hideMark/>
          </w:tcPr>
          <w:p w14:paraId="2C6B0AC7"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0.013</w:t>
            </w:r>
          </w:p>
        </w:tc>
        <w:tc>
          <w:tcPr>
            <w:tcW w:w="930" w:type="dxa"/>
            <w:tcBorders>
              <w:top w:val="nil"/>
              <w:left w:val="nil"/>
              <w:bottom w:val="single" w:sz="4" w:space="0" w:color="auto"/>
              <w:right w:val="single" w:sz="4" w:space="0" w:color="auto"/>
            </w:tcBorders>
            <w:shd w:val="clear" w:color="auto" w:fill="auto"/>
            <w:noWrap/>
            <w:vAlign w:val="bottom"/>
            <w:hideMark/>
          </w:tcPr>
          <w:p w14:paraId="218948E4"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-0.035</w:t>
            </w:r>
          </w:p>
        </w:tc>
        <w:tc>
          <w:tcPr>
            <w:tcW w:w="958" w:type="dxa"/>
            <w:tcBorders>
              <w:top w:val="nil"/>
              <w:left w:val="nil"/>
              <w:bottom w:val="single" w:sz="4" w:space="0" w:color="auto"/>
              <w:right w:val="single" w:sz="4" w:space="0" w:color="auto"/>
            </w:tcBorders>
            <w:shd w:val="clear" w:color="auto" w:fill="auto"/>
            <w:noWrap/>
            <w:vAlign w:val="bottom"/>
            <w:hideMark/>
          </w:tcPr>
          <w:p w14:paraId="2ABE0914"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0.040</w:t>
            </w:r>
          </w:p>
        </w:tc>
        <w:tc>
          <w:tcPr>
            <w:tcW w:w="885" w:type="dxa"/>
            <w:tcBorders>
              <w:top w:val="nil"/>
              <w:left w:val="nil"/>
              <w:bottom w:val="single" w:sz="4" w:space="0" w:color="auto"/>
              <w:right w:val="single" w:sz="4" w:space="0" w:color="auto"/>
            </w:tcBorders>
            <w:shd w:val="clear" w:color="auto" w:fill="auto"/>
            <w:noWrap/>
            <w:vAlign w:val="bottom"/>
            <w:hideMark/>
          </w:tcPr>
          <w:p w14:paraId="576F0B39"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0.013</w:t>
            </w:r>
          </w:p>
        </w:tc>
        <w:tc>
          <w:tcPr>
            <w:tcW w:w="990" w:type="dxa"/>
            <w:tcBorders>
              <w:top w:val="nil"/>
              <w:left w:val="nil"/>
              <w:bottom w:val="single" w:sz="4" w:space="0" w:color="auto"/>
              <w:right w:val="single" w:sz="4" w:space="0" w:color="auto"/>
            </w:tcBorders>
            <w:shd w:val="clear" w:color="auto" w:fill="auto"/>
            <w:noWrap/>
            <w:vAlign w:val="bottom"/>
            <w:hideMark/>
          </w:tcPr>
          <w:p w14:paraId="5A0E6412"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0.017</w:t>
            </w:r>
          </w:p>
        </w:tc>
        <w:tc>
          <w:tcPr>
            <w:tcW w:w="930" w:type="dxa"/>
            <w:tcBorders>
              <w:top w:val="nil"/>
              <w:left w:val="nil"/>
              <w:bottom w:val="single" w:sz="4" w:space="0" w:color="auto"/>
              <w:right w:val="single" w:sz="4" w:space="0" w:color="auto"/>
            </w:tcBorders>
            <w:shd w:val="clear" w:color="auto" w:fill="auto"/>
            <w:noWrap/>
            <w:vAlign w:val="bottom"/>
            <w:hideMark/>
          </w:tcPr>
          <w:p w14:paraId="7521E29F"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-0.054</w:t>
            </w:r>
          </w:p>
        </w:tc>
        <w:tc>
          <w:tcPr>
            <w:tcW w:w="910" w:type="dxa"/>
            <w:tcBorders>
              <w:top w:val="nil"/>
              <w:left w:val="nil"/>
              <w:bottom w:val="single" w:sz="4" w:space="0" w:color="auto"/>
              <w:right w:val="single" w:sz="4" w:space="0" w:color="auto"/>
            </w:tcBorders>
            <w:shd w:val="clear" w:color="auto" w:fill="auto"/>
            <w:noWrap/>
            <w:vAlign w:val="bottom"/>
            <w:hideMark/>
          </w:tcPr>
          <w:p w14:paraId="2FFFF708"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0.045</w:t>
            </w:r>
          </w:p>
        </w:tc>
      </w:tr>
      <w:tr w:rsidR="00CC6F8F" w:rsidRPr="00B65C47" w14:paraId="79DE3984"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606CB93"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shd w:val="clear" w:color="auto" w:fill="auto"/>
            <w:noWrap/>
            <w:vAlign w:val="bottom"/>
            <w:hideMark/>
          </w:tcPr>
          <w:p w14:paraId="7DBCC1F5" w14:textId="77777777" w:rsidR="00CC6F8F" w:rsidRPr="000B3157" w:rsidRDefault="00CC6F8F"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14:paraId="4D69C213" w14:textId="77777777" w:rsidR="00CC6F8F" w:rsidRPr="000B3157" w:rsidRDefault="00CC6F8F"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14:paraId="6D47264C" w14:textId="77777777" w:rsidR="00CC6F8F" w:rsidRPr="000B3157" w:rsidRDefault="00CC6F8F"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14:paraId="5D9511D1" w14:textId="77777777" w:rsidR="00CC6F8F" w:rsidRPr="000B3157" w:rsidRDefault="00CC6F8F" w:rsidP="000A39F0">
            <w:pPr>
              <w:spacing w:after="0" w:line="240" w:lineRule="auto"/>
              <w:rPr>
                <w:rFonts w:ascii="Arial" w:eastAsia="Times New Roman" w:hAnsi="Arial" w:cs="Arial"/>
                <w:color w:val="5B9BD5"/>
                <w:sz w:val="16"/>
                <w:szCs w:val="16"/>
              </w:rPr>
            </w:pPr>
            <w:r w:rsidRPr="000B3157">
              <w:rPr>
                <w:rFonts w:ascii="Arial" w:eastAsia="Times New Roman" w:hAnsi="Arial" w:cs="Arial"/>
                <w:color w:val="5B9BD5"/>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14:paraId="3AD96175" w14:textId="77777777" w:rsidR="00CC6F8F" w:rsidRPr="000B3157" w:rsidRDefault="00CC6F8F"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407C99E0" w14:textId="77777777" w:rsidR="00CC6F8F" w:rsidRPr="000B3157" w:rsidRDefault="00CC6F8F"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14:paraId="0727EE16" w14:textId="77777777" w:rsidR="00CC6F8F" w:rsidRPr="000B3157" w:rsidRDefault="00CC6F8F"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c>
          <w:tcPr>
            <w:tcW w:w="910" w:type="dxa"/>
            <w:tcBorders>
              <w:top w:val="nil"/>
              <w:left w:val="nil"/>
              <w:bottom w:val="single" w:sz="4" w:space="0" w:color="auto"/>
              <w:right w:val="single" w:sz="4" w:space="0" w:color="auto"/>
            </w:tcBorders>
            <w:shd w:val="clear" w:color="auto" w:fill="auto"/>
            <w:noWrap/>
            <w:vAlign w:val="bottom"/>
            <w:hideMark/>
          </w:tcPr>
          <w:p w14:paraId="21E56EF4" w14:textId="77777777" w:rsidR="00CC6F8F" w:rsidRPr="000B3157" w:rsidRDefault="00CC6F8F" w:rsidP="000A39F0">
            <w:pPr>
              <w:spacing w:after="0" w:line="240" w:lineRule="auto"/>
              <w:rPr>
                <w:rFonts w:ascii="Arial" w:eastAsia="Times New Roman" w:hAnsi="Arial" w:cs="Arial"/>
                <w:color w:val="70AD47"/>
                <w:sz w:val="16"/>
                <w:szCs w:val="16"/>
              </w:rPr>
            </w:pPr>
            <w:r w:rsidRPr="000B3157">
              <w:rPr>
                <w:rFonts w:ascii="Arial" w:eastAsia="Times New Roman" w:hAnsi="Arial" w:cs="Arial"/>
                <w:color w:val="70AD47"/>
                <w:sz w:val="16"/>
                <w:szCs w:val="16"/>
              </w:rPr>
              <w:t> </w:t>
            </w:r>
          </w:p>
        </w:tc>
      </w:tr>
      <w:tr w:rsidR="00CC6F8F" w:rsidRPr="00B65C47" w14:paraId="116F897A"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D51639A"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Boston</w:t>
            </w:r>
          </w:p>
        </w:tc>
        <w:tc>
          <w:tcPr>
            <w:tcW w:w="955" w:type="dxa"/>
            <w:tcBorders>
              <w:top w:val="nil"/>
              <w:left w:val="nil"/>
              <w:bottom w:val="single" w:sz="4" w:space="0" w:color="auto"/>
              <w:right w:val="single" w:sz="4" w:space="0" w:color="auto"/>
            </w:tcBorders>
            <w:shd w:val="clear" w:color="auto" w:fill="auto"/>
            <w:noWrap/>
            <w:vAlign w:val="bottom"/>
            <w:hideMark/>
          </w:tcPr>
          <w:p w14:paraId="16670575"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0.023</w:t>
            </w:r>
          </w:p>
        </w:tc>
        <w:tc>
          <w:tcPr>
            <w:tcW w:w="917" w:type="dxa"/>
            <w:tcBorders>
              <w:top w:val="nil"/>
              <w:left w:val="nil"/>
              <w:bottom w:val="single" w:sz="4" w:space="0" w:color="auto"/>
              <w:right w:val="single" w:sz="4" w:space="0" w:color="auto"/>
            </w:tcBorders>
            <w:shd w:val="clear" w:color="auto" w:fill="auto"/>
            <w:noWrap/>
            <w:vAlign w:val="bottom"/>
            <w:hideMark/>
          </w:tcPr>
          <w:p w14:paraId="09490C4F"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0.028</w:t>
            </w:r>
          </w:p>
        </w:tc>
        <w:tc>
          <w:tcPr>
            <w:tcW w:w="930" w:type="dxa"/>
            <w:tcBorders>
              <w:top w:val="nil"/>
              <w:left w:val="nil"/>
              <w:bottom w:val="single" w:sz="4" w:space="0" w:color="auto"/>
              <w:right w:val="single" w:sz="4" w:space="0" w:color="auto"/>
            </w:tcBorders>
            <w:shd w:val="clear" w:color="auto" w:fill="auto"/>
            <w:noWrap/>
            <w:vAlign w:val="bottom"/>
            <w:hideMark/>
          </w:tcPr>
          <w:p w14:paraId="5269EC05"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-0.061</w:t>
            </w:r>
          </w:p>
        </w:tc>
        <w:tc>
          <w:tcPr>
            <w:tcW w:w="958" w:type="dxa"/>
            <w:tcBorders>
              <w:top w:val="nil"/>
              <w:left w:val="nil"/>
              <w:bottom w:val="single" w:sz="4" w:space="0" w:color="auto"/>
              <w:right w:val="single" w:sz="4" w:space="0" w:color="auto"/>
            </w:tcBorders>
            <w:shd w:val="clear" w:color="auto" w:fill="auto"/>
            <w:noWrap/>
            <w:vAlign w:val="bottom"/>
            <w:hideMark/>
          </w:tcPr>
          <w:p w14:paraId="449053EF"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0.053</w:t>
            </w:r>
          </w:p>
        </w:tc>
        <w:tc>
          <w:tcPr>
            <w:tcW w:w="885" w:type="dxa"/>
            <w:tcBorders>
              <w:top w:val="nil"/>
              <w:left w:val="nil"/>
              <w:bottom w:val="single" w:sz="4" w:space="0" w:color="auto"/>
              <w:right w:val="single" w:sz="4" w:space="0" w:color="auto"/>
            </w:tcBorders>
            <w:shd w:val="clear" w:color="auto" w:fill="auto"/>
            <w:noWrap/>
            <w:vAlign w:val="bottom"/>
            <w:hideMark/>
          </w:tcPr>
          <w:p w14:paraId="6FF0C2AD"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0.025</w:t>
            </w:r>
          </w:p>
        </w:tc>
        <w:tc>
          <w:tcPr>
            <w:tcW w:w="990" w:type="dxa"/>
            <w:tcBorders>
              <w:top w:val="nil"/>
              <w:left w:val="nil"/>
              <w:bottom w:val="single" w:sz="4" w:space="0" w:color="auto"/>
              <w:right w:val="single" w:sz="4" w:space="0" w:color="auto"/>
            </w:tcBorders>
            <w:shd w:val="clear" w:color="auto" w:fill="auto"/>
            <w:noWrap/>
            <w:vAlign w:val="bottom"/>
            <w:hideMark/>
          </w:tcPr>
          <w:p w14:paraId="0269524D"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0.033</w:t>
            </w:r>
          </w:p>
        </w:tc>
        <w:tc>
          <w:tcPr>
            <w:tcW w:w="930" w:type="dxa"/>
            <w:tcBorders>
              <w:top w:val="nil"/>
              <w:left w:val="nil"/>
              <w:bottom w:val="single" w:sz="4" w:space="0" w:color="auto"/>
              <w:right w:val="single" w:sz="4" w:space="0" w:color="auto"/>
            </w:tcBorders>
            <w:shd w:val="clear" w:color="auto" w:fill="auto"/>
            <w:noWrap/>
            <w:vAlign w:val="bottom"/>
            <w:hideMark/>
          </w:tcPr>
          <w:p w14:paraId="1D86F35F"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-0.082</w:t>
            </w:r>
          </w:p>
        </w:tc>
        <w:tc>
          <w:tcPr>
            <w:tcW w:w="910" w:type="dxa"/>
            <w:tcBorders>
              <w:top w:val="nil"/>
              <w:left w:val="nil"/>
              <w:bottom w:val="single" w:sz="4" w:space="0" w:color="auto"/>
              <w:right w:val="single" w:sz="4" w:space="0" w:color="auto"/>
            </w:tcBorders>
            <w:shd w:val="clear" w:color="auto" w:fill="auto"/>
            <w:noWrap/>
            <w:vAlign w:val="bottom"/>
            <w:hideMark/>
          </w:tcPr>
          <w:p w14:paraId="5D333B1C"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0.059</w:t>
            </w:r>
          </w:p>
        </w:tc>
      </w:tr>
      <w:tr w:rsidR="00CC6F8F" w:rsidRPr="00B65C47" w14:paraId="27BE0C1A"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EF9BACC"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Chicago</w:t>
            </w:r>
          </w:p>
        </w:tc>
        <w:tc>
          <w:tcPr>
            <w:tcW w:w="955" w:type="dxa"/>
            <w:tcBorders>
              <w:top w:val="nil"/>
              <w:left w:val="nil"/>
              <w:bottom w:val="single" w:sz="4" w:space="0" w:color="auto"/>
              <w:right w:val="single" w:sz="4" w:space="0" w:color="auto"/>
            </w:tcBorders>
            <w:shd w:val="clear" w:color="auto" w:fill="auto"/>
            <w:noWrap/>
            <w:vAlign w:val="bottom"/>
            <w:hideMark/>
          </w:tcPr>
          <w:p w14:paraId="4D802E20"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0.039</w:t>
            </w:r>
          </w:p>
        </w:tc>
        <w:tc>
          <w:tcPr>
            <w:tcW w:w="917" w:type="dxa"/>
            <w:tcBorders>
              <w:top w:val="nil"/>
              <w:left w:val="nil"/>
              <w:bottom w:val="single" w:sz="4" w:space="0" w:color="auto"/>
              <w:right w:val="single" w:sz="4" w:space="0" w:color="auto"/>
            </w:tcBorders>
            <w:shd w:val="clear" w:color="auto" w:fill="auto"/>
            <w:noWrap/>
            <w:vAlign w:val="bottom"/>
            <w:hideMark/>
          </w:tcPr>
          <w:p w14:paraId="497671F1"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0.051</w:t>
            </w:r>
          </w:p>
        </w:tc>
        <w:tc>
          <w:tcPr>
            <w:tcW w:w="930" w:type="dxa"/>
            <w:tcBorders>
              <w:top w:val="nil"/>
              <w:left w:val="nil"/>
              <w:bottom w:val="single" w:sz="4" w:space="0" w:color="auto"/>
              <w:right w:val="single" w:sz="4" w:space="0" w:color="auto"/>
            </w:tcBorders>
            <w:shd w:val="clear" w:color="auto" w:fill="auto"/>
            <w:noWrap/>
            <w:vAlign w:val="bottom"/>
            <w:hideMark/>
          </w:tcPr>
          <w:p w14:paraId="5FFE0F1A"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-0.147</w:t>
            </w:r>
          </w:p>
        </w:tc>
        <w:tc>
          <w:tcPr>
            <w:tcW w:w="958" w:type="dxa"/>
            <w:tcBorders>
              <w:top w:val="nil"/>
              <w:left w:val="nil"/>
              <w:bottom w:val="single" w:sz="4" w:space="0" w:color="auto"/>
              <w:right w:val="single" w:sz="4" w:space="0" w:color="auto"/>
            </w:tcBorders>
            <w:shd w:val="clear" w:color="auto" w:fill="auto"/>
            <w:noWrap/>
            <w:vAlign w:val="bottom"/>
            <w:hideMark/>
          </w:tcPr>
          <w:p w14:paraId="30964F82"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0.096</w:t>
            </w:r>
          </w:p>
        </w:tc>
        <w:tc>
          <w:tcPr>
            <w:tcW w:w="885" w:type="dxa"/>
            <w:tcBorders>
              <w:top w:val="nil"/>
              <w:left w:val="nil"/>
              <w:bottom w:val="single" w:sz="4" w:space="0" w:color="auto"/>
              <w:right w:val="single" w:sz="4" w:space="0" w:color="auto"/>
            </w:tcBorders>
            <w:shd w:val="clear" w:color="auto" w:fill="auto"/>
            <w:noWrap/>
            <w:vAlign w:val="bottom"/>
            <w:hideMark/>
          </w:tcPr>
          <w:p w14:paraId="1174F9C2"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0.073</w:t>
            </w:r>
          </w:p>
        </w:tc>
        <w:tc>
          <w:tcPr>
            <w:tcW w:w="990" w:type="dxa"/>
            <w:tcBorders>
              <w:top w:val="nil"/>
              <w:left w:val="nil"/>
              <w:bottom w:val="single" w:sz="4" w:space="0" w:color="auto"/>
              <w:right w:val="single" w:sz="4" w:space="0" w:color="auto"/>
            </w:tcBorders>
            <w:shd w:val="clear" w:color="auto" w:fill="auto"/>
            <w:noWrap/>
            <w:vAlign w:val="bottom"/>
            <w:hideMark/>
          </w:tcPr>
          <w:p w14:paraId="4F9E3E8C"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0.095</w:t>
            </w:r>
          </w:p>
        </w:tc>
        <w:tc>
          <w:tcPr>
            <w:tcW w:w="930" w:type="dxa"/>
            <w:tcBorders>
              <w:top w:val="nil"/>
              <w:left w:val="nil"/>
              <w:bottom w:val="single" w:sz="4" w:space="0" w:color="auto"/>
              <w:right w:val="single" w:sz="4" w:space="0" w:color="auto"/>
            </w:tcBorders>
            <w:shd w:val="clear" w:color="auto" w:fill="auto"/>
            <w:noWrap/>
            <w:vAlign w:val="bottom"/>
            <w:hideMark/>
          </w:tcPr>
          <w:p w14:paraId="04D26E1C"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-0.282</w:t>
            </w:r>
          </w:p>
        </w:tc>
        <w:tc>
          <w:tcPr>
            <w:tcW w:w="910" w:type="dxa"/>
            <w:tcBorders>
              <w:top w:val="nil"/>
              <w:left w:val="nil"/>
              <w:bottom w:val="single" w:sz="4" w:space="0" w:color="auto"/>
              <w:right w:val="single" w:sz="4" w:space="0" w:color="auto"/>
            </w:tcBorders>
            <w:shd w:val="clear" w:color="auto" w:fill="auto"/>
            <w:noWrap/>
            <w:vAlign w:val="bottom"/>
            <w:hideMark/>
          </w:tcPr>
          <w:p w14:paraId="17D6D535"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0.151</w:t>
            </w:r>
          </w:p>
        </w:tc>
      </w:tr>
      <w:tr w:rsidR="00CC6F8F" w:rsidRPr="00B65C47" w14:paraId="2118B323"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0E2FD9D"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Cleveland</w:t>
            </w:r>
          </w:p>
        </w:tc>
        <w:tc>
          <w:tcPr>
            <w:tcW w:w="955" w:type="dxa"/>
            <w:tcBorders>
              <w:top w:val="nil"/>
              <w:left w:val="nil"/>
              <w:bottom w:val="single" w:sz="4" w:space="0" w:color="auto"/>
              <w:right w:val="single" w:sz="4" w:space="0" w:color="auto"/>
            </w:tcBorders>
            <w:shd w:val="clear" w:color="auto" w:fill="auto"/>
            <w:noWrap/>
            <w:vAlign w:val="bottom"/>
            <w:hideMark/>
          </w:tcPr>
          <w:p w14:paraId="5F284467"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0.033</w:t>
            </w:r>
          </w:p>
        </w:tc>
        <w:tc>
          <w:tcPr>
            <w:tcW w:w="917" w:type="dxa"/>
            <w:tcBorders>
              <w:top w:val="nil"/>
              <w:left w:val="nil"/>
              <w:bottom w:val="single" w:sz="4" w:space="0" w:color="auto"/>
              <w:right w:val="single" w:sz="4" w:space="0" w:color="auto"/>
            </w:tcBorders>
            <w:shd w:val="clear" w:color="auto" w:fill="auto"/>
            <w:noWrap/>
            <w:vAlign w:val="bottom"/>
            <w:hideMark/>
          </w:tcPr>
          <w:p w14:paraId="26D5117D"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0.043</w:t>
            </w:r>
          </w:p>
        </w:tc>
        <w:tc>
          <w:tcPr>
            <w:tcW w:w="930" w:type="dxa"/>
            <w:tcBorders>
              <w:top w:val="nil"/>
              <w:left w:val="nil"/>
              <w:bottom w:val="single" w:sz="4" w:space="0" w:color="auto"/>
              <w:right w:val="single" w:sz="4" w:space="0" w:color="auto"/>
            </w:tcBorders>
            <w:shd w:val="clear" w:color="auto" w:fill="auto"/>
            <w:noWrap/>
            <w:vAlign w:val="bottom"/>
            <w:hideMark/>
          </w:tcPr>
          <w:p w14:paraId="570CBBBB"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-0.122</w:t>
            </w:r>
          </w:p>
        </w:tc>
        <w:tc>
          <w:tcPr>
            <w:tcW w:w="958" w:type="dxa"/>
            <w:tcBorders>
              <w:top w:val="nil"/>
              <w:left w:val="nil"/>
              <w:bottom w:val="single" w:sz="4" w:space="0" w:color="auto"/>
              <w:right w:val="single" w:sz="4" w:space="0" w:color="auto"/>
            </w:tcBorders>
            <w:shd w:val="clear" w:color="auto" w:fill="auto"/>
            <w:noWrap/>
            <w:vAlign w:val="bottom"/>
            <w:hideMark/>
          </w:tcPr>
          <w:p w14:paraId="1E8ACE2D"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0.121</w:t>
            </w:r>
          </w:p>
        </w:tc>
        <w:tc>
          <w:tcPr>
            <w:tcW w:w="885" w:type="dxa"/>
            <w:tcBorders>
              <w:top w:val="nil"/>
              <w:left w:val="nil"/>
              <w:bottom w:val="single" w:sz="4" w:space="0" w:color="auto"/>
              <w:right w:val="single" w:sz="4" w:space="0" w:color="auto"/>
            </w:tcBorders>
            <w:shd w:val="clear" w:color="auto" w:fill="auto"/>
            <w:noWrap/>
            <w:vAlign w:val="bottom"/>
            <w:hideMark/>
          </w:tcPr>
          <w:p w14:paraId="4E1454A3"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0.057</w:t>
            </w:r>
          </w:p>
        </w:tc>
        <w:tc>
          <w:tcPr>
            <w:tcW w:w="990" w:type="dxa"/>
            <w:tcBorders>
              <w:top w:val="nil"/>
              <w:left w:val="nil"/>
              <w:bottom w:val="single" w:sz="4" w:space="0" w:color="auto"/>
              <w:right w:val="single" w:sz="4" w:space="0" w:color="auto"/>
            </w:tcBorders>
            <w:shd w:val="clear" w:color="auto" w:fill="auto"/>
            <w:noWrap/>
            <w:vAlign w:val="bottom"/>
            <w:hideMark/>
          </w:tcPr>
          <w:p w14:paraId="7CFFC535"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0.074</w:t>
            </w:r>
          </w:p>
        </w:tc>
        <w:tc>
          <w:tcPr>
            <w:tcW w:w="930" w:type="dxa"/>
            <w:tcBorders>
              <w:top w:val="nil"/>
              <w:left w:val="nil"/>
              <w:bottom w:val="single" w:sz="4" w:space="0" w:color="auto"/>
              <w:right w:val="single" w:sz="4" w:space="0" w:color="auto"/>
            </w:tcBorders>
            <w:shd w:val="clear" w:color="auto" w:fill="auto"/>
            <w:noWrap/>
            <w:vAlign w:val="bottom"/>
            <w:hideMark/>
          </w:tcPr>
          <w:p w14:paraId="7B3D73D8"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-0.232</w:t>
            </w:r>
          </w:p>
        </w:tc>
        <w:tc>
          <w:tcPr>
            <w:tcW w:w="910" w:type="dxa"/>
            <w:tcBorders>
              <w:top w:val="nil"/>
              <w:left w:val="nil"/>
              <w:bottom w:val="single" w:sz="4" w:space="0" w:color="auto"/>
              <w:right w:val="single" w:sz="4" w:space="0" w:color="auto"/>
            </w:tcBorders>
            <w:shd w:val="clear" w:color="auto" w:fill="auto"/>
            <w:noWrap/>
            <w:vAlign w:val="bottom"/>
            <w:hideMark/>
          </w:tcPr>
          <w:p w14:paraId="7F920D64"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0.137</w:t>
            </w:r>
          </w:p>
        </w:tc>
      </w:tr>
      <w:tr w:rsidR="00CC6F8F" w:rsidRPr="00B65C47" w14:paraId="28E75B44"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B9CF84B"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Denver</w:t>
            </w:r>
          </w:p>
        </w:tc>
        <w:tc>
          <w:tcPr>
            <w:tcW w:w="955" w:type="dxa"/>
            <w:tcBorders>
              <w:top w:val="nil"/>
              <w:left w:val="nil"/>
              <w:bottom w:val="single" w:sz="4" w:space="0" w:color="auto"/>
              <w:right w:val="single" w:sz="4" w:space="0" w:color="auto"/>
            </w:tcBorders>
            <w:shd w:val="clear" w:color="auto" w:fill="auto"/>
            <w:noWrap/>
            <w:vAlign w:val="bottom"/>
            <w:hideMark/>
          </w:tcPr>
          <w:p w14:paraId="5FEE2006"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917" w:type="dxa"/>
            <w:tcBorders>
              <w:top w:val="nil"/>
              <w:left w:val="nil"/>
              <w:bottom w:val="single" w:sz="4" w:space="0" w:color="auto"/>
              <w:right w:val="single" w:sz="4" w:space="0" w:color="auto"/>
            </w:tcBorders>
            <w:shd w:val="clear" w:color="auto" w:fill="auto"/>
            <w:noWrap/>
            <w:vAlign w:val="bottom"/>
            <w:hideMark/>
          </w:tcPr>
          <w:p w14:paraId="4D4F6AA8"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0.030</w:t>
            </w:r>
          </w:p>
        </w:tc>
        <w:tc>
          <w:tcPr>
            <w:tcW w:w="930" w:type="dxa"/>
            <w:tcBorders>
              <w:top w:val="nil"/>
              <w:left w:val="nil"/>
              <w:bottom w:val="single" w:sz="4" w:space="0" w:color="auto"/>
              <w:right w:val="single" w:sz="4" w:space="0" w:color="auto"/>
            </w:tcBorders>
            <w:shd w:val="clear" w:color="auto" w:fill="auto"/>
            <w:noWrap/>
            <w:vAlign w:val="bottom"/>
            <w:hideMark/>
          </w:tcPr>
          <w:p w14:paraId="7ABB9F1F"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-0.083</w:t>
            </w:r>
          </w:p>
        </w:tc>
        <w:tc>
          <w:tcPr>
            <w:tcW w:w="958" w:type="dxa"/>
            <w:tcBorders>
              <w:top w:val="nil"/>
              <w:left w:val="nil"/>
              <w:bottom w:val="single" w:sz="4" w:space="0" w:color="auto"/>
              <w:right w:val="single" w:sz="4" w:space="0" w:color="auto"/>
            </w:tcBorders>
            <w:shd w:val="clear" w:color="auto" w:fill="auto"/>
            <w:noWrap/>
            <w:vAlign w:val="bottom"/>
            <w:hideMark/>
          </w:tcPr>
          <w:p w14:paraId="0AD45E47"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0.053</w:t>
            </w:r>
          </w:p>
        </w:tc>
        <w:tc>
          <w:tcPr>
            <w:tcW w:w="885" w:type="dxa"/>
            <w:tcBorders>
              <w:top w:val="nil"/>
              <w:left w:val="nil"/>
              <w:bottom w:val="single" w:sz="4" w:space="0" w:color="auto"/>
              <w:right w:val="single" w:sz="4" w:space="0" w:color="auto"/>
            </w:tcBorders>
            <w:shd w:val="clear" w:color="auto" w:fill="auto"/>
            <w:noWrap/>
            <w:vAlign w:val="bottom"/>
            <w:hideMark/>
          </w:tcPr>
          <w:p w14:paraId="10318092"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0.046</w:t>
            </w:r>
          </w:p>
        </w:tc>
        <w:tc>
          <w:tcPr>
            <w:tcW w:w="990" w:type="dxa"/>
            <w:tcBorders>
              <w:top w:val="nil"/>
              <w:left w:val="nil"/>
              <w:bottom w:val="single" w:sz="4" w:space="0" w:color="auto"/>
              <w:right w:val="single" w:sz="4" w:space="0" w:color="auto"/>
            </w:tcBorders>
            <w:shd w:val="clear" w:color="auto" w:fill="auto"/>
            <w:noWrap/>
            <w:vAlign w:val="bottom"/>
            <w:hideMark/>
          </w:tcPr>
          <w:p w14:paraId="561E0C0C"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0.059</w:t>
            </w:r>
          </w:p>
        </w:tc>
        <w:tc>
          <w:tcPr>
            <w:tcW w:w="930" w:type="dxa"/>
            <w:tcBorders>
              <w:top w:val="nil"/>
              <w:left w:val="nil"/>
              <w:bottom w:val="single" w:sz="4" w:space="0" w:color="auto"/>
              <w:right w:val="single" w:sz="4" w:space="0" w:color="auto"/>
            </w:tcBorders>
            <w:shd w:val="clear" w:color="auto" w:fill="auto"/>
            <w:noWrap/>
            <w:vAlign w:val="bottom"/>
            <w:hideMark/>
          </w:tcPr>
          <w:p w14:paraId="59C10C3D"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-0.176</w:t>
            </w:r>
          </w:p>
        </w:tc>
        <w:tc>
          <w:tcPr>
            <w:tcW w:w="910" w:type="dxa"/>
            <w:tcBorders>
              <w:top w:val="nil"/>
              <w:left w:val="nil"/>
              <w:bottom w:val="single" w:sz="4" w:space="0" w:color="auto"/>
              <w:right w:val="single" w:sz="4" w:space="0" w:color="auto"/>
            </w:tcBorders>
            <w:shd w:val="clear" w:color="auto" w:fill="auto"/>
            <w:noWrap/>
            <w:vAlign w:val="bottom"/>
            <w:hideMark/>
          </w:tcPr>
          <w:p w14:paraId="5DFF5EDE"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0.102</w:t>
            </w:r>
          </w:p>
        </w:tc>
      </w:tr>
      <w:tr w:rsidR="00CC6F8F" w:rsidRPr="00B65C47" w14:paraId="25841D5D"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EA519C4"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Houston</w:t>
            </w:r>
          </w:p>
        </w:tc>
        <w:tc>
          <w:tcPr>
            <w:tcW w:w="955" w:type="dxa"/>
            <w:tcBorders>
              <w:top w:val="nil"/>
              <w:left w:val="nil"/>
              <w:bottom w:val="single" w:sz="4" w:space="0" w:color="auto"/>
              <w:right w:val="single" w:sz="4" w:space="0" w:color="auto"/>
            </w:tcBorders>
            <w:shd w:val="clear" w:color="auto" w:fill="auto"/>
            <w:noWrap/>
            <w:vAlign w:val="bottom"/>
            <w:hideMark/>
          </w:tcPr>
          <w:p w14:paraId="2EDA5AC8"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0.016</w:t>
            </w:r>
          </w:p>
        </w:tc>
        <w:tc>
          <w:tcPr>
            <w:tcW w:w="917" w:type="dxa"/>
            <w:tcBorders>
              <w:top w:val="nil"/>
              <w:left w:val="nil"/>
              <w:bottom w:val="single" w:sz="4" w:space="0" w:color="auto"/>
              <w:right w:val="single" w:sz="4" w:space="0" w:color="auto"/>
            </w:tcBorders>
            <w:shd w:val="clear" w:color="auto" w:fill="auto"/>
            <w:noWrap/>
            <w:vAlign w:val="bottom"/>
            <w:hideMark/>
          </w:tcPr>
          <w:p w14:paraId="09D977B0"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0.021</w:t>
            </w:r>
          </w:p>
        </w:tc>
        <w:tc>
          <w:tcPr>
            <w:tcW w:w="930" w:type="dxa"/>
            <w:tcBorders>
              <w:top w:val="nil"/>
              <w:left w:val="nil"/>
              <w:bottom w:val="single" w:sz="4" w:space="0" w:color="auto"/>
              <w:right w:val="single" w:sz="4" w:space="0" w:color="auto"/>
            </w:tcBorders>
            <w:shd w:val="clear" w:color="auto" w:fill="auto"/>
            <w:noWrap/>
            <w:vAlign w:val="bottom"/>
            <w:hideMark/>
          </w:tcPr>
          <w:p w14:paraId="76D143EC"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-0.049</w:t>
            </w:r>
          </w:p>
        </w:tc>
        <w:tc>
          <w:tcPr>
            <w:tcW w:w="958" w:type="dxa"/>
            <w:tcBorders>
              <w:top w:val="nil"/>
              <w:left w:val="nil"/>
              <w:bottom w:val="single" w:sz="4" w:space="0" w:color="auto"/>
              <w:right w:val="single" w:sz="4" w:space="0" w:color="auto"/>
            </w:tcBorders>
            <w:shd w:val="clear" w:color="auto" w:fill="auto"/>
            <w:noWrap/>
            <w:vAlign w:val="bottom"/>
            <w:hideMark/>
          </w:tcPr>
          <w:p w14:paraId="55279C49"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0.059</w:t>
            </w:r>
          </w:p>
        </w:tc>
        <w:tc>
          <w:tcPr>
            <w:tcW w:w="885" w:type="dxa"/>
            <w:tcBorders>
              <w:top w:val="nil"/>
              <w:left w:val="nil"/>
              <w:bottom w:val="single" w:sz="4" w:space="0" w:color="auto"/>
              <w:right w:val="single" w:sz="4" w:space="0" w:color="auto"/>
            </w:tcBorders>
            <w:shd w:val="clear" w:color="auto" w:fill="auto"/>
            <w:noWrap/>
            <w:vAlign w:val="bottom"/>
            <w:hideMark/>
          </w:tcPr>
          <w:p w14:paraId="6BA3778E"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0.022</w:t>
            </w:r>
          </w:p>
        </w:tc>
        <w:tc>
          <w:tcPr>
            <w:tcW w:w="990" w:type="dxa"/>
            <w:tcBorders>
              <w:top w:val="nil"/>
              <w:left w:val="nil"/>
              <w:bottom w:val="single" w:sz="4" w:space="0" w:color="auto"/>
              <w:right w:val="single" w:sz="4" w:space="0" w:color="auto"/>
            </w:tcBorders>
            <w:shd w:val="clear" w:color="auto" w:fill="auto"/>
            <w:noWrap/>
            <w:vAlign w:val="bottom"/>
            <w:hideMark/>
          </w:tcPr>
          <w:p w14:paraId="792E7705"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0.027</w:t>
            </w:r>
          </w:p>
        </w:tc>
        <w:tc>
          <w:tcPr>
            <w:tcW w:w="930" w:type="dxa"/>
            <w:tcBorders>
              <w:top w:val="nil"/>
              <w:left w:val="nil"/>
              <w:bottom w:val="single" w:sz="4" w:space="0" w:color="auto"/>
              <w:right w:val="single" w:sz="4" w:space="0" w:color="auto"/>
            </w:tcBorders>
            <w:shd w:val="clear" w:color="auto" w:fill="auto"/>
            <w:noWrap/>
            <w:vAlign w:val="bottom"/>
            <w:hideMark/>
          </w:tcPr>
          <w:p w14:paraId="06990583"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-0.086</w:t>
            </w:r>
          </w:p>
        </w:tc>
        <w:tc>
          <w:tcPr>
            <w:tcW w:w="910" w:type="dxa"/>
            <w:tcBorders>
              <w:top w:val="nil"/>
              <w:left w:val="nil"/>
              <w:bottom w:val="single" w:sz="4" w:space="0" w:color="auto"/>
              <w:right w:val="single" w:sz="4" w:space="0" w:color="auto"/>
            </w:tcBorders>
            <w:shd w:val="clear" w:color="auto" w:fill="auto"/>
            <w:noWrap/>
            <w:vAlign w:val="bottom"/>
            <w:hideMark/>
          </w:tcPr>
          <w:p w14:paraId="37752E75"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0.058</w:t>
            </w:r>
          </w:p>
        </w:tc>
      </w:tr>
      <w:tr w:rsidR="00CC6F8F" w:rsidRPr="00B65C47" w14:paraId="419D1A6B"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586750F9"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Los Angeles</w:t>
            </w:r>
          </w:p>
        </w:tc>
        <w:tc>
          <w:tcPr>
            <w:tcW w:w="955" w:type="dxa"/>
            <w:tcBorders>
              <w:top w:val="nil"/>
              <w:left w:val="nil"/>
              <w:bottom w:val="single" w:sz="4" w:space="0" w:color="auto"/>
              <w:right w:val="single" w:sz="4" w:space="0" w:color="auto"/>
            </w:tcBorders>
            <w:shd w:val="clear" w:color="auto" w:fill="auto"/>
            <w:noWrap/>
            <w:vAlign w:val="bottom"/>
            <w:hideMark/>
          </w:tcPr>
          <w:p w14:paraId="0E9A58A5"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0.005</w:t>
            </w:r>
          </w:p>
        </w:tc>
        <w:tc>
          <w:tcPr>
            <w:tcW w:w="917" w:type="dxa"/>
            <w:tcBorders>
              <w:top w:val="nil"/>
              <w:left w:val="nil"/>
              <w:bottom w:val="single" w:sz="4" w:space="0" w:color="auto"/>
              <w:right w:val="single" w:sz="4" w:space="0" w:color="auto"/>
            </w:tcBorders>
            <w:shd w:val="clear" w:color="auto" w:fill="auto"/>
            <w:noWrap/>
            <w:vAlign w:val="bottom"/>
            <w:hideMark/>
          </w:tcPr>
          <w:p w14:paraId="524772E7"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0.007</w:t>
            </w:r>
          </w:p>
        </w:tc>
        <w:tc>
          <w:tcPr>
            <w:tcW w:w="930" w:type="dxa"/>
            <w:tcBorders>
              <w:top w:val="nil"/>
              <w:left w:val="nil"/>
              <w:bottom w:val="single" w:sz="4" w:space="0" w:color="auto"/>
              <w:right w:val="single" w:sz="4" w:space="0" w:color="auto"/>
            </w:tcBorders>
            <w:shd w:val="clear" w:color="auto" w:fill="auto"/>
            <w:noWrap/>
            <w:vAlign w:val="bottom"/>
            <w:hideMark/>
          </w:tcPr>
          <w:p w14:paraId="1A0FF444"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-0.042</w:t>
            </w:r>
          </w:p>
        </w:tc>
        <w:tc>
          <w:tcPr>
            <w:tcW w:w="958" w:type="dxa"/>
            <w:tcBorders>
              <w:top w:val="nil"/>
              <w:left w:val="nil"/>
              <w:bottom w:val="single" w:sz="4" w:space="0" w:color="auto"/>
              <w:right w:val="single" w:sz="4" w:space="0" w:color="auto"/>
            </w:tcBorders>
            <w:shd w:val="clear" w:color="auto" w:fill="auto"/>
            <w:noWrap/>
            <w:vAlign w:val="bottom"/>
            <w:hideMark/>
          </w:tcPr>
          <w:p w14:paraId="711AA134"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885" w:type="dxa"/>
            <w:tcBorders>
              <w:top w:val="nil"/>
              <w:left w:val="nil"/>
              <w:bottom w:val="single" w:sz="4" w:space="0" w:color="auto"/>
              <w:right w:val="single" w:sz="4" w:space="0" w:color="auto"/>
            </w:tcBorders>
            <w:shd w:val="clear" w:color="auto" w:fill="auto"/>
            <w:noWrap/>
            <w:vAlign w:val="bottom"/>
            <w:hideMark/>
          </w:tcPr>
          <w:p w14:paraId="25A73331"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0.007</w:t>
            </w:r>
          </w:p>
        </w:tc>
        <w:tc>
          <w:tcPr>
            <w:tcW w:w="990" w:type="dxa"/>
            <w:tcBorders>
              <w:top w:val="nil"/>
              <w:left w:val="nil"/>
              <w:bottom w:val="single" w:sz="4" w:space="0" w:color="auto"/>
              <w:right w:val="single" w:sz="4" w:space="0" w:color="auto"/>
            </w:tcBorders>
            <w:shd w:val="clear" w:color="auto" w:fill="auto"/>
            <w:noWrap/>
            <w:vAlign w:val="bottom"/>
            <w:hideMark/>
          </w:tcPr>
          <w:p w14:paraId="1A63967A"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0.009</w:t>
            </w:r>
          </w:p>
        </w:tc>
        <w:tc>
          <w:tcPr>
            <w:tcW w:w="930" w:type="dxa"/>
            <w:tcBorders>
              <w:top w:val="nil"/>
              <w:left w:val="nil"/>
              <w:bottom w:val="single" w:sz="4" w:space="0" w:color="auto"/>
              <w:right w:val="single" w:sz="4" w:space="0" w:color="auto"/>
            </w:tcBorders>
            <w:shd w:val="clear" w:color="auto" w:fill="auto"/>
            <w:noWrap/>
            <w:vAlign w:val="bottom"/>
            <w:hideMark/>
          </w:tcPr>
          <w:p w14:paraId="79907838"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-0.022</w:t>
            </w:r>
          </w:p>
        </w:tc>
        <w:tc>
          <w:tcPr>
            <w:tcW w:w="910" w:type="dxa"/>
            <w:tcBorders>
              <w:top w:val="nil"/>
              <w:left w:val="nil"/>
              <w:bottom w:val="single" w:sz="4" w:space="0" w:color="auto"/>
              <w:right w:val="single" w:sz="4" w:space="0" w:color="auto"/>
            </w:tcBorders>
            <w:shd w:val="clear" w:color="auto" w:fill="auto"/>
            <w:noWrap/>
            <w:vAlign w:val="bottom"/>
            <w:hideMark/>
          </w:tcPr>
          <w:p w14:paraId="3660FB7F"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0.020</w:t>
            </w:r>
          </w:p>
        </w:tc>
      </w:tr>
      <w:tr w:rsidR="00CC6F8F" w:rsidRPr="00B65C47" w14:paraId="72E25E26"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430B4832"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Miami</w:t>
            </w:r>
          </w:p>
        </w:tc>
        <w:tc>
          <w:tcPr>
            <w:tcW w:w="955" w:type="dxa"/>
            <w:tcBorders>
              <w:top w:val="nil"/>
              <w:left w:val="nil"/>
              <w:bottom w:val="single" w:sz="4" w:space="0" w:color="auto"/>
              <w:right w:val="single" w:sz="4" w:space="0" w:color="auto"/>
            </w:tcBorders>
            <w:shd w:val="clear" w:color="auto" w:fill="auto"/>
            <w:noWrap/>
            <w:vAlign w:val="bottom"/>
            <w:hideMark/>
          </w:tcPr>
          <w:p w14:paraId="22DD9163"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0.023</w:t>
            </w:r>
          </w:p>
        </w:tc>
        <w:tc>
          <w:tcPr>
            <w:tcW w:w="917" w:type="dxa"/>
            <w:tcBorders>
              <w:top w:val="nil"/>
              <w:left w:val="nil"/>
              <w:bottom w:val="single" w:sz="4" w:space="0" w:color="auto"/>
              <w:right w:val="single" w:sz="4" w:space="0" w:color="auto"/>
            </w:tcBorders>
            <w:shd w:val="clear" w:color="auto" w:fill="auto"/>
            <w:noWrap/>
            <w:vAlign w:val="bottom"/>
            <w:hideMark/>
          </w:tcPr>
          <w:p w14:paraId="291F5A09"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0.029</w:t>
            </w:r>
          </w:p>
        </w:tc>
        <w:tc>
          <w:tcPr>
            <w:tcW w:w="930" w:type="dxa"/>
            <w:tcBorders>
              <w:top w:val="nil"/>
              <w:left w:val="nil"/>
              <w:bottom w:val="single" w:sz="4" w:space="0" w:color="auto"/>
              <w:right w:val="single" w:sz="4" w:space="0" w:color="auto"/>
            </w:tcBorders>
            <w:shd w:val="clear" w:color="auto" w:fill="auto"/>
            <w:noWrap/>
            <w:vAlign w:val="bottom"/>
            <w:hideMark/>
          </w:tcPr>
          <w:p w14:paraId="32CDC14B"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-0.064</w:t>
            </w:r>
          </w:p>
        </w:tc>
        <w:tc>
          <w:tcPr>
            <w:tcW w:w="958" w:type="dxa"/>
            <w:tcBorders>
              <w:top w:val="nil"/>
              <w:left w:val="nil"/>
              <w:bottom w:val="single" w:sz="4" w:space="0" w:color="auto"/>
              <w:right w:val="single" w:sz="4" w:space="0" w:color="auto"/>
            </w:tcBorders>
            <w:shd w:val="clear" w:color="auto" w:fill="auto"/>
            <w:noWrap/>
            <w:vAlign w:val="bottom"/>
            <w:hideMark/>
          </w:tcPr>
          <w:p w14:paraId="1A7D32AA" w14:textId="77777777" w:rsidR="00CC6F8F" w:rsidRPr="000B3157" w:rsidRDefault="00CC6F8F" w:rsidP="000A39F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0.079</w:t>
            </w:r>
          </w:p>
        </w:tc>
        <w:tc>
          <w:tcPr>
            <w:tcW w:w="885" w:type="dxa"/>
            <w:tcBorders>
              <w:top w:val="nil"/>
              <w:left w:val="nil"/>
              <w:bottom w:val="single" w:sz="4" w:space="0" w:color="auto"/>
              <w:right w:val="single" w:sz="4" w:space="0" w:color="auto"/>
            </w:tcBorders>
            <w:shd w:val="clear" w:color="auto" w:fill="auto"/>
            <w:noWrap/>
            <w:vAlign w:val="bottom"/>
            <w:hideMark/>
          </w:tcPr>
          <w:p w14:paraId="500D641F"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0.025</w:t>
            </w:r>
          </w:p>
        </w:tc>
        <w:tc>
          <w:tcPr>
            <w:tcW w:w="990" w:type="dxa"/>
            <w:tcBorders>
              <w:top w:val="nil"/>
              <w:left w:val="nil"/>
              <w:bottom w:val="single" w:sz="4" w:space="0" w:color="auto"/>
              <w:right w:val="single" w:sz="4" w:space="0" w:color="auto"/>
            </w:tcBorders>
            <w:shd w:val="clear" w:color="auto" w:fill="auto"/>
            <w:noWrap/>
            <w:vAlign w:val="bottom"/>
            <w:hideMark/>
          </w:tcPr>
          <w:p w14:paraId="2CC6D43A"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0.032</w:t>
            </w:r>
          </w:p>
        </w:tc>
        <w:tc>
          <w:tcPr>
            <w:tcW w:w="930" w:type="dxa"/>
            <w:tcBorders>
              <w:top w:val="nil"/>
              <w:left w:val="nil"/>
              <w:bottom w:val="single" w:sz="4" w:space="0" w:color="auto"/>
              <w:right w:val="single" w:sz="4" w:space="0" w:color="auto"/>
            </w:tcBorders>
            <w:shd w:val="clear" w:color="auto" w:fill="auto"/>
            <w:noWrap/>
            <w:vAlign w:val="bottom"/>
            <w:hideMark/>
          </w:tcPr>
          <w:p w14:paraId="62C87C2D"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-0.082</w:t>
            </w:r>
          </w:p>
        </w:tc>
        <w:tc>
          <w:tcPr>
            <w:tcW w:w="910" w:type="dxa"/>
            <w:tcBorders>
              <w:top w:val="nil"/>
              <w:left w:val="nil"/>
              <w:bottom w:val="single" w:sz="4" w:space="0" w:color="auto"/>
              <w:right w:val="single" w:sz="4" w:space="0" w:color="auto"/>
            </w:tcBorders>
            <w:shd w:val="clear" w:color="auto" w:fill="auto"/>
            <w:noWrap/>
            <w:vAlign w:val="bottom"/>
            <w:hideMark/>
          </w:tcPr>
          <w:p w14:paraId="4050B2A6"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0.058</w:t>
            </w:r>
          </w:p>
        </w:tc>
      </w:tr>
      <w:tr w:rsidR="00CC6F8F" w:rsidRPr="00B65C47" w14:paraId="73898EED"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142BB75"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New York</w:t>
            </w:r>
          </w:p>
        </w:tc>
        <w:tc>
          <w:tcPr>
            <w:tcW w:w="955" w:type="dxa"/>
            <w:tcBorders>
              <w:top w:val="nil"/>
              <w:left w:val="nil"/>
              <w:bottom w:val="single" w:sz="4" w:space="0" w:color="auto"/>
              <w:right w:val="single" w:sz="4" w:space="0" w:color="auto"/>
            </w:tcBorders>
            <w:shd w:val="clear" w:color="auto" w:fill="auto"/>
            <w:noWrap/>
            <w:vAlign w:val="bottom"/>
            <w:hideMark/>
          </w:tcPr>
          <w:p w14:paraId="281E67D3"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0.019</w:t>
            </w:r>
          </w:p>
        </w:tc>
        <w:tc>
          <w:tcPr>
            <w:tcW w:w="917" w:type="dxa"/>
            <w:tcBorders>
              <w:top w:val="nil"/>
              <w:left w:val="nil"/>
              <w:bottom w:val="single" w:sz="4" w:space="0" w:color="auto"/>
              <w:right w:val="single" w:sz="4" w:space="0" w:color="auto"/>
            </w:tcBorders>
            <w:shd w:val="clear" w:color="auto" w:fill="auto"/>
            <w:noWrap/>
            <w:vAlign w:val="bottom"/>
            <w:hideMark/>
          </w:tcPr>
          <w:p w14:paraId="3181C7EB"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0.023</w:t>
            </w:r>
          </w:p>
        </w:tc>
        <w:tc>
          <w:tcPr>
            <w:tcW w:w="930" w:type="dxa"/>
            <w:tcBorders>
              <w:top w:val="nil"/>
              <w:left w:val="nil"/>
              <w:bottom w:val="single" w:sz="4" w:space="0" w:color="auto"/>
              <w:right w:val="single" w:sz="4" w:space="0" w:color="auto"/>
            </w:tcBorders>
            <w:shd w:val="clear" w:color="auto" w:fill="auto"/>
            <w:noWrap/>
            <w:vAlign w:val="bottom"/>
            <w:hideMark/>
          </w:tcPr>
          <w:p w14:paraId="5ADF5A09"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-0.050</w:t>
            </w:r>
          </w:p>
        </w:tc>
        <w:tc>
          <w:tcPr>
            <w:tcW w:w="958" w:type="dxa"/>
            <w:tcBorders>
              <w:top w:val="nil"/>
              <w:left w:val="nil"/>
              <w:bottom w:val="single" w:sz="4" w:space="0" w:color="auto"/>
              <w:right w:val="single" w:sz="4" w:space="0" w:color="auto"/>
            </w:tcBorders>
            <w:shd w:val="clear" w:color="auto" w:fill="auto"/>
            <w:noWrap/>
            <w:vAlign w:val="bottom"/>
            <w:hideMark/>
          </w:tcPr>
          <w:p w14:paraId="458DF90A"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0.067</w:t>
            </w:r>
          </w:p>
        </w:tc>
        <w:tc>
          <w:tcPr>
            <w:tcW w:w="885" w:type="dxa"/>
            <w:tcBorders>
              <w:top w:val="nil"/>
              <w:left w:val="nil"/>
              <w:bottom w:val="single" w:sz="4" w:space="0" w:color="auto"/>
              <w:right w:val="single" w:sz="4" w:space="0" w:color="auto"/>
            </w:tcBorders>
            <w:shd w:val="clear" w:color="auto" w:fill="auto"/>
            <w:noWrap/>
            <w:vAlign w:val="bottom"/>
            <w:hideMark/>
          </w:tcPr>
          <w:p w14:paraId="7297D271"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0.026</w:t>
            </w:r>
          </w:p>
        </w:tc>
        <w:tc>
          <w:tcPr>
            <w:tcW w:w="990" w:type="dxa"/>
            <w:tcBorders>
              <w:top w:val="nil"/>
              <w:left w:val="nil"/>
              <w:bottom w:val="single" w:sz="4" w:space="0" w:color="auto"/>
              <w:right w:val="single" w:sz="4" w:space="0" w:color="auto"/>
            </w:tcBorders>
            <w:shd w:val="clear" w:color="auto" w:fill="auto"/>
            <w:noWrap/>
            <w:vAlign w:val="bottom"/>
            <w:hideMark/>
          </w:tcPr>
          <w:p w14:paraId="457122C6"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0.033</w:t>
            </w:r>
          </w:p>
        </w:tc>
        <w:tc>
          <w:tcPr>
            <w:tcW w:w="930" w:type="dxa"/>
            <w:tcBorders>
              <w:top w:val="nil"/>
              <w:left w:val="nil"/>
              <w:bottom w:val="single" w:sz="4" w:space="0" w:color="auto"/>
              <w:right w:val="single" w:sz="4" w:space="0" w:color="auto"/>
            </w:tcBorders>
            <w:shd w:val="clear" w:color="auto" w:fill="auto"/>
            <w:noWrap/>
            <w:vAlign w:val="bottom"/>
            <w:hideMark/>
          </w:tcPr>
          <w:p w14:paraId="204FEB29"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-0.058</w:t>
            </w:r>
          </w:p>
        </w:tc>
        <w:tc>
          <w:tcPr>
            <w:tcW w:w="910" w:type="dxa"/>
            <w:tcBorders>
              <w:top w:val="nil"/>
              <w:left w:val="nil"/>
              <w:bottom w:val="single" w:sz="4" w:space="0" w:color="auto"/>
              <w:right w:val="single" w:sz="4" w:space="0" w:color="auto"/>
            </w:tcBorders>
            <w:shd w:val="clear" w:color="auto" w:fill="auto"/>
            <w:noWrap/>
            <w:vAlign w:val="bottom"/>
            <w:hideMark/>
          </w:tcPr>
          <w:p w14:paraId="34FD4695" w14:textId="77777777" w:rsidR="00CC6F8F" w:rsidRPr="000B3157" w:rsidRDefault="00CC6F8F" w:rsidP="000A39F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0.099</w:t>
            </w:r>
          </w:p>
        </w:tc>
      </w:tr>
      <w:tr w:rsidR="00CC6F8F" w:rsidRPr="00B65C47" w14:paraId="6889E4E9"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7F3D2144"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San Francisco</w:t>
            </w:r>
          </w:p>
        </w:tc>
        <w:tc>
          <w:tcPr>
            <w:tcW w:w="955" w:type="dxa"/>
            <w:tcBorders>
              <w:top w:val="nil"/>
              <w:left w:val="nil"/>
              <w:bottom w:val="single" w:sz="4" w:space="0" w:color="auto"/>
              <w:right w:val="single" w:sz="4" w:space="0" w:color="auto"/>
            </w:tcBorders>
            <w:shd w:val="clear" w:color="auto" w:fill="auto"/>
            <w:noWrap/>
            <w:vAlign w:val="bottom"/>
            <w:hideMark/>
          </w:tcPr>
          <w:p w14:paraId="6732219D"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0.009</w:t>
            </w:r>
          </w:p>
        </w:tc>
        <w:tc>
          <w:tcPr>
            <w:tcW w:w="917" w:type="dxa"/>
            <w:tcBorders>
              <w:top w:val="nil"/>
              <w:left w:val="nil"/>
              <w:bottom w:val="single" w:sz="4" w:space="0" w:color="auto"/>
              <w:right w:val="single" w:sz="4" w:space="0" w:color="auto"/>
            </w:tcBorders>
            <w:shd w:val="clear" w:color="auto" w:fill="auto"/>
            <w:noWrap/>
            <w:vAlign w:val="bottom"/>
            <w:hideMark/>
          </w:tcPr>
          <w:p w14:paraId="0940843E"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0.012</w:t>
            </w:r>
          </w:p>
        </w:tc>
        <w:tc>
          <w:tcPr>
            <w:tcW w:w="930" w:type="dxa"/>
            <w:tcBorders>
              <w:top w:val="nil"/>
              <w:left w:val="nil"/>
              <w:bottom w:val="single" w:sz="4" w:space="0" w:color="auto"/>
              <w:right w:val="single" w:sz="4" w:space="0" w:color="auto"/>
            </w:tcBorders>
            <w:shd w:val="clear" w:color="auto" w:fill="auto"/>
            <w:noWrap/>
            <w:vAlign w:val="bottom"/>
            <w:hideMark/>
          </w:tcPr>
          <w:p w14:paraId="0B1DE9D6"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-0.030</w:t>
            </w:r>
          </w:p>
        </w:tc>
        <w:tc>
          <w:tcPr>
            <w:tcW w:w="958" w:type="dxa"/>
            <w:tcBorders>
              <w:top w:val="nil"/>
              <w:left w:val="nil"/>
              <w:bottom w:val="single" w:sz="4" w:space="0" w:color="auto"/>
              <w:right w:val="single" w:sz="4" w:space="0" w:color="auto"/>
            </w:tcBorders>
            <w:shd w:val="clear" w:color="auto" w:fill="auto"/>
            <w:noWrap/>
            <w:vAlign w:val="bottom"/>
            <w:hideMark/>
          </w:tcPr>
          <w:p w14:paraId="15A069C5"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0.030</w:t>
            </w:r>
          </w:p>
        </w:tc>
        <w:tc>
          <w:tcPr>
            <w:tcW w:w="885" w:type="dxa"/>
            <w:tcBorders>
              <w:top w:val="nil"/>
              <w:left w:val="nil"/>
              <w:bottom w:val="single" w:sz="4" w:space="0" w:color="auto"/>
              <w:right w:val="single" w:sz="4" w:space="0" w:color="auto"/>
            </w:tcBorders>
            <w:shd w:val="clear" w:color="auto" w:fill="auto"/>
            <w:noWrap/>
            <w:vAlign w:val="bottom"/>
            <w:hideMark/>
          </w:tcPr>
          <w:p w14:paraId="460678CB"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0.013</w:t>
            </w:r>
          </w:p>
        </w:tc>
        <w:tc>
          <w:tcPr>
            <w:tcW w:w="990" w:type="dxa"/>
            <w:tcBorders>
              <w:top w:val="nil"/>
              <w:left w:val="nil"/>
              <w:bottom w:val="single" w:sz="4" w:space="0" w:color="auto"/>
              <w:right w:val="single" w:sz="4" w:space="0" w:color="auto"/>
            </w:tcBorders>
            <w:shd w:val="clear" w:color="auto" w:fill="auto"/>
            <w:noWrap/>
            <w:vAlign w:val="bottom"/>
            <w:hideMark/>
          </w:tcPr>
          <w:p w14:paraId="0154CF81"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0.018</w:t>
            </w:r>
          </w:p>
        </w:tc>
        <w:tc>
          <w:tcPr>
            <w:tcW w:w="930" w:type="dxa"/>
            <w:tcBorders>
              <w:top w:val="nil"/>
              <w:left w:val="nil"/>
              <w:bottom w:val="single" w:sz="4" w:space="0" w:color="auto"/>
              <w:right w:val="single" w:sz="4" w:space="0" w:color="auto"/>
            </w:tcBorders>
            <w:shd w:val="clear" w:color="auto" w:fill="auto"/>
            <w:noWrap/>
            <w:vAlign w:val="bottom"/>
            <w:hideMark/>
          </w:tcPr>
          <w:p w14:paraId="2DA92D7B"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-0.045</w:t>
            </w:r>
          </w:p>
        </w:tc>
        <w:tc>
          <w:tcPr>
            <w:tcW w:w="910" w:type="dxa"/>
            <w:tcBorders>
              <w:top w:val="nil"/>
              <w:left w:val="nil"/>
              <w:bottom w:val="single" w:sz="4" w:space="0" w:color="auto"/>
              <w:right w:val="single" w:sz="4" w:space="0" w:color="auto"/>
            </w:tcBorders>
            <w:shd w:val="clear" w:color="auto" w:fill="auto"/>
            <w:noWrap/>
            <w:vAlign w:val="bottom"/>
            <w:hideMark/>
          </w:tcPr>
          <w:p w14:paraId="4E428234"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0.052</w:t>
            </w:r>
          </w:p>
        </w:tc>
      </w:tr>
      <w:tr w:rsidR="00CC6F8F" w:rsidRPr="00B65C47" w14:paraId="57C44F2D" w14:textId="77777777" w:rsidTr="00890EE9">
        <w:trPr>
          <w:trHeight w:val="29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14:paraId="0D1FA2E7" w14:textId="77777777" w:rsidR="00CC6F8F" w:rsidRPr="000B3157" w:rsidRDefault="00CC6F8F" w:rsidP="000A39F0">
            <w:pPr>
              <w:spacing w:after="0" w:line="240" w:lineRule="auto"/>
              <w:rPr>
                <w:rFonts w:ascii="Arial" w:eastAsia="Times New Roman" w:hAnsi="Arial" w:cs="Arial"/>
                <w:sz w:val="16"/>
                <w:szCs w:val="16"/>
              </w:rPr>
            </w:pPr>
            <w:r w:rsidRPr="000B3157">
              <w:rPr>
                <w:rFonts w:ascii="Arial" w:eastAsia="Times New Roman" w:hAnsi="Arial" w:cs="Arial"/>
                <w:sz w:val="16"/>
                <w:szCs w:val="16"/>
              </w:rPr>
              <w:t>Seattle</w:t>
            </w:r>
          </w:p>
        </w:tc>
        <w:tc>
          <w:tcPr>
            <w:tcW w:w="955" w:type="dxa"/>
            <w:tcBorders>
              <w:top w:val="nil"/>
              <w:left w:val="nil"/>
              <w:bottom w:val="single" w:sz="4" w:space="0" w:color="auto"/>
              <w:right w:val="single" w:sz="4" w:space="0" w:color="auto"/>
            </w:tcBorders>
            <w:shd w:val="clear" w:color="auto" w:fill="auto"/>
            <w:noWrap/>
            <w:vAlign w:val="bottom"/>
            <w:hideMark/>
          </w:tcPr>
          <w:p w14:paraId="11B92CBF"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0.011</w:t>
            </w:r>
          </w:p>
        </w:tc>
        <w:tc>
          <w:tcPr>
            <w:tcW w:w="917" w:type="dxa"/>
            <w:tcBorders>
              <w:top w:val="nil"/>
              <w:left w:val="nil"/>
              <w:bottom w:val="single" w:sz="4" w:space="0" w:color="auto"/>
              <w:right w:val="single" w:sz="4" w:space="0" w:color="auto"/>
            </w:tcBorders>
            <w:shd w:val="clear" w:color="auto" w:fill="auto"/>
            <w:noWrap/>
            <w:vAlign w:val="bottom"/>
            <w:hideMark/>
          </w:tcPr>
          <w:p w14:paraId="07F6510A"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0.015</w:t>
            </w:r>
          </w:p>
        </w:tc>
        <w:tc>
          <w:tcPr>
            <w:tcW w:w="930" w:type="dxa"/>
            <w:tcBorders>
              <w:top w:val="nil"/>
              <w:left w:val="nil"/>
              <w:bottom w:val="single" w:sz="4" w:space="0" w:color="auto"/>
              <w:right w:val="single" w:sz="4" w:space="0" w:color="auto"/>
            </w:tcBorders>
            <w:shd w:val="clear" w:color="auto" w:fill="auto"/>
            <w:noWrap/>
            <w:vAlign w:val="bottom"/>
            <w:hideMark/>
          </w:tcPr>
          <w:p w14:paraId="0F8FA236"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-0.045</w:t>
            </w:r>
          </w:p>
        </w:tc>
        <w:tc>
          <w:tcPr>
            <w:tcW w:w="958" w:type="dxa"/>
            <w:tcBorders>
              <w:top w:val="nil"/>
              <w:left w:val="nil"/>
              <w:bottom w:val="single" w:sz="4" w:space="0" w:color="auto"/>
              <w:right w:val="single" w:sz="4" w:space="0" w:color="auto"/>
            </w:tcBorders>
            <w:shd w:val="clear" w:color="auto" w:fill="auto"/>
            <w:noWrap/>
            <w:vAlign w:val="bottom"/>
            <w:hideMark/>
          </w:tcPr>
          <w:p w14:paraId="144EA03A" w14:textId="77777777" w:rsidR="00CC6F8F" w:rsidRPr="000B3157" w:rsidRDefault="00CC6F8F" w:rsidP="000A39F0">
            <w:pPr>
              <w:spacing w:after="0" w:line="240" w:lineRule="auto"/>
              <w:jc w:val="right"/>
              <w:rPr>
                <w:rFonts w:ascii="Arial" w:eastAsia="Times New Roman" w:hAnsi="Arial" w:cs="Arial"/>
                <w:color w:val="5B9BD5"/>
                <w:sz w:val="16"/>
                <w:szCs w:val="16"/>
              </w:rPr>
            </w:pPr>
            <w:r w:rsidRPr="000B3157">
              <w:rPr>
                <w:rFonts w:ascii="Arial" w:eastAsia="Times New Roman" w:hAnsi="Arial" w:cs="Arial"/>
                <w:color w:val="5B9BD5"/>
                <w:sz w:val="16"/>
                <w:szCs w:val="16"/>
              </w:rPr>
              <w:t>0.037</w:t>
            </w:r>
          </w:p>
        </w:tc>
        <w:tc>
          <w:tcPr>
            <w:tcW w:w="885" w:type="dxa"/>
            <w:tcBorders>
              <w:top w:val="nil"/>
              <w:left w:val="nil"/>
              <w:bottom w:val="single" w:sz="4" w:space="0" w:color="auto"/>
              <w:right w:val="single" w:sz="4" w:space="0" w:color="auto"/>
            </w:tcBorders>
            <w:shd w:val="clear" w:color="auto" w:fill="auto"/>
            <w:noWrap/>
            <w:vAlign w:val="bottom"/>
            <w:hideMark/>
          </w:tcPr>
          <w:p w14:paraId="276583CC"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0.013</w:t>
            </w:r>
          </w:p>
        </w:tc>
        <w:tc>
          <w:tcPr>
            <w:tcW w:w="990" w:type="dxa"/>
            <w:tcBorders>
              <w:top w:val="nil"/>
              <w:left w:val="nil"/>
              <w:bottom w:val="single" w:sz="4" w:space="0" w:color="auto"/>
              <w:right w:val="single" w:sz="4" w:space="0" w:color="auto"/>
            </w:tcBorders>
            <w:shd w:val="clear" w:color="auto" w:fill="auto"/>
            <w:noWrap/>
            <w:vAlign w:val="bottom"/>
            <w:hideMark/>
          </w:tcPr>
          <w:p w14:paraId="7C7E01D2"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0.018</w:t>
            </w:r>
          </w:p>
        </w:tc>
        <w:tc>
          <w:tcPr>
            <w:tcW w:w="930" w:type="dxa"/>
            <w:tcBorders>
              <w:top w:val="nil"/>
              <w:left w:val="nil"/>
              <w:bottom w:val="single" w:sz="4" w:space="0" w:color="auto"/>
              <w:right w:val="single" w:sz="4" w:space="0" w:color="auto"/>
            </w:tcBorders>
            <w:shd w:val="clear" w:color="auto" w:fill="auto"/>
            <w:noWrap/>
            <w:vAlign w:val="bottom"/>
            <w:hideMark/>
          </w:tcPr>
          <w:p w14:paraId="0918D7E5"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-0.062</w:t>
            </w:r>
          </w:p>
        </w:tc>
        <w:tc>
          <w:tcPr>
            <w:tcW w:w="910" w:type="dxa"/>
            <w:tcBorders>
              <w:top w:val="nil"/>
              <w:left w:val="nil"/>
              <w:bottom w:val="single" w:sz="4" w:space="0" w:color="auto"/>
              <w:right w:val="single" w:sz="4" w:space="0" w:color="auto"/>
            </w:tcBorders>
            <w:shd w:val="clear" w:color="auto" w:fill="auto"/>
            <w:noWrap/>
            <w:vAlign w:val="bottom"/>
            <w:hideMark/>
          </w:tcPr>
          <w:p w14:paraId="191F1062" w14:textId="77777777" w:rsidR="00CC6F8F" w:rsidRPr="000B3157" w:rsidRDefault="00CC6F8F" w:rsidP="000A39F0">
            <w:pPr>
              <w:spacing w:after="0" w:line="240" w:lineRule="auto"/>
              <w:jc w:val="right"/>
              <w:rPr>
                <w:rFonts w:ascii="Arial" w:eastAsia="Times New Roman" w:hAnsi="Arial" w:cs="Arial"/>
                <w:color w:val="70AD47"/>
                <w:sz w:val="16"/>
                <w:szCs w:val="16"/>
              </w:rPr>
            </w:pPr>
            <w:r w:rsidRPr="000B3157">
              <w:rPr>
                <w:rFonts w:ascii="Arial" w:eastAsia="Times New Roman" w:hAnsi="Arial" w:cs="Arial"/>
                <w:color w:val="70AD47"/>
                <w:sz w:val="16"/>
                <w:szCs w:val="16"/>
              </w:rPr>
              <w:t>0.042</w:t>
            </w:r>
          </w:p>
        </w:tc>
      </w:tr>
    </w:tbl>
    <w:p w14:paraId="023F279D" w14:textId="77777777" w:rsidR="00890EE9" w:rsidRPr="00890EE9" w:rsidRDefault="00890EE9" w:rsidP="00890EE9">
      <w:pPr>
        <w:spacing w:line="240" w:lineRule="auto"/>
        <w:rPr>
          <w:sz w:val="18"/>
          <w:szCs w:val="20"/>
        </w:rPr>
      </w:pPr>
      <w:r w:rsidRPr="00890EE9">
        <w:rPr>
          <w:sz w:val="18"/>
          <w:szCs w:val="20"/>
        </w:rPr>
        <w:t>Note: Rows in red indicate estimates with relatively low accuracy</w:t>
      </w:r>
      <w:r>
        <w:rPr>
          <w:sz w:val="18"/>
          <w:szCs w:val="20"/>
        </w:rPr>
        <w:t>.</w:t>
      </w:r>
    </w:p>
    <w:p w14:paraId="5DEC5F3A" w14:textId="77777777" w:rsidR="00CC6F8F" w:rsidRDefault="00CC6F8F" w:rsidP="000E683D">
      <w:pPr>
        <w:spacing w:line="240" w:lineRule="auto"/>
        <w:rPr>
          <w:b/>
          <w:bCs/>
          <w:noProof/>
          <w:color w:val="1396D8"/>
          <w:szCs w:val="18"/>
        </w:rPr>
      </w:pPr>
    </w:p>
    <w:p w14:paraId="4C529B9A" w14:textId="77777777" w:rsidR="00B65C47" w:rsidRDefault="00B65C47" w:rsidP="000E683D">
      <w:pPr>
        <w:spacing w:line="240" w:lineRule="auto"/>
        <w:rPr>
          <w:b/>
          <w:bCs/>
          <w:noProof/>
          <w:color w:val="1396D8"/>
          <w:szCs w:val="18"/>
        </w:rPr>
      </w:pPr>
    </w:p>
    <w:p w14:paraId="26A54DE0" w14:textId="77777777" w:rsidR="00B65C47" w:rsidRDefault="00B65C47" w:rsidP="000E683D">
      <w:pPr>
        <w:spacing w:line="240" w:lineRule="auto"/>
        <w:rPr>
          <w:b/>
          <w:bCs/>
          <w:noProof/>
          <w:color w:val="1396D8"/>
          <w:szCs w:val="18"/>
        </w:rPr>
      </w:pPr>
    </w:p>
    <w:p w14:paraId="0D3899E4" w14:textId="77777777" w:rsidR="003B09B3" w:rsidRDefault="003B09B3" w:rsidP="000E683D">
      <w:pPr>
        <w:spacing w:line="240" w:lineRule="auto"/>
        <w:rPr>
          <w:b/>
          <w:bCs/>
          <w:noProof/>
          <w:color w:val="1396D8"/>
          <w:szCs w:val="18"/>
        </w:rPr>
      </w:pPr>
    </w:p>
    <w:p w14:paraId="4F746D02" w14:textId="77777777" w:rsidR="003B09B3" w:rsidRDefault="003B09B3" w:rsidP="000E683D">
      <w:pPr>
        <w:spacing w:line="240" w:lineRule="auto"/>
        <w:rPr>
          <w:b/>
          <w:bCs/>
          <w:noProof/>
          <w:color w:val="1396D8"/>
          <w:szCs w:val="18"/>
        </w:rPr>
      </w:pPr>
    </w:p>
    <w:p w14:paraId="4086D3DF" w14:textId="77777777" w:rsidR="003B09B3" w:rsidRDefault="003B09B3" w:rsidP="000E683D">
      <w:pPr>
        <w:spacing w:line="240" w:lineRule="auto"/>
        <w:rPr>
          <w:b/>
          <w:bCs/>
          <w:noProof/>
          <w:color w:val="1396D8"/>
          <w:szCs w:val="18"/>
        </w:rPr>
      </w:pPr>
    </w:p>
    <w:p w14:paraId="0F7AEC4E" w14:textId="77777777" w:rsidR="003B09B3" w:rsidRDefault="003B09B3" w:rsidP="000E683D">
      <w:pPr>
        <w:spacing w:line="240" w:lineRule="auto"/>
        <w:rPr>
          <w:b/>
          <w:bCs/>
          <w:noProof/>
          <w:color w:val="1396D8"/>
          <w:szCs w:val="18"/>
        </w:rPr>
      </w:pPr>
    </w:p>
    <w:p w14:paraId="79C81B17" w14:textId="77777777" w:rsidR="003B09B3" w:rsidRDefault="003B09B3" w:rsidP="000E683D">
      <w:pPr>
        <w:spacing w:line="240" w:lineRule="auto"/>
        <w:rPr>
          <w:b/>
          <w:bCs/>
          <w:noProof/>
          <w:color w:val="1396D8"/>
          <w:szCs w:val="18"/>
        </w:rPr>
      </w:pPr>
    </w:p>
    <w:p w14:paraId="0CC42863" w14:textId="77777777" w:rsidR="003B09B3" w:rsidRDefault="003B09B3" w:rsidP="000E683D">
      <w:pPr>
        <w:spacing w:line="240" w:lineRule="auto"/>
        <w:rPr>
          <w:b/>
          <w:bCs/>
          <w:noProof/>
          <w:color w:val="1396D8"/>
          <w:szCs w:val="18"/>
        </w:rPr>
      </w:pPr>
    </w:p>
    <w:p w14:paraId="5C4E0826" w14:textId="77777777" w:rsidR="003B09B3" w:rsidRDefault="003B09B3" w:rsidP="000E683D">
      <w:pPr>
        <w:spacing w:line="240" w:lineRule="auto"/>
        <w:rPr>
          <w:b/>
          <w:bCs/>
          <w:noProof/>
          <w:color w:val="1396D8"/>
          <w:szCs w:val="18"/>
        </w:rPr>
      </w:pPr>
    </w:p>
    <w:p w14:paraId="6B1650F2" w14:textId="77777777" w:rsidR="00B65C47" w:rsidRDefault="00B65C47" w:rsidP="000E683D">
      <w:pPr>
        <w:spacing w:line="240" w:lineRule="auto"/>
        <w:rPr>
          <w:b/>
          <w:bCs/>
          <w:noProof/>
          <w:color w:val="1396D8"/>
          <w:szCs w:val="18"/>
        </w:rPr>
      </w:pPr>
    </w:p>
    <w:tbl>
      <w:tblPr>
        <w:tblW w:w="9000" w:type="dxa"/>
        <w:tblInd w:w="445" w:type="dxa"/>
        <w:tblLayout w:type="fixed"/>
        <w:tblLook w:val="04A0" w:firstRow="1" w:lastRow="0" w:firstColumn="1" w:lastColumn="0" w:noHBand="0" w:noVBand="1"/>
      </w:tblPr>
      <w:tblGrid>
        <w:gridCol w:w="1260"/>
        <w:gridCol w:w="900"/>
        <w:gridCol w:w="990"/>
        <w:gridCol w:w="990"/>
        <w:gridCol w:w="990"/>
        <w:gridCol w:w="900"/>
        <w:gridCol w:w="990"/>
        <w:gridCol w:w="990"/>
        <w:gridCol w:w="990"/>
      </w:tblGrid>
      <w:tr w:rsidR="00A24A61" w:rsidRPr="00B65C47" w14:paraId="7ECB05E5" w14:textId="77777777" w:rsidTr="00B65C47">
        <w:trPr>
          <w:trHeight w:val="580"/>
        </w:trPr>
        <w:tc>
          <w:tcPr>
            <w:tcW w:w="9000"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hideMark/>
          </w:tcPr>
          <w:p w14:paraId="62CA1D18" w14:textId="44BDF27F" w:rsidR="00A24A61" w:rsidRPr="000B3157" w:rsidRDefault="00A24A61" w:rsidP="00114932">
            <w:pPr>
              <w:pStyle w:val="Caption"/>
              <w:rPr>
                <w:rFonts w:ascii="Arial" w:eastAsia="Times New Roman" w:hAnsi="Arial" w:cs="Arial"/>
                <w:sz w:val="16"/>
                <w:szCs w:val="16"/>
              </w:rPr>
            </w:pPr>
            <w:r w:rsidRPr="001A77D2">
              <w:rPr>
                <w:noProof/>
              </w:rPr>
              <w:t xml:space="preserve">Table </w:t>
            </w:r>
            <w:r w:rsidR="00B65C47" w:rsidRPr="001A77D2">
              <w:rPr>
                <w:noProof/>
              </w:rPr>
              <w:t>A.</w:t>
            </w:r>
            <w:r w:rsidR="00374CD5">
              <w:rPr>
                <w:noProof/>
              </w:rPr>
              <w:t>10</w:t>
            </w:r>
            <w:r w:rsidRPr="001A77D2">
              <w:rPr>
                <w:noProof/>
              </w:rPr>
              <w:t xml:space="preserve"> AAA </w:t>
            </w:r>
            <w:r w:rsidR="00114932">
              <w:rPr>
                <w:noProof/>
              </w:rPr>
              <w:t>m</w:t>
            </w:r>
            <w:r w:rsidRPr="001A77D2">
              <w:rPr>
                <w:noProof/>
              </w:rPr>
              <w:t xml:space="preserve">idgrade and </w:t>
            </w:r>
            <w:r w:rsidR="00114932">
              <w:rPr>
                <w:noProof/>
              </w:rPr>
              <w:t>p</w:t>
            </w:r>
            <w:r w:rsidRPr="001A77D2">
              <w:rPr>
                <w:noProof/>
              </w:rPr>
              <w:t xml:space="preserve">remium </w:t>
            </w:r>
            <w:r w:rsidR="00114932">
              <w:rPr>
                <w:noProof/>
              </w:rPr>
              <w:t>p</w:t>
            </w:r>
            <w:r w:rsidRPr="001A77D2">
              <w:rPr>
                <w:noProof/>
              </w:rPr>
              <w:t>redicted</w:t>
            </w:r>
            <w:r w:rsidR="00114932">
              <w:rPr>
                <w:noProof/>
              </w:rPr>
              <w:t xml:space="preserve"> motor gasoline p</w:t>
            </w:r>
            <w:r w:rsidRPr="001A77D2">
              <w:rPr>
                <w:noProof/>
              </w:rPr>
              <w:t xml:space="preserve">rices </w:t>
            </w:r>
            <w:r w:rsidR="00114932">
              <w:rPr>
                <w:noProof/>
              </w:rPr>
              <w:t>s</w:t>
            </w:r>
            <w:r w:rsidRPr="001A77D2">
              <w:rPr>
                <w:noProof/>
              </w:rPr>
              <w:t xml:space="preserve">tatistics, </w:t>
            </w:r>
            <w:r w:rsidR="00114932">
              <w:rPr>
                <w:noProof/>
              </w:rPr>
              <w:t>b</w:t>
            </w:r>
            <w:r w:rsidRPr="001A77D2">
              <w:rPr>
                <w:noProof/>
              </w:rPr>
              <w:t>enchmarked with EIA</w:t>
            </w:r>
            <w:r w:rsidR="00114932">
              <w:rPr>
                <w:noProof/>
              </w:rPr>
              <w:t>-878</w:t>
            </w:r>
            <w:r w:rsidRPr="001A77D2">
              <w:rPr>
                <w:noProof/>
              </w:rPr>
              <w:t xml:space="preserve"> </w:t>
            </w:r>
            <w:r w:rsidR="00114932">
              <w:rPr>
                <w:noProof/>
              </w:rPr>
              <w:t>r</w:t>
            </w:r>
            <w:r w:rsidRPr="001A77D2">
              <w:rPr>
                <w:noProof/>
              </w:rPr>
              <w:t xml:space="preserve">egular </w:t>
            </w:r>
            <w:r w:rsidR="00114932">
              <w:rPr>
                <w:noProof/>
              </w:rPr>
              <w:t>p</w:t>
            </w:r>
            <w:r w:rsidRPr="001A77D2">
              <w:rPr>
                <w:noProof/>
              </w:rPr>
              <w:t>rices (2013-2017)</w:t>
            </w:r>
            <w:r w:rsidR="00114932">
              <w:rPr>
                <w:noProof/>
              </w:rPr>
              <w:t>.</w:t>
            </w:r>
          </w:p>
        </w:tc>
      </w:tr>
      <w:tr w:rsidR="00A24A61" w:rsidRPr="00B65C47" w14:paraId="0356505F"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DAE1CC6"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3870" w:type="dxa"/>
            <w:gridSpan w:val="4"/>
            <w:tcBorders>
              <w:top w:val="nil"/>
              <w:left w:val="nil"/>
              <w:bottom w:val="single" w:sz="4" w:space="0" w:color="auto"/>
              <w:right w:val="single" w:sz="4" w:space="0" w:color="auto"/>
            </w:tcBorders>
            <w:shd w:val="clear" w:color="auto" w:fill="auto"/>
            <w:noWrap/>
            <w:vAlign w:val="bottom"/>
            <w:hideMark/>
          </w:tcPr>
          <w:p w14:paraId="2B92B810" w14:textId="77777777" w:rsidR="00A24A61" w:rsidRPr="000B3157" w:rsidRDefault="00A24A61" w:rsidP="000807C0">
            <w:pPr>
              <w:spacing w:after="0" w:line="240" w:lineRule="auto"/>
              <w:jc w:val="center"/>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Midgrade Price Residual</w:t>
            </w:r>
          </w:p>
        </w:tc>
        <w:tc>
          <w:tcPr>
            <w:tcW w:w="3870" w:type="dxa"/>
            <w:gridSpan w:val="4"/>
            <w:tcBorders>
              <w:top w:val="nil"/>
              <w:left w:val="nil"/>
              <w:bottom w:val="single" w:sz="4" w:space="0" w:color="auto"/>
              <w:right w:val="single" w:sz="4" w:space="0" w:color="auto"/>
            </w:tcBorders>
            <w:shd w:val="clear" w:color="auto" w:fill="auto"/>
            <w:noWrap/>
            <w:vAlign w:val="bottom"/>
            <w:hideMark/>
          </w:tcPr>
          <w:p w14:paraId="36AC1960" w14:textId="77777777" w:rsidR="00A24A61" w:rsidRPr="000B3157" w:rsidRDefault="00A24A61" w:rsidP="000807C0">
            <w:pPr>
              <w:spacing w:after="0" w:line="240" w:lineRule="auto"/>
              <w:jc w:val="center"/>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Premium Price Residual</w:t>
            </w:r>
          </w:p>
        </w:tc>
      </w:tr>
      <w:tr w:rsidR="00A24A61" w:rsidRPr="00B65C47" w14:paraId="34D0C218" w14:textId="77777777" w:rsidTr="000807C0">
        <w:trPr>
          <w:trHeight w:val="78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69F693B" w14:textId="77777777" w:rsidR="00B65C47" w:rsidRDefault="00B65C47" w:rsidP="000807C0">
            <w:pPr>
              <w:spacing w:after="0" w:line="240" w:lineRule="auto"/>
              <w:jc w:val="center"/>
              <w:rPr>
                <w:rFonts w:ascii="Arial" w:eastAsia="Times New Roman" w:hAnsi="Arial" w:cs="Arial"/>
                <w:sz w:val="16"/>
                <w:szCs w:val="16"/>
              </w:rPr>
            </w:pPr>
          </w:p>
          <w:p w14:paraId="2155ED7B" w14:textId="77777777" w:rsidR="00A24A61" w:rsidRPr="000B3157" w:rsidRDefault="00A24A61" w:rsidP="000B3157">
            <w:pPr>
              <w:spacing w:after="0" w:line="240" w:lineRule="auto"/>
              <w:rPr>
                <w:rFonts w:ascii="Arial" w:eastAsia="Times New Roman" w:hAnsi="Arial" w:cs="Arial"/>
                <w:sz w:val="16"/>
                <w:szCs w:val="16"/>
              </w:rPr>
            </w:pPr>
            <w:r w:rsidRPr="000B3157">
              <w:rPr>
                <w:rFonts w:ascii="Arial" w:eastAsia="Times New Roman" w:hAnsi="Arial" w:cs="Arial"/>
                <w:sz w:val="16"/>
                <w:szCs w:val="16"/>
              </w:rPr>
              <w:t>Region</w:t>
            </w:r>
          </w:p>
        </w:tc>
        <w:tc>
          <w:tcPr>
            <w:tcW w:w="900" w:type="dxa"/>
            <w:tcBorders>
              <w:top w:val="nil"/>
              <w:left w:val="nil"/>
              <w:bottom w:val="single" w:sz="4" w:space="0" w:color="auto"/>
              <w:right w:val="single" w:sz="4" w:space="0" w:color="auto"/>
            </w:tcBorders>
            <w:shd w:val="clear" w:color="auto" w:fill="auto"/>
            <w:vAlign w:val="bottom"/>
            <w:hideMark/>
          </w:tcPr>
          <w:p w14:paraId="78845E86" w14:textId="77777777" w:rsidR="00A24A61" w:rsidRPr="000B3157" w:rsidRDefault="00A24A61" w:rsidP="000807C0">
            <w:pPr>
              <w:spacing w:after="0" w:line="240" w:lineRule="auto"/>
              <w:jc w:val="center"/>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Mean Absolute Value</w:t>
            </w:r>
          </w:p>
        </w:tc>
        <w:tc>
          <w:tcPr>
            <w:tcW w:w="990" w:type="dxa"/>
            <w:tcBorders>
              <w:top w:val="nil"/>
              <w:left w:val="nil"/>
              <w:bottom w:val="single" w:sz="4" w:space="0" w:color="auto"/>
              <w:right w:val="single" w:sz="4" w:space="0" w:color="auto"/>
            </w:tcBorders>
            <w:shd w:val="clear" w:color="auto" w:fill="auto"/>
            <w:vAlign w:val="bottom"/>
            <w:hideMark/>
          </w:tcPr>
          <w:p w14:paraId="092B2887" w14:textId="77777777" w:rsidR="00A24A61" w:rsidRPr="000B3157" w:rsidRDefault="00A24A61" w:rsidP="000807C0">
            <w:pPr>
              <w:spacing w:after="0" w:line="240" w:lineRule="auto"/>
              <w:jc w:val="center"/>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Standard Deviation</w:t>
            </w:r>
          </w:p>
        </w:tc>
        <w:tc>
          <w:tcPr>
            <w:tcW w:w="990" w:type="dxa"/>
            <w:tcBorders>
              <w:top w:val="nil"/>
              <w:left w:val="nil"/>
              <w:bottom w:val="single" w:sz="4" w:space="0" w:color="auto"/>
              <w:right w:val="single" w:sz="4" w:space="0" w:color="auto"/>
            </w:tcBorders>
            <w:shd w:val="clear" w:color="auto" w:fill="auto"/>
            <w:vAlign w:val="bottom"/>
            <w:hideMark/>
          </w:tcPr>
          <w:p w14:paraId="57BE819B" w14:textId="77777777" w:rsidR="00A24A61" w:rsidRPr="000B3157" w:rsidRDefault="00A24A61" w:rsidP="000807C0">
            <w:pPr>
              <w:spacing w:after="0" w:line="240" w:lineRule="auto"/>
              <w:jc w:val="center"/>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Minimum</w:t>
            </w:r>
          </w:p>
        </w:tc>
        <w:tc>
          <w:tcPr>
            <w:tcW w:w="990" w:type="dxa"/>
            <w:tcBorders>
              <w:top w:val="nil"/>
              <w:left w:val="nil"/>
              <w:bottom w:val="single" w:sz="4" w:space="0" w:color="auto"/>
              <w:right w:val="single" w:sz="4" w:space="0" w:color="auto"/>
            </w:tcBorders>
            <w:shd w:val="clear" w:color="auto" w:fill="auto"/>
            <w:vAlign w:val="bottom"/>
            <w:hideMark/>
          </w:tcPr>
          <w:p w14:paraId="427F0AD9" w14:textId="77777777" w:rsidR="00A24A61" w:rsidRPr="000B3157" w:rsidRDefault="00A24A61" w:rsidP="000807C0">
            <w:pPr>
              <w:spacing w:after="0" w:line="240" w:lineRule="auto"/>
              <w:jc w:val="center"/>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Maximum</w:t>
            </w:r>
          </w:p>
        </w:tc>
        <w:tc>
          <w:tcPr>
            <w:tcW w:w="900" w:type="dxa"/>
            <w:tcBorders>
              <w:top w:val="nil"/>
              <w:left w:val="nil"/>
              <w:bottom w:val="single" w:sz="4" w:space="0" w:color="auto"/>
              <w:right w:val="single" w:sz="4" w:space="0" w:color="auto"/>
            </w:tcBorders>
            <w:shd w:val="clear" w:color="auto" w:fill="auto"/>
            <w:vAlign w:val="bottom"/>
            <w:hideMark/>
          </w:tcPr>
          <w:p w14:paraId="1ED0041F" w14:textId="77777777" w:rsidR="00A24A61" w:rsidRPr="000B3157" w:rsidRDefault="00A24A61" w:rsidP="000807C0">
            <w:pPr>
              <w:spacing w:after="0" w:line="240" w:lineRule="auto"/>
              <w:jc w:val="center"/>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Mean Absolute Value</w:t>
            </w:r>
          </w:p>
        </w:tc>
        <w:tc>
          <w:tcPr>
            <w:tcW w:w="990" w:type="dxa"/>
            <w:tcBorders>
              <w:top w:val="nil"/>
              <w:left w:val="nil"/>
              <w:bottom w:val="single" w:sz="4" w:space="0" w:color="auto"/>
              <w:right w:val="single" w:sz="4" w:space="0" w:color="auto"/>
            </w:tcBorders>
            <w:shd w:val="clear" w:color="auto" w:fill="auto"/>
            <w:vAlign w:val="bottom"/>
            <w:hideMark/>
          </w:tcPr>
          <w:p w14:paraId="2D3AD235" w14:textId="77777777" w:rsidR="00A24A61" w:rsidRPr="000B3157" w:rsidRDefault="00A24A61" w:rsidP="000807C0">
            <w:pPr>
              <w:spacing w:after="0" w:line="240" w:lineRule="auto"/>
              <w:jc w:val="center"/>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Standard Deviation</w:t>
            </w:r>
          </w:p>
        </w:tc>
        <w:tc>
          <w:tcPr>
            <w:tcW w:w="990" w:type="dxa"/>
            <w:tcBorders>
              <w:top w:val="nil"/>
              <w:left w:val="nil"/>
              <w:bottom w:val="single" w:sz="4" w:space="0" w:color="auto"/>
              <w:right w:val="single" w:sz="4" w:space="0" w:color="auto"/>
            </w:tcBorders>
            <w:shd w:val="clear" w:color="auto" w:fill="auto"/>
            <w:vAlign w:val="bottom"/>
            <w:hideMark/>
          </w:tcPr>
          <w:p w14:paraId="449F16E4" w14:textId="77777777" w:rsidR="00A24A61" w:rsidRPr="000B3157" w:rsidRDefault="00A24A61" w:rsidP="000807C0">
            <w:pPr>
              <w:spacing w:after="0" w:line="240" w:lineRule="auto"/>
              <w:jc w:val="center"/>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Minimum</w:t>
            </w:r>
          </w:p>
        </w:tc>
        <w:tc>
          <w:tcPr>
            <w:tcW w:w="990" w:type="dxa"/>
            <w:tcBorders>
              <w:top w:val="nil"/>
              <w:left w:val="nil"/>
              <w:bottom w:val="single" w:sz="4" w:space="0" w:color="auto"/>
              <w:right w:val="single" w:sz="4" w:space="0" w:color="auto"/>
            </w:tcBorders>
            <w:shd w:val="clear" w:color="auto" w:fill="auto"/>
            <w:vAlign w:val="bottom"/>
            <w:hideMark/>
          </w:tcPr>
          <w:p w14:paraId="263E084A" w14:textId="77777777" w:rsidR="00A24A61" w:rsidRPr="000B3157" w:rsidRDefault="00A24A61" w:rsidP="000807C0">
            <w:pPr>
              <w:spacing w:after="0" w:line="240" w:lineRule="auto"/>
              <w:jc w:val="center"/>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Maximum</w:t>
            </w:r>
          </w:p>
        </w:tc>
      </w:tr>
      <w:tr w:rsidR="00A24A61" w:rsidRPr="00B65C47" w14:paraId="3AAF183B"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7B2E9EF"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14:paraId="35C56026"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700661FA"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3FE99B4C"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7FF7869A"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14:paraId="55F3B389" w14:textId="77777777" w:rsidR="00A24A61" w:rsidRPr="000B3157" w:rsidRDefault="00A24A61" w:rsidP="000807C0">
            <w:pPr>
              <w:spacing w:after="0" w:line="240" w:lineRule="auto"/>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013B76B3" w14:textId="77777777" w:rsidR="00A24A61" w:rsidRPr="000B3157" w:rsidRDefault="00A24A61" w:rsidP="000807C0">
            <w:pPr>
              <w:spacing w:after="0" w:line="240" w:lineRule="auto"/>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61456207" w14:textId="77777777" w:rsidR="00A24A61" w:rsidRPr="000B3157" w:rsidRDefault="00A24A61" w:rsidP="000807C0">
            <w:pPr>
              <w:spacing w:after="0" w:line="240" w:lineRule="auto"/>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3DCE9ECE" w14:textId="77777777" w:rsidR="00A24A61" w:rsidRPr="000B3157" w:rsidRDefault="00A24A61" w:rsidP="000807C0">
            <w:pPr>
              <w:spacing w:after="0" w:line="240" w:lineRule="auto"/>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 </w:t>
            </w:r>
          </w:p>
        </w:tc>
      </w:tr>
      <w:tr w:rsidR="00A24A61" w:rsidRPr="00B65C47" w14:paraId="5536B093"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A416FA4"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CA</w:t>
            </w:r>
          </w:p>
        </w:tc>
        <w:tc>
          <w:tcPr>
            <w:tcW w:w="900" w:type="dxa"/>
            <w:tcBorders>
              <w:top w:val="nil"/>
              <w:left w:val="nil"/>
              <w:bottom w:val="single" w:sz="4" w:space="0" w:color="auto"/>
              <w:right w:val="single" w:sz="4" w:space="0" w:color="auto"/>
            </w:tcBorders>
            <w:shd w:val="clear" w:color="auto" w:fill="auto"/>
            <w:noWrap/>
            <w:vAlign w:val="bottom"/>
            <w:hideMark/>
          </w:tcPr>
          <w:p w14:paraId="6B64C91B"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0.013</w:t>
            </w:r>
          </w:p>
        </w:tc>
        <w:tc>
          <w:tcPr>
            <w:tcW w:w="990" w:type="dxa"/>
            <w:tcBorders>
              <w:top w:val="nil"/>
              <w:left w:val="nil"/>
              <w:bottom w:val="single" w:sz="4" w:space="0" w:color="auto"/>
              <w:right w:val="single" w:sz="4" w:space="0" w:color="auto"/>
            </w:tcBorders>
            <w:shd w:val="clear" w:color="auto" w:fill="auto"/>
            <w:noWrap/>
            <w:vAlign w:val="bottom"/>
            <w:hideMark/>
          </w:tcPr>
          <w:p w14:paraId="14840B8B"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0.021</w:t>
            </w:r>
          </w:p>
        </w:tc>
        <w:tc>
          <w:tcPr>
            <w:tcW w:w="990" w:type="dxa"/>
            <w:tcBorders>
              <w:top w:val="nil"/>
              <w:left w:val="nil"/>
              <w:bottom w:val="single" w:sz="4" w:space="0" w:color="auto"/>
              <w:right w:val="single" w:sz="4" w:space="0" w:color="auto"/>
            </w:tcBorders>
            <w:shd w:val="clear" w:color="auto" w:fill="auto"/>
            <w:noWrap/>
            <w:vAlign w:val="bottom"/>
            <w:hideMark/>
          </w:tcPr>
          <w:p w14:paraId="28BB9B5B"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-0.188</w:t>
            </w:r>
          </w:p>
        </w:tc>
        <w:tc>
          <w:tcPr>
            <w:tcW w:w="990" w:type="dxa"/>
            <w:tcBorders>
              <w:top w:val="nil"/>
              <w:left w:val="nil"/>
              <w:bottom w:val="single" w:sz="4" w:space="0" w:color="auto"/>
              <w:right w:val="single" w:sz="4" w:space="0" w:color="auto"/>
            </w:tcBorders>
            <w:shd w:val="clear" w:color="auto" w:fill="auto"/>
            <w:noWrap/>
            <w:vAlign w:val="bottom"/>
            <w:hideMark/>
          </w:tcPr>
          <w:p w14:paraId="4043ACF4"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0.063</w:t>
            </w:r>
          </w:p>
        </w:tc>
        <w:tc>
          <w:tcPr>
            <w:tcW w:w="900" w:type="dxa"/>
            <w:tcBorders>
              <w:top w:val="nil"/>
              <w:left w:val="nil"/>
              <w:bottom w:val="single" w:sz="4" w:space="0" w:color="auto"/>
              <w:right w:val="single" w:sz="4" w:space="0" w:color="auto"/>
            </w:tcBorders>
            <w:shd w:val="clear" w:color="auto" w:fill="auto"/>
            <w:noWrap/>
            <w:vAlign w:val="bottom"/>
            <w:hideMark/>
          </w:tcPr>
          <w:p w14:paraId="7F4EDDA2" w14:textId="77777777" w:rsidR="00A24A61" w:rsidRPr="000B3157" w:rsidRDefault="00A24A61" w:rsidP="000807C0">
            <w:pPr>
              <w:spacing w:after="0" w:line="240" w:lineRule="auto"/>
              <w:jc w:val="right"/>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0.014</w:t>
            </w:r>
          </w:p>
        </w:tc>
        <w:tc>
          <w:tcPr>
            <w:tcW w:w="990" w:type="dxa"/>
            <w:tcBorders>
              <w:top w:val="nil"/>
              <w:left w:val="nil"/>
              <w:bottom w:val="single" w:sz="4" w:space="0" w:color="auto"/>
              <w:right w:val="single" w:sz="4" w:space="0" w:color="auto"/>
            </w:tcBorders>
            <w:shd w:val="clear" w:color="auto" w:fill="auto"/>
            <w:noWrap/>
            <w:vAlign w:val="bottom"/>
            <w:hideMark/>
          </w:tcPr>
          <w:p w14:paraId="0F999D9F" w14:textId="77777777" w:rsidR="00A24A61" w:rsidRPr="000B3157" w:rsidRDefault="00A24A61" w:rsidP="000807C0">
            <w:pPr>
              <w:spacing w:after="0" w:line="240" w:lineRule="auto"/>
              <w:jc w:val="right"/>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0.021</w:t>
            </w:r>
          </w:p>
        </w:tc>
        <w:tc>
          <w:tcPr>
            <w:tcW w:w="990" w:type="dxa"/>
            <w:tcBorders>
              <w:top w:val="nil"/>
              <w:left w:val="nil"/>
              <w:bottom w:val="single" w:sz="4" w:space="0" w:color="auto"/>
              <w:right w:val="single" w:sz="4" w:space="0" w:color="auto"/>
            </w:tcBorders>
            <w:shd w:val="clear" w:color="auto" w:fill="auto"/>
            <w:noWrap/>
            <w:vAlign w:val="bottom"/>
            <w:hideMark/>
          </w:tcPr>
          <w:p w14:paraId="1340835A" w14:textId="77777777" w:rsidR="00A24A61" w:rsidRPr="000B3157" w:rsidRDefault="00A24A61" w:rsidP="000807C0">
            <w:pPr>
              <w:spacing w:after="0" w:line="240" w:lineRule="auto"/>
              <w:jc w:val="right"/>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-0.175</w:t>
            </w:r>
          </w:p>
        </w:tc>
        <w:tc>
          <w:tcPr>
            <w:tcW w:w="990" w:type="dxa"/>
            <w:tcBorders>
              <w:top w:val="nil"/>
              <w:left w:val="nil"/>
              <w:bottom w:val="single" w:sz="4" w:space="0" w:color="auto"/>
              <w:right w:val="single" w:sz="4" w:space="0" w:color="auto"/>
            </w:tcBorders>
            <w:shd w:val="clear" w:color="auto" w:fill="auto"/>
            <w:noWrap/>
            <w:vAlign w:val="bottom"/>
            <w:hideMark/>
          </w:tcPr>
          <w:p w14:paraId="2CFBDC14" w14:textId="77777777" w:rsidR="00A24A61" w:rsidRPr="000B3157" w:rsidRDefault="00A24A61" w:rsidP="000807C0">
            <w:pPr>
              <w:spacing w:after="0" w:line="240" w:lineRule="auto"/>
              <w:jc w:val="right"/>
              <w:rPr>
                <w:rFonts w:ascii="Arial" w:eastAsia="Times New Roman" w:hAnsi="Arial" w:cs="Arial"/>
                <w:color w:val="5D9732" w:themeColor="accent3"/>
                <w:sz w:val="16"/>
                <w:szCs w:val="16"/>
              </w:rPr>
            </w:pPr>
            <w:r w:rsidRPr="000B3157">
              <w:rPr>
                <w:rFonts w:ascii="Arial" w:eastAsia="Times New Roman" w:hAnsi="Arial" w:cs="Arial"/>
                <w:color w:val="5D9732" w:themeColor="accent3"/>
                <w:sz w:val="16"/>
                <w:szCs w:val="16"/>
              </w:rPr>
              <w:t>0.061</w:t>
            </w:r>
          </w:p>
        </w:tc>
      </w:tr>
      <w:tr w:rsidR="00A24A61" w:rsidRPr="00B65C47" w14:paraId="75ABC335"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E20D1EB"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CO</w:t>
            </w:r>
          </w:p>
        </w:tc>
        <w:tc>
          <w:tcPr>
            <w:tcW w:w="900" w:type="dxa"/>
            <w:tcBorders>
              <w:top w:val="nil"/>
              <w:left w:val="nil"/>
              <w:bottom w:val="single" w:sz="4" w:space="0" w:color="auto"/>
              <w:right w:val="single" w:sz="4" w:space="0" w:color="auto"/>
            </w:tcBorders>
            <w:shd w:val="clear" w:color="auto" w:fill="auto"/>
            <w:noWrap/>
            <w:vAlign w:val="bottom"/>
            <w:hideMark/>
          </w:tcPr>
          <w:p w14:paraId="3C21E80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990" w:type="dxa"/>
            <w:tcBorders>
              <w:top w:val="nil"/>
              <w:left w:val="nil"/>
              <w:bottom w:val="single" w:sz="4" w:space="0" w:color="auto"/>
              <w:right w:val="single" w:sz="4" w:space="0" w:color="auto"/>
            </w:tcBorders>
            <w:shd w:val="clear" w:color="auto" w:fill="auto"/>
            <w:noWrap/>
            <w:vAlign w:val="bottom"/>
            <w:hideMark/>
          </w:tcPr>
          <w:p w14:paraId="7BCF5591"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0.030</w:t>
            </w:r>
          </w:p>
        </w:tc>
        <w:tc>
          <w:tcPr>
            <w:tcW w:w="990" w:type="dxa"/>
            <w:tcBorders>
              <w:top w:val="nil"/>
              <w:left w:val="nil"/>
              <w:bottom w:val="single" w:sz="4" w:space="0" w:color="auto"/>
              <w:right w:val="single" w:sz="4" w:space="0" w:color="auto"/>
            </w:tcBorders>
            <w:shd w:val="clear" w:color="auto" w:fill="auto"/>
            <w:noWrap/>
            <w:vAlign w:val="bottom"/>
            <w:hideMark/>
          </w:tcPr>
          <w:p w14:paraId="5C1293A2"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-0.085</w:t>
            </w:r>
          </w:p>
        </w:tc>
        <w:tc>
          <w:tcPr>
            <w:tcW w:w="990" w:type="dxa"/>
            <w:tcBorders>
              <w:top w:val="nil"/>
              <w:left w:val="nil"/>
              <w:bottom w:val="single" w:sz="4" w:space="0" w:color="auto"/>
              <w:right w:val="single" w:sz="4" w:space="0" w:color="auto"/>
            </w:tcBorders>
            <w:shd w:val="clear" w:color="auto" w:fill="auto"/>
            <w:noWrap/>
            <w:vAlign w:val="bottom"/>
            <w:hideMark/>
          </w:tcPr>
          <w:p w14:paraId="4FB6A6B6"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0.054</w:t>
            </w:r>
          </w:p>
        </w:tc>
        <w:tc>
          <w:tcPr>
            <w:tcW w:w="900" w:type="dxa"/>
            <w:tcBorders>
              <w:top w:val="nil"/>
              <w:left w:val="nil"/>
              <w:bottom w:val="single" w:sz="4" w:space="0" w:color="auto"/>
              <w:right w:val="single" w:sz="4" w:space="0" w:color="auto"/>
            </w:tcBorders>
            <w:shd w:val="clear" w:color="auto" w:fill="auto"/>
            <w:noWrap/>
            <w:vAlign w:val="bottom"/>
            <w:hideMark/>
          </w:tcPr>
          <w:p w14:paraId="2D266D6F"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0.044</w:t>
            </w:r>
          </w:p>
        </w:tc>
        <w:tc>
          <w:tcPr>
            <w:tcW w:w="990" w:type="dxa"/>
            <w:tcBorders>
              <w:top w:val="nil"/>
              <w:left w:val="nil"/>
              <w:bottom w:val="single" w:sz="4" w:space="0" w:color="auto"/>
              <w:right w:val="single" w:sz="4" w:space="0" w:color="auto"/>
            </w:tcBorders>
            <w:shd w:val="clear" w:color="auto" w:fill="auto"/>
            <w:noWrap/>
            <w:vAlign w:val="bottom"/>
            <w:hideMark/>
          </w:tcPr>
          <w:p w14:paraId="36410295"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0.056</w:t>
            </w:r>
          </w:p>
        </w:tc>
        <w:tc>
          <w:tcPr>
            <w:tcW w:w="990" w:type="dxa"/>
            <w:tcBorders>
              <w:top w:val="nil"/>
              <w:left w:val="nil"/>
              <w:bottom w:val="single" w:sz="4" w:space="0" w:color="auto"/>
              <w:right w:val="single" w:sz="4" w:space="0" w:color="auto"/>
            </w:tcBorders>
            <w:shd w:val="clear" w:color="auto" w:fill="auto"/>
            <w:noWrap/>
            <w:vAlign w:val="bottom"/>
            <w:hideMark/>
          </w:tcPr>
          <w:p w14:paraId="770CDE00"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-0.143</w:t>
            </w:r>
          </w:p>
        </w:tc>
        <w:tc>
          <w:tcPr>
            <w:tcW w:w="990" w:type="dxa"/>
            <w:tcBorders>
              <w:top w:val="nil"/>
              <w:left w:val="nil"/>
              <w:bottom w:val="single" w:sz="4" w:space="0" w:color="auto"/>
              <w:right w:val="single" w:sz="4" w:space="0" w:color="auto"/>
            </w:tcBorders>
            <w:shd w:val="clear" w:color="auto" w:fill="auto"/>
            <w:noWrap/>
            <w:vAlign w:val="bottom"/>
            <w:hideMark/>
          </w:tcPr>
          <w:p w14:paraId="43AD97F7"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0.091</w:t>
            </w:r>
          </w:p>
        </w:tc>
      </w:tr>
      <w:tr w:rsidR="00A24A61" w:rsidRPr="00B65C47" w14:paraId="0DB37AA8"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96CB858"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FL</w:t>
            </w:r>
          </w:p>
        </w:tc>
        <w:tc>
          <w:tcPr>
            <w:tcW w:w="900" w:type="dxa"/>
            <w:tcBorders>
              <w:top w:val="nil"/>
              <w:left w:val="nil"/>
              <w:bottom w:val="single" w:sz="4" w:space="0" w:color="auto"/>
              <w:right w:val="single" w:sz="4" w:space="0" w:color="auto"/>
            </w:tcBorders>
            <w:shd w:val="clear" w:color="auto" w:fill="auto"/>
            <w:noWrap/>
            <w:vAlign w:val="bottom"/>
            <w:hideMark/>
          </w:tcPr>
          <w:p w14:paraId="3AE8FDFB"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0.021</w:t>
            </w:r>
          </w:p>
        </w:tc>
        <w:tc>
          <w:tcPr>
            <w:tcW w:w="990" w:type="dxa"/>
            <w:tcBorders>
              <w:top w:val="nil"/>
              <w:left w:val="nil"/>
              <w:bottom w:val="single" w:sz="4" w:space="0" w:color="auto"/>
              <w:right w:val="single" w:sz="4" w:space="0" w:color="auto"/>
            </w:tcBorders>
            <w:shd w:val="clear" w:color="auto" w:fill="auto"/>
            <w:noWrap/>
            <w:vAlign w:val="bottom"/>
            <w:hideMark/>
          </w:tcPr>
          <w:p w14:paraId="1764633F"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0.025</w:t>
            </w:r>
          </w:p>
        </w:tc>
        <w:tc>
          <w:tcPr>
            <w:tcW w:w="990" w:type="dxa"/>
            <w:tcBorders>
              <w:top w:val="nil"/>
              <w:left w:val="nil"/>
              <w:bottom w:val="single" w:sz="4" w:space="0" w:color="auto"/>
              <w:right w:val="single" w:sz="4" w:space="0" w:color="auto"/>
            </w:tcBorders>
            <w:shd w:val="clear" w:color="auto" w:fill="auto"/>
            <w:noWrap/>
            <w:vAlign w:val="bottom"/>
            <w:hideMark/>
          </w:tcPr>
          <w:p w14:paraId="0140324B"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-0.068</w:t>
            </w:r>
          </w:p>
        </w:tc>
        <w:tc>
          <w:tcPr>
            <w:tcW w:w="990" w:type="dxa"/>
            <w:tcBorders>
              <w:top w:val="nil"/>
              <w:left w:val="nil"/>
              <w:bottom w:val="single" w:sz="4" w:space="0" w:color="auto"/>
              <w:right w:val="single" w:sz="4" w:space="0" w:color="auto"/>
            </w:tcBorders>
            <w:shd w:val="clear" w:color="auto" w:fill="auto"/>
            <w:noWrap/>
            <w:vAlign w:val="bottom"/>
            <w:hideMark/>
          </w:tcPr>
          <w:p w14:paraId="16D628E3"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0.053</w:t>
            </w:r>
          </w:p>
        </w:tc>
        <w:tc>
          <w:tcPr>
            <w:tcW w:w="900" w:type="dxa"/>
            <w:tcBorders>
              <w:top w:val="nil"/>
              <w:left w:val="nil"/>
              <w:bottom w:val="single" w:sz="4" w:space="0" w:color="auto"/>
              <w:right w:val="single" w:sz="4" w:space="0" w:color="auto"/>
            </w:tcBorders>
            <w:shd w:val="clear" w:color="auto" w:fill="auto"/>
            <w:noWrap/>
            <w:vAlign w:val="bottom"/>
            <w:hideMark/>
          </w:tcPr>
          <w:p w14:paraId="30EB4470"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0.026</w:t>
            </w:r>
          </w:p>
        </w:tc>
        <w:tc>
          <w:tcPr>
            <w:tcW w:w="990" w:type="dxa"/>
            <w:tcBorders>
              <w:top w:val="nil"/>
              <w:left w:val="nil"/>
              <w:bottom w:val="single" w:sz="4" w:space="0" w:color="auto"/>
              <w:right w:val="single" w:sz="4" w:space="0" w:color="auto"/>
            </w:tcBorders>
            <w:shd w:val="clear" w:color="auto" w:fill="auto"/>
            <w:noWrap/>
            <w:vAlign w:val="bottom"/>
            <w:hideMark/>
          </w:tcPr>
          <w:p w14:paraId="4CAD55F7"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0.033</w:t>
            </w:r>
          </w:p>
        </w:tc>
        <w:tc>
          <w:tcPr>
            <w:tcW w:w="990" w:type="dxa"/>
            <w:tcBorders>
              <w:top w:val="nil"/>
              <w:left w:val="nil"/>
              <w:bottom w:val="single" w:sz="4" w:space="0" w:color="auto"/>
              <w:right w:val="single" w:sz="4" w:space="0" w:color="auto"/>
            </w:tcBorders>
            <w:shd w:val="clear" w:color="auto" w:fill="auto"/>
            <w:noWrap/>
            <w:vAlign w:val="bottom"/>
            <w:hideMark/>
          </w:tcPr>
          <w:p w14:paraId="30C7BBB0"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-0.098</w:t>
            </w:r>
          </w:p>
        </w:tc>
        <w:tc>
          <w:tcPr>
            <w:tcW w:w="990" w:type="dxa"/>
            <w:tcBorders>
              <w:top w:val="nil"/>
              <w:left w:val="nil"/>
              <w:bottom w:val="single" w:sz="4" w:space="0" w:color="auto"/>
              <w:right w:val="single" w:sz="4" w:space="0" w:color="auto"/>
            </w:tcBorders>
            <w:shd w:val="clear" w:color="auto" w:fill="auto"/>
            <w:noWrap/>
            <w:vAlign w:val="bottom"/>
            <w:hideMark/>
          </w:tcPr>
          <w:p w14:paraId="79780DB9"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0.061</w:t>
            </w:r>
          </w:p>
        </w:tc>
      </w:tr>
      <w:tr w:rsidR="00A24A61" w:rsidRPr="00B65C47" w14:paraId="4A1AEE0E"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97529AB"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MA</w:t>
            </w:r>
          </w:p>
        </w:tc>
        <w:tc>
          <w:tcPr>
            <w:tcW w:w="900" w:type="dxa"/>
            <w:tcBorders>
              <w:top w:val="nil"/>
              <w:left w:val="nil"/>
              <w:bottom w:val="single" w:sz="4" w:space="0" w:color="auto"/>
              <w:right w:val="single" w:sz="4" w:space="0" w:color="auto"/>
            </w:tcBorders>
            <w:shd w:val="clear" w:color="auto" w:fill="auto"/>
            <w:noWrap/>
            <w:vAlign w:val="bottom"/>
            <w:hideMark/>
          </w:tcPr>
          <w:p w14:paraId="5ECC462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90" w:type="dxa"/>
            <w:tcBorders>
              <w:top w:val="nil"/>
              <w:left w:val="nil"/>
              <w:bottom w:val="single" w:sz="4" w:space="0" w:color="auto"/>
              <w:right w:val="single" w:sz="4" w:space="0" w:color="auto"/>
            </w:tcBorders>
            <w:shd w:val="clear" w:color="auto" w:fill="auto"/>
            <w:noWrap/>
            <w:vAlign w:val="bottom"/>
            <w:hideMark/>
          </w:tcPr>
          <w:p w14:paraId="5DAC5FD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0.032</w:t>
            </w:r>
          </w:p>
        </w:tc>
        <w:tc>
          <w:tcPr>
            <w:tcW w:w="990" w:type="dxa"/>
            <w:tcBorders>
              <w:top w:val="nil"/>
              <w:left w:val="nil"/>
              <w:bottom w:val="single" w:sz="4" w:space="0" w:color="auto"/>
              <w:right w:val="single" w:sz="4" w:space="0" w:color="auto"/>
            </w:tcBorders>
            <w:shd w:val="clear" w:color="auto" w:fill="auto"/>
            <w:noWrap/>
            <w:vAlign w:val="bottom"/>
            <w:hideMark/>
          </w:tcPr>
          <w:p w14:paraId="38E5D037"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-0.065</w:t>
            </w:r>
          </w:p>
        </w:tc>
        <w:tc>
          <w:tcPr>
            <w:tcW w:w="990" w:type="dxa"/>
            <w:tcBorders>
              <w:top w:val="nil"/>
              <w:left w:val="nil"/>
              <w:bottom w:val="single" w:sz="4" w:space="0" w:color="auto"/>
              <w:right w:val="single" w:sz="4" w:space="0" w:color="auto"/>
            </w:tcBorders>
            <w:shd w:val="clear" w:color="auto" w:fill="auto"/>
            <w:noWrap/>
            <w:vAlign w:val="bottom"/>
            <w:hideMark/>
          </w:tcPr>
          <w:p w14:paraId="6371934A"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0.070</w:t>
            </w:r>
          </w:p>
        </w:tc>
        <w:tc>
          <w:tcPr>
            <w:tcW w:w="900" w:type="dxa"/>
            <w:tcBorders>
              <w:top w:val="nil"/>
              <w:left w:val="nil"/>
              <w:bottom w:val="single" w:sz="4" w:space="0" w:color="auto"/>
              <w:right w:val="single" w:sz="4" w:space="0" w:color="auto"/>
            </w:tcBorders>
            <w:shd w:val="clear" w:color="auto" w:fill="auto"/>
            <w:noWrap/>
            <w:vAlign w:val="bottom"/>
            <w:hideMark/>
          </w:tcPr>
          <w:p w14:paraId="172C5866"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0.028</w:t>
            </w:r>
          </w:p>
        </w:tc>
        <w:tc>
          <w:tcPr>
            <w:tcW w:w="990" w:type="dxa"/>
            <w:tcBorders>
              <w:top w:val="nil"/>
              <w:left w:val="nil"/>
              <w:bottom w:val="single" w:sz="4" w:space="0" w:color="auto"/>
              <w:right w:val="single" w:sz="4" w:space="0" w:color="auto"/>
            </w:tcBorders>
            <w:shd w:val="clear" w:color="auto" w:fill="auto"/>
            <w:noWrap/>
            <w:vAlign w:val="bottom"/>
            <w:hideMark/>
          </w:tcPr>
          <w:p w14:paraId="1B4804B8"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0.035</w:t>
            </w:r>
          </w:p>
        </w:tc>
        <w:tc>
          <w:tcPr>
            <w:tcW w:w="990" w:type="dxa"/>
            <w:tcBorders>
              <w:top w:val="nil"/>
              <w:left w:val="nil"/>
              <w:bottom w:val="single" w:sz="4" w:space="0" w:color="auto"/>
              <w:right w:val="single" w:sz="4" w:space="0" w:color="auto"/>
            </w:tcBorders>
            <w:shd w:val="clear" w:color="auto" w:fill="auto"/>
            <w:noWrap/>
            <w:vAlign w:val="bottom"/>
            <w:hideMark/>
          </w:tcPr>
          <w:p w14:paraId="34E9BB25"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-0.078</w:t>
            </w:r>
          </w:p>
        </w:tc>
        <w:tc>
          <w:tcPr>
            <w:tcW w:w="990" w:type="dxa"/>
            <w:tcBorders>
              <w:top w:val="nil"/>
              <w:left w:val="nil"/>
              <w:bottom w:val="single" w:sz="4" w:space="0" w:color="auto"/>
              <w:right w:val="single" w:sz="4" w:space="0" w:color="auto"/>
            </w:tcBorders>
            <w:shd w:val="clear" w:color="auto" w:fill="auto"/>
            <w:noWrap/>
            <w:vAlign w:val="bottom"/>
            <w:hideMark/>
          </w:tcPr>
          <w:p w14:paraId="05BD4C0B"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0.074</w:t>
            </w:r>
          </w:p>
        </w:tc>
      </w:tr>
      <w:tr w:rsidR="00A24A61" w:rsidRPr="00B65C47" w14:paraId="6EB068DB"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62B6170"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MN</w:t>
            </w:r>
          </w:p>
        </w:tc>
        <w:tc>
          <w:tcPr>
            <w:tcW w:w="900" w:type="dxa"/>
            <w:tcBorders>
              <w:top w:val="nil"/>
              <w:left w:val="nil"/>
              <w:bottom w:val="single" w:sz="4" w:space="0" w:color="auto"/>
              <w:right w:val="single" w:sz="4" w:space="0" w:color="auto"/>
            </w:tcBorders>
            <w:shd w:val="clear" w:color="auto" w:fill="auto"/>
            <w:noWrap/>
            <w:vAlign w:val="bottom"/>
            <w:hideMark/>
          </w:tcPr>
          <w:p w14:paraId="4945AAB4"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0.021</w:t>
            </w:r>
          </w:p>
        </w:tc>
        <w:tc>
          <w:tcPr>
            <w:tcW w:w="990" w:type="dxa"/>
            <w:tcBorders>
              <w:top w:val="nil"/>
              <w:left w:val="nil"/>
              <w:bottom w:val="single" w:sz="4" w:space="0" w:color="auto"/>
              <w:right w:val="single" w:sz="4" w:space="0" w:color="auto"/>
            </w:tcBorders>
            <w:shd w:val="clear" w:color="auto" w:fill="auto"/>
            <w:noWrap/>
            <w:vAlign w:val="bottom"/>
            <w:hideMark/>
          </w:tcPr>
          <w:p w14:paraId="10B28AE5"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0.028</w:t>
            </w:r>
          </w:p>
        </w:tc>
        <w:tc>
          <w:tcPr>
            <w:tcW w:w="990" w:type="dxa"/>
            <w:tcBorders>
              <w:top w:val="nil"/>
              <w:left w:val="nil"/>
              <w:bottom w:val="single" w:sz="4" w:space="0" w:color="auto"/>
              <w:right w:val="single" w:sz="4" w:space="0" w:color="auto"/>
            </w:tcBorders>
            <w:shd w:val="clear" w:color="auto" w:fill="auto"/>
            <w:noWrap/>
            <w:vAlign w:val="bottom"/>
            <w:hideMark/>
          </w:tcPr>
          <w:p w14:paraId="2C871BF4"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-0.082</w:t>
            </w:r>
          </w:p>
        </w:tc>
        <w:tc>
          <w:tcPr>
            <w:tcW w:w="990" w:type="dxa"/>
            <w:tcBorders>
              <w:top w:val="nil"/>
              <w:left w:val="nil"/>
              <w:bottom w:val="single" w:sz="4" w:space="0" w:color="auto"/>
              <w:right w:val="single" w:sz="4" w:space="0" w:color="auto"/>
            </w:tcBorders>
            <w:shd w:val="clear" w:color="auto" w:fill="auto"/>
            <w:noWrap/>
            <w:vAlign w:val="bottom"/>
            <w:hideMark/>
          </w:tcPr>
          <w:p w14:paraId="56483249"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0.102</w:t>
            </w:r>
          </w:p>
        </w:tc>
        <w:tc>
          <w:tcPr>
            <w:tcW w:w="900" w:type="dxa"/>
            <w:tcBorders>
              <w:top w:val="nil"/>
              <w:left w:val="nil"/>
              <w:bottom w:val="single" w:sz="4" w:space="0" w:color="auto"/>
              <w:right w:val="single" w:sz="4" w:space="0" w:color="auto"/>
            </w:tcBorders>
            <w:shd w:val="clear" w:color="auto" w:fill="auto"/>
            <w:noWrap/>
            <w:vAlign w:val="bottom"/>
            <w:hideMark/>
          </w:tcPr>
          <w:p w14:paraId="2ABE01C6"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0.036</w:t>
            </w:r>
          </w:p>
        </w:tc>
        <w:tc>
          <w:tcPr>
            <w:tcW w:w="990" w:type="dxa"/>
            <w:tcBorders>
              <w:top w:val="nil"/>
              <w:left w:val="nil"/>
              <w:bottom w:val="single" w:sz="4" w:space="0" w:color="auto"/>
              <w:right w:val="single" w:sz="4" w:space="0" w:color="auto"/>
            </w:tcBorders>
            <w:shd w:val="clear" w:color="auto" w:fill="auto"/>
            <w:noWrap/>
            <w:vAlign w:val="bottom"/>
            <w:hideMark/>
          </w:tcPr>
          <w:p w14:paraId="5656C7F1"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0.047</w:t>
            </w:r>
          </w:p>
        </w:tc>
        <w:tc>
          <w:tcPr>
            <w:tcW w:w="990" w:type="dxa"/>
            <w:tcBorders>
              <w:top w:val="nil"/>
              <w:left w:val="nil"/>
              <w:bottom w:val="single" w:sz="4" w:space="0" w:color="auto"/>
              <w:right w:val="single" w:sz="4" w:space="0" w:color="auto"/>
            </w:tcBorders>
            <w:shd w:val="clear" w:color="auto" w:fill="auto"/>
            <w:noWrap/>
            <w:vAlign w:val="bottom"/>
            <w:hideMark/>
          </w:tcPr>
          <w:p w14:paraId="5A415F89"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-0.130</w:t>
            </w:r>
          </w:p>
        </w:tc>
        <w:tc>
          <w:tcPr>
            <w:tcW w:w="990" w:type="dxa"/>
            <w:tcBorders>
              <w:top w:val="nil"/>
              <w:left w:val="nil"/>
              <w:bottom w:val="single" w:sz="4" w:space="0" w:color="auto"/>
              <w:right w:val="single" w:sz="4" w:space="0" w:color="auto"/>
            </w:tcBorders>
            <w:shd w:val="clear" w:color="auto" w:fill="auto"/>
            <w:noWrap/>
            <w:vAlign w:val="bottom"/>
            <w:hideMark/>
          </w:tcPr>
          <w:p w14:paraId="18FAF5B2"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0.165</w:t>
            </w:r>
          </w:p>
        </w:tc>
      </w:tr>
      <w:tr w:rsidR="00A24A61" w:rsidRPr="00B65C47" w14:paraId="151820EC"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0B3866F"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NY</w:t>
            </w:r>
          </w:p>
        </w:tc>
        <w:tc>
          <w:tcPr>
            <w:tcW w:w="900" w:type="dxa"/>
            <w:tcBorders>
              <w:top w:val="nil"/>
              <w:left w:val="nil"/>
              <w:bottom w:val="single" w:sz="4" w:space="0" w:color="auto"/>
              <w:right w:val="single" w:sz="4" w:space="0" w:color="auto"/>
            </w:tcBorders>
            <w:shd w:val="clear" w:color="auto" w:fill="auto"/>
            <w:noWrap/>
            <w:vAlign w:val="bottom"/>
            <w:hideMark/>
          </w:tcPr>
          <w:p w14:paraId="023900F5"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0.023</w:t>
            </w:r>
          </w:p>
        </w:tc>
        <w:tc>
          <w:tcPr>
            <w:tcW w:w="990" w:type="dxa"/>
            <w:tcBorders>
              <w:top w:val="nil"/>
              <w:left w:val="nil"/>
              <w:bottom w:val="single" w:sz="4" w:space="0" w:color="auto"/>
              <w:right w:val="single" w:sz="4" w:space="0" w:color="auto"/>
            </w:tcBorders>
            <w:shd w:val="clear" w:color="auto" w:fill="auto"/>
            <w:noWrap/>
            <w:vAlign w:val="bottom"/>
            <w:hideMark/>
          </w:tcPr>
          <w:p w14:paraId="5FE6660F"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0.029</w:t>
            </w:r>
          </w:p>
        </w:tc>
        <w:tc>
          <w:tcPr>
            <w:tcW w:w="990" w:type="dxa"/>
            <w:tcBorders>
              <w:top w:val="nil"/>
              <w:left w:val="nil"/>
              <w:bottom w:val="single" w:sz="4" w:space="0" w:color="auto"/>
              <w:right w:val="single" w:sz="4" w:space="0" w:color="auto"/>
            </w:tcBorders>
            <w:shd w:val="clear" w:color="auto" w:fill="auto"/>
            <w:noWrap/>
            <w:vAlign w:val="bottom"/>
            <w:hideMark/>
          </w:tcPr>
          <w:p w14:paraId="24E6357D"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-0.062</w:t>
            </w:r>
          </w:p>
        </w:tc>
        <w:tc>
          <w:tcPr>
            <w:tcW w:w="990" w:type="dxa"/>
            <w:tcBorders>
              <w:top w:val="nil"/>
              <w:left w:val="nil"/>
              <w:bottom w:val="single" w:sz="4" w:space="0" w:color="auto"/>
              <w:right w:val="single" w:sz="4" w:space="0" w:color="auto"/>
            </w:tcBorders>
            <w:shd w:val="clear" w:color="auto" w:fill="auto"/>
            <w:noWrap/>
            <w:vAlign w:val="bottom"/>
            <w:hideMark/>
          </w:tcPr>
          <w:p w14:paraId="2E9EB415"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0.079</w:t>
            </w:r>
          </w:p>
        </w:tc>
        <w:tc>
          <w:tcPr>
            <w:tcW w:w="900" w:type="dxa"/>
            <w:tcBorders>
              <w:top w:val="nil"/>
              <w:left w:val="nil"/>
              <w:bottom w:val="single" w:sz="4" w:space="0" w:color="auto"/>
              <w:right w:val="single" w:sz="4" w:space="0" w:color="auto"/>
            </w:tcBorders>
            <w:shd w:val="clear" w:color="auto" w:fill="auto"/>
            <w:noWrap/>
            <w:vAlign w:val="bottom"/>
            <w:hideMark/>
          </w:tcPr>
          <w:p w14:paraId="196F61E6"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0.025</w:t>
            </w:r>
          </w:p>
        </w:tc>
        <w:tc>
          <w:tcPr>
            <w:tcW w:w="990" w:type="dxa"/>
            <w:tcBorders>
              <w:top w:val="nil"/>
              <w:left w:val="nil"/>
              <w:bottom w:val="single" w:sz="4" w:space="0" w:color="auto"/>
              <w:right w:val="single" w:sz="4" w:space="0" w:color="auto"/>
            </w:tcBorders>
            <w:shd w:val="clear" w:color="auto" w:fill="auto"/>
            <w:noWrap/>
            <w:vAlign w:val="bottom"/>
            <w:hideMark/>
          </w:tcPr>
          <w:p w14:paraId="610B66FB"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0.033</w:t>
            </w:r>
          </w:p>
        </w:tc>
        <w:tc>
          <w:tcPr>
            <w:tcW w:w="990" w:type="dxa"/>
            <w:tcBorders>
              <w:top w:val="nil"/>
              <w:left w:val="nil"/>
              <w:bottom w:val="single" w:sz="4" w:space="0" w:color="auto"/>
              <w:right w:val="single" w:sz="4" w:space="0" w:color="auto"/>
            </w:tcBorders>
            <w:shd w:val="clear" w:color="auto" w:fill="auto"/>
            <w:noWrap/>
            <w:vAlign w:val="bottom"/>
            <w:hideMark/>
          </w:tcPr>
          <w:p w14:paraId="0D7A8E64"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-0.077</w:t>
            </w:r>
          </w:p>
        </w:tc>
        <w:tc>
          <w:tcPr>
            <w:tcW w:w="990" w:type="dxa"/>
            <w:tcBorders>
              <w:top w:val="nil"/>
              <w:left w:val="nil"/>
              <w:bottom w:val="single" w:sz="4" w:space="0" w:color="auto"/>
              <w:right w:val="single" w:sz="4" w:space="0" w:color="auto"/>
            </w:tcBorders>
            <w:shd w:val="clear" w:color="auto" w:fill="auto"/>
            <w:noWrap/>
            <w:vAlign w:val="bottom"/>
            <w:hideMark/>
          </w:tcPr>
          <w:p w14:paraId="31B558B0"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0.095</w:t>
            </w:r>
          </w:p>
        </w:tc>
      </w:tr>
      <w:tr w:rsidR="00A24A61" w:rsidRPr="00B65C47" w14:paraId="55D66013"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9B3AE10"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OH</w:t>
            </w:r>
          </w:p>
        </w:tc>
        <w:tc>
          <w:tcPr>
            <w:tcW w:w="900" w:type="dxa"/>
            <w:tcBorders>
              <w:top w:val="nil"/>
              <w:left w:val="nil"/>
              <w:bottom w:val="single" w:sz="4" w:space="0" w:color="auto"/>
              <w:right w:val="single" w:sz="4" w:space="0" w:color="auto"/>
            </w:tcBorders>
            <w:shd w:val="clear" w:color="auto" w:fill="auto"/>
            <w:noWrap/>
            <w:vAlign w:val="bottom"/>
            <w:hideMark/>
          </w:tcPr>
          <w:p w14:paraId="5D297BB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0.029</w:t>
            </w:r>
          </w:p>
        </w:tc>
        <w:tc>
          <w:tcPr>
            <w:tcW w:w="990" w:type="dxa"/>
            <w:tcBorders>
              <w:top w:val="nil"/>
              <w:left w:val="nil"/>
              <w:bottom w:val="single" w:sz="4" w:space="0" w:color="auto"/>
              <w:right w:val="single" w:sz="4" w:space="0" w:color="auto"/>
            </w:tcBorders>
            <w:shd w:val="clear" w:color="auto" w:fill="auto"/>
            <w:noWrap/>
            <w:vAlign w:val="bottom"/>
            <w:hideMark/>
          </w:tcPr>
          <w:p w14:paraId="1B7C2EDE"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0.037</w:t>
            </w:r>
          </w:p>
        </w:tc>
        <w:tc>
          <w:tcPr>
            <w:tcW w:w="990" w:type="dxa"/>
            <w:tcBorders>
              <w:top w:val="nil"/>
              <w:left w:val="nil"/>
              <w:bottom w:val="single" w:sz="4" w:space="0" w:color="auto"/>
              <w:right w:val="single" w:sz="4" w:space="0" w:color="auto"/>
            </w:tcBorders>
            <w:shd w:val="clear" w:color="auto" w:fill="auto"/>
            <w:noWrap/>
            <w:vAlign w:val="bottom"/>
            <w:hideMark/>
          </w:tcPr>
          <w:p w14:paraId="061EB924"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-0.105</w:t>
            </w:r>
          </w:p>
        </w:tc>
        <w:tc>
          <w:tcPr>
            <w:tcW w:w="990" w:type="dxa"/>
            <w:tcBorders>
              <w:top w:val="nil"/>
              <w:left w:val="nil"/>
              <w:bottom w:val="single" w:sz="4" w:space="0" w:color="auto"/>
              <w:right w:val="single" w:sz="4" w:space="0" w:color="auto"/>
            </w:tcBorders>
            <w:shd w:val="clear" w:color="auto" w:fill="auto"/>
            <w:noWrap/>
            <w:vAlign w:val="bottom"/>
            <w:hideMark/>
          </w:tcPr>
          <w:p w14:paraId="63B16049"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0.093</w:t>
            </w:r>
          </w:p>
        </w:tc>
        <w:tc>
          <w:tcPr>
            <w:tcW w:w="900" w:type="dxa"/>
            <w:tcBorders>
              <w:top w:val="nil"/>
              <w:left w:val="nil"/>
              <w:bottom w:val="single" w:sz="4" w:space="0" w:color="auto"/>
              <w:right w:val="single" w:sz="4" w:space="0" w:color="auto"/>
            </w:tcBorders>
            <w:shd w:val="clear" w:color="auto" w:fill="auto"/>
            <w:noWrap/>
            <w:vAlign w:val="bottom"/>
            <w:hideMark/>
          </w:tcPr>
          <w:p w14:paraId="26C7B1EE"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0.048</w:t>
            </w:r>
          </w:p>
        </w:tc>
        <w:tc>
          <w:tcPr>
            <w:tcW w:w="990" w:type="dxa"/>
            <w:tcBorders>
              <w:top w:val="nil"/>
              <w:left w:val="nil"/>
              <w:bottom w:val="single" w:sz="4" w:space="0" w:color="auto"/>
              <w:right w:val="single" w:sz="4" w:space="0" w:color="auto"/>
            </w:tcBorders>
            <w:shd w:val="clear" w:color="auto" w:fill="auto"/>
            <w:noWrap/>
            <w:vAlign w:val="bottom"/>
            <w:hideMark/>
          </w:tcPr>
          <w:p w14:paraId="5601B008"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0.063</w:t>
            </w:r>
          </w:p>
        </w:tc>
        <w:tc>
          <w:tcPr>
            <w:tcW w:w="990" w:type="dxa"/>
            <w:tcBorders>
              <w:top w:val="nil"/>
              <w:left w:val="nil"/>
              <w:bottom w:val="single" w:sz="4" w:space="0" w:color="auto"/>
              <w:right w:val="single" w:sz="4" w:space="0" w:color="auto"/>
            </w:tcBorders>
            <w:shd w:val="clear" w:color="auto" w:fill="auto"/>
            <w:noWrap/>
            <w:vAlign w:val="bottom"/>
            <w:hideMark/>
          </w:tcPr>
          <w:p w14:paraId="19CB0211"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-0.192</w:t>
            </w:r>
          </w:p>
        </w:tc>
        <w:tc>
          <w:tcPr>
            <w:tcW w:w="990" w:type="dxa"/>
            <w:tcBorders>
              <w:top w:val="nil"/>
              <w:left w:val="nil"/>
              <w:bottom w:val="single" w:sz="4" w:space="0" w:color="auto"/>
              <w:right w:val="single" w:sz="4" w:space="0" w:color="auto"/>
            </w:tcBorders>
            <w:shd w:val="clear" w:color="auto" w:fill="auto"/>
            <w:noWrap/>
            <w:vAlign w:val="bottom"/>
            <w:hideMark/>
          </w:tcPr>
          <w:p w14:paraId="1C1B13E1"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0.145</w:t>
            </w:r>
          </w:p>
        </w:tc>
      </w:tr>
      <w:tr w:rsidR="00A24A61" w:rsidRPr="00B65C47" w14:paraId="77588A87"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C30A1BB"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TX</w:t>
            </w:r>
          </w:p>
        </w:tc>
        <w:tc>
          <w:tcPr>
            <w:tcW w:w="900" w:type="dxa"/>
            <w:tcBorders>
              <w:top w:val="nil"/>
              <w:left w:val="nil"/>
              <w:bottom w:val="single" w:sz="4" w:space="0" w:color="auto"/>
              <w:right w:val="single" w:sz="4" w:space="0" w:color="auto"/>
            </w:tcBorders>
            <w:shd w:val="clear" w:color="auto" w:fill="auto"/>
            <w:noWrap/>
            <w:vAlign w:val="bottom"/>
            <w:hideMark/>
          </w:tcPr>
          <w:p w14:paraId="10B93AD5"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0.015</w:t>
            </w:r>
          </w:p>
        </w:tc>
        <w:tc>
          <w:tcPr>
            <w:tcW w:w="990" w:type="dxa"/>
            <w:tcBorders>
              <w:top w:val="nil"/>
              <w:left w:val="nil"/>
              <w:bottom w:val="single" w:sz="4" w:space="0" w:color="auto"/>
              <w:right w:val="single" w:sz="4" w:space="0" w:color="auto"/>
            </w:tcBorders>
            <w:shd w:val="clear" w:color="auto" w:fill="auto"/>
            <w:noWrap/>
            <w:vAlign w:val="bottom"/>
            <w:hideMark/>
          </w:tcPr>
          <w:p w14:paraId="2D12C430"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0.019</w:t>
            </w:r>
          </w:p>
        </w:tc>
        <w:tc>
          <w:tcPr>
            <w:tcW w:w="990" w:type="dxa"/>
            <w:tcBorders>
              <w:top w:val="nil"/>
              <w:left w:val="nil"/>
              <w:bottom w:val="single" w:sz="4" w:space="0" w:color="auto"/>
              <w:right w:val="single" w:sz="4" w:space="0" w:color="auto"/>
            </w:tcBorders>
            <w:shd w:val="clear" w:color="auto" w:fill="auto"/>
            <w:noWrap/>
            <w:vAlign w:val="bottom"/>
            <w:hideMark/>
          </w:tcPr>
          <w:p w14:paraId="43FD31DD"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-0.043</w:t>
            </w:r>
          </w:p>
        </w:tc>
        <w:tc>
          <w:tcPr>
            <w:tcW w:w="990" w:type="dxa"/>
            <w:tcBorders>
              <w:top w:val="nil"/>
              <w:left w:val="nil"/>
              <w:bottom w:val="single" w:sz="4" w:space="0" w:color="auto"/>
              <w:right w:val="single" w:sz="4" w:space="0" w:color="auto"/>
            </w:tcBorders>
            <w:shd w:val="clear" w:color="auto" w:fill="auto"/>
            <w:noWrap/>
            <w:vAlign w:val="bottom"/>
            <w:hideMark/>
          </w:tcPr>
          <w:p w14:paraId="636ECF9D"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0.056</w:t>
            </w:r>
          </w:p>
        </w:tc>
        <w:tc>
          <w:tcPr>
            <w:tcW w:w="900" w:type="dxa"/>
            <w:tcBorders>
              <w:top w:val="nil"/>
              <w:left w:val="nil"/>
              <w:bottom w:val="single" w:sz="4" w:space="0" w:color="auto"/>
              <w:right w:val="single" w:sz="4" w:space="0" w:color="auto"/>
            </w:tcBorders>
            <w:shd w:val="clear" w:color="auto" w:fill="auto"/>
            <w:noWrap/>
            <w:vAlign w:val="bottom"/>
            <w:hideMark/>
          </w:tcPr>
          <w:p w14:paraId="2D1F9C31"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0.021</w:t>
            </w:r>
          </w:p>
        </w:tc>
        <w:tc>
          <w:tcPr>
            <w:tcW w:w="990" w:type="dxa"/>
            <w:tcBorders>
              <w:top w:val="nil"/>
              <w:left w:val="nil"/>
              <w:bottom w:val="single" w:sz="4" w:space="0" w:color="auto"/>
              <w:right w:val="single" w:sz="4" w:space="0" w:color="auto"/>
            </w:tcBorders>
            <w:shd w:val="clear" w:color="auto" w:fill="auto"/>
            <w:noWrap/>
            <w:vAlign w:val="bottom"/>
            <w:hideMark/>
          </w:tcPr>
          <w:p w14:paraId="30B7DBB1"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0.026</w:t>
            </w:r>
          </w:p>
        </w:tc>
        <w:tc>
          <w:tcPr>
            <w:tcW w:w="990" w:type="dxa"/>
            <w:tcBorders>
              <w:top w:val="nil"/>
              <w:left w:val="nil"/>
              <w:bottom w:val="single" w:sz="4" w:space="0" w:color="auto"/>
              <w:right w:val="single" w:sz="4" w:space="0" w:color="auto"/>
            </w:tcBorders>
            <w:shd w:val="clear" w:color="auto" w:fill="auto"/>
            <w:noWrap/>
            <w:vAlign w:val="bottom"/>
            <w:hideMark/>
          </w:tcPr>
          <w:p w14:paraId="1873F19D"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-0.067</w:t>
            </w:r>
          </w:p>
        </w:tc>
        <w:tc>
          <w:tcPr>
            <w:tcW w:w="990" w:type="dxa"/>
            <w:tcBorders>
              <w:top w:val="nil"/>
              <w:left w:val="nil"/>
              <w:bottom w:val="single" w:sz="4" w:space="0" w:color="auto"/>
              <w:right w:val="single" w:sz="4" w:space="0" w:color="auto"/>
            </w:tcBorders>
            <w:shd w:val="clear" w:color="auto" w:fill="auto"/>
            <w:noWrap/>
            <w:vAlign w:val="bottom"/>
            <w:hideMark/>
          </w:tcPr>
          <w:p w14:paraId="3308E57C"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0.059</w:t>
            </w:r>
          </w:p>
        </w:tc>
      </w:tr>
      <w:tr w:rsidR="00A24A61" w:rsidRPr="00B65C47" w14:paraId="24FDECBB"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AC75DFF"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WA</w:t>
            </w:r>
          </w:p>
        </w:tc>
        <w:tc>
          <w:tcPr>
            <w:tcW w:w="900" w:type="dxa"/>
            <w:tcBorders>
              <w:top w:val="nil"/>
              <w:left w:val="nil"/>
              <w:bottom w:val="single" w:sz="4" w:space="0" w:color="auto"/>
              <w:right w:val="single" w:sz="4" w:space="0" w:color="auto"/>
            </w:tcBorders>
            <w:shd w:val="clear" w:color="auto" w:fill="auto"/>
            <w:noWrap/>
            <w:vAlign w:val="bottom"/>
            <w:hideMark/>
          </w:tcPr>
          <w:p w14:paraId="6D6DCA56"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0.019</w:t>
            </w:r>
          </w:p>
        </w:tc>
        <w:tc>
          <w:tcPr>
            <w:tcW w:w="990" w:type="dxa"/>
            <w:tcBorders>
              <w:top w:val="nil"/>
              <w:left w:val="nil"/>
              <w:bottom w:val="single" w:sz="4" w:space="0" w:color="auto"/>
              <w:right w:val="single" w:sz="4" w:space="0" w:color="auto"/>
            </w:tcBorders>
            <w:shd w:val="clear" w:color="auto" w:fill="auto"/>
            <w:noWrap/>
            <w:vAlign w:val="bottom"/>
            <w:hideMark/>
          </w:tcPr>
          <w:p w14:paraId="27F8491E"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0.024</w:t>
            </w:r>
          </w:p>
        </w:tc>
        <w:tc>
          <w:tcPr>
            <w:tcW w:w="990" w:type="dxa"/>
            <w:tcBorders>
              <w:top w:val="nil"/>
              <w:left w:val="nil"/>
              <w:bottom w:val="single" w:sz="4" w:space="0" w:color="auto"/>
              <w:right w:val="single" w:sz="4" w:space="0" w:color="auto"/>
            </w:tcBorders>
            <w:shd w:val="clear" w:color="auto" w:fill="auto"/>
            <w:noWrap/>
            <w:vAlign w:val="bottom"/>
            <w:hideMark/>
          </w:tcPr>
          <w:p w14:paraId="7B19D1BF"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-0.077</w:t>
            </w:r>
          </w:p>
        </w:tc>
        <w:tc>
          <w:tcPr>
            <w:tcW w:w="990" w:type="dxa"/>
            <w:tcBorders>
              <w:top w:val="nil"/>
              <w:left w:val="nil"/>
              <w:bottom w:val="single" w:sz="4" w:space="0" w:color="auto"/>
              <w:right w:val="single" w:sz="4" w:space="0" w:color="auto"/>
            </w:tcBorders>
            <w:shd w:val="clear" w:color="auto" w:fill="auto"/>
            <w:noWrap/>
            <w:vAlign w:val="bottom"/>
            <w:hideMark/>
          </w:tcPr>
          <w:p w14:paraId="28908207" w14:textId="77777777" w:rsidR="00A24A61" w:rsidRPr="000B3157" w:rsidRDefault="00A24A61" w:rsidP="000807C0">
            <w:pPr>
              <w:spacing w:after="0" w:line="240" w:lineRule="auto"/>
              <w:jc w:val="right"/>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0.073</w:t>
            </w:r>
          </w:p>
        </w:tc>
        <w:tc>
          <w:tcPr>
            <w:tcW w:w="900" w:type="dxa"/>
            <w:tcBorders>
              <w:top w:val="nil"/>
              <w:left w:val="nil"/>
              <w:bottom w:val="single" w:sz="4" w:space="0" w:color="auto"/>
              <w:right w:val="single" w:sz="4" w:space="0" w:color="auto"/>
            </w:tcBorders>
            <w:shd w:val="clear" w:color="auto" w:fill="auto"/>
            <w:noWrap/>
            <w:vAlign w:val="bottom"/>
            <w:hideMark/>
          </w:tcPr>
          <w:p w14:paraId="4AD900E9"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0.022</w:t>
            </w:r>
          </w:p>
        </w:tc>
        <w:tc>
          <w:tcPr>
            <w:tcW w:w="990" w:type="dxa"/>
            <w:tcBorders>
              <w:top w:val="nil"/>
              <w:left w:val="nil"/>
              <w:bottom w:val="single" w:sz="4" w:space="0" w:color="auto"/>
              <w:right w:val="single" w:sz="4" w:space="0" w:color="auto"/>
            </w:tcBorders>
            <w:shd w:val="clear" w:color="auto" w:fill="auto"/>
            <w:noWrap/>
            <w:vAlign w:val="bottom"/>
            <w:hideMark/>
          </w:tcPr>
          <w:p w14:paraId="0204D798"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0.027</w:t>
            </w:r>
          </w:p>
        </w:tc>
        <w:tc>
          <w:tcPr>
            <w:tcW w:w="990" w:type="dxa"/>
            <w:tcBorders>
              <w:top w:val="nil"/>
              <w:left w:val="nil"/>
              <w:bottom w:val="single" w:sz="4" w:space="0" w:color="auto"/>
              <w:right w:val="single" w:sz="4" w:space="0" w:color="auto"/>
            </w:tcBorders>
            <w:shd w:val="clear" w:color="auto" w:fill="auto"/>
            <w:noWrap/>
            <w:vAlign w:val="bottom"/>
            <w:hideMark/>
          </w:tcPr>
          <w:p w14:paraId="0ECF99BE"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-0.087</w:t>
            </w:r>
          </w:p>
        </w:tc>
        <w:tc>
          <w:tcPr>
            <w:tcW w:w="990" w:type="dxa"/>
            <w:tcBorders>
              <w:top w:val="nil"/>
              <w:left w:val="nil"/>
              <w:bottom w:val="single" w:sz="4" w:space="0" w:color="auto"/>
              <w:right w:val="single" w:sz="4" w:space="0" w:color="auto"/>
            </w:tcBorders>
            <w:shd w:val="clear" w:color="auto" w:fill="auto"/>
            <w:noWrap/>
            <w:vAlign w:val="bottom"/>
            <w:hideMark/>
          </w:tcPr>
          <w:p w14:paraId="4D49D85B"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0.073</w:t>
            </w:r>
          </w:p>
        </w:tc>
      </w:tr>
      <w:tr w:rsidR="00A24A61" w:rsidRPr="00B65C47" w14:paraId="39F62981"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C6F9B53"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14:paraId="20A68D61"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308A8DFE"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4E761540"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231A1922" w14:textId="77777777" w:rsidR="00A24A61" w:rsidRPr="000B3157" w:rsidRDefault="00A24A61" w:rsidP="000807C0">
            <w:pPr>
              <w:spacing w:after="0" w:line="240" w:lineRule="auto"/>
              <w:rPr>
                <w:rFonts w:ascii="Arial" w:eastAsia="Times New Roman" w:hAnsi="Arial" w:cs="Arial"/>
                <w:color w:val="0096D7" w:themeColor="accent1"/>
                <w:sz w:val="16"/>
                <w:szCs w:val="16"/>
              </w:rPr>
            </w:pPr>
            <w:r w:rsidRPr="000B3157">
              <w:rPr>
                <w:rFonts w:ascii="Arial" w:eastAsia="Times New Roman" w:hAnsi="Arial" w:cs="Arial"/>
                <w:color w:val="0096D7" w:themeColor="accent1"/>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14:paraId="3B4301DF" w14:textId="77777777" w:rsidR="00A24A61" w:rsidRPr="000B3157" w:rsidRDefault="00A24A61" w:rsidP="000807C0">
            <w:pPr>
              <w:spacing w:after="0" w:line="240" w:lineRule="auto"/>
              <w:rPr>
                <w:rFonts w:ascii="Arial" w:eastAsia="Times New Roman" w:hAnsi="Arial" w:cs="Arial"/>
                <w:color w:val="FF0000"/>
                <w:sz w:val="16"/>
                <w:szCs w:val="16"/>
              </w:rPr>
            </w:pPr>
            <w:r w:rsidRPr="000B3157">
              <w:rPr>
                <w:rFonts w:ascii="Arial" w:eastAsia="Times New Roman" w:hAnsi="Arial" w:cs="Arial"/>
                <w:color w:val="FF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14AB9DA8" w14:textId="77777777" w:rsidR="00A24A61" w:rsidRPr="000B3157" w:rsidRDefault="00A24A61" w:rsidP="000807C0">
            <w:pPr>
              <w:spacing w:after="0" w:line="240" w:lineRule="auto"/>
              <w:rPr>
                <w:rFonts w:ascii="Arial" w:eastAsia="Times New Roman" w:hAnsi="Arial" w:cs="Arial"/>
                <w:color w:val="FF0000"/>
                <w:sz w:val="16"/>
                <w:szCs w:val="16"/>
              </w:rPr>
            </w:pPr>
            <w:r w:rsidRPr="000B3157">
              <w:rPr>
                <w:rFonts w:ascii="Arial" w:eastAsia="Times New Roman" w:hAnsi="Arial" w:cs="Arial"/>
                <w:color w:val="FF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16CC011D" w14:textId="77777777" w:rsidR="00A24A61" w:rsidRPr="000B3157" w:rsidRDefault="00A24A61" w:rsidP="000807C0">
            <w:pPr>
              <w:spacing w:after="0" w:line="240" w:lineRule="auto"/>
              <w:rPr>
                <w:rFonts w:ascii="Arial" w:eastAsia="Times New Roman" w:hAnsi="Arial" w:cs="Arial"/>
                <w:color w:val="FF0000"/>
                <w:sz w:val="16"/>
                <w:szCs w:val="16"/>
              </w:rPr>
            </w:pPr>
            <w:r w:rsidRPr="000B3157">
              <w:rPr>
                <w:rFonts w:ascii="Arial" w:eastAsia="Times New Roman" w:hAnsi="Arial" w:cs="Arial"/>
                <w:color w:val="FF0000"/>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14:paraId="2B53692A" w14:textId="77777777" w:rsidR="00A24A61" w:rsidRPr="000B3157" w:rsidRDefault="00A24A61" w:rsidP="000807C0">
            <w:pPr>
              <w:spacing w:after="0" w:line="240" w:lineRule="auto"/>
              <w:rPr>
                <w:rFonts w:ascii="Arial" w:eastAsia="Times New Roman" w:hAnsi="Arial" w:cs="Arial"/>
                <w:color w:val="FF0000"/>
                <w:sz w:val="16"/>
                <w:szCs w:val="16"/>
              </w:rPr>
            </w:pPr>
            <w:r w:rsidRPr="000B3157">
              <w:rPr>
                <w:rFonts w:ascii="Arial" w:eastAsia="Times New Roman" w:hAnsi="Arial" w:cs="Arial"/>
                <w:color w:val="FF0000"/>
                <w:sz w:val="16"/>
                <w:szCs w:val="16"/>
              </w:rPr>
              <w:t> </w:t>
            </w:r>
          </w:p>
        </w:tc>
      </w:tr>
      <w:tr w:rsidR="00A24A61" w:rsidRPr="00B65C47" w14:paraId="333603CB"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3A30B03"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Boston</w:t>
            </w:r>
          </w:p>
        </w:tc>
        <w:tc>
          <w:tcPr>
            <w:tcW w:w="900" w:type="dxa"/>
            <w:tcBorders>
              <w:top w:val="nil"/>
              <w:left w:val="nil"/>
              <w:bottom w:val="single" w:sz="4" w:space="0" w:color="auto"/>
              <w:right w:val="single" w:sz="4" w:space="0" w:color="auto"/>
            </w:tcBorders>
            <w:shd w:val="clear" w:color="auto" w:fill="auto"/>
            <w:noWrap/>
            <w:vAlign w:val="bottom"/>
            <w:hideMark/>
          </w:tcPr>
          <w:p w14:paraId="10EA4111"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0.027</w:t>
            </w:r>
          </w:p>
        </w:tc>
        <w:tc>
          <w:tcPr>
            <w:tcW w:w="990" w:type="dxa"/>
            <w:tcBorders>
              <w:top w:val="nil"/>
              <w:left w:val="nil"/>
              <w:bottom w:val="single" w:sz="4" w:space="0" w:color="auto"/>
              <w:right w:val="single" w:sz="4" w:space="0" w:color="auto"/>
            </w:tcBorders>
            <w:shd w:val="clear" w:color="auto" w:fill="auto"/>
            <w:noWrap/>
            <w:vAlign w:val="bottom"/>
            <w:hideMark/>
          </w:tcPr>
          <w:p w14:paraId="05CEEDE4"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0.033</w:t>
            </w:r>
          </w:p>
        </w:tc>
        <w:tc>
          <w:tcPr>
            <w:tcW w:w="990" w:type="dxa"/>
            <w:tcBorders>
              <w:top w:val="nil"/>
              <w:left w:val="nil"/>
              <w:bottom w:val="single" w:sz="4" w:space="0" w:color="auto"/>
              <w:right w:val="single" w:sz="4" w:space="0" w:color="auto"/>
            </w:tcBorders>
            <w:shd w:val="clear" w:color="auto" w:fill="auto"/>
            <w:noWrap/>
            <w:vAlign w:val="bottom"/>
            <w:hideMark/>
          </w:tcPr>
          <w:p w14:paraId="6E88E69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-0.066</w:t>
            </w:r>
          </w:p>
        </w:tc>
        <w:tc>
          <w:tcPr>
            <w:tcW w:w="990" w:type="dxa"/>
            <w:tcBorders>
              <w:top w:val="nil"/>
              <w:left w:val="nil"/>
              <w:bottom w:val="single" w:sz="4" w:space="0" w:color="auto"/>
              <w:right w:val="single" w:sz="4" w:space="0" w:color="auto"/>
            </w:tcBorders>
            <w:shd w:val="clear" w:color="auto" w:fill="auto"/>
            <w:noWrap/>
            <w:vAlign w:val="bottom"/>
            <w:hideMark/>
          </w:tcPr>
          <w:p w14:paraId="150339DA"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0.074</w:t>
            </w:r>
          </w:p>
        </w:tc>
        <w:tc>
          <w:tcPr>
            <w:tcW w:w="900" w:type="dxa"/>
            <w:tcBorders>
              <w:top w:val="nil"/>
              <w:left w:val="nil"/>
              <w:bottom w:val="single" w:sz="4" w:space="0" w:color="auto"/>
              <w:right w:val="single" w:sz="4" w:space="0" w:color="auto"/>
            </w:tcBorders>
            <w:shd w:val="clear" w:color="auto" w:fill="auto"/>
            <w:noWrap/>
            <w:vAlign w:val="bottom"/>
            <w:hideMark/>
          </w:tcPr>
          <w:p w14:paraId="37CF1193"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0.029</w:t>
            </w:r>
          </w:p>
        </w:tc>
        <w:tc>
          <w:tcPr>
            <w:tcW w:w="990" w:type="dxa"/>
            <w:tcBorders>
              <w:top w:val="nil"/>
              <w:left w:val="nil"/>
              <w:bottom w:val="single" w:sz="4" w:space="0" w:color="auto"/>
              <w:right w:val="single" w:sz="4" w:space="0" w:color="auto"/>
            </w:tcBorders>
            <w:shd w:val="clear" w:color="auto" w:fill="auto"/>
            <w:noWrap/>
            <w:vAlign w:val="bottom"/>
            <w:hideMark/>
          </w:tcPr>
          <w:p w14:paraId="1DE202C8"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0.036</w:t>
            </w:r>
          </w:p>
        </w:tc>
        <w:tc>
          <w:tcPr>
            <w:tcW w:w="990" w:type="dxa"/>
            <w:tcBorders>
              <w:top w:val="nil"/>
              <w:left w:val="nil"/>
              <w:bottom w:val="single" w:sz="4" w:space="0" w:color="auto"/>
              <w:right w:val="single" w:sz="4" w:space="0" w:color="auto"/>
            </w:tcBorders>
            <w:shd w:val="clear" w:color="auto" w:fill="auto"/>
            <w:noWrap/>
            <w:vAlign w:val="bottom"/>
            <w:hideMark/>
          </w:tcPr>
          <w:p w14:paraId="029165FC"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-0.083</w:t>
            </w:r>
          </w:p>
        </w:tc>
        <w:tc>
          <w:tcPr>
            <w:tcW w:w="990" w:type="dxa"/>
            <w:tcBorders>
              <w:top w:val="nil"/>
              <w:left w:val="nil"/>
              <w:bottom w:val="single" w:sz="4" w:space="0" w:color="auto"/>
              <w:right w:val="single" w:sz="4" w:space="0" w:color="auto"/>
            </w:tcBorders>
            <w:shd w:val="clear" w:color="auto" w:fill="auto"/>
            <w:noWrap/>
            <w:vAlign w:val="bottom"/>
            <w:hideMark/>
          </w:tcPr>
          <w:p w14:paraId="1F023849"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0.075</w:t>
            </w:r>
          </w:p>
        </w:tc>
      </w:tr>
      <w:tr w:rsidR="00A24A61" w:rsidRPr="00B65C47" w14:paraId="601B7BE8"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A3C40DD"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Chicago</w:t>
            </w:r>
          </w:p>
        </w:tc>
        <w:tc>
          <w:tcPr>
            <w:tcW w:w="900" w:type="dxa"/>
            <w:tcBorders>
              <w:top w:val="nil"/>
              <w:left w:val="nil"/>
              <w:bottom w:val="single" w:sz="4" w:space="0" w:color="auto"/>
              <w:right w:val="single" w:sz="4" w:space="0" w:color="auto"/>
            </w:tcBorders>
            <w:shd w:val="clear" w:color="auto" w:fill="auto"/>
            <w:noWrap/>
            <w:vAlign w:val="bottom"/>
            <w:hideMark/>
          </w:tcPr>
          <w:p w14:paraId="34912804"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0.070</w:t>
            </w:r>
          </w:p>
        </w:tc>
        <w:tc>
          <w:tcPr>
            <w:tcW w:w="990" w:type="dxa"/>
            <w:tcBorders>
              <w:top w:val="nil"/>
              <w:left w:val="nil"/>
              <w:bottom w:val="single" w:sz="4" w:space="0" w:color="auto"/>
              <w:right w:val="single" w:sz="4" w:space="0" w:color="auto"/>
            </w:tcBorders>
            <w:shd w:val="clear" w:color="auto" w:fill="auto"/>
            <w:noWrap/>
            <w:vAlign w:val="bottom"/>
            <w:hideMark/>
          </w:tcPr>
          <w:p w14:paraId="3FB8F11A"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0.091</w:t>
            </w:r>
          </w:p>
        </w:tc>
        <w:tc>
          <w:tcPr>
            <w:tcW w:w="990" w:type="dxa"/>
            <w:tcBorders>
              <w:top w:val="nil"/>
              <w:left w:val="nil"/>
              <w:bottom w:val="single" w:sz="4" w:space="0" w:color="auto"/>
              <w:right w:val="single" w:sz="4" w:space="0" w:color="auto"/>
            </w:tcBorders>
            <w:shd w:val="clear" w:color="auto" w:fill="auto"/>
            <w:noWrap/>
            <w:vAlign w:val="bottom"/>
            <w:hideMark/>
          </w:tcPr>
          <w:p w14:paraId="35064F82"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-0.268</w:t>
            </w:r>
          </w:p>
        </w:tc>
        <w:tc>
          <w:tcPr>
            <w:tcW w:w="990" w:type="dxa"/>
            <w:tcBorders>
              <w:top w:val="nil"/>
              <w:left w:val="nil"/>
              <w:bottom w:val="single" w:sz="4" w:space="0" w:color="auto"/>
              <w:right w:val="single" w:sz="4" w:space="0" w:color="auto"/>
            </w:tcBorders>
            <w:shd w:val="clear" w:color="auto" w:fill="auto"/>
            <w:noWrap/>
            <w:vAlign w:val="bottom"/>
            <w:hideMark/>
          </w:tcPr>
          <w:p w14:paraId="4E24F8A1"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0.221</w:t>
            </w:r>
          </w:p>
        </w:tc>
        <w:tc>
          <w:tcPr>
            <w:tcW w:w="900" w:type="dxa"/>
            <w:tcBorders>
              <w:top w:val="nil"/>
              <w:left w:val="nil"/>
              <w:bottom w:val="single" w:sz="4" w:space="0" w:color="auto"/>
              <w:right w:val="single" w:sz="4" w:space="0" w:color="auto"/>
            </w:tcBorders>
            <w:shd w:val="clear" w:color="auto" w:fill="auto"/>
            <w:noWrap/>
            <w:vAlign w:val="bottom"/>
            <w:hideMark/>
          </w:tcPr>
          <w:p w14:paraId="7B63207C"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0.095</w:t>
            </w:r>
          </w:p>
        </w:tc>
        <w:tc>
          <w:tcPr>
            <w:tcW w:w="990" w:type="dxa"/>
            <w:tcBorders>
              <w:top w:val="nil"/>
              <w:left w:val="nil"/>
              <w:bottom w:val="single" w:sz="4" w:space="0" w:color="auto"/>
              <w:right w:val="single" w:sz="4" w:space="0" w:color="auto"/>
            </w:tcBorders>
            <w:shd w:val="clear" w:color="auto" w:fill="auto"/>
            <w:noWrap/>
            <w:vAlign w:val="bottom"/>
            <w:hideMark/>
          </w:tcPr>
          <w:p w14:paraId="24E239BF"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0.123</w:t>
            </w:r>
          </w:p>
        </w:tc>
        <w:tc>
          <w:tcPr>
            <w:tcW w:w="990" w:type="dxa"/>
            <w:tcBorders>
              <w:top w:val="nil"/>
              <w:left w:val="nil"/>
              <w:bottom w:val="single" w:sz="4" w:space="0" w:color="auto"/>
              <w:right w:val="single" w:sz="4" w:space="0" w:color="auto"/>
            </w:tcBorders>
            <w:shd w:val="clear" w:color="auto" w:fill="auto"/>
            <w:noWrap/>
            <w:vAlign w:val="bottom"/>
            <w:hideMark/>
          </w:tcPr>
          <w:p w14:paraId="15CE223D"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-0.390</w:t>
            </w:r>
          </w:p>
        </w:tc>
        <w:tc>
          <w:tcPr>
            <w:tcW w:w="990" w:type="dxa"/>
            <w:tcBorders>
              <w:top w:val="nil"/>
              <w:left w:val="nil"/>
              <w:bottom w:val="single" w:sz="4" w:space="0" w:color="auto"/>
              <w:right w:val="single" w:sz="4" w:space="0" w:color="auto"/>
            </w:tcBorders>
            <w:shd w:val="clear" w:color="auto" w:fill="auto"/>
            <w:noWrap/>
            <w:vAlign w:val="bottom"/>
            <w:hideMark/>
          </w:tcPr>
          <w:p w14:paraId="20044D70"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0.258</w:t>
            </w:r>
          </w:p>
        </w:tc>
      </w:tr>
      <w:tr w:rsidR="00A24A61" w:rsidRPr="00B65C47" w14:paraId="13A7558D"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96D524B"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Cleveland</w:t>
            </w:r>
          </w:p>
        </w:tc>
        <w:tc>
          <w:tcPr>
            <w:tcW w:w="900" w:type="dxa"/>
            <w:tcBorders>
              <w:top w:val="nil"/>
              <w:left w:val="nil"/>
              <w:bottom w:val="single" w:sz="4" w:space="0" w:color="auto"/>
              <w:right w:val="single" w:sz="4" w:space="0" w:color="auto"/>
            </w:tcBorders>
            <w:shd w:val="clear" w:color="auto" w:fill="auto"/>
            <w:noWrap/>
            <w:vAlign w:val="bottom"/>
            <w:hideMark/>
          </w:tcPr>
          <w:p w14:paraId="11FAC703"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0.036</w:t>
            </w:r>
          </w:p>
        </w:tc>
        <w:tc>
          <w:tcPr>
            <w:tcW w:w="990" w:type="dxa"/>
            <w:tcBorders>
              <w:top w:val="nil"/>
              <w:left w:val="nil"/>
              <w:bottom w:val="single" w:sz="4" w:space="0" w:color="auto"/>
              <w:right w:val="single" w:sz="4" w:space="0" w:color="auto"/>
            </w:tcBorders>
            <w:shd w:val="clear" w:color="auto" w:fill="auto"/>
            <w:noWrap/>
            <w:vAlign w:val="bottom"/>
            <w:hideMark/>
          </w:tcPr>
          <w:p w14:paraId="5CB187AB"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0.048</w:t>
            </w:r>
          </w:p>
        </w:tc>
        <w:tc>
          <w:tcPr>
            <w:tcW w:w="990" w:type="dxa"/>
            <w:tcBorders>
              <w:top w:val="nil"/>
              <w:left w:val="nil"/>
              <w:bottom w:val="single" w:sz="4" w:space="0" w:color="auto"/>
              <w:right w:val="single" w:sz="4" w:space="0" w:color="auto"/>
            </w:tcBorders>
            <w:shd w:val="clear" w:color="auto" w:fill="auto"/>
            <w:noWrap/>
            <w:vAlign w:val="bottom"/>
            <w:hideMark/>
          </w:tcPr>
          <w:p w14:paraId="21AE9333"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-0.155</w:t>
            </w:r>
          </w:p>
        </w:tc>
        <w:tc>
          <w:tcPr>
            <w:tcW w:w="990" w:type="dxa"/>
            <w:tcBorders>
              <w:top w:val="nil"/>
              <w:left w:val="nil"/>
              <w:bottom w:val="single" w:sz="4" w:space="0" w:color="auto"/>
              <w:right w:val="single" w:sz="4" w:space="0" w:color="auto"/>
            </w:tcBorders>
            <w:shd w:val="clear" w:color="auto" w:fill="auto"/>
            <w:noWrap/>
            <w:vAlign w:val="bottom"/>
            <w:hideMark/>
          </w:tcPr>
          <w:p w14:paraId="4151CA7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0.144</w:t>
            </w:r>
          </w:p>
        </w:tc>
        <w:tc>
          <w:tcPr>
            <w:tcW w:w="900" w:type="dxa"/>
            <w:tcBorders>
              <w:top w:val="nil"/>
              <w:left w:val="nil"/>
              <w:bottom w:val="single" w:sz="4" w:space="0" w:color="auto"/>
              <w:right w:val="single" w:sz="4" w:space="0" w:color="auto"/>
            </w:tcBorders>
            <w:shd w:val="clear" w:color="auto" w:fill="auto"/>
            <w:noWrap/>
            <w:vAlign w:val="bottom"/>
            <w:hideMark/>
          </w:tcPr>
          <w:p w14:paraId="79D1273F"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0.057</w:t>
            </w:r>
          </w:p>
        </w:tc>
        <w:tc>
          <w:tcPr>
            <w:tcW w:w="990" w:type="dxa"/>
            <w:tcBorders>
              <w:top w:val="nil"/>
              <w:left w:val="nil"/>
              <w:bottom w:val="single" w:sz="4" w:space="0" w:color="auto"/>
              <w:right w:val="single" w:sz="4" w:space="0" w:color="auto"/>
            </w:tcBorders>
            <w:shd w:val="clear" w:color="auto" w:fill="auto"/>
            <w:noWrap/>
            <w:vAlign w:val="bottom"/>
            <w:hideMark/>
          </w:tcPr>
          <w:p w14:paraId="67DB8AEE"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0.076</w:t>
            </w:r>
          </w:p>
        </w:tc>
        <w:tc>
          <w:tcPr>
            <w:tcW w:w="990" w:type="dxa"/>
            <w:tcBorders>
              <w:top w:val="nil"/>
              <w:left w:val="nil"/>
              <w:bottom w:val="single" w:sz="4" w:space="0" w:color="auto"/>
              <w:right w:val="single" w:sz="4" w:space="0" w:color="auto"/>
            </w:tcBorders>
            <w:shd w:val="clear" w:color="auto" w:fill="auto"/>
            <w:noWrap/>
            <w:vAlign w:val="bottom"/>
            <w:hideMark/>
          </w:tcPr>
          <w:p w14:paraId="6C6DADCA"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-0.262</w:t>
            </w:r>
          </w:p>
        </w:tc>
        <w:tc>
          <w:tcPr>
            <w:tcW w:w="990" w:type="dxa"/>
            <w:tcBorders>
              <w:top w:val="nil"/>
              <w:left w:val="nil"/>
              <w:bottom w:val="single" w:sz="4" w:space="0" w:color="auto"/>
              <w:right w:val="single" w:sz="4" w:space="0" w:color="auto"/>
            </w:tcBorders>
            <w:shd w:val="clear" w:color="auto" w:fill="auto"/>
            <w:noWrap/>
            <w:vAlign w:val="bottom"/>
            <w:hideMark/>
          </w:tcPr>
          <w:p w14:paraId="46B11CB6"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0.170</w:t>
            </w:r>
          </w:p>
        </w:tc>
      </w:tr>
      <w:tr w:rsidR="00A24A61" w:rsidRPr="00B65C47" w14:paraId="12CBD251"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589B720"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Denver</w:t>
            </w:r>
          </w:p>
        </w:tc>
        <w:tc>
          <w:tcPr>
            <w:tcW w:w="900" w:type="dxa"/>
            <w:tcBorders>
              <w:top w:val="nil"/>
              <w:left w:val="nil"/>
              <w:bottom w:val="single" w:sz="4" w:space="0" w:color="auto"/>
              <w:right w:val="single" w:sz="4" w:space="0" w:color="auto"/>
            </w:tcBorders>
            <w:shd w:val="clear" w:color="auto" w:fill="auto"/>
            <w:noWrap/>
            <w:vAlign w:val="bottom"/>
            <w:hideMark/>
          </w:tcPr>
          <w:p w14:paraId="5F43033E"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90" w:type="dxa"/>
            <w:tcBorders>
              <w:top w:val="nil"/>
              <w:left w:val="nil"/>
              <w:bottom w:val="single" w:sz="4" w:space="0" w:color="auto"/>
              <w:right w:val="single" w:sz="4" w:space="0" w:color="auto"/>
            </w:tcBorders>
            <w:shd w:val="clear" w:color="auto" w:fill="auto"/>
            <w:noWrap/>
            <w:vAlign w:val="bottom"/>
            <w:hideMark/>
          </w:tcPr>
          <w:p w14:paraId="28E03957"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0.032</w:t>
            </w:r>
          </w:p>
        </w:tc>
        <w:tc>
          <w:tcPr>
            <w:tcW w:w="990" w:type="dxa"/>
            <w:tcBorders>
              <w:top w:val="nil"/>
              <w:left w:val="nil"/>
              <w:bottom w:val="single" w:sz="4" w:space="0" w:color="auto"/>
              <w:right w:val="single" w:sz="4" w:space="0" w:color="auto"/>
            </w:tcBorders>
            <w:shd w:val="clear" w:color="auto" w:fill="auto"/>
            <w:noWrap/>
            <w:vAlign w:val="bottom"/>
            <w:hideMark/>
          </w:tcPr>
          <w:p w14:paraId="3D0493F3"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-0.102</w:t>
            </w:r>
          </w:p>
        </w:tc>
        <w:tc>
          <w:tcPr>
            <w:tcW w:w="990" w:type="dxa"/>
            <w:tcBorders>
              <w:top w:val="nil"/>
              <w:left w:val="nil"/>
              <w:bottom w:val="single" w:sz="4" w:space="0" w:color="auto"/>
              <w:right w:val="single" w:sz="4" w:space="0" w:color="auto"/>
            </w:tcBorders>
            <w:shd w:val="clear" w:color="auto" w:fill="auto"/>
            <w:noWrap/>
            <w:vAlign w:val="bottom"/>
            <w:hideMark/>
          </w:tcPr>
          <w:p w14:paraId="73ACA6D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0.056</w:t>
            </w:r>
          </w:p>
        </w:tc>
        <w:tc>
          <w:tcPr>
            <w:tcW w:w="900" w:type="dxa"/>
            <w:tcBorders>
              <w:top w:val="nil"/>
              <w:left w:val="nil"/>
              <w:bottom w:val="single" w:sz="4" w:space="0" w:color="auto"/>
              <w:right w:val="single" w:sz="4" w:space="0" w:color="auto"/>
            </w:tcBorders>
            <w:shd w:val="clear" w:color="auto" w:fill="auto"/>
            <w:noWrap/>
            <w:vAlign w:val="bottom"/>
            <w:hideMark/>
          </w:tcPr>
          <w:p w14:paraId="418996F1"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0.048</w:t>
            </w:r>
          </w:p>
        </w:tc>
        <w:tc>
          <w:tcPr>
            <w:tcW w:w="990" w:type="dxa"/>
            <w:tcBorders>
              <w:top w:val="nil"/>
              <w:left w:val="nil"/>
              <w:bottom w:val="single" w:sz="4" w:space="0" w:color="auto"/>
              <w:right w:val="single" w:sz="4" w:space="0" w:color="auto"/>
            </w:tcBorders>
            <w:shd w:val="clear" w:color="auto" w:fill="auto"/>
            <w:noWrap/>
            <w:vAlign w:val="bottom"/>
            <w:hideMark/>
          </w:tcPr>
          <w:p w14:paraId="567079BC"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0.061</w:t>
            </w:r>
          </w:p>
        </w:tc>
        <w:tc>
          <w:tcPr>
            <w:tcW w:w="990" w:type="dxa"/>
            <w:tcBorders>
              <w:top w:val="nil"/>
              <w:left w:val="nil"/>
              <w:bottom w:val="single" w:sz="4" w:space="0" w:color="auto"/>
              <w:right w:val="single" w:sz="4" w:space="0" w:color="auto"/>
            </w:tcBorders>
            <w:shd w:val="clear" w:color="auto" w:fill="auto"/>
            <w:noWrap/>
            <w:vAlign w:val="bottom"/>
            <w:hideMark/>
          </w:tcPr>
          <w:p w14:paraId="33FB0780"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-0.183</w:t>
            </w:r>
          </w:p>
        </w:tc>
        <w:tc>
          <w:tcPr>
            <w:tcW w:w="990" w:type="dxa"/>
            <w:tcBorders>
              <w:top w:val="nil"/>
              <w:left w:val="nil"/>
              <w:bottom w:val="single" w:sz="4" w:space="0" w:color="auto"/>
              <w:right w:val="single" w:sz="4" w:space="0" w:color="auto"/>
            </w:tcBorders>
            <w:shd w:val="clear" w:color="auto" w:fill="auto"/>
            <w:noWrap/>
            <w:vAlign w:val="bottom"/>
            <w:hideMark/>
          </w:tcPr>
          <w:p w14:paraId="405B8A0C"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0.097</w:t>
            </w:r>
          </w:p>
        </w:tc>
      </w:tr>
      <w:tr w:rsidR="00A24A61" w:rsidRPr="00B65C47" w14:paraId="009CC096"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0502CBE"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Houston</w:t>
            </w:r>
          </w:p>
        </w:tc>
        <w:tc>
          <w:tcPr>
            <w:tcW w:w="900" w:type="dxa"/>
            <w:tcBorders>
              <w:top w:val="nil"/>
              <w:left w:val="nil"/>
              <w:bottom w:val="single" w:sz="4" w:space="0" w:color="auto"/>
              <w:right w:val="single" w:sz="4" w:space="0" w:color="auto"/>
            </w:tcBorders>
            <w:shd w:val="clear" w:color="auto" w:fill="auto"/>
            <w:noWrap/>
            <w:vAlign w:val="bottom"/>
            <w:hideMark/>
          </w:tcPr>
          <w:p w14:paraId="0ED13B29"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0.020</w:t>
            </w:r>
          </w:p>
        </w:tc>
        <w:tc>
          <w:tcPr>
            <w:tcW w:w="990" w:type="dxa"/>
            <w:tcBorders>
              <w:top w:val="nil"/>
              <w:left w:val="nil"/>
              <w:bottom w:val="single" w:sz="4" w:space="0" w:color="auto"/>
              <w:right w:val="single" w:sz="4" w:space="0" w:color="auto"/>
            </w:tcBorders>
            <w:shd w:val="clear" w:color="auto" w:fill="auto"/>
            <w:noWrap/>
            <w:vAlign w:val="bottom"/>
            <w:hideMark/>
          </w:tcPr>
          <w:p w14:paraId="0BD747F9"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990" w:type="dxa"/>
            <w:tcBorders>
              <w:top w:val="nil"/>
              <w:left w:val="nil"/>
              <w:bottom w:val="single" w:sz="4" w:space="0" w:color="auto"/>
              <w:right w:val="single" w:sz="4" w:space="0" w:color="auto"/>
            </w:tcBorders>
            <w:shd w:val="clear" w:color="auto" w:fill="auto"/>
            <w:noWrap/>
            <w:vAlign w:val="bottom"/>
            <w:hideMark/>
          </w:tcPr>
          <w:p w14:paraId="5CF0D826"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-0.051</w:t>
            </w:r>
          </w:p>
        </w:tc>
        <w:tc>
          <w:tcPr>
            <w:tcW w:w="990" w:type="dxa"/>
            <w:tcBorders>
              <w:top w:val="nil"/>
              <w:left w:val="nil"/>
              <w:bottom w:val="single" w:sz="4" w:space="0" w:color="auto"/>
              <w:right w:val="single" w:sz="4" w:space="0" w:color="auto"/>
            </w:tcBorders>
            <w:shd w:val="clear" w:color="auto" w:fill="auto"/>
            <w:noWrap/>
            <w:vAlign w:val="bottom"/>
            <w:hideMark/>
          </w:tcPr>
          <w:p w14:paraId="1EA10897"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0.072</w:t>
            </w:r>
          </w:p>
        </w:tc>
        <w:tc>
          <w:tcPr>
            <w:tcW w:w="900" w:type="dxa"/>
            <w:tcBorders>
              <w:top w:val="nil"/>
              <w:left w:val="nil"/>
              <w:bottom w:val="single" w:sz="4" w:space="0" w:color="auto"/>
              <w:right w:val="single" w:sz="4" w:space="0" w:color="auto"/>
            </w:tcBorders>
            <w:shd w:val="clear" w:color="auto" w:fill="auto"/>
            <w:noWrap/>
            <w:vAlign w:val="bottom"/>
            <w:hideMark/>
          </w:tcPr>
          <w:p w14:paraId="22D35A14"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0.024</w:t>
            </w:r>
          </w:p>
        </w:tc>
        <w:tc>
          <w:tcPr>
            <w:tcW w:w="990" w:type="dxa"/>
            <w:tcBorders>
              <w:top w:val="nil"/>
              <w:left w:val="nil"/>
              <w:bottom w:val="single" w:sz="4" w:space="0" w:color="auto"/>
              <w:right w:val="single" w:sz="4" w:space="0" w:color="auto"/>
            </w:tcBorders>
            <w:shd w:val="clear" w:color="auto" w:fill="auto"/>
            <w:noWrap/>
            <w:vAlign w:val="bottom"/>
            <w:hideMark/>
          </w:tcPr>
          <w:p w14:paraId="21338736"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0.030</w:t>
            </w:r>
          </w:p>
        </w:tc>
        <w:tc>
          <w:tcPr>
            <w:tcW w:w="990" w:type="dxa"/>
            <w:tcBorders>
              <w:top w:val="nil"/>
              <w:left w:val="nil"/>
              <w:bottom w:val="single" w:sz="4" w:space="0" w:color="auto"/>
              <w:right w:val="single" w:sz="4" w:space="0" w:color="auto"/>
            </w:tcBorders>
            <w:shd w:val="clear" w:color="auto" w:fill="auto"/>
            <w:noWrap/>
            <w:vAlign w:val="bottom"/>
            <w:hideMark/>
          </w:tcPr>
          <w:p w14:paraId="50D6E334"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-0.088</w:t>
            </w:r>
          </w:p>
        </w:tc>
        <w:tc>
          <w:tcPr>
            <w:tcW w:w="990" w:type="dxa"/>
            <w:tcBorders>
              <w:top w:val="nil"/>
              <w:left w:val="nil"/>
              <w:bottom w:val="single" w:sz="4" w:space="0" w:color="auto"/>
              <w:right w:val="single" w:sz="4" w:space="0" w:color="auto"/>
            </w:tcBorders>
            <w:shd w:val="clear" w:color="auto" w:fill="auto"/>
            <w:noWrap/>
            <w:vAlign w:val="bottom"/>
            <w:hideMark/>
          </w:tcPr>
          <w:p w14:paraId="5ED731C2"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0.070</w:t>
            </w:r>
          </w:p>
        </w:tc>
      </w:tr>
      <w:tr w:rsidR="00A24A61" w:rsidRPr="00B65C47" w14:paraId="23694E60"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894FD8E"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Los Angeles</w:t>
            </w:r>
          </w:p>
        </w:tc>
        <w:tc>
          <w:tcPr>
            <w:tcW w:w="900" w:type="dxa"/>
            <w:tcBorders>
              <w:top w:val="nil"/>
              <w:left w:val="nil"/>
              <w:bottom w:val="single" w:sz="4" w:space="0" w:color="auto"/>
              <w:right w:val="single" w:sz="4" w:space="0" w:color="auto"/>
            </w:tcBorders>
            <w:shd w:val="clear" w:color="auto" w:fill="auto"/>
            <w:noWrap/>
            <w:vAlign w:val="bottom"/>
            <w:hideMark/>
          </w:tcPr>
          <w:p w14:paraId="26CFF9DE"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0.020</w:t>
            </w:r>
          </w:p>
        </w:tc>
        <w:tc>
          <w:tcPr>
            <w:tcW w:w="990" w:type="dxa"/>
            <w:tcBorders>
              <w:top w:val="nil"/>
              <w:left w:val="nil"/>
              <w:bottom w:val="single" w:sz="4" w:space="0" w:color="auto"/>
              <w:right w:val="single" w:sz="4" w:space="0" w:color="auto"/>
            </w:tcBorders>
            <w:shd w:val="clear" w:color="auto" w:fill="auto"/>
            <w:noWrap/>
            <w:vAlign w:val="bottom"/>
            <w:hideMark/>
          </w:tcPr>
          <w:p w14:paraId="13B1915B"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0.031</w:t>
            </w:r>
          </w:p>
        </w:tc>
        <w:tc>
          <w:tcPr>
            <w:tcW w:w="990" w:type="dxa"/>
            <w:tcBorders>
              <w:top w:val="nil"/>
              <w:left w:val="nil"/>
              <w:bottom w:val="single" w:sz="4" w:space="0" w:color="auto"/>
              <w:right w:val="single" w:sz="4" w:space="0" w:color="auto"/>
            </w:tcBorders>
            <w:shd w:val="clear" w:color="auto" w:fill="auto"/>
            <w:noWrap/>
            <w:vAlign w:val="bottom"/>
            <w:hideMark/>
          </w:tcPr>
          <w:p w14:paraId="1E2207C5"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-0.280</w:t>
            </w:r>
          </w:p>
        </w:tc>
        <w:tc>
          <w:tcPr>
            <w:tcW w:w="990" w:type="dxa"/>
            <w:tcBorders>
              <w:top w:val="nil"/>
              <w:left w:val="nil"/>
              <w:bottom w:val="single" w:sz="4" w:space="0" w:color="auto"/>
              <w:right w:val="single" w:sz="4" w:space="0" w:color="auto"/>
            </w:tcBorders>
            <w:shd w:val="clear" w:color="auto" w:fill="auto"/>
            <w:noWrap/>
            <w:vAlign w:val="bottom"/>
            <w:hideMark/>
          </w:tcPr>
          <w:p w14:paraId="1A90D923"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0.074</w:t>
            </w:r>
          </w:p>
        </w:tc>
        <w:tc>
          <w:tcPr>
            <w:tcW w:w="900" w:type="dxa"/>
            <w:tcBorders>
              <w:top w:val="nil"/>
              <w:left w:val="nil"/>
              <w:bottom w:val="single" w:sz="4" w:space="0" w:color="auto"/>
              <w:right w:val="single" w:sz="4" w:space="0" w:color="auto"/>
            </w:tcBorders>
            <w:shd w:val="clear" w:color="auto" w:fill="auto"/>
            <w:noWrap/>
            <w:vAlign w:val="bottom"/>
            <w:hideMark/>
          </w:tcPr>
          <w:p w14:paraId="41E6D743"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0.020</w:t>
            </w:r>
          </w:p>
        </w:tc>
        <w:tc>
          <w:tcPr>
            <w:tcW w:w="990" w:type="dxa"/>
            <w:tcBorders>
              <w:top w:val="nil"/>
              <w:left w:val="nil"/>
              <w:bottom w:val="single" w:sz="4" w:space="0" w:color="auto"/>
              <w:right w:val="single" w:sz="4" w:space="0" w:color="auto"/>
            </w:tcBorders>
            <w:shd w:val="clear" w:color="auto" w:fill="auto"/>
            <w:noWrap/>
            <w:vAlign w:val="bottom"/>
            <w:hideMark/>
          </w:tcPr>
          <w:p w14:paraId="4FDD08BB"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0.030</w:t>
            </w:r>
          </w:p>
        </w:tc>
        <w:tc>
          <w:tcPr>
            <w:tcW w:w="990" w:type="dxa"/>
            <w:tcBorders>
              <w:top w:val="nil"/>
              <w:left w:val="nil"/>
              <w:bottom w:val="single" w:sz="4" w:space="0" w:color="auto"/>
              <w:right w:val="single" w:sz="4" w:space="0" w:color="auto"/>
            </w:tcBorders>
            <w:shd w:val="clear" w:color="auto" w:fill="auto"/>
            <w:noWrap/>
            <w:vAlign w:val="bottom"/>
            <w:hideMark/>
          </w:tcPr>
          <w:p w14:paraId="6DA4D8EE"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-0.260</w:t>
            </w:r>
          </w:p>
        </w:tc>
        <w:tc>
          <w:tcPr>
            <w:tcW w:w="990" w:type="dxa"/>
            <w:tcBorders>
              <w:top w:val="nil"/>
              <w:left w:val="nil"/>
              <w:bottom w:val="single" w:sz="4" w:space="0" w:color="auto"/>
              <w:right w:val="single" w:sz="4" w:space="0" w:color="auto"/>
            </w:tcBorders>
            <w:shd w:val="clear" w:color="auto" w:fill="auto"/>
            <w:noWrap/>
            <w:vAlign w:val="bottom"/>
            <w:hideMark/>
          </w:tcPr>
          <w:p w14:paraId="68230AFC"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0.074</w:t>
            </w:r>
          </w:p>
        </w:tc>
      </w:tr>
      <w:tr w:rsidR="00A24A61" w:rsidRPr="00B65C47" w14:paraId="5F235B5A"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9F070C6"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Miami</w:t>
            </w:r>
          </w:p>
        </w:tc>
        <w:tc>
          <w:tcPr>
            <w:tcW w:w="900" w:type="dxa"/>
            <w:tcBorders>
              <w:top w:val="nil"/>
              <w:left w:val="nil"/>
              <w:bottom w:val="single" w:sz="4" w:space="0" w:color="auto"/>
              <w:right w:val="single" w:sz="4" w:space="0" w:color="auto"/>
            </w:tcBorders>
            <w:shd w:val="clear" w:color="auto" w:fill="auto"/>
            <w:noWrap/>
            <w:vAlign w:val="bottom"/>
            <w:hideMark/>
          </w:tcPr>
          <w:p w14:paraId="382322BD"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0.024</w:t>
            </w:r>
          </w:p>
        </w:tc>
        <w:tc>
          <w:tcPr>
            <w:tcW w:w="990" w:type="dxa"/>
            <w:tcBorders>
              <w:top w:val="nil"/>
              <w:left w:val="nil"/>
              <w:bottom w:val="single" w:sz="4" w:space="0" w:color="auto"/>
              <w:right w:val="single" w:sz="4" w:space="0" w:color="auto"/>
            </w:tcBorders>
            <w:shd w:val="clear" w:color="auto" w:fill="auto"/>
            <w:noWrap/>
            <w:vAlign w:val="bottom"/>
            <w:hideMark/>
          </w:tcPr>
          <w:p w14:paraId="36F87917"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0.032</w:t>
            </w:r>
          </w:p>
        </w:tc>
        <w:tc>
          <w:tcPr>
            <w:tcW w:w="990" w:type="dxa"/>
            <w:tcBorders>
              <w:top w:val="nil"/>
              <w:left w:val="nil"/>
              <w:bottom w:val="single" w:sz="4" w:space="0" w:color="auto"/>
              <w:right w:val="single" w:sz="4" w:space="0" w:color="auto"/>
            </w:tcBorders>
            <w:shd w:val="clear" w:color="auto" w:fill="auto"/>
            <w:noWrap/>
            <w:vAlign w:val="bottom"/>
            <w:hideMark/>
          </w:tcPr>
          <w:p w14:paraId="754A2551"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-0.142</w:t>
            </w:r>
          </w:p>
        </w:tc>
        <w:tc>
          <w:tcPr>
            <w:tcW w:w="990" w:type="dxa"/>
            <w:tcBorders>
              <w:top w:val="nil"/>
              <w:left w:val="nil"/>
              <w:bottom w:val="single" w:sz="4" w:space="0" w:color="auto"/>
              <w:right w:val="single" w:sz="4" w:space="0" w:color="auto"/>
            </w:tcBorders>
            <w:shd w:val="clear" w:color="auto" w:fill="auto"/>
            <w:noWrap/>
            <w:vAlign w:val="bottom"/>
            <w:hideMark/>
          </w:tcPr>
          <w:p w14:paraId="38869CF2"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0.088</w:t>
            </w:r>
          </w:p>
        </w:tc>
        <w:tc>
          <w:tcPr>
            <w:tcW w:w="900" w:type="dxa"/>
            <w:tcBorders>
              <w:top w:val="nil"/>
              <w:left w:val="nil"/>
              <w:bottom w:val="single" w:sz="4" w:space="0" w:color="auto"/>
              <w:right w:val="single" w:sz="4" w:space="0" w:color="auto"/>
            </w:tcBorders>
            <w:shd w:val="clear" w:color="auto" w:fill="auto"/>
            <w:noWrap/>
            <w:vAlign w:val="bottom"/>
            <w:hideMark/>
          </w:tcPr>
          <w:p w14:paraId="1F3FC7F5"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0.027</w:t>
            </w:r>
          </w:p>
        </w:tc>
        <w:tc>
          <w:tcPr>
            <w:tcW w:w="990" w:type="dxa"/>
            <w:tcBorders>
              <w:top w:val="nil"/>
              <w:left w:val="nil"/>
              <w:bottom w:val="single" w:sz="4" w:space="0" w:color="auto"/>
              <w:right w:val="single" w:sz="4" w:space="0" w:color="auto"/>
            </w:tcBorders>
            <w:shd w:val="clear" w:color="auto" w:fill="auto"/>
            <w:noWrap/>
            <w:vAlign w:val="bottom"/>
            <w:hideMark/>
          </w:tcPr>
          <w:p w14:paraId="6CE6C5E3"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0.034</w:t>
            </w:r>
          </w:p>
        </w:tc>
        <w:tc>
          <w:tcPr>
            <w:tcW w:w="990" w:type="dxa"/>
            <w:tcBorders>
              <w:top w:val="nil"/>
              <w:left w:val="nil"/>
              <w:bottom w:val="single" w:sz="4" w:space="0" w:color="auto"/>
              <w:right w:val="single" w:sz="4" w:space="0" w:color="auto"/>
            </w:tcBorders>
            <w:shd w:val="clear" w:color="auto" w:fill="auto"/>
            <w:noWrap/>
            <w:vAlign w:val="bottom"/>
            <w:hideMark/>
          </w:tcPr>
          <w:p w14:paraId="6C428508"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-0.089</w:t>
            </w:r>
          </w:p>
        </w:tc>
        <w:tc>
          <w:tcPr>
            <w:tcW w:w="990" w:type="dxa"/>
            <w:tcBorders>
              <w:top w:val="nil"/>
              <w:left w:val="nil"/>
              <w:bottom w:val="single" w:sz="4" w:space="0" w:color="auto"/>
              <w:right w:val="single" w:sz="4" w:space="0" w:color="auto"/>
            </w:tcBorders>
            <w:shd w:val="clear" w:color="auto" w:fill="auto"/>
            <w:noWrap/>
            <w:vAlign w:val="bottom"/>
            <w:hideMark/>
          </w:tcPr>
          <w:p w14:paraId="4EF66F94"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0.077</w:t>
            </w:r>
          </w:p>
        </w:tc>
      </w:tr>
      <w:tr w:rsidR="00A24A61" w:rsidRPr="00B65C47" w14:paraId="122E0F7A"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A747CAF"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New York</w:t>
            </w:r>
          </w:p>
        </w:tc>
        <w:tc>
          <w:tcPr>
            <w:tcW w:w="900" w:type="dxa"/>
            <w:tcBorders>
              <w:top w:val="nil"/>
              <w:left w:val="nil"/>
              <w:bottom w:val="single" w:sz="4" w:space="0" w:color="auto"/>
              <w:right w:val="single" w:sz="4" w:space="0" w:color="auto"/>
            </w:tcBorders>
            <w:shd w:val="clear" w:color="auto" w:fill="auto"/>
            <w:noWrap/>
            <w:vAlign w:val="bottom"/>
            <w:hideMark/>
          </w:tcPr>
          <w:p w14:paraId="11E0427C"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0.066</w:t>
            </w:r>
          </w:p>
        </w:tc>
        <w:tc>
          <w:tcPr>
            <w:tcW w:w="990" w:type="dxa"/>
            <w:tcBorders>
              <w:top w:val="nil"/>
              <w:left w:val="nil"/>
              <w:bottom w:val="single" w:sz="4" w:space="0" w:color="auto"/>
              <w:right w:val="single" w:sz="4" w:space="0" w:color="auto"/>
            </w:tcBorders>
            <w:shd w:val="clear" w:color="auto" w:fill="auto"/>
            <w:noWrap/>
            <w:vAlign w:val="bottom"/>
            <w:hideMark/>
          </w:tcPr>
          <w:p w14:paraId="63633AA7"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0.082</w:t>
            </w:r>
          </w:p>
        </w:tc>
        <w:tc>
          <w:tcPr>
            <w:tcW w:w="990" w:type="dxa"/>
            <w:tcBorders>
              <w:top w:val="nil"/>
              <w:left w:val="nil"/>
              <w:bottom w:val="single" w:sz="4" w:space="0" w:color="auto"/>
              <w:right w:val="single" w:sz="4" w:space="0" w:color="auto"/>
            </w:tcBorders>
            <w:shd w:val="clear" w:color="auto" w:fill="auto"/>
            <w:noWrap/>
            <w:vAlign w:val="bottom"/>
            <w:hideMark/>
          </w:tcPr>
          <w:p w14:paraId="70CE0DEE"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-0.154</w:t>
            </w:r>
          </w:p>
        </w:tc>
        <w:tc>
          <w:tcPr>
            <w:tcW w:w="990" w:type="dxa"/>
            <w:tcBorders>
              <w:top w:val="nil"/>
              <w:left w:val="nil"/>
              <w:bottom w:val="single" w:sz="4" w:space="0" w:color="auto"/>
              <w:right w:val="single" w:sz="4" w:space="0" w:color="auto"/>
            </w:tcBorders>
            <w:shd w:val="clear" w:color="auto" w:fill="auto"/>
            <w:noWrap/>
            <w:vAlign w:val="bottom"/>
            <w:hideMark/>
          </w:tcPr>
          <w:p w14:paraId="2BF94791"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0.186</w:t>
            </w:r>
          </w:p>
        </w:tc>
        <w:tc>
          <w:tcPr>
            <w:tcW w:w="900" w:type="dxa"/>
            <w:tcBorders>
              <w:top w:val="nil"/>
              <w:left w:val="nil"/>
              <w:bottom w:val="single" w:sz="4" w:space="0" w:color="auto"/>
              <w:right w:val="single" w:sz="4" w:space="0" w:color="auto"/>
            </w:tcBorders>
            <w:shd w:val="clear" w:color="auto" w:fill="auto"/>
            <w:noWrap/>
            <w:vAlign w:val="bottom"/>
            <w:hideMark/>
          </w:tcPr>
          <w:p w14:paraId="153B52EE"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0.058</w:t>
            </w:r>
          </w:p>
        </w:tc>
        <w:tc>
          <w:tcPr>
            <w:tcW w:w="990" w:type="dxa"/>
            <w:tcBorders>
              <w:top w:val="nil"/>
              <w:left w:val="nil"/>
              <w:bottom w:val="single" w:sz="4" w:space="0" w:color="auto"/>
              <w:right w:val="single" w:sz="4" w:space="0" w:color="auto"/>
            </w:tcBorders>
            <w:shd w:val="clear" w:color="auto" w:fill="auto"/>
            <w:noWrap/>
            <w:vAlign w:val="bottom"/>
            <w:hideMark/>
          </w:tcPr>
          <w:p w14:paraId="1FE9325B"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0.072</w:t>
            </w:r>
          </w:p>
        </w:tc>
        <w:tc>
          <w:tcPr>
            <w:tcW w:w="990" w:type="dxa"/>
            <w:tcBorders>
              <w:top w:val="nil"/>
              <w:left w:val="nil"/>
              <w:bottom w:val="single" w:sz="4" w:space="0" w:color="auto"/>
              <w:right w:val="single" w:sz="4" w:space="0" w:color="auto"/>
            </w:tcBorders>
            <w:shd w:val="clear" w:color="auto" w:fill="auto"/>
            <w:noWrap/>
            <w:vAlign w:val="bottom"/>
            <w:hideMark/>
          </w:tcPr>
          <w:p w14:paraId="503D81E2"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-0.148</w:t>
            </w:r>
          </w:p>
        </w:tc>
        <w:tc>
          <w:tcPr>
            <w:tcW w:w="990" w:type="dxa"/>
            <w:tcBorders>
              <w:top w:val="nil"/>
              <w:left w:val="nil"/>
              <w:bottom w:val="single" w:sz="4" w:space="0" w:color="auto"/>
              <w:right w:val="single" w:sz="4" w:space="0" w:color="auto"/>
            </w:tcBorders>
            <w:shd w:val="clear" w:color="auto" w:fill="auto"/>
            <w:noWrap/>
            <w:vAlign w:val="bottom"/>
            <w:hideMark/>
          </w:tcPr>
          <w:p w14:paraId="62AC971D"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0.163</w:t>
            </w:r>
          </w:p>
        </w:tc>
      </w:tr>
      <w:tr w:rsidR="00A24A61" w:rsidRPr="00B65C47" w14:paraId="62D6A362"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C1469EE"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San Francisco</w:t>
            </w:r>
          </w:p>
        </w:tc>
        <w:tc>
          <w:tcPr>
            <w:tcW w:w="900" w:type="dxa"/>
            <w:tcBorders>
              <w:top w:val="nil"/>
              <w:left w:val="nil"/>
              <w:bottom w:val="single" w:sz="4" w:space="0" w:color="auto"/>
              <w:right w:val="single" w:sz="4" w:space="0" w:color="auto"/>
            </w:tcBorders>
            <w:shd w:val="clear" w:color="auto" w:fill="auto"/>
            <w:noWrap/>
            <w:vAlign w:val="bottom"/>
            <w:hideMark/>
          </w:tcPr>
          <w:p w14:paraId="06308231"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0.020</w:t>
            </w:r>
          </w:p>
        </w:tc>
        <w:tc>
          <w:tcPr>
            <w:tcW w:w="990" w:type="dxa"/>
            <w:tcBorders>
              <w:top w:val="nil"/>
              <w:left w:val="nil"/>
              <w:bottom w:val="single" w:sz="4" w:space="0" w:color="auto"/>
              <w:right w:val="single" w:sz="4" w:space="0" w:color="auto"/>
            </w:tcBorders>
            <w:shd w:val="clear" w:color="auto" w:fill="auto"/>
            <w:noWrap/>
            <w:vAlign w:val="bottom"/>
            <w:hideMark/>
          </w:tcPr>
          <w:p w14:paraId="0DFF442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0.025</w:t>
            </w:r>
          </w:p>
        </w:tc>
        <w:tc>
          <w:tcPr>
            <w:tcW w:w="990" w:type="dxa"/>
            <w:tcBorders>
              <w:top w:val="nil"/>
              <w:left w:val="nil"/>
              <w:bottom w:val="single" w:sz="4" w:space="0" w:color="auto"/>
              <w:right w:val="single" w:sz="4" w:space="0" w:color="auto"/>
            </w:tcBorders>
            <w:shd w:val="clear" w:color="auto" w:fill="auto"/>
            <w:noWrap/>
            <w:vAlign w:val="bottom"/>
            <w:hideMark/>
          </w:tcPr>
          <w:p w14:paraId="14E66868"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-0.070</w:t>
            </w:r>
          </w:p>
        </w:tc>
        <w:tc>
          <w:tcPr>
            <w:tcW w:w="990" w:type="dxa"/>
            <w:tcBorders>
              <w:top w:val="nil"/>
              <w:left w:val="nil"/>
              <w:bottom w:val="single" w:sz="4" w:space="0" w:color="auto"/>
              <w:right w:val="single" w:sz="4" w:space="0" w:color="auto"/>
            </w:tcBorders>
            <w:shd w:val="clear" w:color="auto" w:fill="auto"/>
            <w:noWrap/>
            <w:vAlign w:val="bottom"/>
            <w:hideMark/>
          </w:tcPr>
          <w:p w14:paraId="66402842"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0.058</w:t>
            </w:r>
          </w:p>
        </w:tc>
        <w:tc>
          <w:tcPr>
            <w:tcW w:w="900" w:type="dxa"/>
            <w:tcBorders>
              <w:top w:val="nil"/>
              <w:left w:val="nil"/>
              <w:bottom w:val="single" w:sz="4" w:space="0" w:color="auto"/>
              <w:right w:val="single" w:sz="4" w:space="0" w:color="auto"/>
            </w:tcBorders>
            <w:shd w:val="clear" w:color="auto" w:fill="auto"/>
            <w:noWrap/>
            <w:vAlign w:val="bottom"/>
            <w:hideMark/>
          </w:tcPr>
          <w:p w14:paraId="46555AF2"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0.024</w:t>
            </w:r>
          </w:p>
        </w:tc>
        <w:tc>
          <w:tcPr>
            <w:tcW w:w="990" w:type="dxa"/>
            <w:tcBorders>
              <w:top w:val="nil"/>
              <w:left w:val="nil"/>
              <w:bottom w:val="single" w:sz="4" w:space="0" w:color="auto"/>
              <w:right w:val="single" w:sz="4" w:space="0" w:color="auto"/>
            </w:tcBorders>
            <w:shd w:val="clear" w:color="auto" w:fill="auto"/>
            <w:noWrap/>
            <w:vAlign w:val="bottom"/>
            <w:hideMark/>
          </w:tcPr>
          <w:p w14:paraId="538ED020"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0.028</w:t>
            </w:r>
          </w:p>
        </w:tc>
        <w:tc>
          <w:tcPr>
            <w:tcW w:w="990" w:type="dxa"/>
            <w:tcBorders>
              <w:top w:val="nil"/>
              <w:left w:val="nil"/>
              <w:bottom w:val="single" w:sz="4" w:space="0" w:color="auto"/>
              <w:right w:val="single" w:sz="4" w:space="0" w:color="auto"/>
            </w:tcBorders>
            <w:shd w:val="clear" w:color="auto" w:fill="auto"/>
            <w:noWrap/>
            <w:vAlign w:val="bottom"/>
            <w:hideMark/>
          </w:tcPr>
          <w:p w14:paraId="28D35024"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-0.076</w:t>
            </w:r>
          </w:p>
        </w:tc>
        <w:tc>
          <w:tcPr>
            <w:tcW w:w="990" w:type="dxa"/>
            <w:tcBorders>
              <w:top w:val="nil"/>
              <w:left w:val="nil"/>
              <w:bottom w:val="single" w:sz="4" w:space="0" w:color="auto"/>
              <w:right w:val="single" w:sz="4" w:space="0" w:color="auto"/>
            </w:tcBorders>
            <w:shd w:val="clear" w:color="auto" w:fill="auto"/>
            <w:noWrap/>
            <w:vAlign w:val="bottom"/>
            <w:hideMark/>
          </w:tcPr>
          <w:p w14:paraId="4DB639DD"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0.069</w:t>
            </w:r>
          </w:p>
        </w:tc>
      </w:tr>
      <w:tr w:rsidR="00A24A61" w:rsidRPr="00B65C47" w14:paraId="1588B354" w14:textId="77777777" w:rsidTr="000807C0">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F46C71C" w14:textId="77777777" w:rsidR="00A24A61" w:rsidRPr="000B3157" w:rsidRDefault="00A24A61" w:rsidP="000807C0">
            <w:pPr>
              <w:spacing w:after="0" w:line="240" w:lineRule="auto"/>
              <w:rPr>
                <w:rFonts w:ascii="Arial" w:eastAsia="Times New Roman" w:hAnsi="Arial" w:cs="Arial"/>
                <w:sz w:val="16"/>
                <w:szCs w:val="16"/>
              </w:rPr>
            </w:pPr>
            <w:r w:rsidRPr="000B3157">
              <w:rPr>
                <w:rFonts w:ascii="Arial" w:eastAsia="Times New Roman" w:hAnsi="Arial" w:cs="Arial"/>
                <w:sz w:val="16"/>
                <w:szCs w:val="16"/>
              </w:rPr>
              <w:t>Seattle</w:t>
            </w:r>
          </w:p>
        </w:tc>
        <w:tc>
          <w:tcPr>
            <w:tcW w:w="900" w:type="dxa"/>
            <w:tcBorders>
              <w:top w:val="nil"/>
              <w:left w:val="nil"/>
              <w:bottom w:val="single" w:sz="4" w:space="0" w:color="auto"/>
              <w:right w:val="single" w:sz="4" w:space="0" w:color="auto"/>
            </w:tcBorders>
            <w:shd w:val="clear" w:color="auto" w:fill="auto"/>
            <w:noWrap/>
            <w:vAlign w:val="bottom"/>
            <w:hideMark/>
          </w:tcPr>
          <w:p w14:paraId="39515537"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0.022</w:t>
            </w:r>
          </w:p>
        </w:tc>
        <w:tc>
          <w:tcPr>
            <w:tcW w:w="990" w:type="dxa"/>
            <w:tcBorders>
              <w:top w:val="nil"/>
              <w:left w:val="nil"/>
              <w:bottom w:val="single" w:sz="4" w:space="0" w:color="auto"/>
              <w:right w:val="single" w:sz="4" w:space="0" w:color="auto"/>
            </w:tcBorders>
            <w:shd w:val="clear" w:color="auto" w:fill="auto"/>
            <w:noWrap/>
            <w:vAlign w:val="bottom"/>
            <w:hideMark/>
          </w:tcPr>
          <w:p w14:paraId="003EE2DF"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0.026</w:t>
            </w:r>
          </w:p>
        </w:tc>
        <w:tc>
          <w:tcPr>
            <w:tcW w:w="990" w:type="dxa"/>
            <w:tcBorders>
              <w:top w:val="nil"/>
              <w:left w:val="nil"/>
              <w:bottom w:val="single" w:sz="4" w:space="0" w:color="auto"/>
              <w:right w:val="single" w:sz="4" w:space="0" w:color="auto"/>
            </w:tcBorders>
            <w:shd w:val="clear" w:color="auto" w:fill="auto"/>
            <w:noWrap/>
            <w:vAlign w:val="bottom"/>
            <w:hideMark/>
          </w:tcPr>
          <w:p w14:paraId="079227DB"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-0.073</w:t>
            </w:r>
          </w:p>
        </w:tc>
        <w:tc>
          <w:tcPr>
            <w:tcW w:w="990" w:type="dxa"/>
            <w:tcBorders>
              <w:top w:val="nil"/>
              <w:left w:val="nil"/>
              <w:bottom w:val="single" w:sz="4" w:space="0" w:color="auto"/>
              <w:right w:val="single" w:sz="4" w:space="0" w:color="auto"/>
            </w:tcBorders>
            <w:shd w:val="clear" w:color="auto" w:fill="auto"/>
            <w:noWrap/>
            <w:vAlign w:val="bottom"/>
            <w:hideMark/>
          </w:tcPr>
          <w:p w14:paraId="0D0FC1CC" w14:textId="77777777" w:rsidR="00A24A61" w:rsidRPr="000B3157" w:rsidRDefault="00A24A61" w:rsidP="000807C0">
            <w:pPr>
              <w:spacing w:after="0" w:line="240" w:lineRule="auto"/>
              <w:jc w:val="right"/>
              <w:rPr>
                <w:rFonts w:ascii="Arial" w:eastAsia="Times New Roman" w:hAnsi="Arial" w:cs="Arial"/>
                <w:color w:val="C00000"/>
                <w:sz w:val="16"/>
                <w:szCs w:val="16"/>
              </w:rPr>
            </w:pPr>
            <w:r w:rsidRPr="000B3157">
              <w:rPr>
                <w:rFonts w:ascii="Arial" w:eastAsia="Times New Roman" w:hAnsi="Arial" w:cs="Arial"/>
                <w:color w:val="C00000"/>
                <w:sz w:val="16"/>
                <w:szCs w:val="16"/>
              </w:rPr>
              <w:t>0.065</w:t>
            </w:r>
          </w:p>
        </w:tc>
        <w:tc>
          <w:tcPr>
            <w:tcW w:w="900" w:type="dxa"/>
            <w:tcBorders>
              <w:top w:val="nil"/>
              <w:left w:val="nil"/>
              <w:bottom w:val="single" w:sz="4" w:space="0" w:color="auto"/>
              <w:right w:val="single" w:sz="4" w:space="0" w:color="auto"/>
            </w:tcBorders>
            <w:shd w:val="clear" w:color="auto" w:fill="auto"/>
            <w:noWrap/>
            <w:vAlign w:val="bottom"/>
            <w:hideMark/>
          </w:tcPr>
          <w:p w14:paraId="308A6AAB"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0.024</w:t>
            </w:r>
          </w:p>
        </w:tc>
        <w:tc>
          <w:tcPr>
            <w:tcW w:w="990" w:type="dxa"/>
            <w:tcBorders>
              <w:top w:val="nil"/>
              <w:left w:val="nil"/>
              <w:bottom w:val="single" w:sz="4" w:space="0" w:color="auto"/>
              <w:right w:val="single" w:sz="4" w:space="0" w:color="auto"/>
            </w:tcBorders>
            <w:shd w:val="clear" w:color="auto" w:fill="auto"/>
            <w:noWrap/>
            <w:vAlign w:val="bottom"/>
            <w:hideMark/>
          </w:tcPr>
          <w:p w14:paraId="492AFC36"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0.029</w:t>
            </w:r>
          </w:p>
        </w:tc>
        <w:tc>
          <w:tcPr>
            <w:tcW w:w="990" w:type="dxa"/>
            <w:tcBorders>
              <w:top w:val="nil"/>
              <w:left w:val="nil"/>
              <w:bottom w:val="single" w:sz="4" w:space="0" w:color="auto"/>
              <w:right w:val="single" w:sz="4" w:space="0" w:color="auto"/>
            </w:tcBorders>
            <w:shd w:val="clear" w:color="auto" w:fill="auto"/>
            <w:noWrap/>
            <w:vAlign w:val="bottom"/>
            <w:hideMark/>
          </w:tcPr>
          <w:p w14:paraId="111A919D"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-0.089</w:t>
            </w:r>
          </w:p>
        </w:tc>
        <w:tc>
          <w:tcPr>
            <w:tcW w:w="990" w:type="dxa"/>
            <w:tcBorders>
              <w:top w:val="nil"/>
              <w:left w:val="nil"/>
              <w:bottom w:val="single" w:sz="4" w:space="0" w:color="auto"/>
              <w:right w:val="single" w:sz="4" w:space="0" w:color="auto"/>
            </w:tcBorders>
            <w:shd w:val="clear" w:color="auto" w:fill="auto"/>
            <w:noWrap/>
            <w:vAlign w:val="bottom"/>
            <w:hideMark/>
          </w:tcPr>
          <w:p w14:paraId="43510063" w14:textId="77777777" w:rsidR="00A24A61" w:rsidRPr="000B3157" w:rsidRDefault="00A24A61" w:rsidP="000807C0">
            <w:pPr>
              <w:spacing w:after="0" w:line="240" w:lineRule="auto"/>
              <w:jc w:val="right"/>
              <w:rPr>
                <w:rFonts w:ascii="Arial" w:eastAsia="Times New Roman" w:hAnsi="Arial" w:cs="Arial"/>
                <w:color w:val="FF0000"/>
                <w:sz w:val="16"/>
                <w:szCs w:val="16"/>
              </w:rPr>
            </w:pPr>
            <w:r w:rsidRPr="000B3157">
              <w:rPr>
                <w:rFonts w:ascii="Arial" w:eastAsia="Times New Roman" w:hAnsi="Arial" w:cs="Arial"/>
                <w:color w:val="FF0000"/>
                <w:sz w:val="16"/>
                <w:szCs w:val="16"/>
              </w:rPr>
              <w:t>0.062</w:t>
            </w:r>
          </w:p>
        </w:tc>
      </w:tr>
    </w:tbl>
    <w:p w14:paraId="4BDF73E6" w14:textId="77777777" w:rsidR="00890EE9" w:rsidRPr="00890EE9" w:rsidRDefault="00890EE9" w:rsidP="00890EE9">
      <w:pPr>
        <w:spacing w:line="240" w:lineRule="auto"/>
        <w:rPr>
          <w:sz w:val="18"/>
          <w:szCs w:val="20"/>
        </w:rPr>
      </w:pPr>
      <w:r w:rsidRPr="00890EE9">
        <w:rPr>
          <w:sz w:val="18"/>
          <w:szCs w:val="20"/>
        </w:rPr>
        <w:t>Note: Rows in red indicate estimates with relatively low accuracy</w:t>
      </w:r>
      <w:r>
        <w:rPr>
          <w:sz w:val="18"/>
          <w:szCs w:val="20"/>
        </w:rPr>
        <w:t>.</w:t>
      </w:r>
    </w:p>
    <w:p w14:paraId="117E4A1B" w14:textId="77777777" w:rsidR="00A24A61" w:rsidRDefault="00A24A61" w:rsidP="000E683D">
      <w:pPr>
        <w:spacing w:line="240" w:lineRule="auto"/>
        <w:rPr>
          <w:b/>
          <w:bCs/>
          <w:noProof/>
          <w:color w:val="1396D8"/>
          <w:szCs w:val="18"/>
        </w:rPr>
      </w:pPr>
    </w:p>
    <w:p w14:paraId="500E1301" w14:textId="77777777" w:rsidR="00CC6F8F" w:rsidRDefault="00CC6F8F" w:rsidP="000E683D">
      <w:pPr>
        <w:spacing w:line="240" w:lineRule="auto"/>
        <w:rPr>
          <w:b/>
          <w:bCs/>
          <w:noProof/>
          <w:color w:val="1396D8"/>
          <w:szCs w:val="18"/>
        </w:rPr>
      </w:pPr>
    </w:p>
    <w:p w14:paraId="595C6EEF" w14:textId="77777777" w:rsidR="003871B1" w:rsidRDefault="003871B1" w:rsidP="000E683D">
      <w:pPr>
        <w:spacing w:line="240" w:lineRule="auto"/>
        <w:rPr>
          <w:b/>
          <w:bCs/>
          <w:noProof/>
          <w:color w:val="1396D8"/>
          <w:szCs w:val="18"/>
        </w:rPr>
      </w:pPr>
    </w:p>
    <w:p w14:paraId="7C2D0B5F" w14:textId="77777777" w:rsidR="003871B1" w:rsidRDefault="003871B1" w:rsidP="000E683D">
      <w:pPr>
        <w:spacing w:line="240" w:lineRule="auto"/>
        <w:rPr>
          <w:b/>
          <w:bCs/>
          <w:noProof/>
          <w:color w:val="1396D8"/>
          <w:szCs w:val="18"/>
        </w:rPr>
      </w:pPr>
    </w:p>
    <w:p w14:paraId="6ADCB6E2" w14:textId="77777777" w:rsidR="003871B1" w:rsidRDefault="003871B1" w:rsidP="000E683D">
      <w:pPr>
        <w:spacing w:line="240" w:lineRule="auto"/>
        <w:rPr>
          <w:b/>
          <w:bCs/>
          <w:noProof/>
          <w:color w:val="1396D8"/>
          <w:szCs w:val="18"/>
        </w:rPr>
      </w:pPr>
    </w:p>
    <w:p w14:paraId="545CB33C" w14:textId="77777777" w:rsidR="003871B1" w:rsidRDefault="003871B1" w:rsidP="000E683D">
      <w:pPr>
        <w:spacing w:line="240" w:lineRule="auto"/>
        <w:rPr>
          <w:b/>
          <w:bCs/>
          <w:noProof/>
          <w:color w:val="1396D8"/>
          <w:szCs w:val="18"/>
        </w:rPr>
      </w:pPr>
    </w:p>
    <w:p w14:paraId="47F17E20" w14:textId="77777777" w:rsidR="003871B1" w:rsidRDefault="003871B1" w:rsidP="000E683D">
      <w:pPr>
        <w:spacing w:line="240" w:lineRule="auto"/>
        <w:rPr>
          <w:b/>
          <w:bCs/>
          <w:noProof/>
          <w:color w:val="1396D8"/>
          <w:szCs w:val="18"/>
        </w:rPr>
      </w:pPr>
    </w:p>
    <w:p w14:paraId="16807103" w14:textId="77777777" w:rsidR="003871B1" w:rsidRDefault="003871B1" w:rsidP="000E683D">
      <w:pPr>
        <w:spacing w:line="240" w:lineRule="auto"/>
        <w:rPr>
          <w:b/>
          <w:bCs/>
          <w:noProof/>
          <w:color w:val="1396D8"/>
          <w:szCs w:val="18"/>
        </w:rPr>
      </w:pPr>
    </w:p>
    <w:p w14:paraId="58DC316F" w14:textId="3244679E" w:rsidR="003871B1" w:rsidRPr="00FB5311" w:rsidRDefault="003871B1" w:rsidP="000E683D">
      <w:pPr>
        <w:spacing w:line="240" w:lineRule="auto"/>
        <w:rPr>
          <w:b/>
          <w:bCs/>
          <w:noProof/>
          <w:color w:val="1396D8"/>
        </w:rPr>
      </w:pPr>
      <w:r w:rsidRPr="00FB5311">
        <w:rPr>
          <w:b/>
          <w:bCs/>
          <w:noProof/>
          <w:color w:val="1396D8"/>
        </w:rPr>
        <w:t>Figure A.</w:t>
      </w:r>
      <w:r w:rsidR="00AB78F3">
        <w:rPr>
          <w:b/>
          <w:bCs/>
          <w:noProof/>
          <w:color w:val="1396D8"/>
        </w:rPr>
        <w:t>9</w:t>
      </w:r>
      <w:r w:rsidRPr="00FB5311">
        <w:rPr>
          <w:b/>
          <w:bCs/>
          <w:noProof/>
          <w:color w:val="1396D8"/>
        </w:rPr>
        <w:t>. Plot of the residuals obtained from the regression tree model for midgrade motor gasoline.</w:t>
      </w:r>
    </w:p>
    <w:p w14:paraId="688543B9" w14:textId="2D2C4841" w:rsidR="003871B1" w:rsidRDefault="003871B1" w:rsidP="000E683D">
      <w:pPr>
        <w:spacing w:line="240" w:lineRule="auto"/>
        <w:rPr>
          <w:b/>
          <w:bCs/>
          <w:noProof/>
          <w:color w:val="1396D8"/>
          <w:szCs w:val="18"/>
        </w:rPr>
      </w:pPr>
      <w:r>
        <w:rPr>
          <w:b/>
          <w:bCs/>
          <w:noProof/>
          <w:color w:val="1396D8"/>
          <w:szCs w:val="18"/>
        </w:rPr>
        <w:drawing>
          <wp:inline distT="0" distB="0" distL="0" distR="0" wp14:anchorId="16DCAC59" wp14:editId="4A9823EE">
            <wp:extent cx="5308270" cy="318168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duals_midgrade.png"/>
                    <pic:cNvPicPr/>
                  </pic:nvPicPr>
                  <pic:blipFill rotWithShape="1">
                    <a:blip r:embed="rId56">
                      <a:extLst>
                        <a:ext uri="{28A0092B-C50C-407E-A947-70E740481C1C}">
                          <a14:useLocalDpi xmlns:a14="http://schemas.microsoft.com/office/drawing/2010/main" val="0"/>
                        </a:ext>
                      </a:extLst>
                    </a:blip>
                    <a:srcRect t="6977"/>
                    <a:stretch/>
                  </pic:blipFill>
                  <pic:spPr bwMode="auto">
                    <a:xfrm>
                      <a:off x="0" y="0"/>
                      <a:ext cx="5314137" cy="3185200"/>
                    </a:xfrm>
                    <a:prstGeom prst="rect">
                      <a:avLst/>
                    </a:prstGeom>
                    <a:ln>
                      <a:noFill/>
                    </a:ln>
                    <a:extLst>
                      <a:ext uri="{53640926-AAD7-44D8-BBD7-CCE9431645EC}">
                        <a14:shadowObscured xmlns:a14="http://schemas.microsoft.com/office/drawing/2010/main"/>
                      </a:ext>
                    </a:extLst>
                  </pic:spPr>
                </pic:pic>
              </a:graphicData>
            </a:graphic>
          </wp:inline>
        </w:drawing>
      </w:r>
    </w:p>
    <w:p w14:paraId="7C87B5B9" w14:textId="77777777" w:rsidR="003871B1" w:rsidRDefault="003871B1" w:rsidP="000E683D">
      <w:pPr>
        <w:spacing w:line="240" w:lineRule="auto"/>
        <w:rPr>
          <w:b/>
          <w:bCs/>
          <w:noProof/>
          <w:color w:val="1396D8"/>
          <w:szCs w:val="18"/>
        </w:rPr>
      </w:pPr>
    </w:p>
    <w:p w14:paraId="1464922A" w14:textId="5B197FB8" w:rsidR="003871B1" w:rsidRDefault="003871B1" w:rsidP="000E683D">
      <w:pPr>
        <w:spacing w:line="240" w:lineRule="auto"/>
        <w:rPr>
          <w:b/>
          <w:bCs/>
          <w:noProof/>
          <w:color w:val="1396D8"/>
          <w:szCs w:val="18"/>
        </w:rPr>
      </w:pPr>
      <w:r w:rsidRPr="00FB5311">
        <w:rPr>
          <w:b/>
          <w:bCs/>
          <w:noProof/>
          <w:color w:val="1396D8"/>
        </w:rPr>
        <w:t>Figure A.</w:t>
      </w:r>
      <w:r w:rsidR="00AB78F3">
        <w:rPr>
          <w:b/>
          <w:bCs/>
          <w:noProof/>
          <w:color w:val="1396D8"/>
        </w:rPr>
        <w:t>10</w:t>
      </w:r>
      <w:r w:rsidRPr="00FB5311">
        <w:rPr>
          <w:b/>
          <w:bCs/>
          <w:noProof/>
          <w:color w:val="1396D8"/>
        </w:rPr>
        <w:t>. Plot of the residuals obtained from the regression tree model for premium</w:t>
      </w:r>
      <w:r w:rsidR="00424493" w:rsidRPr="00FB5311">
        <w:rPr>
          <w:b/>
          <w:bCs/>
          <w:noProof/>
          <w:color w:val="1396D8"/>
        </w:rPr>
        <w:t xml:space="preserve"> </w:t>
      </w:r>
      <w:r w:rsidRPr="00FB5311">
        <w:rPr>
          <w:b/>
          <w:bCs/>
          <w:noProof/>
          <w:color w:val="1396D8"/>
        </w:rPr>
        <w:t>motor gasoline.</w:t>
      </w:r>
    </w:p>
    <w:p w14:paraId="3C8FC92B" w14:textId="43F08248" w:rsidR="003871B1" w:rsidRDefault="003871B1" w:rsidP="000E683D">
      <w:pPr>
        <w:spacing w:line="240" w:lineRule="auto"/>
        <w:rPr>
          <w:b/>
          <w:bCs/>
          <w:noProof/>
          <w:color w:val="1396D8"/>
          <w:szCs w:val="18"/>
        </w:rPr>
      </w:pPr>
      <w:r>
        <w:rPr>
          <w:b/>
          <w:bCs/>
          <w:noProof/>
          <w:color w:val="1396D8"/>
          <w:szCs w:val="18"/>
        </w:rPr>
        <w:drawing>
          <wp:inline distT="0" distB="0" distL="0" distR="0" wp14:anchorId="7CC2CA5C" wp14:editId="50E300F6">
            <wp:extent cx="5242956" cy="315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duals_premium.png"/>
                    <pic:cNvPicPr/>
                  </pic:nvPicPr>
                  <pic:blipFill rotWithShape="1">
                    <a:blip r:embed="rId57">
                      <a:extLst>
                        <a:ext uri="{28A0092B-C50C-407E-A947-70E740481C1C}">
                          <a14:useLocalDpi xmlns:a14="http://schemas.microsoft.com/office/drawing/2010/main" val="0"/>
                        </a:ext>
                      </a:extLst>
                    </a:blip>
                    <a:srcRect t="7951"/>
                    <a:stretch/>
                  </pic:blipFill>
                  <pic:spPr bwMode="auto">
                    <a:xfrm>
                      <a:off x="0" y="0"/>
                      <a:ext cx="5247686" cy="3155770"/>
                    </a:xfrm>
                    <a:prstGeom prst="rect">
                      <a:avLst/>
                    </a:prstGeom>
                    <a:ln>
                      <a:noFill/>
                    </a:ln>
                    <a:extLst>
                      <a:ext uri="{53640926-AAD7-44D8-BBD7-CCE9431645EC}">
                        <a14:shadowObscured xmlns:a14="http://schemas.microsoft.com/office/drawing/2010/main"/>
                      </a:ext>
                    </a:extLst>
                  </pic:spPr>
                </pic:pic>
              </a:graphicData>
            </a:graphic>
          </wp:inline>
        </w:drawing>
      </w:r>
    </w:p>
    <w:p w14:paraId="348001AA" w14:textId="77777777" w:rsidR="003B09B3" w:rsidRDefault="003B09B3" w:rsidP="000E683D">
      <w:pPr>
        <w:spacing w:line="240" w:lineRule="auto"/>
        <w:rPr>
          <w:b/>
          <w:bCs/>
          <w:noProof/>
          <w:color w:val="1396D8"/>
          <w:szCs w:val="18"/>
        </w:rPr>
      </w:pPr>
    </w:p>
    <w:p w14:paraId="2DCCB133" w14:textId="77777777" w:rsidR="003B09B3" w:rsidRDefault="003B09B3" w:rsidP="000E683D">
      <w:pPr>
        <w:spacing w:line="240" w:lineRule="auto"/>
        <w:rPr>
          <w:b/>
          <w:bCs/>
          <w:noProof/>
          <w:color w:val="1396D8"/>
          <w:szCs w:val="18"/>
        </w:rPr>
        <w:sectPr w:rsidR="003B09B3" w:rsidSect="008F6837">
          <w:pgSz w:w="12240" w:h="15840"/>
          <w:pgMar w:top="1440" w:right="1440" w:bottom="1440" w:left="1440" w:header="720" w:footer="720" w:gutter="0"/>
          <w:cols w:space="720"/>
          <w:docGrid w:linePitch="360"/>
        </w:sectPr>
      </w:pPr>
    </w:p>
    <w:p w14:paraId="33764DF9" w14:textId="37D56621" w:rsidR="001A77D2" w:rsidRPr="00FB5311" w:rsidRDefault="001A77D2" w:rsidP="001A77D2">
      <w:pPr>
        <w:spacing w:line="240" w:lineRule="auto"/>
        <w:rPr>
          <w:b/>
          <w:bCs/>
          <w:noProof/>
          <w:color w:val="1396D8"/>
        </w:rPr>
      </w:pPr>
      <w:r w:rsidRPr="00FB5311">
        <w:rPr>
          <w:b/>
          <w:bCs/>
          <w:noProof/>
          <w:color w:val="1396D8"/>
        </w:rPr>
        <w:t>Table A.</w:t>
      </w:r>
      <w:r w:rsidR="00374CD5" w:rsidRPr="00FB5311">
        <w:rPr>
          <w:b/>
          <w:bCs/>
          <w:noProof/>
          <w:color w:val="1396D8"/>
        </w:rPr>
        <w:t>11</w:t>
      </w:r>
      <w:r w:rsidRPr="00FB5311">
        <w:rPr>
          <w:b/>
          <w:bCs/>
          <w:noProof/>
          <w:color w:val="1396D8"/>
        </w:rPr>
        <w:t xml:space="preserve">. </w:t>
      </w:r>
      <w:r w:rsidR="00712429" w:rsidRPr="00FB5311">
        <w:rPr>
          <w:b/>
          <w:bCs/>
          <w:noProof/>
          <w:color w:val="1396D8"/>
        </w:rPr>
        <w:t xml:space="preserve">List of explanatory </w:t>
      </w:r>
      <w:r w:rsidRPr="00FB5311">
        <w:rPr>
          <w:b/>
          <w:bCs/>
          <w:noProof/>
          <w:color w:val="1396D8"/>
        </w:rPr>
        <w:t>variables used in regression tree analysis</w:t>
      </w:r>
      <w:r w:rsidR="00114932">
        <w:rPr>
          <w:b/>
          <w:bCs/>
          <w:noProof/>
          <w:color w:val="1396D8"/>
        </w:rPr>
        <w:t>.</w:t>
      </w:r>
    </w:p>
    <w:tbl>
      <w:tblPr>
        <w:tblW w:w="12900" w:type="dxa"/>
        <w:tblLook w:val="04A0" w:firstRow="1" w:lastRow="0" w:firstColumn="1" w:lastColumn="0" w:noHBand="0" w:noVBand="1"/>
      </w:tblPr>
      <w:tblGrid>
        <w:gridCol w:w="2520"/>
        <w:gridCol w:w="2790"/>
        <w:gridCol w:w="2340"/>
        <w:gridCol w:w="1530"/>
        <w:gridCol w:w="3720"/>
      </w:tblGrid>
      <w:tr w:rsidR="003B09B3" w:rsidRPr="003B09B3" w14:paraId="46804DE3" w14:textId="77777777" w:rsidTr="00D353E7">
        <w:trPr>
          <w:trHeight w:val="70"/>
        </w:trPr>
        <w:tc>
          <w:tcPr>
            <w:tcW w:w="2520" w:type="dxa"/>
            <w:tcBorders>
              <w:top w:val="nil"/>
              <w:left w:val="nil"/>
              <w:bottom w:val="single" w:sz="12" w:space="0" w:color="0096D7"/>
              <w:right w:val="nil"/>
            </w:tcBorders>
            <w:shd w:val="clear" w:color="auto" w:fill="auto"/>
            <w:vAlign w:val="bottom"/>
            <w:hideMark/>
          </w:tcPr>
          <w:p w14:paraId="2F26EDED"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Explanatory Variables</w:t>
            </w:r>
          </w:p>
        </w:tc>
        <w:tc>
          <w:tcPr>
            <w:tcW w:w="2790" w:type="dxa"/>
            <w:tcBorders>
              <w:top w:val="nil"/>
              <w:left w:val="nil"/>
              <w:bottom w:val="single" w:sz="12" w:space="0" w:color="0096D7"/>
              <w:right w:val="nil"/>
            </w:tcBorders>
            <w:shd w:val="clear" w:color="auto" w:fill="auto"/>
            <w:vAlign w:val="bottom"/>
            <w:hideMark/>
          </w:tcPr>
          <w:p w14:paraId="0382755E" w14:textId="77777777" w:rsidR="003B09B3" w:rsidRPr="003B09B3" w:rsidRDefault="003B09B3" w:rsidP="003B09B3">
            <w:pPr>
              <w:spacing w:after="0" w:line="240" w:lineRule="auto"/>
              <w:jc w:val="center"/>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Description</w:t>
            </w:r>
          </w:p>
        </w:tc>
        <w:tc>
          <w:tcPr>
            <w:tcW w:w="2340" w:type="dxa"/>
            <w:tcBorders>
              <w:top w:val="nil"/>
              <w:left w:val="nil"/>
              <w:bottom w:val="single" w:sz="12" w:space="0" w:color="0096D7"/>
              <w:right w:val="nil"/>
            </w:tcBorders>
            <w:shd w:val="clear" w:color="auto" w:fill="auto"/>
            <w:vAlign w:val="bottom"/>
            <w:hideMark/>
          </w:tcPr>
          <w:p w14:paraId="3EDD4993" w14:textId="77777777" w:rsidR="003B09B3" w:rsidRPr="003B09B3" w:rsidRDefault="003B09B3" w:rsidP="003B09B3">
            <w:pPr>
              <w:spacing w:after="0" w:line="240" w:lineRule="auto"/>
              <w:jc w:val="center"/>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Recoding</w:t>
            </w:r>
          </w:p>
        </w:tc>
        <w:tc>
          <w:tcPr>
            <w:tcW w:w="1530" w:type="dxa"/>
            <w:tcBorders>
              <w:top w:val="nil"/>
              <w:left w:val="nil"/>
              <w:bottom w:val="single" w:sz="12" w:space="0" w:color="0096D7"/>
              <w:right w:val="nil"/>
            </w:tcBorders>
            <w:shd w:val="clear" w:color="auto" w:fill="auto"/>
            <w:vAlign w:val="bottom"/>
            <w:hideMark/>
          </w:tcPr>
          <w:p w14:paraId="4A5C6F9B" w14:textId="77777777" w:rsidR="003B09B3" w:rsidRPr="003B09B3" w:rsidRDefault="003B09B3" w:rsidP="003B09B3">
            <w:pPr>
              <w:spacing w:after="0" w:line="240" w:lineRule="auto"/>
              <w:jc w:val="center"/>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xml:space="preserve">Linking </w:t>
            </w:r>
          </w:p>
        </w:tc>
        <w:tc>
          <w:tcPr>
            <w:tcW w:w="3720" w:type="dxa"/>
            <w:tcBorders>
              <w:top w:val="nil"/>
              <w:left w:val="nil"/>
              <w:bottom w:val="single" w:sz="12" w:space="0" w:color="0096D7"/>
              <w:right w:val="nil"/>
            </w:tcBorders>
            <w:shd w:val="clear" w:color="auto" w:fill="auto"/>
            <w:vAlign w:val="bottom"/>
            <w:hideMark/>
          </w:tcPr>
          <w:p w14:paraId="57327A07" w14:textId="77777777" w:rsidR="003B09B3" w:rsidRPr="003B09B3" w:rsidRDefault="003B09B3" w:rsidP="003B09B3">
            <w:pPr>
              <w:spacing w:after="0" w:line="240" w:lineRule="auto"/>
              <w:jc w:val="center"/>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Source</w:t>
            </w:r>
          </w:p>
        </w:tc>
      </w:tr>
      <w:tr w:rsidR="003B09B3" w:rsidRPr="003B09B3" w14:paraId="099C000A" w14:textId="77777777" w:rsidTr="00D353E7">
        <w:trPr>
          <w:trHeight w:val="204"/>
        </w:trPr>
        <w:tc>
          <w:tcPr>
            <w:tcW w:w="2520" w:type="dxa"/>
            <w:tcBorders>
              <w:top w:val="nil"/>
              <w:left w:val="nil"/>
              <w:bottom w:val="single" w:sz="4" w:space="0" w:color="BFBFBF"/>
              <w:right w:val="nil"/>
            </w:tcBorders>
            <w:shd w:val="clear" w:color="auto" w:fill="auto"/>
            <w:noWrap/>
            <w:vAlign w:val="center"/>
            <w:hideMark/>
          </w:tcPr>
          <w:p w14:paraId="4338D428"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Economic Conditions</w:t>
            </w:r>
          </w:p>
        </w:tc>
        <w:tc>
          <w:tcPr>
            <w:tcW w:w="2790" w:type="dxa"/>
            <w:tcBorders>
              <w:top w:val="nil"/>
              <w:left w:val="nil"/>
              <w:bottom w:val="single" w:sz="4" w:space="0" w:color="BFBFBF"/>
              <w:right w:val="nil"/>
            </w:tcBorders>
            <w:shd w:val="clear" w:color="auto" w:fill="auto"/>
            <w:noWrap/>
            <w:vAlign w:val="center"/>
            <w:hideMark/>
          </w:tcPr>
          <w:p w14:paraId="762FE270"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2340" w:type="dxa"/>
            <w:tcBorders>
              <w:top w:val="nil"/>
              <w:left w:val="nil"/>
              <w:bottom w:val="single" w:sz="4" w:space="0" w:color="BFBFBF"/>
              <w:right w:val="nil"/>
            </w:tcBorders>
            <w:shd w:val="clear" w:color="auto" w:fill="auto"/>
            <w:noWrap/>
            <w:vAlign w:val="center"/>
            <w:hideMark/>
          </w:tcPr>
          <w:p w14:paraId="260ECFB6"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1530" w:type="dxa"/>
            <w:tcBorders>
              <w:top w:val="nil"/>
              <w:left w:val="nil"/>
              <w:bottom w:val="single" w:sz="4" w:space="0" w:color="BFBFBF"/>
              <w:right w:val="nil"/>
            </w:tcBorders>
            <w:shd w:val="clear" w:color="auto" w:fill="auto"/>
            <w:noWrap/>
            <w:vAlign w:val="center"/>
            <w:hideMark/>
          </w:tcPr>
          <w:p w14:paraId="214337AF"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3720" w:type="dxa"/>
            <w:tcBorders>
              <w:top w:val="nil"/>
              <w:left w:val="nil"/>
              <w:bottom w:val="single" w:sz="4" w:space="0" w:color="BFBFBF"/>
              <w:right w:val="nil"/>
            </w:tcBorders>
            <w:shd w:val="clear" w:color="auto" w:fill="auto"/>
            <w:noWrap/>
            <w:vAlign w:val="center"/>
            <w:hideMark/>
          </w:tcPr>
          <w:p w14:paraId="2ABC01C1"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r>
      <w:tr w:rsidR="003B09B3" w:rsidRPr="003B09B3" w14:paraId="0576EA1A" w14:textId="77777777" w:rsidTr="00D353E7">
        <w:trPr>
          <w:trHeight w:val="458"/>
        </w:trPr>
        <w:tc>
          <w:tcPr>
            <w:tcW w:w="2520" w:type="dxa"/>
            <w:tcBorders>
              <w:top w:val="nil"/>
              <w:left w:val="nil"/>
              <w:bottom w:val="dashed" w:sz="4" w:space="0" w:color="BFBFBF"/>
              <w:right w:val="nil"/>
            </w:tcBorders>
            <w:shd w:val="clear" w:color="auto" w:fill="auto"/>
            <w:noWrap/>
            <w:hideMark/>
          </w:tcPr>
          <w:p w14:paraId="40BA3894"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Index of Consumer Sentiment</w:t>
            </w:r>
          </w:p>
        </w:tc>
        <w:tc>
          <w:tcPr>
            <w:tcW w:w="2790" w:type="dxa"/>
            <w:tcBorders>
              <w:top w:val="nil"/>
              <w:left w:val="nil"/>
              <w:bottom w:val="dashed" w:sz="4" w:space="0" w:color="BFBFBF"/>
              <w:right w:val="nil"/>
            </w:tcBorders>
            <w:shd w:val="clear" w:color="auto" w:fill="auto"/>
            <w:hideMark/>
          </w:tcPr>
          <w:p w14:paraId="43196167"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Measure of consumer sentiment</w:t>
            </w:r>
          </w:p>
        </w:tc>
        <w:tc>
          <w:tcPr>
            <w:tcW w:w="2340" w:type="dxa"/>
            <w:tcBorders>
              <w:top w:val="nil"/>
              <w:left w:val="nil"/>
              <w:bottom w:val="dashed" w:sz="4" w:space="0" w:color="BFBFBF"/>
              <w:right w:val="nil"/>
            </w:tcBorders>
            <w:shd w:val="clear" w:color="auto" w:fill="auto"/>
            <w:hideMark/>
          </w:tcPr>
          <w:p w14:paraId="3FBA8BE1"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7294F9F2"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Month/year</w:t>
            </w:r>
          </w:p>
        </w:tc>
        <w:tc>
          <w:tcPr>
            <w:tcW w:w="3720" w:type="dxa"/>
            <w:tcBorders>
              <w:top w:val="nil"/>
              <w:left w:val="nil"/>
              <w:bottom w:val="dashed" w:sz="4" w:space="0" w:color="BFBFBF"/>
              <w:right w:val="nil"/>
            </w:tcBorders>
            <w:shd w:val="clear" w:color="auto" w:fill="auto"/>
            <w:hideMark/>
          </w:tcPr>
          <w:p w14:paraId="5845B67E"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University of Michigan, Survey of Consumer Attitudes</w:t>
            </w:r>
          </w:p>
        </w:tc>
      </w:tr>
      <w:tr w:rsidR="003B09B3" w:rsidRPr="003B09B3" w14:paraId="35A3FA8F" w14:textId="77777777" w:rsidTr="00D353E7">
        <w:trPr>
          <w:trHeight w:val="431"/>
        </w:trPr>
        <w:tc>
          <w:tcPr>
            <w:tcW w:w="2520" w:type="dxa"/>
            <w:tcBorders>
              <w:top w:val="nil"/>
              <w:left w:val="nil"/>
              <w:bottom w:val="dashed" w:sz="4" w:space="0" w:color="BFBFBF"/>
              <w:right w:val="nil"/>
            </w:tcBorders>
            <w:shd w:val="clear" w:color="auto" w:fill="auto"/>
            <w:noWrap/>
            <w:hideMark/>
          </w:tcPr>
          <w:p w14:paraId="3DFF9141"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Inflation</w:t>
            </w:r>
          </w:p>
        </w:tc>
        <w:tc>
          <w:tcPr>
            <w:tcW w:w="2790" w:type="dxa"/>
            <w:tcBorders>
              <w:top w:val="nil"/>
              <w:left w:val="nil"/>
              <w:bottom w:val="dashed" w:sz="4" w:space="0" w:color="BFBFBF"/>
              <w:right w:val="nil"/>
            </w:tcBorders>
            <w:shd w:val="clear" w:color="auto" w:fill="auto"/>
            <w:hideMark/>
          </w:tcPr>
          <w:p w14:paraId="10745218"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Inflation rate</w:t>
            </w:r>
          </w:p>
        </w:tc>
        <w:tc>
          <w:tcPr>
            <w:tcW w:w="2340" w:type="dxa"/>
            <w:tcBorders>
              <w:top w:val="nil"/>
              <w:left w:val="nil"/>
              <w:bottom w:val="dashed" w:sz="4" w:space="0" w:color="BFBFBF"/>
              <w:right w:val="nil"/>
            </w:tcBorders>
            <w:shd w:val="clear" w:color="auto" w:fill="auto"/>
            <w:hideMark/>
          </w:tcPr>
          <w:p w14:paraId="597E1046"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5443380D"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Month/year</w:t>
            </w:r>
          </w:p>
        </w:tc>
        <w:tc>
          <w:tcPr>
            <w:tcW w:w="3720" w:type="dxa"/>
            <w:tcBorders>
              <w:top w:val="nil"/>
              <w:left w:val="nil"/>
              <w:bottom w:val="dashed" w:sz="4" w:space="0" w:color="BFBFBF"/>
              <w:right w:val="nil"/>
            </w:tcBorders>
            <w:shd w:val="clear" w:color="auto" w:fill="auto"/>
            <w:hideMark/>
          </w:tcPr>
          <w:p w14:paraId="31CA36C5"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Bureau of Labor Statistics, CPI-All Urban Consumers (Current Series)</w:t>
            </w:r>
          </w:p>
        </w:tc>
      </w:tr>
      <w:tr w:rsidR="003B09B3" w:rsidRPr="003B09B3" w14:paraId="6BFB11BC" w14:textId="77777777" w:rsidTr="00D353E7">
        <w:trPr>
          <w:trHeight w:val="300"/>
        </w:trPr>
        <w:tc>
          <w:tcPr>
            <w:tcW w:w="2520" w:type="dxa"/>
            <w:tcBorders>
              <w:top w:val="single" w:sz="4" w:space="0" w:color="0096D7"/>
              <w:left w:val="nil"/>
              <w:bottom w:val="single" w:sz="4" w:space="0" w:color="BFBFBF"/>
              <w:right w:val="nil"/>
            </w:tcBorders>
            <w:shd w:val="clear" w:color="auto" w:fill="auto"/>
            <w:vAlign w:val="bottom"/>
            <w:hideMark/>
          </w:tcPr>
          <w:p w14:paraId="6ED0155D"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Geography</w:t>
            </w:r>
          </w:p>
        </w:tc>
        <w:tc>
          <w:tcPr>
            <w:tcW w:w="2790" w:type="dxa"/>
            <w:tcBorders>
              <w:top w:val="single" w:sz="4" w:space="0" w:color="0096D7"/>
              <w:left w:val="nil"/>
              <w:bottom w:val="single" w:sz="4" w:space="0" w:color="BFBFBF"/>
              <w:right w:val="nil"/>
            </w:tcBorders>
            <w:shd w:val="clear" w:color="auto" w:fill="auto"/>
            <w:vAlign w:val="bottom"/>
            <w:hideMark/>
          </w:tcPr>
          <w:p w14:paraId="3FD093AF"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2340" w:type="dxa"/>
            <w:tcBorders>
              <w:top w:val="single" w:sz="4" w:space="0" w:color="0096D7"/>
              <w:left w:val="nil"/>
              <w:bottom w:val="single" w:sz="4" w:space="0" w:color="BFBFBF"/>
              <w:right w:val="nil"/>
            </w:tcBorders>
            <w:shd w:val="clear" w:color="auto" w:fill="auto"/>
            <w:vAlign w:val="bottom"/>
            <w:hideMark/>
          </w:tcPr>
          <w:p w14:paraId="3FBE8700"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1530" w:type="dxa"/>
            <w:tcBorders>
              <w:top w:val="single" w:sz="4" w:space="0" w:color="0096D7"/>
              <w:left w:val="nil"/>
              <w:bottom w:val="single" w:sz="4" w:space="0" w:color="BFBFBF"/>
              <w:right w:val="nil"/>
            </w:tcBorders>
            <w:shd w:val="clear" w:color="auto" w:fill="auto"/>
            <w:vAlign w:val="bottom"/>
            <w:hideMark/>
          </w:tcPr>
          <w:p w14:paraId="0B4DF075"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3720" w:type="dxa"/>
            <w:tcBorders>
              <w:top w:val="single" w:sz="4" w:space="0" w:color="0096D7"/>
              <w:left w:val="nil"/>
              <w:bottom w:val="single" w:sz="4" w:space="0" w:color="BFBFBF"/>
              <w:right w:val="nil"/>
            </w:tcBorders>
            <w:shd w:val="clear" w:color="auto" w:fill="auto"/>
            <w:vAlign w:val="bottom"/>
            <w:hideMark/>
          </w:tcPr>
          <w:p w14:paraId="480E69BB"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r>
      <w:tr w:rsidR="003B09B3" w:rsidRPr="003B09B3" w14:paraId="21BEF18B" w14:textId="77777777" w:rsidTr="00D353E7">
        <w:trPr>
          <w:trHeight w:val="300"/>
        </w:trPr>
        <w:tc>
          <w:tcPr>
            <w:tcW w:w="2520" w:type="dxa"/>
            <w:tcBorders>
              <w:top w:val="nil"/>
              <w:left w:val="nil"/>
              <w:bottom w:val="dashed" w:sz="4" w:space="0" w:color="BFBFBF"/>
              <w:right w:val="nil"/>
            </w:tcBorders>
            <w:shd w:val="clear" w:color="auto" w:fill="auto"/>
            <w:vAlign w:val="bottom"/>
            <w:hideMark/>
          </w:tcPr>
          <w:p w14:paraId="19E43B3B"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PADD</w:t>
            </w:r>
          </w:p>
        </w:tc>
        <w:tc>
          <w:tcPr>
            <w:tcW w:w="2790" w:type="dxa"/>
            <w:tcBorders>
              <w:top w:val="nil"/>
              <w:left w:val="nil"/>
              <w:bottom w:val="dashed" w:sz="4" w:space="0" w:color="BFBFBF"/>
              <w:right w:val="nil"/>
            </w:tcBorders>
            <w:shd w:val="clear" w:color="auto" w:fill="auto"/>
            <w:vAlign w:val="bottom"/>
            <w:hideMark/>
          </w:tcPr>
          <w:p w14:paraId="63C1097E"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Dummy variable for PADD</w:t>
            </w:r>
          </w:p>
        </w:tc>
        <w:tc>
          <w:tcPr>
            <w:tcW w:w="2340" w:type="dxa"/>
            <w:tcBorders>
              <w:top w:val="nil"/>
              <w:left w:val="nil"/>
              <w:bottom w:val="dashed" w:sz="4" w:space="0" w:color="BFBFBF"/>
              <w:right w:val="nil"/>
            </w:tcBorders>
            <w:shd w:val="clear" w:color="auto" w:fill="auto"/>
            <w:vAlign w:val="bottom"/>
            <w:hideMark/>
          </w:tcPr>
          <w:p w14:paraId="7F96166A"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vAlign w:val="bottom"/>
            <w:hideMark/>
          </w:tcPr>
          <w:p w14:paraId="3BE6D313"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PADD</w:t>
            </w:r>
          </w:p>
        </w:tc>
        <w:tc>
          <w:tcPr>
            <w:tcW w:w="3720" w:type="dxa"/>
            <w:tcBorders>
              <w:top w:val="nil"/>
              <w:left w:val="nil"/>
              <w:bottom w:val="dashed" w:sz="4" w:space="0" w:color="BFBFBF"/>
              <w:right w:val="nil"/>
            </w:tcBorders>
            <w:shd w:val="clear" w:color="auto" w:fill="auto"/>
            <w:vAlign w:val="bottom"/>
            <w:hideMark/>
          </w:tcPr>
          <w:p w14:paraId="213C4F67"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 xml:space="preserve">EIA-878  </w:t>
            </w:r>
          </w:p>
        </w:tc>
      </w:tr>
      <w:tr w:rsidR="003B09B3" w:rsidRPr="003B09B3" w14:paraId="0A21F49B" w14:textId="77777777" w:rsidTr="00D353E7">
        <w:trPr>
          <w:trHeight w:val="300"/>
        </w:trPr>
        <w:tc>
          <w:tcPr>
            <w:tcW w:w="2520" w:type="dxa"/>
            <w:tcBorders>
              <w:top w:val="nil"/>
              <w:left w:val="nil"/>
              <w:bottom w:val="dashed" w:sz="4" w:space="0" w:color="BFBFBF"/>
              <w:right w:val="nil"/>
            </w:tcBorders>
            <w:shd w:val="clear" w:color="auto" w:fill="auto"/>
            <w:noWrap/>
            <w:hideMark/>
          </w:tcPr>
          <w:p w14:paraId="35453425"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2790" w:type="dxa"/>
            <w:tcBorders>
              <w:top w:val="nil"/>
              <w:left w:val="nil"/>
              <w:bottom w:val="dashed" w:sz="4" w:space="0" w:color="BFBFBF"/>
              <w:right w:val="nil"/>
            </w:tcBorders>
            <w:shd w:val="clear" w:color="auto" w:fill="auto"/>
            <w:vAlign w:val="bottom"/>
            <w:hideMark/>
          </w:tcPr>
          <w:p w14:paraId="3AEE3054"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Dummy variable for State</w:t>
            </w:r>
          </w:p>
        </w:tc>
        <w:tc>
          <w:tcPr>
            <w:tcW w:w="2340" w:type="dxa"/>
            <w:tcBorders>
              <w:top w:val="nil"/>
              <w:left w:val="nil"/>
              <w:bottom w:val="dashed" w:sz="4" w:space="0" w:color="BFBFBF"/>
              <w:right w:val="nil"/>
            </w:tcBorders>
            <w:shd w:val="clear" w:color="auto" w:fill="auto"/>
            <w:vAlign w:val="bottom"/>
            <w:hideMark/>
          </w:tcPr>
          <w:p w14:paraId="5EC0EBE4"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vAlign w:val="bottom"/>
            <w:hideMark/>
          </w:tcPr>
          <w:p w14:paraId="2A2680D1"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3720" w:type="dxa"/>
            <w:tcBorders>
              <w:top w:val="nil"/>
              <w:left w:val="nil"/>
              <w:bottom w:val="dashed" w:sz="4" w:space="0" w:color="BFBFBF"/>
              <w:right w:val="nil"/>
            </w:tcBorders>
            <w:shd w:val="clear" w:color="auto" w:fill="auto"/>
            <w:vAlign w:val="bottom"/>
            <w:hideMark/>
          </w:tcPr>
          <w:p w14:paraId="2228967D"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EIA-878</w:t>
            </w:r>
          </w:p>
        </w:tc>
      </w:tr>
      <w:tr w:rsidR="003B09B3" w:rsidRPr="003B09B3" w14:paraId="34E3EA53" w14:textId="77777777" w:rsidTr="00D353E7">
        <w:trPr>
          <w:trHeight w:val="206"/>
        </w:trPr>
        <w:tc>
          <w:tcPr>
            <w:tcW w:w="2520" w:type="dxa"/>
            <w:tcBorders>
              <w:top w:val="single" w:sz="4" w:space="0" w:color="0096D7"/>
              <w:left w:val="nil"/>
              <w:bottom w:val="single" w:sz="4" w:space="0" w:color="BFBFBF"/>
              <w:right w:val="nil"/>
            </w:tcBorders>
            <w:shd w:val="clear" w:color="auto" w:fill="auto"/>
            <w:vAlign w:val="bottom"/>
            <w:hideMark/>
          </w:tcPr>
          <w:p w14:paraId="53B1A4D1"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Petroleum Industry</w:t>
            </w:r>
          </w:p>
        </w:tc>
        <w:tc>
          <w:tcPr>
            <w:tcW w:w="2790" w:type="dxa"/>
            <w:tcBorders>
              <w:top w:val="single" w:sz="4" w:space="0" w:color="0096D7"/>
              <w:left w:val="nil"/>
              <w:bottom w:val="single" w:sz="4" w:space="0" w:color="BFBFBF"/>
              <w:right w:val="nil"/>
            </w:tcBorders>
            <w:shd w:val="clear" w:color="auto" w:fill="auto"/>
            <w:vAlign w:val="bottom"/>
            <w:hideMark/>
          </w:tcPr>
          <w:p w14:paraId="610CBCD7"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2340" w:type="dxa"/>
            <w:tcBorders>
              <w:top w:val="single" w:sz="4" w:space="0" w:color="0096D7"/>
              <w:left w:val="nil"/>
              <w:bottom w:val="single" w:sz="4" w:space="0" w:color="BFBFBF"/>
              <w:right w:val="nil"/>
            </w:tcBorders>
            <w:shd w:val="clear" w:color="auto" w:fill="auto"/>
            <w:vAlign w:val="bottom"/>
            <w:hideMark/>
          </w:tcPr>
          <w:p w14:paraId="40B578EB"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1530" w:type="dxa"/>
            <w:tcBorders>
              <w:top w:val="single" w:sz="4" w:space="0" w:color="0096D7"/>
              <w:left w:val="nil"/>
              <w:bottom w:val="single" w:sz="4" w:space="0" w:color="BFBFBF"/>
              <w:right w:val="nil"/>
            </w:tcBorders>
            <w:shd w:val="clear" w:color="auto" w:fill="auto"/>
            <w:vAlign w:val="bottom"/>
            <w:hideMark/>
          </w:tcPr>
          <w:p w14:paraId="0CECB008"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3720" w:type="dxa"/>
            <w:tcBorders>
              <w:top w:val="single" w:sz="4" w:space="0" w:color="0096D7"/>
              <w:left w:val="nil"/>
              <w:bottom w:val="single" w:sz="4" w:space="0" w:color="BFBFBF"/>
              <w:right w:val="nil"/>
            </w:tcBorders>
            <w:shd w:val="clear" w:color="auto" w:fill="auto"/>
            <w:vAlign w:val="bottom"/>
            <w:hideMark/>
          </w:tcPr>
          <w:p w14:paraId="6F29E285"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r>
      <w:tr w:rsidR="003B09B3" w:rsidRPr="003B09B3" w14:paraId="44726EFD" w14:textId="77777777" w:rsidTr="00D353E7">
        <w:trPr>
          <w:trHeight w:val="480"/>
        </w:trPr>
        <w:tc>
          <w:tcPr>
            <w:tcW w:w="2520" w:type="dxa"/>
            <w:tcBorders>
              <w:top w:val="nil"/>
              <w:left w:val="nil"/>
              <w:bottom w:val="dashed" w:sz="4" w:space="0" w:color="BFBFBF"/>
              <w:right w:val="nil"/>
            </w:tcBorders>
            <w:shd w:val="clear" w:color="auto" w:fill="auto"/>
            <w:noWrap/>
            <w:hideMark/>
          </w:tcPr>
          <w:p w14:paraId="26A13C1C"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Gasoline formulation</w:t>
            </w:r>
          </w:p>
        </w:tc>
        <w:tc>
          <w:tcPr>
            <w:tcW w:w="2790" w:type="dxa"/>
            <w:tcBorders>
              <w:top w:val="nil"/>
              <w:left w:val="nil"/>
              <w:bottom w:val="dashed" w:sz="4" w:space="0" w:color="BFBFBF"/>
              <w:right w:val="nil"/>
            </w:tcBorders>
            <w:shd w:val="clear" w:color="auto" w:fill="auto"/>
            <w:hideMark/>
          </w:tcPr>
          <w:p w14:paraId="128BBC5E"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Dummy variable to indicate reformulated</w:t>
            </w:r>
          </w:p>
        </w:tc>
        <w:tc>
          <w:tcPr>
            <w:tcW w:w="2340" w:type="dxa"/>
            <w:tcBorders>
              <w:top w:val="nil"/>
              <w:left w:val="nil"/>
              <w:bottom w:val="dashed" w:sz="4" w:space="0" w:color="BFBFBF"/>
              <w:right w:val="nil"/>
            </w:tcBorders>
            <w:shd w:val="clear" w:color="auto" w:fill="auto"/>
            <w:hideMark/>
          </w:tcPr>
          <w:p w14:paraId="15C60C7C"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69D9BC93"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Station-specific</w:t>
            </w:r>
          </w:p>
        </w:tc>
        <w:tc>
          <w:tcPr>
            <w:tcW w:w="3720" w:type="dxa"/>
            <w:tcBorders>
              <w:top w:val="nil"/>
              <w:left w:val="nil"/>
              <w:bottom w:val="dashed" w:sz="4" w:space="0" w:color="BFBFBF"/>
              <w:right w:val="nil"/>
            </w:tcBorders>
            <w:shd w:val="clear" w:color="auto" w:fill="auto"/>
            <w:hideMark/>
          </w:tcPr>
          <w:p w14:paraId="612430D6"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EIA-878</w:t>
            </w:r>
          </w:p>
        </w:tc>
      </w:tr>
      <w:tr w:rsidR="003B09B3" w:rsidRPr="003B09B3" w14:paraId="1BCE71E1" w14:textId="77777777" w:rsidTr="00D353E7">
        <w:trPr>
          <w:trHeight w:val="953"/>
        </w:trPr>
        <w:tc>
          <w:tcPr>
            <w:tcW w:w="2520" w:type="dxa"/>
            <w:tcBorders>
              <w:top w:val="nil"/>
              <w:left w:val="nil"/>
              <w:bottom w:val="dashed" w:sz="4" w:space="0" w:color="BFBFBF"/>
              <w:right w:val="nil"/>
            </w:tcBorders>
            <w:shd w:val="clear" w:color="auto" w:fill="auto"/>
            <w:noWrap/>
            <w:hideMark/>
          </w:tcPr>
          <w:p w14:paraId="7518B34D"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Proximity to refinery</w:t>
            </w:r>
          </w:p>
        </w:tc>
        <w:tc>
          <w:tcPr>
            <w:tcW w:w="2790" w:type="dxa"/>
            <w:tcBorders>
              <w:top w:val="nil"/>
              <w:left w:val="nil"/>
              <w:bottom w:val="dashed" w:sz="4" w:space="0" w:color="BFBFBF"/>
              <w:right w:val="nil"/>
            </w:tcBorders>
            <w:shd w:val="clear" w:color="auto" w:fill="auto"/>
            <w:hideMark/>
          </w:tcPr>
          <w:p w14:paraId="4FA3978B"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Dummy variable indicating presence of refinery in the state</w:t>
            </w:r>
          </w:p>
        </w:tc>
        <w:tc>
          <w:tcPr>
            <w:tcW w:w="2340" w:type="dxa"/>
            <w:tcBorders>
              <w:top w:val="nil"/>
              <w:left w:val="nil"/>
              <w:bottom w:val="dashed" w:sz="4" w:space="0" w:color="BFBFBF"/>
              <w:right w:val="nil"/>
            </w:tcBorders>
            <w:shd w:val="clear" w:color="auto" w:fill="auto"/>
            <w:hideMark/>
          </w:tcPr>
          <w:p w14:paraId="51F99207"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Original dataset indicates the count of refineries in the state, recoded as dummy</w:t>
            </w:r>
          </w:p>
        </w:tc>
        <w:tc>
          <w:tcPr>
            <w:tcW w:w="1530" w:type="dxa"/>
            <w:tcBorders>
              <w:top w:val="nil"/>
              <w:left w:val="nil"/>
              <w:bottom w:val="dashed" w:sz="4" w:space="0" w:color="BFBFBF"/>
              <w:right w:val="nil"/>
            </w:tcBorders>
            <w:shd w:val="clear" w:color="auto" w:fill="auto"/>
            <w:hideMark/>
          </w:tcPr>
          <w:p w14:paraId="6E63EAE9"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3720" w:type="dxa"/>
            <w:tcBorders>
              <w:top w:val="nil"/>
              <w:left w:val="nil"/>
              <w:bottom w:val="dashed" w:sz="4" w:space="0" w:color="BFBFBF"/>
              <w:right w:val="nil"/>
            </w:tcBorders>
            <w:shd w:val="clear" w:color="auto" w:fill="auto"/>
            <w:hideMark/>
          </w:tcPr>
          <w:p w14:paraId="0A37DAB8" w14:textId="23BDABF0" w:rsidR="003B09B3" w:rsidRPr="003B09B3" w:rsidRDefault="00424493" w:rsidP="003B09B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U.S. </w:t>
            </w:r>
            <w:r w:rsidR="003B09B3" w:rsidRPr="003B09B3">
              <w:rPr>
                <w:rFonts w:ascii="Calibri" w:eastAsia="Times New Roman" w:hAnsi="Calibri" w:cs="Times New Roman"/>
                <w:color w:val="000000"/>
                <w:sz w:val="18"/>
                <w:szCs w:val="18"/>
              </w:rPr>
              <w:t>Energy Information Administration, Number and Capacity of Petroleum Refineries as of January 2017, Form EIA-820, "Annual Refinery Report"</w:t>
            </w:r>
          </w:p>
        </w:tc>
      </w:tr>
      <w:tr w:rsidR="003B09B3" w:rsidRPr="003B09B3" w14:paraId="02EDAEC1" w14:textId="77777777" w:rsidTr="00D353E7">
        <w:trPr>
          <w:trHeight w:val="300"/>
        </w:trPr>
        <w:tc>
          <w:tcPr>
            <w:tcW w:w="2520" w:type="dxa"/>
            <w:tcBorders>
              <w:top w:val="nil"/>
              <w:left w:val="nil"/>
              <w:bottom w:val="dashed" w:sz="4" w:space="0" w:color="BFBFBF"/>
              <w:right w:val="nil"/>
            </w:tcBorders>
            <w:shd w:val="clear" w:color="auto" w:fill="auto"/>
            <w:noWrap/>
            <w:hideMark/>
          </w:tcPr>
          <w:p w14:paraId="59F37E95"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Crude spot price</w:t>
            </w:r>
          </w:p>
        </w:tc>
        <w:tc>
          <w:tcPr>
            <w:tcW w:w="2790" w:type="dxa"/>
            <w:tcBorders>
              <w:top w:val="nil"/>
              <w:left w:val="nil"/>
              <w:bottom w:val="dashed" w:sz="4" w:space="0" w:color="BFBFBF"/>
              <w:right w:val="nil"/>
            </w:tcBorders>
            <w:shd w:val="clear" w:color="auto" w:fill="auto"/>
            <w:hideMark/>
          </w:tcPr>
          <w:p w14:paraId="6D4BFCA8"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WTI spot price</w:t>
            </w:r>
          </w:p>
        </w:tc>
        <w:tc>
          <w:tcPr>
            <w:tcW w:w="2340" w:type="dxa"/>
            <w:tcBorders>
              <w:top w:val="nil"/>
              <w:left w:val="nil"/>
              <w:bottom w:val="dashed" w:sz="4" w:space="0" w:color="BFBFBF"/>
              <w:right w:val="nil"/>
            </w:tcBorders>
            <w:shd w:val="clear" w:color="auto" w:fill="auto"/>
            <w:hideMark/>
          </w:tcPr>
          <w:p w14:paraId="1728B3C4"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0F852E10"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Month/year</w:t>
            </w:r>
          </w:p>
        </w:tc>
        <w:tc>
          <w:tcPr>
            <w:tcW w:w="3720" w:type="dxa"/>
            <w:tcBorders>
              <w:top w:val="nil"/>
              <w:left w:val="nil"/>
              <w:bottom w:val="dashed" w:sz="4" w:space="0" w:color="BFBFBF"/>
              <w:right w:val="nil"/>
            </w:tcBorders>
            <w:shd w:val="clear" w:color="auto" w:fill="auto"/>
            <w:hideMark/>
          </w:tcPr>
          <w:p w14:paraId="0344D6B6"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Thomson Reuters</w:t>
            </w:r>
          </w:p>
        </w:tc>
      </w:tr>
      <w:tr w:rsidR="003B09B3" w:rsidRPr="003B09B3" w14:paraId="710F6E0D" w14:textId="77777777" w:rsidTr="00D353E7">
        <w:trPr>
          <w:trHeight w:val="674"/>
        </w:trPr>
        <w:tc>
          <w:tcPr>
            <w:tcW w:w="2520" w:type="dxa"/>
            <w:tcBorders>
              <w:top w:val="nil"/>
              <w:left w:val="nil"/>
              <w:bottom w:val="dashed" w:sz="4" w:space="0" w:color="BFBFBF"/>
              <w:right w:val="nil"/>
            </w:tcBorders>
            <w:shd w:val="clear" w:color="auto" w:fill="auto"/>
            <w:noWrap/>
            <w:hideMark/>
          </w:tcPr>
          <w:p w14:paraId="7355E327"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Number of grades sold at station</w:t>
            </w:r>
          </w:p>
        </w:tc>
        <w:tc>
          <w:tcPr>
            <w:tcW w:w="2790" w:type="dxa"/>
            <w:tcBorders>
              <w:top w:val="nil"/>
              <w:left w:val="nil"/>
              <w:bottom w:val="dashed" w:sz="4" w:space="0" w:color="BFBFBF"/>
              <w:right w:val="nil"/>
            </w:tcBorders>
            <w:shd w:val="clear" w:color="auto" w:fill="auto"/>
            <w:hideMark/>
          </w:tcPr>
          <w:p w14:paraId="40F8331E" w14:textId="0B6E465A" w:rsidR="003B09B3" w:rsidRPr="003B09B3" w:rsidRDefault="003B09B3" w:rsidP="00D353E7">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 xml:space="preserve">Dummy variable to indicate whether station sells three grades </w:t>
            </w:r>
          </w:p>
        </w:tc>
        <w:tc>
          <w:tcPr>
            <w:tcW w:w="2340" w:type="dxa"/>
            <w:tcBorders>
              <w:top w:val="nil"/>
              <w:left w:val="nil"/>
              <w:bottom w:val="dashed" w:sz="4" w:space="0" w:color="BFBFBF"/>
              <w:right w:val="nil"/>
            </w:tcBorders>
            <w:shd w:val="clear" w:color="auto" w:fill="auto"/>
            <w:hideMark/>
          </w:tcPr>
          <w:p w14:paraId="0CCDE416"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Coded dummy variable based on EIA-878 respondent information</w:t>
            </w:r>
          </w:p>
        </w:tc>
        <w:tc>
          <w:tcPr>
            <w:tcW w:w="1530" w:type="dxa"/>
            <w:tcBorders>
              <w:top w:val="nil"/>
              <w:left w:val="nil"/>
              <w:bottom w:val="dashed" w:sz="4" w:space="0" w:color="BFBFBF"/>
              <w:right w:val="nil"/>
            </w:tcBorders>
            <w:shd w:val="clear" w:color="auto" w:fill="auto"/>
            <w:hideMark/>
          </w:tcPr>
          <w:p w14:paraId="51B3DFD5"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Station-specific</w:t>
            </w:r>
          </w:p>
        </w:tc>
        <w:tc>
          <w:tcPr>
            <w:tcW w:w="3720" w:type="dxa"/>
            <w:tcBorders>
              <w:top w:val="nil"/>
              <w:left w:val="nil"/>
              <w:bottom w:val="dashed" w:sz="4" w:space="0" w:color="BFBFBF"/>
              <w:right w:val="nil"/>
            </w:tcBorders>
            <w:shd w:val="clear" w:color="auto" w:fill="auto"/>
            <w:hideMark/>
          </w:tcPr>
          <w:p w14:paraId="7C9EBEEC"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EIA-878</w:t>
            </w:r>
          </w:p>
        </w:tc>
      </w:tr>
      <w:tr w:rsidR="003B09B3" w:rsidRPr="003B09B3" w14:paraId="65E1CCEB" w14:textId="77777777" w:rsidTr="00D353E7">
        <w:trPr>
          <w:trHeight w:val="224"/>
        </w:trPr>
        <w:tc>
          <w:tcPr>
            <w:tcW w:w="2520" w:type="dxa"/>
            <w:tcBorders>
              <w:top w:val="single" w:sz="4" w:space="0" w:color="0096D7"/>
              <w:left w:val="nil"/>
              <w:bottom w:val="single" w:sz="4" w:space="0" w:color="BFBFBF"/>
              <w:right w:val="nil"/>
            </w:tcBorders>
            <w:shd w:val="clear" w:color="auto" w:fill="auto"/>
            <w:noWrap/>
            <w:vAlign w:val="center"/>
            <w:hideMark/>
          </w:tcPr>
          <w:p w14:paraId="77FDCE8C"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Population</w:t>
            </w:r>
          </w:p>
        </w:tc>
        <w:tc>
          <w:tcPr>
            <w:tcW w:w="2790" w:type="dxa"/>
            <w:tcBorders>
              <w:top w:val="single" w:sz="4" w:space="0" w:color="0096D7"/>
              <w:left w:val="nil"/>
              <w:bottom w:val="single" w:sz="4" w:space="0" w:color="BFBFBF"/>
              <w:right w:val="nil"/>
            </w:tcBorders>
            <w:shd w:val="clear" w:color="auto" w:fill="auto"/>
            <w:noWrap/>
            <w:hideMark/>
          </w:tcPr>
          <w:p w14:paraId="5EE9CB5E"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2340" w:type="dxa"/>
            <w:tcBorders>
              <w:top w:val="single" w:sz="4" w:space="0" w:color="0096D7"/>
              <w:left w:val="nil"/>
              <w:bottom w:val="single" w:sz="4" w:space="0" w:color="BFBFBF"/>
              <w:right w:val="nil"/>
            </w:tcBorders>
            <w:shd w:val="clear" w:color="auto" w:fill="auto"/>
            <w:noWrap/>
            <w:hideMark/>
          </w:tcPr>
          <w:p w14:paraId="4A2BAE63"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1530" w:type="dxa"/>
            <w:tcBorders>
              <w:top w:val="single" w:sz="4" w:space="0" w:color="0096D7"/>
              <w:left w:val="nil"/>
              <w:bottom w:val="single" w:sz="4" w:space="0" w:color="BFBFBF"/>
              <w:right w:val="nil"/>
            </w:tcBorders>
            <w:shd w:val="clear" w:color="auto" w:fill="auto"/>
            <w:noWrap/>
            <w:hideMark/>
          </w:tcPr>
          <w:p w14:paraId="08CDF29F"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3720" w:type="dxa"/>
            <w:tcBorders>
              <w:top w:val="single" w:sz="4" w:space="0" w:color="0096D7"/>
              <w:left w:val="nil"/>
              <w:bottom w:val="single" w:sz="4" w:space="0" w:color="BFBFBF"/>
              <w:right w:val="nil"/>
            </w:tcBorders>
            <w:shd w:val="clear" w:color="auto" w:fill="auto"/>
            <w:noWrap/>
            <w:hideMark/>
          </w:tcPr>
          <w:p w14:paraId="5FE16B64"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r>
      <w:tr w:rsidR="003B09B3" w:rsidRPr="003B09B3" w14:paraId="4E199A68" w14:textId="77777777" w:rsidTr="00D353E7">
        <w:trPr>
          <w:trHeight w:val="467"/>
        </w:trPr>
        <w:tc>
          <w:tcPr>
            <w:tcW w:w="2520" w:type="dxa"/>
            <w:tcBorders>
              <w:top w:val="nil"/>
              <w:left w:val="nil"/>
              <w:bottom w:val="dashed" w:sz="4" w:space="0" w:color="BFBFBF"/>
              <w:right w:val="nil"/>
            </w:tcBorders>
            <w:shd w:val="clear" w:color="auto" w:fill="auto"/>
            <w:noWrap/>
            <w:hideMark/>
          </w:tcPr>
          <w:p w14:paraId="227F3B4C"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Population</w:t>
            </w:r>
          </w:p>
        </w:tc>
        <w:tc>
          <w:tcPr>
            <w:tcW w:w="2790" w:type="dxa"/>
            <w:tcBorders>
              <w:top w:val="nil"/>
              <w:left w:val="nil"/>
              <w:bottom w:val="dashed" w:sz="4" w:space="0" w:color="BFBFBF"/>
              <w:right w:val="nil"/>
            </w:tcBorders>
            <w:shd w:val="clear" w:color="auto" w:fill="auto"/>
            <w:hideMark/>
          </w:tcPr>
          <w:p w14:paraId="0612A9FB"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State-level population estimate</w:t>
            </w:r>
          </w:p>
        </w:tc>
        <w:tc>
          <w:tcPr>
            <w:tcW w:w="2340" w:type="dxa"/>
            <w:tcBorders>
              <w:top w:val="nil"/>
              <w:left w:val="nil"/>
              <w:bottom w:val="dashed" w:sz="4" w:space="0" w:color="BFBFBF"/>
              <w:right w:val="nil"/>
            </w:tcBorders>
            <w:shd w:val="clear" w:color="auto" w:fill="auto"/>
            <w:hideMark/>
          </w:tcPr>
          <w:p w14:paraId="150FADB8"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158833C7"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3720" w:type="dxa"/>
            <w:tcBorders>
              <w:top w:val="nil"/>
              <w:left w:val="nil"/>
              <w:bottom w:val="dashed" w:sz="4" w:space="0" w:color="BFBFBF"/>
              <w:right w:val="nil"/>
            </w:tcBorders>
            <w:shd w:val="clear" w:color="auto" w:fill="auto"/>
            <w:hideMark/>
          </w:tcPr>
          <w:p w14:paraId="25371B28"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U.S. Census Bureau, 2011 - 2015, American Community Survey 5-Year Estimates</w:t>
            </w:r>
          </w:p>
        </w:tc>
      </w:tr>
      <w:tr w:rsidR="003B09B3" w:rsidRPr="003B09B3" w14:paraId="1FA6B5CE" w14:textId="77777777" w:rsidTr="00D353E7">
        <w:trPr>
          <w:trHeight w:val="467"/>
        </w:trPr>
        <w:tc>
          <w:tcPr>
            <w:tcW w:w="2520" w:type="dxa"/>
            <w:tcBorders>
              <w:top w:val="nil"/>
              <w:left w:val="nil"/>
              <w:bottom w:val="dashed" w:sz="4" w:space="0" w:color="BFBFBF"/>
              <w:right w:val="nil"/>
            </w:tcBorders>
            <w:shd w:val="clear" w:color="auto" w:fill="auto"/>
            <w:noWrap/>
            <w:hideMark/>
          </w:tcPr>
          <w:p w14:paraId="47456F8F"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Income</w:t>
            </w:r>
          </w:p>
        </w:tc>
        <w:tc>
          <w:tcPr>
            <w:tcW w:w="2790" w:type="dxa"/>
            <w:tcBorders>
              <w:top w:val="nil"/>
              <w:left w:val="nil"/>
              <w:bottom w:val="dashed" w:sz="4" w:space="0" w:color="BFBFBF"/>
              <w:right w:val="nil"/>
            </w:tcBorders>
            <w:shd w:val="clear" w:color="auto" w:fill="auto"/>
            <w:hideMark/>
          </w:tcPr>
          <w:p w14:paraId="4DD58A61"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Median Household Income</w:t>
            </w:r>
          </w:p>
        </w:tc>
        <w:tc>
          <w:tcPr>
            <w:tcW w:w="2340" w:type="dxa"/>
            <w:tcBorders>
              <w:top w:val="nil"/>
              <w:left w:val="nil"/>
              <w:bottom w:val="dashed" w:sz="4" w:space="0" w:color="BFBFBF"/>
              <w:right w:val="nil"/>
            </w:tcBorders>
            <w:shd w:val="clear" w:color="auto" w:fill="auto"/>
            <w:hideMark/>
          </w:tcPr>
          <w:p w14:paraId="142A8561"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3E4BA16C"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3720" w:type="dxa"/>
            <w:tcBorders>
              <w:top w:val="nil"/>
              <w:left w:val="nil"/>
              <w:bottom w:val="dashed" w:sz="4" w:space="0" w:color="BFBFBF"/>
              <w:right w:val="nil"/>
            </w:tcBorders>
            <w:shd w:val="clear" w:color="auto" w:fill="auto"/>
            <w:hideMark/>
          </w:tcPr>
          <w:p w14:paraId="767C7523"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U.S. Census Bureau, 2011 - 2015, American Community Survey 5-Year Estimates</w:t>
            </w:r>
          </w:p>
        </w:tc>
      </w:tr>
      <w:tr w:rsidR="003B09B3" w:rsidRPr="003B09B3" w14:paraId="3E76CB3C" w14:textId="77777777" w:rsidTr="00D353E7">
        <w:trPr>
          <w:trHeight w:val="206"/>
        </w:trPr>
        <w:tc>
          <w:tcPr>
            <w:tcW w:w="2520" w:type="dxa"/>
            <w:tcBorders>
              <w:top w:val="single" w:sz="4" w:space="0" w:color="0096D7"/>
              <w:left w:val="nil"/>
              <w:bottom w:val="single" w:sz="4" w:space="0" w:color="BFBFBF"/>
              <w:right w:val="nil"/>
            </w:tcBorders>
            <w:shd w:val="clear" w:color="auto" w:fill="auto"/>
            <w:noWrap/>
            <w:vAlign w:val="center"/>
            <w:hideMark/>
          </w:tcPr>
          <w:p w14:paraId="59995D80"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Transportation</w:t>
            </w:r>
          </w:p>
        </w:tc>
        <w:tc>
          <w:tcPr>
            <w:tcW w:w="2790" w:type="dxa"/>
            <w:tcBorders>
              <w:top w:val="single" w:sz="4" w:space="0" w:color="0096D7"/>
              <w:left w:val="nil"/>
              <w:bottom w:val="single" w:sz="4" w:space="0" w:color="BFBFBF"/>
              <w:right w:val="nil"/>
            </w:tcBorders>
            <w:shd w:val="clear" w:color="auto" w:fill="auto"/>
            <w:noWrap/>
            <w:hideMark/>
          </w:tcPr>
          <w:p w14:paraId="6BA4E425"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2340" w:type="dxa"/>
            <w:tcBorders>
              <w:top w:val="single" w:sz="4" w:space="0" w:color="0096D7"/>
              <w:left w:val="nil"/>
              <w:bottom w:val="single" w:sz="4" w:space="0" w:color="BFBFBF"/>
              <w:right w:val="nil"/>
            </w:tcBorders>
            <w:shd w:val="clear" w:color="auto" w:fill="auto"/>
            <w:noWrap/>
            <w:hideMark/>
          </w:tcPr>
          <w:p w14:paraId="2FD147D1"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1530" w:type="dxa"/>
            <w:tcBorders>
              <w:top w:val="single" w:sz="4" w:space="0" w:color="0096D7"/>
              <w:left w:val="nil"/>
              <w:bottom w:val="single" w:sz="4" w:space="0" w:color="BFBFBF"/>
              <w:right w:val="nil"/>
            </w:tcBorders>
            <w:shd w:val="clear" w:color="auto" w:fill="auto"/>
            <w:noWrap/>
            <w:hideMark/>
          </w:tcPr>
          <w:p w14:paraId="0ABCF7D1"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c>
          <w:tcPr>
            <w:tcW w:w="3720" w:type="dxa"/>
            <w:tcBorders>
              <w:top w:val="single" w:sz="4" w:space="0" w:color="0096D7"/>
              <w:left w:val="nil"/>
              <w:bottom w:val="single" w:sz="4" w:space="0" w:color="BFBFBF"/>
              <w:right w:val="nil"/>
            </w:tcBorders>
            <w:shd w:val="clear" w:color="auto" w:fill="auto"/>
            <w:noWrap/>
            <w:hideMark/>
          </w:tcPr>
          <w:p w14:paraId="0E7BCD11" w14:textId="77777777" w:rsidR="003B09B3" w:rsidRPr="003B09B3" w:rsidRDefault="003B09B3" w:rsidP="003B09B3">
            <w:pPr>
              <w:spacing w:after="0" w:line="240" w:lineRule="auto"/>
              <w:rPr>
                <w:rFonts w:ascii="Calibri" w:eastAsia="Times New Roman" w:hAnsi="Calibri" w:cs="Times New Roman"/>
                <w:b/>
                <w:bCs/>
                <w:color w:val="000000"/>
                <w:sz w:val="18"/>
                <w:szCs w:val="18"/>
              </w:rPr>
            </w:pPr>
            <w:r w:rsidRPr="003B09B3">
              <w:rPr>
                <w:rFonts w:ascii="Calibri" w:eastAsia="Times New Roman" w:hAnsi="Calibri" w:cs="Times New Roman"/>
                <w:b/>
                <w:bCs/>
                <w:color w:val="000000"/>
                <w:sz w:val="18"/>
                <w:szCs w:val="18"/>
              </w:rPr>
              <w:t> </w:t>
            </w:r>
          </w:p>
        </w:tc>
      </w:tr>
      <w:tr w:rsidR="003B09B3" w:rsidRPr="003B09B3" w14:paraId="7D9C370F" w14:textId="77777777" w:rsidTr="00D353E7">
        <w:trPr>
          <w:trHeight w:val="701"/>
        </w:trPr>
        <w:tc>
          <w:tcPr>
            <w:tcW w:w="2520" w:type="dxa"/>
            <w:tcBorders>
              <w:top w:val="nil"/>
              <w:left w:val="nil"/>
              <w:bottom w:val="dashed" w:sz="4" w:space="0" w:color="BFBFBF"/>
              <w:right w:val="nil"/>
            </w:tcBorders>
            <w:shd w:val="clear" w:color="auto" w:fill="auto"/>
            <w:noWrap/>
            <w:hideMark/>
          </w:tcPr>
          <w:p w14:paraId="6E5F9044"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Vehicle miles traveled</w:t>
            </w:r>
          </w:p>
        </w:tc>
        <w:tc>
          <w:tcPr>
            <w:tcW w:w="2790" w:type="dxa"/>
            <w:tcBorders>
              <w:top w:val="nil"/>
              <w:left w:val="nil"/>
              <w:bottom w:val="dashed" w:sz="4" w:space="0" w:color="BFBFBF"/>
              <w:right w:val="nil"/>
            </w:tcBorders>
            <w:shd w:val="clear" w:color="auto" w:fill="auto"/>
            <w:hideMark/>
          </w:tcPr>
          <w:p w14:paraId="632E67E1" w14:textId="75B58116" w:rsidR="003B09B3" w:rsidRPr="003B09B3" w:rsidRDefault="00D353E7" w:rsidP="003B09B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w:t>
            </w:r>
            <w:r w:rsidR="003B09B3" w:rsidRPr="003B09B3">
              <w:rPr>
                <w:rFonts w:ascii="Calibri" w:eastAsia="Times New Roman" w:hAnsi="Calibri" w:cs="Times New Roman"/>
                <w:color w:val="000000"/>
                <w:sz w:val="18"/>
                <w:szCs w:val="18"/>
              </w:rPr>
              <w:t xml:space="preserve">verage miles travelled annually by state. </w:t>
            </w:r>
          </w:p>
        </w:tc>
        <w:tc>
          <w:tcPr>
            <w:tcW w:w="2340" w:type="dxa"/>
            <w:tcBorders>
              <w:top w:val="nil"/>
              <w:left w:val="nil"/>
              <w:bottom w:val="dashed" w:sz="4" w:space="0" w:color="BFBFBF"/>
              <w:right w:val="nil"/>
            </w:tcBorders>
            <w:shd w:val="clear" w:color="auto" w:fill="auto"/>
            <w:hideMark/>
          </w:tcPr>
          <w:p w14:paraId="0654013A"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5FBFC36B"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3720" w:type="dxa"/>
            <w:tcBorders>
              <w:top w:val="nil"/>
              <w:left w:val="nil"/>
              <w:bottom w:val="dashed" w:sz="4" w:space="0" w:color="BFBFBF"/>
              <w:right w:val="nil"/>
            </w:tcBorders>
            <w:shd w:val="clear" w:color="auto" w:fill="auto"/>
            <w:hideMark/>
          </w:tcPr>
          <w:p w14:paraId="5AB8C64C"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Federal Highway Administration, Annual Vehicle-Miles by Functional System, Total, October 2015</w:t>
            </w:r>
          </w:p>
        </w:tc>
      </w:tr>
      <w:tr w:rsidR="003B09B3" w:rsidRPr="003B09B3" w14:paraId="199D35FE" w14:textId="77777777" w:rsidTr="00D353E7">
        <w:trPr>
          <w:trHeight w:val="350"/>
        </w:trPr>
        <w:tc>
          <w:tcPr>
            <w:tcW w:w="2520" w:type="dxa"/>
            <w:tcBorders>
              <w:top w:val="nil"/>
              <w:left w:val="nil"/>
              <w:bottom w:val="dashed" w:sz="4" w:space="0" w:color="BFBFBF"/>
              <w:right w:val="nil"/>
            </w:tcBorders>
            <w:shd w:val="clear" w:color="auto" w:fill="auto"/>
            <w:noWrap/>
            <w:hideMark/>
          </w:tcPr>
          <w:p w14:paraId="6CF93867"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Registered vehicles</w:t>
            </w:r>
          </w:p>
        </w:tc>
        <w:tc>
          <w:tcPr>
            <w:tcW w:w="2790" w:type="dxa"/>
            <w:tcBorders>
              <w:top w:val="nil"/>
              <w:left w:val="nil"/>
              <w:bottom w:val="dashed" w:sz="4" w:space="0" w:color="BFBFBF"/>
              <w:right w:val="nil"/>
            </w:tcBorders>
            <w:shd w:val="clear" w:color="auto" w:fill="auto"/>
            <w:hideMark/>
          </w:tcPr>
          <w:p w14:paraId="2FF5AE4C" w14:textId="655EEB0B" w:rsidR="003B09B3" w:rsidRPr="003B09B3" w:rsidRDefault="00D353E7" w:rsidP="00D353E7">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Number of vehicles (commercial and government) </w:t>
            </w:r>
            <w:r w:rsidR="003B09B3" w:rsidRPr="003B09B3">
              <w:rPr>
                <w:rFonts w:ascii="Calibri" w:eastAsia="Times New Roman" w:hAnsi="Calibri" w:cs="Times New Roman"/>
                <w:color w:val="000000"/>
                <w:sz w:val="18"/>
                <w:szCs w:val="18"/>
              </w:rPr>
              <w:t xml:space="preserve">registered in a state. </w:t>
            </w:r>
          </w:p>
        </w:tc>
        <w:tc>
          <w:tcPr>
            <w:tcW w:w="2340" w:type="dxa"/>
            <w:tcBorders>
              <w:top w:val="nil"/>
              <w:left w:val="nil"/>
              <w:bottom w:val="dashed" w:sz="4" w:space="0" w:color="BFBFBF"/>
              <w:right w:val="nil"/>
            </w:tcBorders>
            <w:shd w:val="clear" w:color="auto" w:fill="auto"/>
            <w:hideMark/>
          </w:tcPr>
          <w:p w14:paraId="7F2C5C38"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None</w:t>
            </w:r>
          </w:p>
        </w:tc>
        <w:tc>
          <w:tcPr>
            <w:tcW w:w="1530" w:type="dxa"/>
            <w:tcBorders>
              <w:top w:val="nil"/>
              <w:left w:val="nil"/>
              <w:bottom w:val="dashed" w:sz="4" w:space="0" w:color="BFBFBF"/>
              <w:right w:val="nil"/>
            </w:tcBorders>
            <w:shd w:val="clear" w:color="auto" w:fill="auto"/>
            <w:hideMark/>
          </w:tcPr>
          <w:p w14:paraId="63DABC8A"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3720" w:type="dxa"/>
            <w:tcBorders>
              <w:top w:val="nil"/>
              <w:left w:val="nil"/>
              <w:bottom w:val="dashed" w:sz="4" w:space="0" w:color="BFBFBF"/>
              <w:right w:val="nil"/>
            </w:tcBorders>
            <w:shd w:val="clear" w:color="auto" w:fill="auto"/>
            <w:hideMark/>
          </w:tcPr>
          <w:p w14:paraId="597FDF0F"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Federal Highway Administration, Total Vehicle Registration, Total, December 2015</w:t>
            </w:r>
          </w:p>
        </w:tc>
      </w:tr>
      <w:tr w:rsidR="003B09B3" w:rsidRPr="003B09B3" w14:paraId="66666073" w14:textId="77777777" w:rsidTr="00D353E7">
        <w:trPr>
          <w:trHeight w:val="260"/>
        </w:trPr>
        <w:tc>
          <w:tcPr>
            <w:tcW w:w="2520" w:type="dxa"/>
            <w:tcBorders>
              <w:top w:val="nil"/>
              <w:left w:val="nil"/>
              <w:bottom w:val="dashed" w:sz="4" w:space="0" w:color="BFBFBF"/>
              <w:right w:val="nil"/>
            </w:tcBorders>
            <w:shd w:val="clear" w:color="auto" w:fill="auto"/>
            <w:noWrap/>
            <w:hideMark/>
          </w:tcPr>
          <w:p w14:paraId="3F2D0832" w14:textId="77777777" w:rsidR="003B09B3" w:rsidRPr="003B09B3" w:rsidRDefault="003B09B3" w:rsidP="00FB5311">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 xml:space="preserve">Use of public transportation </w:t>
            </w:r>
          </w:p>
        </w:tc>
        <w:tc>
          <w:tcPr>
            <w:tcW w:w="2790" w:type="dxa"/>
            <w:tcBorders>
              <w:top w:val="nil"/>
              <w:left w:val="nil"/>
              <w:bottom w:val="dashed" w:sz="4" w:space="0" w:color="BFBFBF"/>
              <w:right w:val="nil"/>
            </w:tcBorders>
            <w:shd w:val="clear" w:color="auto" w:fill="auto"/>
            <w:hideMark/>
          </w:tcPr>
          <w:p w14:paraId="3DA04579"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Dummy variable to indicate states with high public transport usage</w:t>
            </w:r>
          </w:p>
        </w:tc>
        <w:tc>
          <w:tcPr>
            <w:tcW w:w="2340" w:type="dxa"/>
            <w:tcBorders>
              <w:top w:val="nil"/>
              <w:left w:val="nil"/>
              <w:bottom w:val="dashed" w:sz="4" w:space="0" w:color="BFBFBF"/>
              <w:right w:val="nil"/>
            </w:tcBorders>
            <w:shd w:val="clear" w:color="auto" w:fill="auto"/>
            <w:hideMark/>
          </w:tcPr>
          <w:p w14:paraId="48960E98"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 xml:space="preserve">States with percentages above the median (31%) were recoded as high public transport; 0 otherwise </w:t>
            </w:r>
          </w:p>
        </w:tc>
        <w:tc>
          <w:tcPr>
            <w:tcW w:w="1530" w:type="dxa"/>
            <w:tcBorders>
              <w:top w:val="nil"/>
              <w:left w:val="nil"/>
              <w:bottom w:val="dashed" w:sz="4" w:space="0" w:color="BFBFBF"/>
              <w:right w:val="nil"/>
            </w:tcBorders>
            <w:shd w:val="clear" w:color="auto" w:fill="auto"/>
            <w:hideMark/>
          </w:tcPr>
          <w:p w14:paraId="3FBABCAE"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State</w:t>
            </w:r>
          </w:p>
        </w:tc>
        <w:tc>
          <w:tcPr>
            <w:tcW w:w="3720" w:type="dxa"/>
            <w:tcBorders>
              <w:top w:val="nil"/>
              <w:left w:val="nil"/>
              <w:bottom w:val="dashed" w:sz="4" w:space="0" w:color="BFBFBF"/>
              <w:right w:val="nil"/>
            </w:tcBorders>
            <w:shd w:val="clear" w:color="auto" w:fill="auto"/>
            <w:hideMark/>
          </w:tcPr>
          <w:p w14:paraId="79E5226B" w14:textId="77777777" w:rsidR="003B09B3" w:rsidRPr="003B09B3" w:rsidRDefault="003B09B3" w:rsidP="003B09B3">
            <w:pPr>
              <w:spacing w:after="0" w:line="240" w:lineRule="auto"/>
              <w:rPr>
                <w:rFonts w:ascii="Calibri" w:eastAsia="Times New Roman" w:hAnsi="Calibri" w:cs="Times New Roman"/>
                <w:color w:val="000000"/>
                <w:sz w:val="18"/>
                <w:szCs w:val="18"/>
              </w:rPr>
            </w:pPr>
            <w:r w:rsidRPr="003B09B3">
              <w:rPr>
                <w:rFonts w:ascii="Calibri" w:eastAsia="Times New Roman" w:hAnsi="Calibri" w:cs="Times New Roman"/>
                <w:color w:val="000000"/>
                <w:sz w:val="18"/>
                <w:szCs w:val="18"/>
              </w:rPr>
              <w:t>U.S. Census Bureau, 2011 - 2015, American Community Survey 5-Year Estimates</w:t>
            </w:r>
          </w:p>
        </w:tc>
      </w:tr>
    </w:tbl>
    <w:p w14:paraId="19DD3274" w14:textId="036A9599" w:rsidR="001A77D2" w:rsidRDefault="001A77D2" w:rsidP="00AB37C6">
      <w:pPr>
        <w:spacing w:line="240" w:lineRule="auto"/>
        <w:rPr>
          <w:b/>
          <w:bCs/>
          <w:noProof/>
          <w:color w:val="1396D8"/>
          <w:szCs w:val="18"/>
        </w:rPr>
      </w:pPr>
    </w:p>
    <w:sectPr w:rsidR="001A77D2" w:rsidSect="003B09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4FB35" w14:textId="77777777" w:rsidR="00A878BB" w:rsidRDefault="00A878BB" w:rsidP="00536CE1">
      <w:pPr>
        <w:spacing w:after="0" w:line="240" w:lineRule="auto"/>
      </w:pPr>
      <w:r>
        <w:separator/>
      </w:r>
    </w:p>
  </w:endnote>
  <w:endnote w:type="continuationSeparator" w:id="0">
    <w:p w14:paraId="3A30CB73" w14:textId="77777777" w:rsidR="00A878BB" w:rsidRDefault="00A878BB" w:rsidP="00536CE1">
      <w:pPr>
        <w:spacing w:after="0" w:line="240" w:lineRule="auto"/>
      </w:pPr>
      <w:r>
        <w:continuationSeparator/>
      </w:r>
    </w:p>
  </w:endnote>
  <w:endnote w:type="continuationNotice" w:id="1">
    <w:p w14:paraId="3BAAF3F8" w14:textId="77777777" w:rsidR="00A878BB" w:rsidRDefault="00A87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539D7" w14:textId="64C619CC" w:rsidR="00A878BB" w:rsidRPr="001F3A8F" w:rsidRDefault="00A878BB" w:rsidP="001F3A8F">
    <w:pPr>
      <w:pStyle w:val="Footer"/>
    </w:pPr>
    <w:r w:rsidRPr="00CB180D">
      <w:t xml:space="preserve">U.S. Energy Information Administration   |   </w:t>
    </w:r>
    <w:sdt>
      <w:sdtPr>
        <w:alias w:val="Subject"/>
        <w:id w:val="1705557749"/>
        <w:dataBinding w:prefixMappings="xmlns:ns0='http://purl.org/dc/elements/1.1/' xmlns:ns1='http://schemas.openxmlformats.org/package/2006/metadata/core-properties' " w:xpath="/ns1:coreProperties[1]/ns0:subject[1]" w:storeItemID="{6C3C8BC8-F283-45AE-878A-BAB7291924A1}"/>
        <w:text/>
      </w:sdtPr>
      <w:sdtEndPr/>
      <w:sdtContent>
        <w:r>
          <w:t>Evaluation of Alternative Sources for Motor Gasoline Prices and Volumes</w:t>
        </w:r>
      </w:sdtContent>
    </w:sdt>
    <w:r>
      <w:tab/>
    </w:r>
    <w:r>
      <w:fldChar w:fldCharType="begin"/>
    </w:r>
    <w:r>
      <w:instrText xml:space="preserve"> PAGE   \* MERGEFORMAT </w:instrText>
    </w:r>
    <w:r>
      <w:fldChar w:fldCharType="separate"/>
    </w:r>
    <w:r w:rsidR="00757009">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CE682" w14:textId="6D4FAC10" w:rsidR="00A878BB" w:rsidRDefault="00757009" w:rsidP="00760677">
    <w:pPr>
      <w:pStyle w:val="Footer"/>
    </w:pPr>
    <w:sdt>
      <w:sdtPr>
        <w:id w:val="823140253"/>
        <w:docPartObj>
          <w:docPartGallery w:val="Page Numbers (Bottom of Page)"/>
          <w:docPartUnique/>
        </w:docPartObj>
      </w:sdtPr>
      <w:sdtEndPr/>
      <w:sdtContent>
        <w:r w:rsidR="00A878BB" w:rsidRPr="00CB180D">
          <w:t xml:space="preserve">U.S. Energy Information Administration   |   </w:t>
        </w:r>
        <w:sdt>
          <w:sdtPr>
            <w:alias w:val="Subject"/>
            <w:id w:val="823140254"/>
            <w:dataBinding w:prefixMappings="xmlns:ns0='http://purl.org/dc/elements/1.1/' xmlns:ns1='http://schemas.openxmlformats.org/package/2006/metadata/core-properties' " w:xpath="/ns1:coreProperties[1]/ns0:subject[1]" w:storeItemID="{6C3C8BC8-F283-45AE-878A-BAB7291924A1}"/>
            <w:text/>
          </w:sdtPr>
          <w:sdtEndPr/>
          <w:sdtContent>
            <w:r w:rsidR="00A878BB">
              <w:t>Evaluation of Alternative Sources for Motor Gasoline Prices and Volumes</w:t>
            </w:r>
          </w:sdtContent>
        </w:sdt>
        <w:r w:rsidR="00A878BB" w:rsidRPr="00CB180D">
          <w:tab/>
        </w:r>
      </w:sdtContent>
    </w:sdt>
    <w:r w:rsidR="00A878BB" w:rsidRPr="00760677">
      <w:t xml:space="preserve"> </w:t>
    </w:r>
    <w:r w:rsidR="00A878BB">
      <w:fldChar w:fldCharType="begin"/>
    </w:r>
    <w:r w:rsidR="00A878BB">
      <w:instrText xml:space="preserve"> PAGE   \* MERGEFORMAT </w:instrText>
    </w:r>
    <w:r w:rsidR="00A878BB">
      <w:fldChar w:fldCharType="separate"/>
    </w:r>
    <w:r w:rsidR="00A878BB">
      <w:rPr>
        <w:noProof/>
      </w:rPr>
      <w:t>i</w:t>
    </w:r>
    <w:r w:rsidR="00A878BB">
      <w:rPr>
        <w:noProof/>
      </w:rPr>
      <w:fldChar w:fldCharType="end"/>
    </w:r>
  </w:p>
  <w:p w14:paraId="1533BC68" w14:textId="77777777" w:rsidR="00A878BB" w:rsidRDefault="00A878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6F2A4" w14:textId="2E235584" w:rsidR="00A878BB" w:rsidRDefault="00757009" w:rsidP="00760677">
    <w:pPr>
      <w:pStyle w:val="Footer"/>
    </w:pPr>
    <w:sdt>
      <w:sdtPr>
        <w:id w:val="37707256"/>
        <w:docPartObj>
          <w:docPartGallery w:val="Page Numbers (Bottom of Page)"/>
          <w:docPartUnique/>
        </w:docPartObj>
      </w:sdtPr>
      <w:sdtEndPr/>
      <w:sdtContent>
        <w:r w:rsidR="00A878BB" w:rsidRPr="00CB180D">
          <w:t xml:space="preserve">U.S. Energy Information Administration   |   </w:t>
        </w:r>
        <w:sdt>
          <w:sdtPr>
            <w:alias w:val="Subject"/>
            <w:id w:val="37707274"/>
            <w:dataBinding w:prefixMappings="xmlns:ns0='http://purl.org/dc/elements/1.1/' xmlns:ns1='http://schemas.openxmlformats.org/package/2006/metadata/core-properties' " w:xpath="/ns1:coreProperties[1]/ns0:subject[1]" w:storeItemID="{6C3C8BC8-F283-45AE-878A-BAB7291924A1}"/>
            <w:text/>
          </w:sdtPr>
          <w:sdtEndPr/>
          <w:sdtContent>
            <w:r w:rsidR="00A878BB">
              <w:t>Evaluation of Alternative Sources for Motor Gasoline Prices and Volumes</w:t>
            </w:r>
          </w:sdtContent>
        </w:sdt>
        <w:r w:rsidR="00A878BB" w:rsidRPr="00CB180D">
          <w:tab/>
        </w:r>
      </w:sdtContent>
    </w:sdt>
    <w:r w:rsidR="00A878BB" w:rsidRPr="00760677">
      <w:t xml:space="preserve"> </w:t>
    </w:r>
    <w:r w:rsidR="00A878BB">
      <w:fldChar w:fldCharType="begin"/>
    </w:r>
    <w:r w:rsidR="00A878BB">
      <w:instrText xml:space="preserve"> PAGE   \* MERGEFORMAT </w:instrText>
    </w:r>
    <w:r w:rsidR="00A878BB">
      <w:fldChar w:fldCharType="separate"/>
    </w:r>
    <w:r w:rsidR="00A878BB">
      <w:rPr>
        <w:noProof/>
      </w:rPr>
      <w:t>i</w:t>
    </w:r>
    <w:r w:rsidR="00A878BB">
      <w:rPr>
        <w:noProof/>
      </w:rPr>
      <w:fldChar w:fldCharType="end"/>
    </w:r>
  </w:p>
  <w:p w14:paraId="16C74A62" w14:textId="77777777" w:rsidR="00A878BB" w:rsidRDefault="00A878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35E9" w14:textId="0514BDD5" w:rsidR="00A878BB" w:rsidRDefault="00757009" w:rsidP="00760677">
    <w:pPr>
      <w:pStyle w:val="Footer"/>
    </w:pPr>
    <w:sdt>
      <w:sdtPr>
        <w:id w:val="1300337987"/>
        <w:docPartObj>
          <w:docPartGallery w:val="Page Numbers (Bottom of Page)"/>
          <w:docPartUnique/>
        </w:docPartObj>
      </w:sdtPr>
      <w:sdtEndPr/>
      <w:sdtContent>
        <w:r w:rsidR="00A878BB" w:rsidRPr="00CB180D">
          <w:t xml:space="preserve">U.S. Energy Information Administration   |   </w:t>
        </w:r>
        <w:sdt>
          <w:sdtPr>
            <w:alias w:val="Subject"/>
            <w:id w:val="1300337988"/>
            <w:dataBinding w:prefixMappings="xmlns:ns0='http://purl.org/dc/elements/1.1/' xmlns:ns1='http://schemas.openxmlformats.org/package/2006/metadata/core-properties' " w:xpath="/ns1:coreProperties[1]/ns0:subject[1]" w:storeItemID="{6C3C8BC8-F283-45AE-878A-BAB7291924A1}"/>
            <w:text/>
          </w:sdtPr>
          <w:sdtEndPr/>
          <w:sdtContent>
            <w:r w:rsidR="00A878BB">
              <w:t>Evaluation of Alternative Sources for Motor Gasoline Prices and Volumes</w:t>
            </w:r>
          </w:sdtContent>
        </w:sdt>
        <w:r w:rsidR="00A878BB" w:rsidRPr="00CB180D">
          <w:tab/>
        </w:r>
      </w:sdtContent>
    </w:sdt>
    <w:r w:rsidR="00A878BB" w:rsidRPr="00760677">
      <w:t xml:space="preserve"> </w:t>
    </w:r>
    <w:r w:rsidR="00A878BB">
      <w:fldChar w:fldCharType="begin"/>
    </w:r>
    <w:r w:rsidR="00A878BB">
      <w:instrText xml:space="preserve"> PAGE   \* MERGEFORMAT </w:instrText>
    </w:r>
    <w:r w:rsidR="00A878BB">
      <w:fldChar w:fldCharType="separate"/>
    </w:r>
    <w:r w:rsidR="00A878BB">
      <w:rPr>
        <w:noProof/>
      </w:rPr>
      <w:t>ii</w:t>
    </w:r>
    <w:r w:rsidR="00A878BB">
      <w:rPr>
        <w:noProof/>
      </w:rPr>
      <w:fldChar w:fldCharType="end"/>
    </w:r>
  </w:p>
  <w:p w14:paraId="57B0057C" w14:textId="77777777" w:rsidR="00A878BB" w:rsidRDefault="00A878BB" w:rsidP="007606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18D6B" w14:textId="690A5557" w:rsidR="00A878BB" w:rsidRPr="001F3A8F" w:rsidRDefault="00A878BB" w:rsidP="00836423">
    <w:pPr>
      <w:pStyle w:val="Footer"/>
    </w:pPr>
    <w:r w:rsidRPr="00CB180D">
      <w:t xml:space="preserve">U.S. Energy Information Administration   |   </w:t>
    </w:r>
    <w:sdt>
      <w:sdtPr>
        <w:alias w:val="Subject"/>
        <w:id w:val="1160811214"/>
        <w:dataBinding w:prefixMappings="xmlns:ns0='http://purl.org/dc/elements/1.1/' xmlns:ns1='http://schemas.openxmlformats.org/package/2006/metadata/core-properties' " w:xpath="/ns1:coreProperties[1]/ns0:subject[1]" w:storeItemID="{6C3C8BC8-F283-45AE-878A-BAB7291924A1}"/>
        <w:text/>
      </w:sdtPr>
      <w:sdtEndPr/>
      <w:sdtContent>
        <w:r>
          <w:t>Evaluation of Alternative Sources for Motor Gasoline Prices and Volumes</w:t>
        </w:r>
      </w:sdtContent>
    </w:sdt>
    <w:r>
      <w:tab/>
    </w:r>
    <w:r>
      <w:fldChar w:fldCharType="begin"/>
    </w:r>
    <w:r>
      <w:instrText xml:space="preserve"> PAGE   \* MERGEFORMAT </w:instrText>
    </w:r>
    <w:r>
      <w:fldChar w:fldCharType="separate"/>
    </w:r>
    <w:r w:rsidR="007E726F">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2420E" w14:textId="77777777" w:rsidR="00A878BB" w:rsidRDefault="00A878BB" w:rsidP="00536CE1">
      <w:pPr>
        <w:spacing w:after="0" w:line="240" w:lineRule="auto"/>
      </w:pPr>
      <w:r>
        <w:separator/>
      </w:r>
    </w:p>
  </w:footnote>
  <w:footnote w:type="continuationSeparator" w:id="0">
    <w:p w14:paraId="1C348C45" w14:textId="77777777" w:rsidR="00A878BB" w:rsidRDefault="00A878BB" w:rsidP="00536CE1">
      <w:pPr>
        <w:spacing w:after="0" w:line="240" w:lineRule="auto"/>
      </w:pPr>
      <w:r>
        <w:continuationSeparator/>
      </w:r>
    </w:p>
  </w:footnote>
  <w:footnote w:type="continuationNotice" w:id="1">
    <w:p w14:paraId="02081139" w14:textId="77777777" w:rsidR="00A878BB" w:rsidRDefault="00A878BB">
      <w:pPr>
        <w:spacing w:after="0" w:line="240" w:lineRule="auto"/>
      </w:pPr>
    </w:p>
  </w:footnote>
  <w:footnote w:id="2">
    <w:p w14:paraId="067DFD39" w14:textId="77777777" w:rsidR="00A878BB" w:rsidRDefault="00A878BB" w:rsidP="002452E9">
      <w:pPr>
        <w:pStyle w:val="FootnoteText"/>
      </w:pPr>
      <w:r w:rsidRPr="002452E9">
        <w:rPr>
          <w:rStyle w:val="FootnoteReference"/>
        </w:rPr>
        <w:footnoteRef/>
      </w:r>
      <w:r w:rsidRPr="002452E9">
        <w:t xml:space="preserve"> </w:t>
      </w:r>
      <w:r w:rsidRPr="00AE517F">
        <w:t>https://www.opisnet.com/about/opis.aspx</w:t>
      </w:r>
    </w:p>
  </w:footnote>
  <w:footnote w:id="3">
    <w:p w14:paraId="4692A1E5" w14:textId="2C6B12FE" w:rsidR="00A878BB" w:rsidRDefault="00A878BB" w:rsidP="00374CD5">
      <w:pPr>
        <w:pStyle w:val="FootnoteText"/>
      </w:pPr>
      <w:r>
        <w:rPr>
          <w:rStyle w:val="FootnoteReference"/>
        </w:rPr>
        <w:footnoteRef/>
      </w:r>
      <w:r>
        <w:t xml:space="preserve"> Prices were obtained from gasprices.aaa.com on Mondays to align with EIA-878 price definition. Note that AAA’s data source is OPIS. Per email communication with AAA, t</w:t>
      </w:r>
      <w:r w:rsidRPr="00E40CC3">
        <w:t>he last credit card swipe before midnight is collected and compiled by computer</w:t>
      </w:r>
      <w:r>
        <w:t xml:space="preserve">. </w:t>
      </w:r>
    </w:p>
  </w:footnote>
  <w:footnote w:id="4">
    <w:p w14:paraId="17C9AAD0" w14:textId="33A6C264" w:rsidR="00A878BB" w:rsidRDefault="00A878BB">
      <w:pPr>
        <w:pStyle w:val="FootnoteText"/>
      </w:pPr>
      <w:r>
        <w:rPr>
          <w:rStyle w:val="FootnoteReference"/>
        </w:rPr>
        <w:footnoteRef/>
      </w:r>
      <w:r>
        <w:t xml:space="preserve"> </w:t>
      </w:r>
      <w:r w:rsidRPr="00F82B29">
        <w:t>http://www.stat.wisc.edu/~loh/treeprogs/guide/wires11.pdf</w:t>
      </w:r>
    </w:p>
  </w:footnote>
  <w:footnote w:id="5">
    <w:p w14:paraId="7E85E46D" w14:textId="70197BC5" w:rsidR="00A878BB" w:rsidRDefault="00A878BB">
      <w:pPr>
        <w:pStyle w:val="FootnoteText"/>
      </w:pPr>
      <w:r>
        <w:rPr>
          <w:rStyle w:val="FootnoteReference"/>
        </w:rPr>
        <w:footnoteRef/>
      </w:r>
      <w:r>
        <w:t xml:space="preserve"> </w:t>
      </w:r>
      <w:r w:rsidRPr="00166CC9">
        <w:t>https://cran.r-project.org/web/packages/tree/tree.pdf</w:t>
      </w:r>
    </w:p>
  </w:footnote>
  <w:footnote w:id="6">
    <w:p w14:paraId="3B8F0879" w14:textId="2B583357" w:rsidR="00A878BB" w:rsidRDefault="00A878BB">
      <w:pPr>
        <w:pStyle w:val="FootnoteText"/>
      </w:pPr>
      <w:r>
        <w:rPr>
          <w:rStyle w:val="FootnoteReference"/>
        </w:rPr>
        <w:footnoteRef/>
      </w:r>
      <w:r>
        <w:t xml:space="preserve"> </w:t>
      </w:r>
      <w:r w:rsidRPr="00166CC9">
        <w:t>https://www.r-bloggers.com/part-4a-modelling-predicting-the-amount-of-rain/</w:t>
      </w:r>
    </w:p>
  </w:footnote>
  <w:footnote w:id="7">
    <w:p w14:paraId="1F03CF61" w14:textId="47CC6EC7" w:rsidR="00A878BB" w:rsidRDefault="00A878BB" w:rsidP="00374CD5">
      <w:pPr>
        <w:pStyle w:val="FootnoteText"/>
      </w:pPr>
      <w:r>
        <w:rPr>
          <w:rStyle w:val="FootnoteReference"/>
        </w:rPr>
        <w:footnoteRef/>
      </w:r>
      <w:r>
        <w:t xml:space="preserve"> </w:t>
      </w:r>
      <w:hyperlink r:id="rId1" w:history="1">
        <w:r w:rsidRPr="00C946CC">
          <w:rPr>
            <w:rStyle w:val="Hyperlink"/>
          </w:rPr>
          <w:t>http://tracker.gasbuddy.com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2E8A2" w14:textId="77777777" w:rsidR="00A878BB" w:rsidRDefault="00A878BB" w:rsidP="00725453">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406447E"/>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F948091A"/>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268DBE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8"/>
    <w:multiLevelType w:val="singleLevel"/>
    <w:tmpl w:val="8220A528"/>
    <w:lvl w:ilvl="0">
      <w:start w:val="1"/>
      <w:numFmt w:val="decimal"/>
      <w:pStyle w:val="ListNumber"/>
      <w:lvlText w:val="%1."/>
      <w:lvlJc w:val="left"/>
      <w:pPr>
        <w:tabs>
          <w:tab w:val="num" w:pos="360"/>
        </w:tabs>
        <w:ind w:left="360" w:hanging="360"/>
      </w:pPr>
    </w:lvl>
  </w:abstractNum>
  <w:abstractNum w:abstractNumId="4">
    <w:nsid w:val="FFFFFF89"/>
    <w:multiLevelType w:val="singleLevel"/>
    <w:tmpl w:val="56A44888"/>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B47BD8"/>
    <w:multiLevelType w:val="multilevel"/>
    <w:tmpl w:val="1A4060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6">
    <w:nsid w:val="0735225B"/>
    <w:multiLevelType w:val="hybridMultilevel"/>
    <w:tmpl w:val="B06A6756"/>
    <w:lvl w:ilvl="0" w:tplc="A5FC4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102C3"/>
    <w:multiLevelType w:val="hybridMultilevel"/>
    <w:tmpl w:val="469C554A"/>
    <w:lvl w:ilvl="0" w:tplc="04090001">
      <w:start w:val="1"/>
      <w:numFmt w:val="bullet"/>
      <w:lvlText w:val=""/>
      <w:lvlJc w:val="left"/>
      <w:pPr>
        <w:ind w:left="770" w:hanging="360"/>
      </w:pPr>
      <w:rPr>
        <w:rFonts w:ascii="Symbol" w:hAnsi="Symbol"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
    <w:nsid w:val="20E35240"/>
    <w:multiLevelType w:val="hybridMultilevel"/>
    <w:tmpl w:val="56849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F5417"/>
    <w:multiLevelType w:val="hybridMultilevel"/>
    <w:tmpl w:val="6AA6BE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FBE47EC"/>
    <w:multiLevelType w:val="hybridMultilevel"/>
    <w:tmpl w:val="EF681C1C"/>
    <w:lvl w:ilvl="0" w:tplc="04090001">
      <w:start w:val="1"/>
      <w:numFmt w:val="bullet"/>
      <w:lvlText w:val=""/>
      <w:lvlJc w:val="left"/>
      <w:pPr>
        <w:ind w:left="770" w:hanging="360"/>
      </w:pPr>
      <w:rPr>
        <w:rFonts w:ascii="Symbol" w:hAnsi="Symbol"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nsid w:val="361459E4"/>
    <w:multiLevelType w:val="hybridMultilevel"/>
    <w:tmpl w:val="6ED69824"/>
    <w:lvl w:ilvl="0" w:tplc="44D4CC10">
      <w:start w:val="1"/>
      <w:numFmt w:val="bullet"/>
      <w:pStyle w:val="ListParagraph"/>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467B13AD"/>
    <w:multiLevelType w:val="hybridMultilevel"/>
    <w:tmpl w:val="8EC21C1C"/>
    <w:lvl w:ilvl="0" w:tplc="D7D21E52">
      <w:start w:val="1"/>
      <w:numFmt w:val="bullet"/>
      <w:lvlText w:val=""/>
      <w:lvlJc w:val="left"/>
      <w:pPr>
        <w:ind w:left="720" w:hanging="360"/>
      </w:pPr>
      <w:rPr>
        <w:rFonts w:ascii="Symbol" w:hAnsi="Symbol" w:hint="default"/>
      </w:rPr>
    </w:lvl>
    <w:lvl w:ilvl="1" w:tplc="20C4706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6305D2"/>
    <w:multiLevelType w:val="hybridMultilevel"/>
    <w:tmpl w:val="DD34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1625D8"/>
    <w:multiLevelType w:val="hybridMultilevel"/>
    <w:tmpl w:val="FBC089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002A4A"/>
    <w:multiLevelType w:val="hybridMultilevel"/>
    <w:tmpl w:val="D47C1F68"/>
    <w:lvl w:ilvl="0" w:tplc="31EA64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3C4BCF"/>
    <w:multiLevelType w:val="hybridMultilevel"/>
    <w:tmpl w:val="302A2F90"/>
    <w:lvl w:ilvl="0" w:tplc="04090001">
      <w:start w:val="1"/>
      <w:numFmt w:val="bullet"/>
      <w:lvlText w:val=""/>
      <w:lvlJc w:val="left"/>
      <w:pPr>
        <w:ind w:left="770" w:hanging="360"/>
      </w:pPr>
      <w:rPr>
        <w:rFonts w:ascii="Symbol" w:hAnsi="Symbol"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num w:numId="1">
    <w:abstractNumId w:val="3"/>
  </w:num>
  <w:num w:numId="2">
    <w:abstractNumId w:val="5"/>
  </w:num>
  <w:num w:numId="3">
    <w:abstractNumId w:val="4"/>
  </w:num>
  <w:num w:numId="4">
    <w:abstractNumId w:val="2"/>
  </w:num>
  <w:num w:numId="5">
    <w:abstractNumId w:val="1"/>
  </w:num>
  <w:num w:numId="6">
    <w:abstractNumId w:val="0"/>
  </w:num>
  <w:num w:numId="7">
    <w:abstractNumId w:val="12"/>
  </w:num>
  <w:num w:numId="8">
    <w:abstractNumId w:val="9"/>
  </w:num>
  <w:num w:numId="9">
    <w:abstractNumId w:val="8"/>
  </w:num>
  <w:num w:numId="10">
    <w:abstractNumId w:val="13"/>
  </w:num>
  <w:num w:numId="11">
    <w:abstractNumId w:val="14"/>
  </w:num>
  <w:num w:numId="12">
    <w:abstractNumId w:val="15"/>
  </w:num>
  <w:num w:numId="13">
    <w:abstractNumId w:val="16"/>
  </w:num>
  <w:num w:numId="14">
    <w:abstractNumId w:val="7"/>
  </w:num>
  <w:num w:numId="15">
    <w:abstractNumId w:val="10"/>
  </w:num>
  <w:num w:numId="16">
    <w:abstractNumId w:val="6"/>
  </w:num>
  <w:num w:numId="1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drawingGridHorizontalSpacing w:val="110"/>
  <w:displayHorizontalDrawingGridEvery w:val="2"/>
  <w:characterSpacingControl w:val="doNotCompress"/>
  <w:hdrShapeDefaults>
    <o:shapedefaults v:ext="edit" spidmax="173057" fill="f" fillcolor="white" stroke="f">
      <v:fill color="white" on="f"/>
      <v:stroke on="f"/>
    </o:shapedefaults>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3D"/>
    <w:rsid w:val="0000019D"/>
    <w:rsid w:val="00001403"/>
    <w:rsid w:val="0000364C"/>
    <w:rsid w:val="00003ABB"/>
    <w:rsid w:val="00003F15"/>
    <w:rsid w:val="00004135"/>
    <w:rsid w:val="000041A1"/>
    <w:rsid w:val="000053BB"/>
    <w:rsid w:val="000077FE"/>
    <w:rsid w:val="0001021D"/>
    <w:rsid w:val="000104FD"/>
    <w:rsid w:val="000105C4"/>
    <w:rsid w:val="00011B3F"/>
    <w:rsid w:val="00013373"/>
    <w:rsid w:val="00013D55"/>
    <w:rsid w:val="000142D5"/>
    <w:rsid w:val="000142E5"/>
    <w:rsid w:val="00015DA7"/>
    <w:rsid w:val="000248CE"/>
    <w:rsid w:val="00024E1E"/>
    <w:rsid w:val="00027FED"/>
    <w:rsid w:val="00031C01"/>
    <w:rsid w:val="000338D7"/>
    <w:rsid w:val="00034A4B"/>
    <w:rsid w:val="000360D4"/>
    <w:rsid w:val="00036EAF"/>
    <w:rsid w:val="00037E7C"/>
    <w:rsid w:val="00041909"/>
    <w:rsid w:val="00045D56"/>
    <w:rsid w:val="00046593"/>
    <w:rsid w:val="00047C08"/>
    <w:rsid w:val="0005401F"/>
    <w:rsid w:val="00055769"/>
    <w:rsid w:val="00056341"/>
    <w:rsid w:val="00056EC3"/>
    <w:rsid w:val="000578C1"/>
    <w:rsid w:val="00060BB2"/>
    <w:rsid w:val="00062CFE"/>
    <w:rsid w:val="0006579B"/>
    <w:rsid w:val="00066510"/>
    <w:rsid w:val="00067ED9"/>
    <w:rsid w:val="00070035"/>
    <w:rsid w:val="0007129A"/>
    <w:rsid w:val="00072A55"/>
    <w:rsid w:val="00075E81"/>
    <w:rsid w:val="000773A6"/>
    <w:rsid w:val="00077A86"/>
    <w:rsid w:val="000806A8"/>
    <w:rsid w:val="000807C0"/>
    <w:rsid w:val="000810D6"/>
    <w:rsid w:val="00081196"/>
    <w:rsid w:val="00082891"/>
    <w:rsid w:val="00082945"/>
    <w:rsid w:val="000831C4"/>
    <w:rsid w:val="000838FD"/>
    <w:rsid w:val="000844CA"/>
    <w:rsid w:val="00087D69"/>
    <w:rsid w:val="000974EA"/>
    <w:rsid w:val="00097EB4"/>
    <w:rsid w:val="000A0645"/>
    <w:rsid w:val="000A194A"/>
    <w:rsid w:val="000A2221"/>
    <w:rsid w:val="000A361F"/>
    <w:rsid w:val="000A39F0"/>
    <w:rsid w:val="000A3B0B"/>
    <w:rsid w:val="000A6276"/>
    <w:rsid w:val="000B3157"/>
    <w:rsid w:val="000B3FBE"/>
    <w:rsid w:val="000B6913"/>
    <w:rsid w:val="000C263D"/>
    <w:rsid w:val="000C28E1"/>
    <w:rsid w:val="000C4E18"/>
    <w:rsid w:val="000C5311"/>
    <w:rsid w:val="000C5AD8"/>
    <w:rsid w:val="000D06D7"/>
    <w:rsid w:val="000D0CEC"/>
    <w:rsid w:val="000D0EDC"/>
    <w:rsid w:val="000D16F8"/>
    <w:rsid w:val="000D430E"/>
    <w:rsid w:val="000D7BC8"/>
    <w:rsid w:val="000E2FA1"/>
    <w:rsid w:val="000E3427"/>
    <w:rsid w:val="000E3721"/>
    <w:rsid w:val="000E683D"/>
    <w:rsid w:val="000E7DCB"/>
    <w:rsid w:val="000F040A"/>
    <w:rsid w:val="000F0648"/>
    <w:rsid w:val="000F5E4E"/>
    <w:rsid w:val="000F645D"/>
    <w:rsid w:val="0010054A"/>
    <w:rsid w:val="0010153B"/>
    <w:rsid w:val="001029D0"/>
    <w:rsid w:val="00102E2B"/>
    <w:rsid w:val="001034E8"/>
    <w:rsid w:val="00104ABD"/>
    <w:rsid w:val="001059C4"/>
    <w:rsid w:val="001061EA"/>
    <w:rsid w:val="001069BF"/>
    <w:rsid w:val="00110259"/>
    <w:rsid w:val="00112210"/>
    <w:rsid w:val="00112A69"/>
    <w:rsid w:val="001138CC"/>
    <w:rsid w:val="00114932"/>
    <w:rsid w:val="0011541D"/>
    <w:rsid w:val="0011582A"/>
    <w:rsid w:val="00116538"/>
    <w:rsid w:val="0012005F"/>
    <w:rsid w:val="001217EB"/>
    <w:rsid w:val="00125398"/>
    <w:rsid w:val="00126D41"/>
    <w:rsid w:val="0013057B"/>
    <w:rsid w:val="00130622"/>
    <w:rsid w:val="00132F4A"/>
    <w:rsid w:val="001354A8"/>
    <w:rsid w:val="0013781B"/>
    <w:rsid w:val="00141806"/>
    <w:rsid w:val="001448CC"/>
    <w:rsid w:val="001463A6"/>
    <w:rsid w:val="001478AA"/>
    <w:rsid w:val="00154192"/>
    <w:rsid w:val="00154BA5"/>
    <w:rsid w:val="00160BC8"/>
    <w:rsid w:val="0016516B"/>
    <w:rsid w:val="001666E9"/>
    <w:rsid w:val="00166CC9"/>
    <w:rsid w:val="00167425"/>
    <w:rsid w:val="00167C8E"/>
    <w:rsid w:val="001700A7"/>
    <w:rsid w:val="001704D6"/>
    <w:rsid w:val="001807A3"/>
    <w:rsid w:val="001854D1"/>
    <w:rsid w:val="00185D8D"/>
    <w:rsid w:val="00187610"/>
    <w:rsid w:val="001923C4"/>
    <w:rsid w:val="001947D5"/>
    <w:rsid w:val="00197145"/>
    <w:rsid w:val="0019758A"/>
    <w:rsid w:val="001A3D97"/>
    <w:rsid w:val="001A3FF9"/>
    <w:rsid w:val="001A52F6"/>
    <w:rsid w:val="001A55A2"/>
    <w:rsid w:val="001A6E1E"/>
    <w:rsid w:val="001A6FC1"/>
    <w:rsid w:val="001A77D2"/>
    <w:rsid w:val="001B0E69"/>
    <w:rsid w:val="001B2499"/>
    <w:rsid w:val="001B3446"/>
    <w:rsid w:val="001B397A"/>
    <w:rsid w:val="001B4DEC"/>
    <w:rsid w:val="001B4F04"/>
    <w:rsid w:val="001B6585"/>
    <w:rsid w:val="001B7A2E"/>
    <w:rsid w:val="001C1BDD"/>
    <w:rsid w:val="001C26AC"/>
    <w:rsid w:val="001C4F33"/>
    <w:rsid w:val="001C5072"/>
    <w:rsid w:val="001C51D6"/>
    <w:rsid w:val="001C5F5F"/>
    <w:rsid w:val="001C754C"/>
    <w:rsid w:val="001D03A8"/>
    <w:rsid w:val="001D22AC"/>
    <w:rsid w:val="001D5630"/>
    <w:rsid w:val="001D636C"/>
    <w:rsid w:val="001E04E1"/>
    <w:rsid w:val="001E079E"/>
    <w:rsid w:val="001E148E"/>
    <w:rsid w:val="001E3E69"/>
    <w:rsid w:val="001E3EB8"/>
    <w:rsid w:val="001E6844"/>
    <w:rsid w:val="001E6DD7"/>
    <w:rsid w:val="001F1022"/>
    <w:rsid w:val="001F1E8A"/>
    <w:rsid w:val="001F3A8F"/>
    <w:rsid w:val="001F50EC"/>
    <w:rsid w:val="002001F5"/>
    <w:rsid w:val="002008B4"/>
    <w:rsid w:val="002010BE"/>
    <w:rsid w:val="00201F24"/>
    <w:rsid w:val="00202224"/>
    <w:rsid w:val="002027F3"/>
    <w:rsid w:val="00204D54"/>
    <w:rsid w:val="002127CE"/>
    <w:rsid w:val="00213765"/>
    <w:rsid w:val="00213EB1"/>
    <w:rsid w:val="00215504"/>
    <w:rsid w:val="00215842"/>
    <w:rsid w:val="002207DF"/>
    <w:rsid w:val="00221AC2"/>
    <w:rsid w:val="0022605C"/>
    <w:rsid w:val="00227E4B"/>
    <w:rsid w:val="0023015A"/>
    <w:rsid w:val="002307C0"/>
    <w:rsid w:val="00232D65"/>
    <w:rsid w:val="00233524"/>
    <w:rsid w:val="00235D65"/>
    <w:rsid w:val="0023708A"/>
    <w:rsid w:val="002411AC"/>
    <w:rsid w:val="00245192"/>
    <w:rsid w:val="002452E9"/>
    <w:rsid w:val="0025022D"/>
    <w:rsid w:val="00250953"/>
    <w:rsid w:val="00252413"/>
    <w:rsid w:val="002530BB"/>
    <w:rsid w:val="00253B6A"/>
    <w:rsid w:val="002556F3"/>
    <w:rsid w:val="002605EE"/>
    <w:rsid w:val="00260EDF"/>
    <w:rsid w:val="0026252C"/>
    <w:rsid w:val="002639D8"/>
    <w:rsid w:val="00264148"/>
    <w:rsid w:val="00264FFB"/>
    <w:rsid w:val="002660D8"/>
    <w:rsid w:val="0026719C"/>
    <w:rsid w:val="00267A94"/>
    <w:rsid w:val="00271CCF"/>
    <w:rsid w:val="00272DBF"/>
    <w:rsid w:val="00273DB1"/>
    <w:rsid w:val="00274179"/>
    <w:rsid w:val="00274BAD"/>
    <w:rsid w:val="00275F33"/>
    <w:rsid w:val="002767BA"/>
    <w:rsid w:val="00280643"/>
    <w:rsid w:val="002855AD"/>
    <w:rsid w:val="0028581D"/>
    <w:rsid w:val="00290BCB"/>
    <w:rsid w:val="00291C3A"/>
    <w:rsid w:val="0029401D"/>
    <w:rsid w:val="00294C4D"/>
    <w:rsid w:val="00296981"/>
    <w:rsid w:val="002A1564"/>
    <w:rsid w:val="002A170C"/>
    <w:rsid w:val="002A6713"/>
    <w:rsid w:val="002B0FD2"/>
    <w:rsid w:val="002B4132"/>
    <w:rsid w:val="002B64D5"/>
    <w:rsid w:val="002B6C57"/>
    <w:rsid w:val="002B7588"/>
    <w:rsid w:val="002B7EDD"/>
    <w:rsid w:val="002C378C"/>
    <w:rsid w:val="002C4147"/>
    <w:rsid w:val="002C509A"/>
    <w:rsid w:val="002C69AB"/>
    <w:rsid w:val="002C74D8"/>
    <w:rsid w:val="002E00A4"/>
    <w:rsid w:val="002E076C"/>
    <w:rsid w:val="002E211D"/>
    <w:rsid w:val="002E3FD5"/>
    <w:rsid w:val="002E7A38"/>
    <w:rsid w:val="002E7DF2"/>
    <w:rsid w:val="002F13BC"/>
    <w:rsid w:val="002F4E10"/>
    <w:rsid w:val="002F59B9"/>
    <w:rsid w:val="002F7DB4"/>
    <w:rsid w:val="003009A4"/>
    <w:rsid w:val="00304EE8"/>
    <w:rsid w:val="00305A1C"/>
    <w:rsid w:val="00306516"/>
    <w:rsid w:val="0030749D"/>
    <w:rsid w:val="00307957"/>
    <w:rsid w:val="00307FDD"/>
    <w:rsid w:val="0031194F"/>
    <w:rsid w:val="00313B48"/>
    <w:rsid w:val="00313EC0"/>
    <w:rsid w:val="00316286"/>
    <w:rsid w:val="003174FF"/>
    <w:rsid w:val="00321DD1"/>
    <w:rsid w:val="00324906"/>
    <w:rsid w:val="0033206C"/>
    <w:rsid w:val="00335B10"/>
    <w:rsid w:val="00336E3C"/>
    <w:rsid w:val="00337240"/>
    <w:rsid w:val="003378D7"/>
    <w:rsid w:val="0034321B"/>
    <w:rsid w:val="003445A2"/>
    <w:rsid w:val="003469CB"/>
    <w:rsid w:val="00347A3D"/>
    <w:rsid w:val="0035059E"/>
    <w:rsid w:val="00350B5E"/>
    <w:rsid w:val="00350C8B"/>
    <w:rsid w:val="00350E19"/>
    <w:rsid w:val="00354F33"/>
    <w:rsid w:val="00357622"/>
    <w:rsid w:val="0035782A"/>
    <w:rsid w:val="00357EC0"/>
    <w:rsid w:val="00363331"/>
    <w:rsid w:val="003643FE"/>
    <w:rsid w:val="00364CAC"/>
    <w:rsid w:val="003663BE"/>
    <w:rsid w:val="003677C2"/>
    <w:rsid w:val="00371E14"/>
    <w:rsid w:val="003727DC"/>
    <w:rsid w:val="00373208"/>
    <w:rsid w:val="00374CD5"/>
    <w:rsid w:val="00376ED1"/>
    <w:rsid w:val="00382CF7"/>
    <w:rsid w:val="00383DB3"/>
    <w:rsid w:val="003854B2"/>
    <w:rsid w:val="00385AE6"/>
    <w:rsid w:val="00385B2B"/>
    <w:rsid w:val="003871B1"/>
    <w:rsid w:val="00387C8D"/>
    <w:rsid w:val="00387DB9"/>
    <w:rsid w:val="003920A9"/>
    <w:rsid w:val="00392DD0"/>
    <w:rsid w:val="00396BCB"/>
    <w:rsid w:val="00397825"/>
    <w:rsid w:val="003A00FA"/>
    <w:rsid w:val="003A0ECC"/>
    <w:rsid w:val="003A0ED5"/>
    <w:rsid w:val="003A1073"/>
    <w:rsid w:val="003A10F3"/>
    <w:rsid w:val="003A2789"/>
    <w:rsid w:val="003A2F86"/>
    <w:rsid w:val="003A3906"/>
    <w:rsid w:val="003A3E4B"/>
    <w:rsid w:val="003A7331"/>
    <w:rsid w:val="003B03A4"/>
    <w:rsid w:val="003B09B3"/>
    <w:rsid w:val="003B1757"/>
    <w:rsid w:val="003B1DAD"/>
    <w:rsid w:val="003B4FAC"/>
    <w:rsid w:val="003C03EA"/>
    <w:rsid w:val="003C0C04"/>
    <w:rsid w:val="003C400F"/>
    <w:rsid w:val="003C4C61"/>
    <w:rsid w:val="003C690C"/>
    <w:rsid w:val="003D06D0"/>
    <w:rsid w:val="003D1C9D"/>
    <w:rsid w:val="003D3DA2"/>
    <w:rsid w:val="003D6D5C"/>
    <w:rsid w:val="003E03E8"/>
    <w:rsid w:val="003E1BBC"/>
    <w:rsid w:val="003E40FA"/>
    <w:rsid w:val="003E5FD5"/>
    <w:rsid w:val="003E7FAD"/>
    <w:rsid w:val="003F144B"/>
    <w:rsid w:val="003F24ED"/>
    <w:rsid w:val="003F529E"/>
    <w:rsid w:val="003F58CC"/>
    <w:rsid w:val="0040134A"/>
    <w:rsid w:val="00403DE0"/>
    <w:rsid w:val="00406A26"/>
    <w:rsid w:val="00406C12"/>
    <w:rsid w:val="004072DE"/>
    <w:rsid w:val="004125C1"/>
    <w:rsid w:val="00413347"/>
    <w:rsid w:val="00415B41"/>
    <w:rsid w:val="0042158B"/>
    <w:rsid w:val="00422101"/>
    <w:rsid w:val="00424493"/>
    <w:rsid w:val="00424F74"/>
    <w:rsid w:val="00426481"/>
    <w:rsid w:val="004278BF"/>
    <w:rsid w:val="00430423"/>
    <w:rsid w:val="004324A6"/>
    <w:rsid w:val="0043257B"/>
    <w:rsid w:val="00432966"/>
    <w:rsid w:val="00432F71"/>
    <w:rsid w:val="00433BBF"/>
    <w:rsid w:val="004357CA"/>
    <w:rsid w:val="00442F2F"/>
    <w:rsid w:val="00443598"/>
    <w:rsid w:val="00443DE2"/>
    <w:rsid w:val="004454C9"/>
    <w:rsid w:val="0044660F"/>
    <w:rsid w:val="00446851"/>
    <w:rsid w:val="00452581"/>
    <w:rsid w:val="00454B5C"/>
    <w:rsid w:val="00454FF2"/>
    <w:rsid w:val="00455382"/>
    <w:rsid w:val="0045608E"/>
    <w:rsid w:val="0045662F"/>
    <w:rsid w:val="00456983"/>
    <w:rsid w:val="0046040A"/>
    <w:rsid w:val="004605C9"/>
    <w:rsid w:val="00460730"/>
    <w:rsid w:val="00463805"/>
    <w:rsid w:val="00466959"/>
    <w:rsid w:val="0047784B"/>
    <w:rsid w:val="00482534"/>
    <w:rsid w:val="00490255"/>
    <w:rsid w:val="00490B94"/>
    <w:rsid w:val="00491FC9"/>
    <w:rsid w:val="0049214C"/>
    <w:rsid w:val="004924BB"/>
    <w:rsid w:val="004946F0"/>
    <w:rsid w:val="00494D75"/>
    <w:rsid w:val="0049525E"/>
    <w:rsid w:val="00497C2A"/>
    <w:rsid w:val="004B0615"/>
    <w:rsid w:val="004B1075"/>
    <w:rsid w:val="004B4161"/>
    <w:rsid w:val="004B5B35"/>
    <w:rsid w:val="004B5FE2"/>
    <w:rsid w:val="004C0250"/>
    <w:rsid w:val="004C277B"/>
    <w:rsid w:val="004C316B"/>
    <w:rsid w:val="004C3344"/>
    <w:rsid w:val="004C4E17"/>
    <w:rsid w:val="004D0582"/>
    <w:rsid w:val="004D05FB"/>
    <w:rsid w:val="004D29C7"/>
    <w:rsid w:val="004D4608"/>
    <w:rsid w:val="004D506D"/>
    <w:rsid w:val="004E2EAA"/>
    <w:rsid w:val="005029B4"/>
    <w:rsid w:val="00504119"/>
    <w:rsid w:val="0050513B"/>
    <w:rsid w:val="00505344"/>
    <w:rsid w:val="005065CF"/>
    <w:rsid w:val="00506BB4"/>
    <w:rsid w:val="0050705F"/>
    <w:rsid w:val="0051180F"/>
    <w:rsid w:val="005133E3"/>
    <w:rsid w:val="005170D3"/>
    <w:rsid w:val="00520491"/>
    <w:rsid w:val="00520711"/>
    <w:rsid w:val="00521C11"/>
    <w:rsid w:val="00522C4A"/>
    <w:rsid w:val="00523363"/>
    <w:rsid w:val="0052450D"/>
    <w:rsid w:val="0052493A"/>
    <w:rsid w:val="00524A4C"/>
    <w:rsid w:val="00532782"/>
    <w:rsid w:val="00533667"/>
    <w:rsid w:val="00535CAF"/>
    <w:rsid w:val="00536054"/>
    <w:rsid w:val="0053654B"/>
    <w:rsid w:val="00536CE1"/>
    <w:rsid w:val="0054180D"/>
    <w:rsid w:val="00542ADB"/>
    <w:rsid w:val="00545612"/>
    <w:rsid w:val="00547B53"/>
    <w:rsid w:val="0055374D"/>
    <w:rsid w:val="00555A0D"/>
    <w:rsid w:val="00560D5D"/>
    <w:rsid w:val="005620C5"/>
    <w:rsid w:val="00562211"/>
    <w:rsid w:val="005623E3"/>
    <w:rsid w:val="00562A7A"/>
    <w:rsid w:val="005664A2"/>
    <w:rsid w:val="00566B5C"/>
    <w:rsid w:val="005672F1"/>
    <w:rsid w:val="00571D8F"/>
    <w:rsid w:val="0057367D"/>
    <w:rsid w:val="00577AE7"/>
    <w:rsid w:val="0058124F"/>
    <w:rsid w:val="0058342F"/>
    <w:rsid w:val="00584D77"/>
    <w:rsid w:val="00585BE3"/>
    <w:rsid w:val="005871E9"/>
    <w:rsid w:val="0059026E"/>
    <w:rsid w:val="005903BA"/>
    <w:rsid w:val="00592924"/>
    <w:rsid w:val="0059747F"/>
    <w:rsid w:val="005A10D8"/>
    <w:rsid w:val="005A1E00"/>
    <w:rsid w:val="005A2247"/>
    <w:rsid w:val="005A4700"/>
    <w:rsid w:val="005A75C8"/>
    <w:rsid w:val="005A781A"/>
    <w:rsid w:val="005B1213"/>
    <w:rsid w:val="005B23D6"/>
    <w:rsid w:val="005B2B58"/>
    <w:rsid w:val="005B4AF5"/>
    <w:rsid w:val="005B5895"/>
    <w:rsid w:val="005C00FA"/>
    <w:rsid w:val="005C2D89"/>
    <w:rsid w:val="005C2EE5"/>
    <w:rsid w:val="005C2F99"/>
    <w:rsid w:val="005C41F3"/>
    <w:rsid w:val="005C455E"/>
    <w:rsid w:val="005C485B"/>
    <w:rsid w:val="005C7297"/>
    <w:rsid w:val="005D0757"/>
    <w:rsid w:val="005D1C93"/>
    <w:rsid w:val="005D2A51"/>
    <w:rsid w:val="005D33D6"/>
    <w:rsid w:val="005D39D7"/>
    <w:rsid w:val="005D4226"/>
    <w:rsid w:val="005D43E3"/>
    <w:rsid w:val="005D57EC"/>
    <w:rsid w:val="005D5956"/>
    <w:rsid w:val="005D6244"/>
    <w:rsid w:val="005D69DF"/>
    <w:rsid w:val="005D6F63"/>
    <w:rsid w:val="005D76B4"/>
    <w:rsid w:val="005E0886"/>
    <w:rsid w:val="005E0D54"/>
    <w:rsid w:val="005E28EF"/>
    <w:rsid w:val="005E2F9F"/>
    <w:rsid w:val="005E5350"/>
    <w:rsid w:val="005E7F03"/>
    <w:rsid w:val="005F1080"/>
    <w:rsid w:val="005F1A78"/>
    <w:rsid w:val="005F4848"/>
    <w:rsid w:val="006005C2"/>
    <w:rsid w:val="006017A9"/>
    <w:rsid w:val="006025E1"/>
    <w:rsid w:val="00612EC5"/>
    <w:rsid w:val="0061425C"/>
    <w:rsid w:val="00614466"/>
    <w:rsid w:val="006156BD"/>
    <w:rsid w:val="00615AB6"/>
    <w:rsid w:val="00616457"/>
    <w:rsid w:val="00616950"/>
    <w:rsid w:val="00616B71"/>
    <w:rsid w:val="006172BC"/>
    <w:rsid w:val="006179CD"/>
    <w:rsid w:val="0062008C"/>
    <w:rsid w:val="00620797"/>
    <w:rsid w:val="0062527E"/>
    <w:rsid w:val="00626494"/>
    <w:rsid w:val="00627ECE"/>
    <w:rsid w:val="00627F24"/>
    <w:rsid w:val="00632C94"/>
    <w:rsid w:val="006344B7"/>
    <w:rsid w:val="00636141"/>
    <w:rsid w:val="0063664D"/>
    <w:rsid w:val="0063705D"/>
    <w:rsid w:val="00640AB0"/>
    <w:rsid w:val="00640EE4"/>
    <w:rsid w:val="00641DE2"/>
    <w:rsid w:val="00642629"/>
    <w:rsid w:val="00643384"/>
    <w:rsid w:val="00643E6B"/>
    <w:rsid w:val="00643E91"/>
    <w:rsid w:val="00644F4F"/>
    <w:rsid w:val="00645B4C"/>
    <w:rsid w:val="00652210"/>
    <w:rsid w:val="0065346F"/>
    <w:rsid w:val="0065406F"/>
    <w:rsid w:val="00654C4F"/>
    <w:rsid w:val="0065667D"/>
    <w:rsid w:val="00656AE4"/>
    <w:rsid w:val="00662A93"/>
    <w:rsid w:val="00662C4A"/>
    <w:rsid w:val="00663266"/>
    <w:rsid w:val="00663EC4"/>
    <w:rsid w:val="00673819"/>
    <w:rsid w:val="006775A5"/>
    <w:rsid w:val="00677C5F"/>
    <w:rsid w:val="00680B67"/>
    <w:rsid w:val="00680E6E"/>
    <w:rsid w:val="00682BDF"/>
    <w:rsid w:val="00683FAA"/>
    <w:rsid w:val="00686EAA"/>
    <w:rsid w:val="006870B3"/>
    <w:rsid w:val="006914F9"/>
    <w:rsid w:val="00692280"/>
    <w:rsid w:val="006925AD"/>
    <w:rsid w:val="006928B1"/>
    <w:rsid w:val="00696121"/>
    <w:rsid w:val="006A08C4"/>
    <w:rsid w:val="006A0BC7"/>
    <w:rsid w:val="006A118F"/>
    <w:rsid w:val="006A2020"/>
    <w:rsid w:val="006A2820"/>
    <w:rsid w:val="006A2975"/>
    <w:rsid w:val="006A36FD"/>
    <w:rsid w:val="006A65AB"/>
    <w:rsid w:val="006A7A47"/>
    <w:rsid w:val="006B1916"/>
    <w:rsid w:val="006B6DA7"/>
    <w:rsid w:val="006C0062"/>
    <w:rsid w:val="006C05DB"/>
    <w:rsid w:val="006C097E"/>
    <w:rsid w:val="006C2DC3"/>
    <w:rsid w:val="006C31F4"/>
    <w:rsid w:val="006C545D"/>
    <w:rsid w:val="006C58AE"/>
    <w:rsid w:val="006D0439"/>
    <w:rsid w:val="006D0F1E"/>
    <w:rsid w:val="006D1853"/>
    <w:rsid w:val="006D39AE"/>
    <w:rsid w:val="006E00C5"/>
    <w:rsid w:val="006E2F70"/>
    <w:rsid w:val="006E462C"/>
    <w:rsid w:val="006E4F99"/>
    <w:rsid w:val="006F0C3F"/>
    <w:rsid w:val="006F351C"/>
    <w:rsid w:val="006F4ACD"/>
    <w:rsid w:val="006F4B82"/>
    <w:rsid w:val="00700598"/>
    <w:rsid w:val="00702064"/>
    <w:rsid w:val="0070514D"/>
    <w:rsid w:val="0070529C"/>
    <w:rsid w:val="00707ADF"/>
    <w:rsid w:val="00707B1C"/>
    <w:rsid w:val="00712429"/>
    <w:rsid w:val="00717F93"/>
    <w:rsid w:val="007202A3"/>
    <w:rsid w:val="007242D7"/>
    <w:rsid w:val="00725453"/>
    <w:rsid w:val="0072593D"/>
    <w:rsid w:val="007278EC"/>
    <w:rsid w:val="0073112D"/>
    <w:rsid w:val="0073387D"/>
    <w:rsid w:val="00736F54"/>
    <w:rsid w:val="00737591"/>
    <w:rsid w:val="00737D9E"/>
    <w:rsid w:val="00740576"/>
    <w:rsid w:val="007407BD"/>
    <w:rsid w:val="00741A34"/>
    <w:rsid w:val="0074279C"/>
    <w:rsid w:val="007438F2"/>
    <w:rsid w:val="00746963"/>
    <w:rsid w:val="007476C8"/>
    <w:rsid w:val="00750B29"/>
    <w:rsid w:val="0075492C"/>
    <w:rsid w:val="00755BD8"/>
    <w:rsid w:val="00755C3D"/>
    <w:rsid w:val="00757009"/>
    <w:rsid w:val="007576EF"/>
    <w:rsid w:val="00757C50"/>
    <w:rsid w:val="0076027D"/>
    <w:rsid w:val="00760677"/>
    <w:rsid w:val="00761C12"/>
    <w:rsid w:val="00763C9D"/>
    <w:rsid w:val="007658BA"/>
    <w:rsid w:val="007668CF"/>
    <w:rsid w:val="00767FE5"/>
    <w:rsid w:val="007701FC"/>
    <w:rsid w:val="007712BC"/>
    <w:rsid w:val="0077495B"/>
    <w:rsid w:val="00776791"/>
    <w:rsid w:val="00776CF4"/>
    <w:rsid w:val="00780D66"/>
    <w:rsid w:val="00781F31"/>
    <w:rsid w:val="00782F7D"/>
    <w:rsid w:val="007832EC"/>
    <w:rsid w:val="007838FC"/>
    <w:rsid w:val="00784155"/>
    <w:rsid w:val="00784F18"/>
    <w:rsid w:val="00784F89"/>
    <w:rsid w:val="00784FBE"/>
    <w:rsid w:val="007859CC"/>
    <w:rsid w:val="00785A3D"/>
    <w:rsid w:val="00786336"/>
    <w:rsid w:val="007866A8"/>
    <w:rsid w:val="0079245B"/>
    <w:rsid w:val="007930BA"/>
    <w:rsid w:val="00794D6F"/>
    <w:rsid w:val="007953A4"/>
    <w:rsid w:val="00797634"/>
    <w:rsid w:val="007A030F"/>
    <w:rsid w:val="007A0C4E"/>
    <w:rsid w:val="007A0E7F"/>
    <w:rsid w:val="007A2A2B"/>
    <w:rsid w:val="007A4378"/>
    <w:rsid w:val="007A639A"/>
    <w:rsid w:val="007A6A83"/>
    <w:rsid w:val="007A7BCF"/>
    <w:rsid w:val="007B1D34"/>
    <w:rsid w:val="007B1F9D"/>
    <w:rsid w:val="007B22AE"/>
    <w:rsid w:val="007B6AD3"/>
    <w:rsid w:val="007B7021"/>
    <w:rsid w:val="007B778D"/>
    <w:rsid w:val="007C0A8A"/>
    <w:rsid w:val="007C2B41"/>
    <w:rsid w:val="007C3E55"/>
    <w:rsid w:val="007C5CE9"/>
    <w:rsid w:val="007C6EBF"/>
    <w:rsid w:val="007D39CC"/>
    <w:rsid w:val="007D6AAF"/>
    <w:rsid w:val="007D78CE"/>
    <w:rsid w:val="007D79E8"/>
    <w:rsid w:val="007E1B59"/>
    <w:rsid w:val="007E2F9E"/>
    <w:rsid w:val="007E5A11"/>
    <w:rsid w:val="007E6F77"/>
    <w:rsid w:val="007E726F"/>
    <w:rsid w:val="007E73E6"/>
    <w:rsid w:val="007F001B"/>
    <w:rsid w:val="007F1954"/>
    <w:rsid w:val="007F215C"/>
    <w:rsid w:val="007F21D7"/>
    <w:rsid w:val="007F4147"/>
    <w:rsid w:val="007F4C20"/>
    <w:rsid w:val="007F5550"/>
    <w:rsid w:val="00801D78"/>
    <w:rsid w:val="00802900"/>
    <w:rsid w:val="00804B59"/>
    <w:rsid w:val="008057F8"/>
    <w:rsid w:val="00805E14"/>
    <w:rsid w:val="00806030"/>
    <w:rsid w:val="00814A7F"/>
    <w:rsid w:val="00815D15"/>
    <w:rsid w:val="00816CE4"/>
    <w:rsid w:val="008203D9"/>
    <w:rsid w:val="0082121E"/>
    <w:rsid w:val="008213F9"/>
    <w:rsid w:val="00823175"/>
    <w:rsid w:val="00824A1D"/>
    <w:rsid w:val="00826DC8"/>
    <w:rsid w:val="008278ED"/>
    <w:rsid w:val="00827AB6"/>
    <w:rsid w:val="008307E1"/>
    <w:rsid w:val="00832C1B"/>
    <w:rsid w:val="00832DA7"/>
    <w:rsid w:val="00834866"/>
    <w:rsid w:val="008352AF"/>
    <w:rsid w:val="008359F6"/>
    <w:rsid w:val="00835D8E"/>
    <w:rsid w:val="00836423"/>
    <w:rsid w:val="0083661A"/>
    <w:rsid w:val="00836D62"/>
    <w:rsid w:val="008376FD"/>
    <w:rsid w:val="008411FA"/>
    <w:rsid w:val="0084307B"/>
    <w:rsid w:val="00850F35"/>
    <w:rsid w:val="00852F0F"/>
    <w:rsid w:val="008549A6"/>
    <w:rsid w:val="008606A6"/>
    <w:rsid w:val="00864431"/>
    <w:rsid w:val="00867160"/>
    <w:rsid w:val="00870F56"/>
    <w:rsid w:val="0087205B"/>
    <w:rsid w:val="00872F5B"/>
    <w:rsid w:val="008743DF"/>
    <w:rsid w:val="00874670"/>
    <w:rsid w:val="008747F1"/>
    <w:rsid w:val="00874FB8"/>
    <w:rsid w:val="00876273"/>
    <w:rsid w:val="008763C8"/>
    <w:rsid w:val="00876693"/>
    <w:rsid w:val="0088003B"/>
    <w:rsid w:val="00882EA7"/>
    <w:rsid w:val="00885142"/>
    <w:rsid w:val="00886650"/>
    <w:rsid w:val="00887693"/>
    <w:rsid w:val="00890EE9"/>
    <w:rsid w:val="00895669"/>
    <w:rsid w:val="00897946"/>
    <w:rsid w:val="008A2629"/>
    <w:rsid w:val="008A2B69"/>
    <w:rsid w:val="008A2E1E"/>
    <w:rsid w:val="008A3276"/>
    <w:rsid w:val="008A3447"/>
    <w:rsid w:val="008A718D"/>
    <w:rsid w:val="008A759B"/>
    <w:rsid w:val="008B3EB5"/>
    <w:rsid w:val="008B4F04"/>
    <w:rsid w:val="008B7A70"/>
    <w:rsid w:val="008C3127"/>
    <w:rsid w:val="008C593D"/>
    <w:rsid w:val="008C6B5F"/>
    <w:rsid w:val="008C7B13"/>
    <w:rsid w:val="008D2C65"/>
    <w:rsid w:val="008D4B2D"/>
    <w:rsid w:val="008D513B"/>
    <w:rsid w:val="008D56DF"/>
    <w:rsid w:val="008D64F0"/>
    <w:rsid w:val="008E36B3"/>
    <w:rsid w:val="008E4BF2"/>
    <w:rsid w:val="008E4E16"/>
    <w:rsid w:val="008E71E2"/>
    <w:rsid w:val="008F10B5"/>
    <w:rsid w:val="008F3D68"/>
    <w:rsid w:val="008F4CBD"/>
    <w:rsid w:val="008F5B43"/>
    <w:rsid w:val="008F6837"/>
    <w:rsid w:val="008F6CC6"/>
    <w:rsid w:val="009017AD"/>
    <w:rsid w:val="00901BED"/>
    <w:rsid w:val="009029E5"/>
    <w:rsid w:val="00903371"/>
    <w:rsid w:val="00905735"/>
    <w:rsid w:val="00906C0C"/>
    <w:rsid w:val="00907705"/>
    <w:rsid w:val="009131B9"/>
    <w:rsid w:val="0091533E"/>
    <w:rsid w:val="00920234"/>
    <w:rsid w:val="0092436F"/>
    <w:rsid w:val="009252F6"/>
    <w:rsid w:val="009265F9"/>
    <w:rsid w:val="00926C5D"/>
    <w:rsid w:val="00933D4B"/>
    <w:rsid w:val="00935320"/>
    <w:rsid w:val="00935805"/>
    <w:rsid w:val="009358FF"/>
    <w:rsid w:val="00935EA0"/>
    <w:rsid w:val="009368F3"/>
    <w:rsid w:val="00936BB5"/>
    <w:rsid w:val="009375E6"/>
    <w:rsid w:val="00942968"/>
    <w:rsid w:val="00945380"/>
    <w:rsid w:val="00945511"/>
    <w:rsid w:val="009457B9"/>
    <w:rsid w:val="00947C42"/>
    <w:rsid w:val="00950489"/>
    <w:rsid w:val="0095109E"/>
    <w:rsid w:val="00952AAD"/>
    <w:rsid w:val="00953A66"/>
    <w:rsid w:val="00957DC2"/>
    <w:rsid w:val="00957DE9"/>
    <w:rsid w:val="00957F8C"/>
    <w:rsid w:val="009617DB"/>
    <w:rsid w:val="00963E14"/>
    <w:rsid w:val="00964492"/>
    <w:rsid w:val="00965A44"/>
    <w:rsid w:val="0096620E"/>
    <w:rsid w:val="00967D7C"/>
    <w:rsid w:val="00970656"/>
    <w:rsid w:val="009734E8"/>
    <w:rsid w:val="009757AD"/>
    <w:rsid w:val="00975DF2"/>
    <w:rsid w:val="00976667"/>
    <w:rsid w:val="00980B6A"/>
    <w:rsid w:val="009818F9"/>
    <w:rsid w:val="00982073"/>
    <w:rsid w:val="0098322F"/>
    <w:rsid w:val="00983264"/>
    <w:rsid w:val="0098618F"/>
    <w:rsid w:val="00987C32"/>
    <w:rsid w:val="009907AE"/>
    <w:rsid w:val="00991646"/>
    <w:rsid w:val="009917AB"/>
    <w:rsid w:val="0099448B"/>
    <w:rsid w:val="00994CD7"/>
    <w:rsid w:val="00997347"/>
    <w:rsid w:val="009A12F5"/>
    <w:rsid w:val="009A41E1"/>
    <w:rsid w:val="009A4D27"/>
    <w:rsid w:val="009A53C7"/>
    <w:rsid w:val="009A7E12"/>
    <w:rsid w:val="009B14E3"/>
    <w:rsid w:val="009B19CE"/>
    <w:rsid w:val="009B3DDE"/>
    <w:rsid w:val="009B50A4"/>
    <w:rsid w:val="009C0805"/>
    <w:rsid w:val="009C202F"/>
    <w:rsid w:val="009C2F4C"/>
    <w:rsid w:val="009C3ACC"/>
    <w:rsid w:val="009C4182"/>
    <w:rsid w:val="009C77F7"/>
    <w:rsid w:val="009D159D"/>
    <w:rsid w:val="009D3ED8"/>
    <w:rsid w:val="009D55D0"/>
    <w:rsid w:val="009E06B6"/>
    <w:rsid w:val="009E173E"/>
    <w:rsid w:val="009E19B6"/>
    <w:rsid w:val="009E3D50"/>
    <w:rsid w:val="009E44C6"/>
    <w:rsid w:val="009E5ABC"/>
    <w:rsid w:val="009E5B9C"/>
    <w:rsid w:val="009F3147"/>
    <w:rsid w:val="009F4B33"/>
    <w:rsid w:val="009F4ED1"/>
    <w:rsid w:val="009F5138"/>
    <w:rsid w:val="009F71A5"/>
    <w:rsid w:val="00A00D71"/>
    <w:rsid w:val="00A00EDF"/>
    <w:rsid w:val="00A03FBB"/>
    <w:rsid w:val="00A045A5"/>
    <w:rsid w:val="00A13FF5"/>
    <w:rsid w:val="00A1463D"/>
    <w:rsid w:val="00A21664"/>
    <w:rsid w:val="00A2187C"/>
    <w:rsid w:val="00A2438A"/>
    <w:rsid w:val="00A24A61"/>
    <w:rsid w:val="00A2654B"/>
    <w:rsid w:val="00A26A17"/>
    <w:rsid w:val="00A26F2D"/>
    <w:rsid w:val="00A30169"/>
    <w:rsid w:val="00A312A3"/>
    <w:rsid w:val="00A32A03"/>
    <w:rsid w:val="00A33D9F"/>
    <w:rsid w:val="00A3474C"/>
    <w:rsid w:val="00A36016"/>
    <w:rsid w:val="00A36C0B"/>
    <w:rsid w:val="00A37229"/>
    <w:rsid w:val="00A4171E"/>
    <w:rsid w:val="00A418C9"/>
    <w:rsid w:val="00A41AF4"/>
    <w:rsid w:val="00A456B4"/>
    <w:rsid w:val="00A4595F"/>
    <w:rsid w:val="00A45E77"/>
    <w:rsid w:val="00A479C3"/>
    <w:rsid w:val="00A54087"/>
    <w:rsid w:val="00A54229"/>
    <w:rsid w:val="00A54B98"/>
    <w:rsid w:val="00A6551F"/>
    <w:rsid w:val="00A65C65"/>
    <w:rsid w:val="00A7386F"/>
    <w:rsid w:val="00A74C9B"/>
    <w:rsid w:val="00A7556C"/>
    <w:rsid w:val="00A75CBA"/>
    <w:rsid w:val="00A76F1C"/>
    <w:rsid w:val="00A81851"/>
    <w:rsid w:val="00A86967"/>
    <w:rsid w:val="00A878BB"/>
    <w:rsid w:val="00A93478"/>
    <w:rsid w:val="00A94D63"/>
    <w:rsid w:val="00A95A34"/>
    <w:rsid w:val="00A962F9"/>
    <w:rsid w:val="00A97085"/>
    <w:rsid w:val="00A97E94"/>
    <w:rsid w:val="00A97FE7"/>
    <w:rsid w:val="00AA1132"/>
    <w:rsid w:val="00AA469C"/>
    <w:rsid w:val="00AA46CA"/>
    <w:rsid w:val="00AA7E22"/>
    <w:rsid w:val="00AA7EFA"/>
    <w:rsid w:val="00AB37C6"/>
    <w:rsid w:val="00AB484A"/>
    <w:rsid w:val="00AB61B3"/>
    <w:rsid w:val="00AB78F3"/>
    <w:rsid w:val="00AC323A"/>
    <w:rsid w:val="00AC4004"/>
    <w:rsid w:val="00AC4F40"/>
    <w:rsid w:val="00AC5BE1"/>
    <w:rsid w:val="00AC69C0"/>
    <w:rsid w:val="00AD2579"/>
    <w:rsid w:val="00AD37D2"/>
    <w:rsid w:val="00AD631F"/>
    <w:rsid w:val="00AD6357"/>
    <w:rsid w:val="00AD7F81"/>
    <w:rsid w:val="00AE0465"/>
    <w:rsid w:val="00AE1FCA"/>
    <w:rsid w:val="00AE270B"/>
    <w:rsid w:val="00AE2A90"/>
    <w:rsid w:val="00AE4CA9"/>
    <w:rsid w:val="00AE517F"/>
    <w:rsid w:val="00AF0280"/>
    <w:rsid w:val="00AF0ADD"/>
    <w:rsid w:val="00AF232C"/>
    <w:rsid w:val="00AF367D"/>
    <w:rsid w:val="00AF45FD"/>
    <w:rsid w:val="00AF4FB9"/>
    <w:rsid w:val="00AF5DE4"/>
    <w:rsid w:val="00AF7D2F"/>
    <w:rsid w:val="00B0482E"/>
    <w:rsid w:val="00B06239"/>
    <w:rsid w:val="00B065A5"/>
    <w:rsid w:val="00B069A0"/>
    <w:rsid w:val="00B0703A"/>
    <w:rsid w:val="00B07D0B"/>
    <w:rsid w:val="00B11ACB"/>
    <w:rsid w:val="00B11AE8"/>
    <w:rsid w:val="00B148F6"/>
    <w:rsid w:val="00B17676"/>
    <w:rsid w:val="00B202BE"/>
    <w:rsid w:val="00B23F34"/>
    <w:rsid w:val="00B24CFA"/>
    <w:rsid w:val="00B256CD"/>
    <w:rsid w:val="00B25B9B"/>
    <w:rsid w:val="00B30854"/>
    <w:rsid w:val="00B31392"/>
    <w:rsid w:val="00B32AD6"/>
    <w:rsid w:val="00B33059"/>
    <w:rsid w:val="00B33480"/>
    <w:rsid w:val="00B33D92"/>
    <w:rsid w:val="00B34E5C"/>
    <w:rsid w:val="00B35213"/>
    <w:rsid w:val="00B35E2A"/>
    <w:rsid w:val="00B37C29"/>
    <w:rsid w:val="00B42485"/>
    <w:rsid w:val="00B4263D"/>
    <w:rsid w:val="00B437EE"/>
    <w:rsid w:val="00B45432"/>
    <w:rsid w:val="00B455AA"/>
    <w:rsid w:val="00B50E41"/>
    <w:rsid w:val="00B52347"/>
    <w:rsid w:val="00B5264B"/>
    <w:rsid w:val="00B54B88"/>
    <w:rsid w:val="00B56F49"/>
    <w:rsid w:val="00B5737C"/>
    <w:rsid w:val="00B61A95"/>
    <w:rsid w:val="00B61DE4"/>
    <w:rsid w:val="00B65C47"/>
    <w:rsid w:val="00B66AD2"/>
    <w:rsid w:val="00B67C71"/>
    <w:rsid w:val="00B70687"/>
    <w:rsid w:val="00B711C6"/>
    <w:rsid w:val="00B71BF9"/>
    <w:rsid w:val="00B72106"/>
    <w:rsid w:val="00B73452"/>
    <w:rsid w:val="00B736E2"/>
    <w:rsid w:val="00B7442A"/>
    <w:rsid w:val="00B83113"/>
    <w:rsid w:val="00B84A22"/>
    <w:rsid w:val="00B8641D"/>
    <w:rsid w:val="00B878EB"/>
    <w:rsid w:val="00B87BEE"/>
    <w:rsid w:val="00B9016A"/>
    <w:rsid w:val="00B96A33"/>
    <w:rsid w:val="00B97002"/>
    <w:rsid w:val="00BA2609"/>
    <w:rsid w:val="00BA581B"/>
    <w:rsid w:val="00BB0315"/>
    <w:rsid w:val="00BB0BA1"/>
    <w:rsid w:val="00BB0C7A"/>
    <w:rsid w:val="00BB2613"/>
    <w:rsid w:val="00BB269B"/>
    <w:rsid w:val="00BB2F70"/>
    <w:rsid w:val="00BB3C41"/>
    <w:rsid w:val="00BB58F1"/>
    <w:rsid w:val="00BB64F1"/>
    <w:rsid w:val="00BB6CF4"/>
    <w:rsid w:val="00BC14C3"/>
    <w:rsid w:val="00BC1ABE"/>
    <w:rsid w:val="00BC2CD1"/>
    <w:rsid w:val="00BC3068"/>
    <w:rsid w:val="00BD1600"/>
    <w:rsid w:val="00BD2F20"/>
    <w:rsid w:val="00BD42EF"/>
    <w:rsid w:val="00BD4F62"/>
    <w:rsid w:val="00BD7DC7"/>
    <w:rsid w:val="00BE09A6"/>
    <w:rsid w:val="00BE35F1"/>
    <w:rsid w:val="00BE3A37"/>
    <w:rsid w:val="00BE4AFD"/>
    <w:rsid w:val="00BE669C"/>
    <w:rsid w:val="00BE7E93"/>
    <w:rsid w:val="00BF178A"/>
    <w:rsid w:val="00C00181"/>
    <w:rsid w:val="00C00590"/>
    <w:rsid w:val="00C035DE"/>
    <w:rsid w:val="00C04647"/>
    <w:rsid w:val="00C05CA6"/>
    <w:rsid w:val="00C12551"/>
    <w:rsid w:val="00C14966"/>
    <w:rsid w:val="00C14BE2"/>
    <w:rsid w:val="00C14E19"/>
    <w:rsid w:val="00C15096"/>
    <w:rsid w:val="00C15D3F"/>
    <w:rsid w:val="00C17109"/>
    <w:rsid w:val="00C2021F"/>
    <w:rsid w:val="00C206D7"/>
    <w:rsid w:val="00C211CD"/>
    <w:rsid w:val="00C23B2D"/>
    <w:rsid w:val="00C24AEB"/>
    <w:rsid w:val="00C25328"/>
    <w:rsid w:val="00C27C5C"/>
    <w:rsid w:val="00C31DF9"/>
    <w:rsid w:val="00C3261C"/>
    <w:rsid w:val="00C33D31"/>
    <w:rsid w:val="00C3411A"/>
    <w:rsid w:val="00C3744D"/>
    <w:rsid w:val="00C4127F"/>
    <w:rsid w:val="00C4288B"/>
    <w:rsid w:val="00C43591"/>
    <w:rsid w:val="00C43949"/>
    <w:rsid w:val="00C43A84"/>
    <w:rsid w:val="00C44065"/>
    <w:rsid w:val="00C44724"/>
    <w:rsid w:val="00C44C3C"/>
    <w:rsid w:val="00C45B87"/>
    <w:rsid w:val="00C50AD4"/>
    <w:rsid w:val="00C519D8"/>
    <w:rsid w:val="00C53D2A"/>
    <w:rsid w:val="00C543F4"/>
    <w:rsid w:val="00C5663F"/>
    <w:rsid w:val="00C613AC"/>
    <w:rsid w:val="00C62029"/>
    <w:rsid w:val="00C62D16"/>
    <w:rsid w:val="00C64137"/>
    <w:rsid w:val="00C658E4"/>
    <w:rsid w:val="00C72639"/>
    <w:rsid w:val="00C7266E"/>
    <w:rsid w:val="00C76C66"/>
    <w:rsid w:val="00C809B1"/>
    <w:rsid w:val="00C825C7"/>
    <w:rsid w:val="00C8264E"/>
    <w:rsid w:val="00C82DF9"/>
    <w:rsid w:val="00C87190"/>
    <w:rsid w:val="00C945FA"/>
    <w:rsid w:val="00C94D23"/>
    <w:rsid w:val="00CA0A83"/>
    <w:rsid w:val="00CA1564"/>
    <w:rsid w:val="00CA521F"/>
    <w:rsid w:val="00CA7C8A"/>
    <w:rsid w:val="00CB3DAE"/>
    <w:rsid w:val="00CB44E8"/>
    <w:rsid w:val="00CB7978"/>
    <w:rsid w:val="00CC0153"/>
    <w:rsid w:val="00CC1259"/>
    <w:rsid w:val="00CC1BA7"/>
    <w:rsid w:val="00CC1BF6"/>
    <w:rsid w:val="00CC1D12"/>
    <w:rsid w:val="00CC6F8F"/>
    <w:rsid w:val="00CC7E92"/>
    <w:rsid w:val="00CD0ACD"/>
    <w:rsid w:val="00CD37C5"/>
    <w:rsid w:val="00CD3D0E"/>
    <w:rsid w:val="00CD6E5D"/>
    <w:rsid w:val="00CD6E74"/>
    <w:rsid w:val="00CE1844"/>
    <w:rsid w:val="00CE294B"/>
    <w:rsid w:val="00CE42E9"/>
    <w:rsid w:val="00CE5D66"/>
    <w:rsid w:val="00CE6B18"/>
    <w:rsid w:val="00CE7BA5"/>
    <w:rsid w:val="00CF14D0"/>
    <w:rsid w:val="00CF721A"/>
    <w:rsid w:val="00D001E4"/>
    <w:rsid w:val="00D00AA8"/>
    <w:rsid w:val="00D0128B"/>
    <w:rsid w:val="00D017FA"/>
    <w:rsid w:val="00D02778"/>
    <w:rsid w:val="00D03AC1"/>
    <w:rsid w:val="00D03CDB"/>
    <w:rsid w:val="00D05BED"/>
    <w:rsid w:val="00D06C5C"/>
    <w:rsid w:val="00D11EB4"/>
    <w:rsid w:val="00D13E84"/>
    <w:rsid w:val="00D16667"/>
    <w:rsid w:val="00D178CB"/>
    <w:rsid w:val="00D214DB"/>
    <w:rsid w:val="00D21E92"/>
    <w:rsid w:val="00D2256D"/>
    <w:rsid w:val="00D22AAC"/>
    <w:rsid w:val="00D23CA2"/>
    <w:rsid w:val="00D27BFB"/>
    <w:rsid w:val="00D3007D"/>
    <w:rsid w:val="00D300F4"/>
    <w:rsid w:val="00D305FD"/>
    <w:rsid w:val="00D30CF7"/>
    <w:rsid w:val="00D3344B"/>
    <w:rsid w:val="00D34E74"/>
    <w:rsid w:val="00D34EE1"/>
    <w:rsid w:val="00D353E7"/>
    <w:rsid w:val="00D40175"/>
    <w:rsid w:val="00D406DA"/>
    <w:rsid w:val="00D4071F"/>
    <w:rsid w:val="00D40A62"/>
    <w:rsid w:val="00D44F15"/>
    <w:rsid w:val="00D47655"/>
    <w:rsid w:val="00D51CF7"/>
    <w:rsid w:val="00D52D4E"/>
    <w:rsid w:val="00D53488"/>
    <w:rsid w:val="00D54512"/>
    <w:rsid w:val="00D55243"/>
    <w:rsid w:val="00D55D20"/>
    <w:rsid w:val="00D55EDC"/>
    <w:rsid w:val="00D57410"/>
    <w:rsid w:val="00D575F8"/>
    <w:rsid w:val="00D61326"/>
    <w:rsid w:val="00D62F51"/>
    <w:rsid w:val="00D62F90"/>
    <w:rsid w:val="00D630B2"/>
    <w:rsid w:val="00D63E74"/>
    <w:rsid w:val="00D67537"/>
    <w:rsid w:val="00D701CD"/>
    <w:rsid w:val="00D702D0"/>
    <w:rsid w:val="00D70CE8"/>
    <w:rsid w:val="00D710D8"/>
    <w:rsid w:val="00D715C4"/>
    <w:rsid w:val="00D71ADA"/>
    <w:rsid w:val="00D76E0F"/>
    <w:rsid w:val="00D84806"/>
    <w:rsid w:val="00D91AC7"/>
    <w:rsid w:val="00D928FD"/>
    <w:rsid w:val="00D9291B"/>
    <w:rsid w:val="00D93A86"/>
    <w:rsid w:val="00D9437F"/>
    <w:rsid w:val="00D95FEA"/>
    <w:rsid w:val="00DA0441"/>
    <w:rsid w:val="00DA22D4"/>
    <w:rsid w:val="00DA3BA4"/>
    <w:rsid w:val="00DB1943"/>
    <w:rsid w:val="00DB1CFC"/>
    <w:rsid w:val="00DB22A6"/>
    <w:rsid w:val="00DB65A1"/>
    <w:rsid w:val="00DB66E7"/>
    <w:rsid w:val="00DB798E"/>
    <w:rsid w:val="00DC01B0"/>
    <w:rsid w:val="00DC0D53"/>
    <w:rsid w:val="00DC42F0"/>
    <w:rsid w:val="00DC6B44"/>
    <w:rsid w:val="00DC7701"/>
    <w:rsid w:val="00DC79E3"/>
    <w:rsid w:val="00DD0387"/>
    <w:rsid w:val="00DD0AC1"/>
    <w:rsid w:val="00DD51E1"/>
    <w:rsid w:val="00DD6CFD"/>
    <w:rsid w:val="00DE08A7"/>
    <w:rsid w:val="00DE15AA"/>
    <w:rsid w:val="00DE26D0"/>
    <w:rsid w:val="00DE2D54"/>
    <w:rsid w:val="00DE4470"/>
    <w:rsid w:val="00DE525A"/>
    <w:rsid w:val="00DE5295"/>
    <w:rsid w:val="00DE642B"/>
    <w:rsid w:val="00DE7135"/>
    <w:rsid w:val="00DF0ED1"/>
    <w:rsid w:val="00DF1341"/>
    <w:rsid w:val="00DF284F"/>
    <w:rsid w:val="00DF61B2"/>
    <w:rsid w:val="00DF7CC7"/>
    <w:rsid w:val="00E022A2"/>
    <w:rsid w:val="00E02BB0"/>
    <w:rsid w:val="00E02FA8"/>
    <w:rsid w:val="00E03076"/>
    <w:rsid w:val="00E03568"/>
    <w:rsid w:val="00E0391E"/>
    <w:rsid w:val="00E03CE6"/>
    <w:rsid w:val="00E04C1F"/>
    <w:rsid w:val="00E1133A"/>
    <w:rsid w:val="00E13207"/>
    <w:rsid w:val="00E13716"/>
    <w:rsid w:val="00E138F5"/>
    <w:rsid w:val="00E14B82"/>
    <w:rsid w:val="00E20FCD"/>
    <w:rsid w:val="00E266FF"/>
    <w:rsid w:val="00E27661"/>
    <w:rsid w:val="00E30DCF"/>
    <w:rsid w:val="00E31C5D"/>
    <w:rsid w:val="00E31FC3"/>
    <w:rsid w:val="00E3468D"/>
    <w:rsid w:val="00E3483D"/>
    <w:rsid w:val="00E34882"/>
    <w:rsid w:val="00E35A9E"/>
    <w:rsid w:val="00E36343"/>
    <w:rsid w:val="00E3671F"/>
    <w:rsid w:val="00E40CC3"/>
    <w:rsid w:val="00E42138"/>
    <w:rsid w:val="00E43496"/>
    <w:rsid w:val="00E4356F"/>
    <w:rsid w:val="00E444D1"/>
    <w:rsid w:val="00E4463A"/>
    <w:rsid w:val="00E45C71"/>
    <w:rsid w:val="00E47DB3"/>
    <w:rsid w:val="00E50574"/>
    <w:rsid w:val="00E509A9"/>
    <w:rsid w:val="00E50B75"/>
    <w:rsid w:val="00E51D6F"/>
    <w:rsid w:val="00E51F8B"/>
    <w:rsid w:val="00E5242A"/>
    <w:rsid w:val="00E53398"/>
    <w:rsid w:val="00E55F11"/>
    <w:rsid w:val="00E56186"/>
    <w:rsid w:val="00E6112B"/>
    <w:rsid w:val="00E61237"/>
    <w:rsid w:val="00E64B5A"/>
    <w:rsid w:val="00E66265"/>
    <w:rsid w:val="00E66AE2"/>
    <w:rsid w:val="00E6759E"/>
    <w:rsid w:val="00E70017"/>
    <w:rsid w:val="00E74DA4"/>
    <w:rsid w:val="00E75AF4"/>
    <w:rsid w:val="00E77461"/>
    <w:rsid w:val="00E776FC"/>
    <w:rsid w:val="00E77A14"/>
    <w:rsid w:val="00E81B89"/>
    <w:rsid w:val="00E833B2"/>
    <w:rsid w:val="00E84220"/>
    <w:rsid w:val="00E850A2"/>
    <w:rsid w:val="00E91432"/>
    <w:rsid w:val="00E91B5A"/>
    <w:rsid w:val="00E929C4"/>
    <w:rsid w:val="00E92FB6"/>
    <w:rsid w:val="00E95BA6"/>
    <w:rsid w:val="00EA10AD"/>
    <w:rsid w:val="00EA1C8E"/>
    <w:rsid w:val="00EA5BED"/>
    <w:rsid w:val="00EA751E"/>
    <w:rsid w:val="00EA7FC0"/>
    <w:rsid w:val="00EB75D8"/>
    <w:rsid w:val="00EC0495"/>
    <w:rsid w:val="00EC3E64"/>
    <w:rsid w:val="00EC6E55"/>
    <w:rsid w:val="00ED1EF6"/>
    <w:rsid w:val="00ED240D"/>
    <w:rsid w:val="00ED37EF"/>
    <w:rsid w:val="00ED6E45"/>
    <w:rsid w:val="00ED74F6"/>
    <w:rsid w:val="00EE150A"/>
    <w:rsid w:val="00EE1AEF"/>
    <w:rsid w:val="00EE2D0B"/>
    <w:rsid w:val="00EE43E4"/>
    <w:rsid w:val="00EE5497"/>
    <w:rsid w:val="00EF0064"/>
    <w:rsid w:val="00EF1231"/>
    <w:rsid w:val="00EF1FDB"/>
    <w:rsid w:val="00EF27B7"/>
    <w:rsid w:val="00EF3942"/>
    <w:rsid w:val="00EF3BA4"/>
    <w:rsid w:val="00EF61A8"/>
    <w:rsid w:val="00F001EA"/>
    <w:rsid w:val="00F02F55"/>
    <w:rsid w:val="00F03277"/>
    <w:rsid w:val="00F034D4"/>
    <w:rsid w:val="00F03E57"/>
    <w:rsid w:val="00F10386"/>
    <w:rsid w:val="00F12850"/>
    <w:rsid w:val="00F148EB"/>
    <w:rsid w:val="00F1549B"/>
    <w:rsid w:val="00F16B90"/>
    <w:rsid w:val="00F237C8"/>
    <w:rsid w:val="00F2387B"/>
    <w:rsid w:val="00F34F19"/>
    <w:rsid w:val="00F35A36"/>
    <w:rsid w:val="00F43276"/>
    <w:rsid w:val="00F44A21"/>
    <w:rsid w:val="00F5365B"/>
    <w:rsid w:val="00F53EB5"/>
    <w:rsid w:val="00F57058"/>
    <w:rsid w:val="00F575F0"/>
    <w:rsid w:val="00F60047"/>
    <w:rsid w:val="00F64666"/>
    <w:rsid w:val="00F64932"/>
    <w:rsid w:val="00F65CA9"/>
    <w:rsid w:val="00F6664C"/>
    <w:rsid w:val="00F76AC5"/>
    <w:rsid w:val="00F80341"/>
    <w:rsid w:val="00F8052A"/>
    <w:rsid w:val="00F80AF1"/>
    <w:rsid w:val="00F81388"/>
    <w:rsid w:val="00F81D46"/>
    <w:rsid w:val="00F8298C"/>
    <w:rsid w:val="00F82B29"/>
    <w:rsid w:val="00F8367F"/>
    <w:rsid w:val="00F90245"/>
    <w:rsid w:val="00F920D9"/>
    <w:rsid w:val="00F93B79"/>
    <w:rsid w:val="00F94781"/>
    <w:rsid w:val="00F94D0E"/>
    <w:rsid w:val="00F94D50"/>
    <w:rsid w:val="00FA5388"/>
    <w:rsid w:val="00FA7CEE"/>
    <w:rsid w:val="00FB0186"/>
    <w:rsid w:val="00FB08E3"/>
    <w:rsid w:val="00FB2F18"/>
    <w:rsid w:val="00FB3D4C"/>
    <w:rsid w:val="00FB4902"/>
    <w:rsid w:val="00FB5311"/>
    <w:rsid w:val="00FB5F5F"/>
    <w:rsid w:val="00FB63AA"/>
    <w:rsid w:val="00FC116B"/>
    <w:rsid w:val="00FC2A4C"/>
    <w:rsid w:val="00FC319D"/>
    <w:rsid w:val="00FC66B1"/>
    <w:rsid w:val="00FC6755"/>
    <w:rsid w:val="00FC6B2D"/>
    <w:rsid w:val="00FC7162"/>
    <w:rsid w:val="00FC75C8"/>
    <w:rsid w:val="00FD062F"/>
    <w:rsid w:val="00FD116C"/>
    <w:rsid w:val="00FD2EAC"/>
    <w:rsid w:val="00FD31A1"/>
    <w:rsid w:val="00FD397B"/>
    <w:rsid w:val="00FD4B01"/>
    <w:rsid w:val="00FD4BAC"/>
    <w:rsid w:val="00FD4DCD"/>
    <w:rsid w:val="00FD52F2"/>
    <w:rsid w:val="00FD5F20"/>
    <w:rsid w:val="00FD7CDC"/>
    <w:rsid w:val="00FE19E7"/>
    <w:rsid w:val="00FE1C24"/>
    <w:rsid w:val="00FE3DF1"/>
    <w:rsid w:val="00FE5868"/>
    <w:rsid w:val="00FE58E0"/>
    <w:rsid w:val="00FE74D0"/>
    <w:rsid w:val="00FE7603"/>
    <w:rsid w:val="00FF04D4"/>
    <w:rsid w:val="00FF1E22"/>
    <w:rsid w:val="00FF6709"/>
    <w:rsid w:val="00FF7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057" fill="f" fillcolor="white" stroke="f">
      <v:fill color="white" on="f"/>
      <v:stroke on="f"/>
    </o:shapedefaults>
    <o:shapelayout v:ext="edit">
      <o:idmap v:ext="edit" data="1"/>
    </o:shapelayout>
  </w:shapeDefaults>
  <w:decimalSymbol w:val="."/>
  <w:listSeparator w:val=","/>
  <w14:docId w14:val="1791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locked="0" w:uiPriority="39" w:qFormat="1"/>
    <w:lsdException w:name="toc 4" w:locked="0" w:uiPriority="39" w:qFormat="1"/>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qFormat="1"/>
    <w:lsdException w:name="footer" w:locked="0" w:qFormat="1"/>
    <w:lsdException w:name="caption" w:locked="0" w:uiPriority="35" w:qFormat="1"/>
    <w:lsdException w:name="table of figures" w:locked="0"/>
    <w:lsdException w:name="footnote reference" w:locked="0"/>
    <w:lsdException w:name="List Number" w:uiPriority="20"/>
    <w:lsdException w:name="Title" w:semiHidden="0" w:unhideWhenUsed="0" w:qFormat="1"/>
    <w:lsdException w:name="Default Paragraph Font" w:locked="0" w:uiPriority="1"/>
    <w:lsdException w:name="Subtitle" w:uiPriority="11" w:unhideWhenUsed="0"/>
    <w:lsdException w:name="Date" w:uiPriority="4" w:qFormat="1"/>
    <w:lsdException w:name="Body Text First Indent" w:qFormat="1"/>
    <w:lsdException w:name="Note Heading" w:uiPriority="13" w:qFormat="1"/>
    <w:lsdException w:name="Body Text Indent 3" w:qFormat="1"/>
    <w:lsdException w:name="Hyperlink" w:locked="0" w:qFormat="1"/>
    <w:lsdException w:name="Strong" w:semiHidden="0" w:uiPriority="22" w:unhideWhenUsed="0" w:qFormat="1"/>
    <w:lsdException w:name="Emphasis" w:locked="0" w:semiHidden="0" w:uiPriority="5" w:unhideWhenUsed="0" w:qFormat="1"/>
    <w:lsdException w:name="HTML Top of Form" w:locked="0"/>
    <w:lsdException w:name="HTML Bottom of Form" w:locked="0"/>
    <w:lsdException w:name="Normal Table" w:locked="0"/>
    <w:lsdException w:name="No List" w:locked="0"/>
    <w:lsdException w:name="Table Grid" w:semiHidden="0" w:uiPriority="39" w:unhideWhenUsed="0"/>
    <w:lsdException w:name="Placeholder Text" w:unhideWhenUsed="0"/>
    <w:lsdException w:name="No Spacing" w:locked="0"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1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5"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qFormat/>
    <w:rsid w:val="00C7266E"/>
    <w:pPr>
      <w:spacing w:line="300" w:lineRule="atLeast"/>
    </w:pPr>
  </w:style>
  <w:style w:type="paragraph" w:styleId="Heading1">
    <w:name w:val="heading 1"/>
    <w:basedOn w:val="Normal"/>
    <w:next w:val="Left05Indent"/>
    <w:link w:val="Heading1Char"/>
    <w:autoRedefine/>
    <w:uiPriority w:val="1"/>
    <w:qFormat/>
    <w:rsid w:val="007832EC"/>
    <w:pPr>
      <w:keepNext/>
      <w:keepLines/>
      <w:pBdr>
        <w:bottom w:val="single" w:sz="8" w:space="1" w:color="A6A6A6" w:themeColor="background1" w:themeShade="A6"/>
      </w:pBdr>
      <w:spacing w:after="120" w:line="380" w:lineRule="atLeast"/>
      <w:outlineLvl w:val="0"/>
    </w:pPr>
    <w:rPr>
      <w:rFonts w:asciiTheme="majorHAnsi" w:eastAsiaTheme="majorEastAsia" w:hAnsiTheme="majorHAnsi" w:cstheme="majorBidi"/>
      <w:b/>
      <w:bCs/>
      <w:color w:val="1396D8"/>
      <w:sz w:val="32"/>
      <w:szCs w:val="28"/>
    </w:rPr>
  </w:style>
  <w:style w:type="paragraph" w:styleId="Heading2">
    <w:name w:val="heading 2"/>
    <w:next w:val="Normal"/>
    <w:link w:val="Heading2Char"/>
    <w:autoRedefine/>
    <w:uiPriority w:val="1"/>
    <w:qFormat/>
    <w:rsid w:val="00E31C5D"/>
    <w:pPr>
      <w:keepNext/>
      <w:keepLines/>
      <w:spacing w:before="200" w:after="0"/>
      <w:outlineLvl w:val="1"/>
    </w:pPr>
    <w:rPr>
      <w:rFonts w:eastAsiaTheme="majorEastAsia" w:cstheme="majorBidi"/>
      <w:b/>
      <w:color w:val="1396D8"/>
      <w:sz w:val="28"/>
      <w:szCs w:val="26"/>
    </w:rPr>
  </w:style>
  <w:style w:type="paragraph" w:styleId="Heading3">
    <w:name w:val="heading 3"/>
    <w:basedOn w:val="Heading2"/>
    <w:next w:val="Normal"/>
    <w:link w:val="Heading3Char"/>
    <w:autoRedefine/>
    <w:uiPriority w:val="1"/>
    <w:qFormat/>
    <w:rsid w:val="00D93A86"/>
    <w:pPr>
      <w:outlineLvl w:val="2"/>
    </w:pPr>
    <w:rPr>
      <w:rFonts w:asciiTheme="majorHAnsi" w:hAnsiTheme="majorHAnsi"/>
      <w:bCs/>
      <w:i/>
      <w:color w:val="595959" w:themeColor="text1" w:themeTint="A6"/>
      <w:sz w:val="24"/>
    </w:rPr>
  </w:style>
  <w:style w:type="paragraph" w:styleId="Heading4">
    <w:name w:val="heading 4"/>
    <w:basedOn w:val="Heading3"/>
    <w:next w:val="Normal"/>
    <w:link w:val="Heading4Char"/>
    <w:autoRedefine/>
    <w:uiPriority w:val="1"/>
    <w:qFormat/>
    <w:rsid w:val="00E31C5D"/>
    <w:pPr>
      <w:numPr>
        <w:ilvl w:val="3"/>
      </w:numPr>
      <w:outlineLvl w:val="3"/>
    </w:pPr>
    <w:rPr>
      <w:rFonts w:asciiTheme="minorHAnsi" w:hAnsiTheme="minorHAnsi"/>
      <w:bCs w:val="0"/>
      <w:iCs/>
    </w:rPr>
  </w:style>
  <w:style w:type="paragraph" w:styleId="Heading5">
    <w:name w:val="heading 5"/>
    <w:basedOn w:val="Heading4"/>
    <w:next w:val="Normal"/>
    <w:link w:val="Heading5Char"/>
    <w:uiPriority w:val="9"/>
    <w:semiHidden/>
    <w:locked/>
    <w:rsid w:val="00112A69"/>
    <w:pPr>
      <w:numPr>
        <w:ilvl w:val="4"/>
      </w:numPr>
      <w:outlineLvl w:val="4"/>
    </w:pPr>
    <w:rPr>
      <w:sz w:val="20"/>
    </w:rPr>
  </w:style>
  <w:style w:type="paragraph" w:styleId="Heading6">
    <w:name w:val="heading 6"/>
    <w:basedOn w:val="Heading5"/>
    <w:next w:val="Normal"/>
    <w:link w:val="Heading6Char"/>
    <w:autoRedefine/>
    <w:uiPriority w:val="9"/>
    <w:semiHidden/>
    <w:locked/>
    <w:rsid w:val="00112A69"/>
    <w:pPr>
      <w:numPr>
        <w:ilvl w:val="5"/>
      </w:numPr>
      <w:outlineLvl w:val="5"/>
    </w:pPr>
    <w:rPr>
      <w:iCs w:val="0"/>
      <w:color w:val="666666"/>
    </w:rPr>
  </w:style>
  <w:style w:type="paragraph" w:styleId="Heading7">
    <w:name w:val="heading 7"/>
    <w:basedOn w:val="Normal"/>
    <w:next w:val="Normal"/>
    <w:link w:val="Heading7Char"/>
    <w:uiPriority w:val="9"/>
    <w:semiHidden/>
    <w:locked/>
    <w:rsid w:val="00112A6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locked/>
    <w:rsid w:val="00112A69"/>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locked/>
    <w:rsid w:val="00112A6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32EC"/>
    <w:rPr>
      <w:rFonts w:asciiTheme="majorHAnsi" w:eastAsiaTheme="majorEastAsia" w:hAnsiTheme="majorHAnsi" w:cstheme="majorBidi"/>
      <w:b/>
      <w:bCs/>
      <w:color w:val="1396D8"/>
      <w:sz w:val="32"/>
      <w:szCs w:val="28"/>
    </w:rPr>
  </w:style>
  <w:style w:type="paragraph" w:styleId="NoSpacing">
    <w:name w:val="No Spacing"/>
    <w:uiPriority w:val="2"/>
    <w:qFormat/>
    <w:rsid w:val="00112A69"/>
    <w:pPr>
      <w:spacing w:after="0"/>
      <w:jc w:val="both"/>
    </w:pPr>
  </w:style>
  <w:style w:type="character" w:customStyle="1" w:styleId="Heading2Char">
    <w:name w:val="Heading 2 Char"/>
    <w:basedOn w:val="DefaultParagraphFont"/>
    <w:link w:val="Heading2"/>
    <w:uiPriority w:val="1"/>
    <w:rsid w:val="00E31C5D"/>
    <w:rPr>
      <w:rFonts w:eastAsiaTheme="majorEastAsia" w:cstheme="majorBidi"/>
      <w:b/>
      <w:color w:val="1396D8"/>
      <w:sz w:val="28"/>
      <w:szCs w:val="26"/>
    </w:rPr>
  </w:style>
  <w:style w:type="character" w:customStyle="1" w:styleId="Heading3Char">
    <w:name w:val="Heading 3 Char"/>
    <w:basedOn w:val="DefaultParagraphFont"/>
    <w:link w:val="Heading3"/>
    <w:uiPriority w:val="1"/>
    <w:rsid w:val="00D93A86"/>
    <w:rPr>
      <w:rFonts w:asciiTheme="majorHAnsi" w:eastAsiaTheme="majorEastAsia" w:hAnsiTheme="majorHAnsi" w:cstheme="majorBidi"/>
      <w:b/>
      <w:bCs/>
      <w:i/>
      <w:color w:val="595959" w:themeColor="text1" w:themeTint="A6"/>
      <w:sz w:val="24"/>
      <w:szCs w:val="26"/>
    </w:rPr>
  </w:style>
  <w:style w:type="character" w:customStyle="1" w:styleId="Heading4Char">
    <w:name w:val="Heading 4 Char"/>
    <w:basedOn w:val="DefaultParagraphFont"/>
    <w:link w:val="Heading4"/>
    <w:uiPriority w:val="1"/>
    <w:rsid w:val="00E31C5D"/>
    <w:rPr>
      <w:rFonts w:eastAsiaTheme="majorEastAsia" w:cstheme="majorBidi"/>
      <w:b/>
      <w:i/>
      <w:iCs/>
      <w:color w:val="595959" w:themeColor="text1" w:themeTint="A6"/>
      <w:sz w:val="24"/>
      <w:szCs w:val="26"/>
    </w:rPr>
  </w:style>
  <w:style w:type="character" w:customStyle="1" w:styleId="Heading5Char">
    <w:name w:val="Heading 5 Char"/>
    <w:basedOn w:val="DefaultParagraphFont"/>
    <w:link w:val="Heading5"/>
    <w:uiPriority w:val="9"/>
    <w:semiHidden/>
    <w:rsid w:val="00D55243"/>
    <w:rPr>
      <w:rFonts w:eastAsiaTheme="majorEastAsia" w:cstheme="majorBidi"/>
      <w:b/>
      <w:i/>
      <w:iCs/>
      <w:color w:val="595959" w:themeColor="text1" w:themeTint="A6"/>
      <w:szCs w:val="26"/>
    </w:rPr>
  </w:style>
  <w:style w:type="character" w:customStyle="1" w:styleId="Heading6Char">
    <w:name w:val="Heading 6 Char"/>
    <w:basedOn w:val="DefaultParagraphFont"/>
    <w:link w:val="Heading6"/>
    <w:uiPriority w:val="9"/>
    <w:semiHidden/>
    <w:rsid w:val="00D55243"/>
    <w:rPr>
      <w:rFonts w:eastAsiaTheme="majorEastAsia" w:cstheme="majorBidi"/>
      <w:b/>
      <w:i/>
      <w:color w:val="666666"/>
      <w:szCs w:val="26"/>
    </w:rPr>
  </w:style>
  <w:style w:type="character" w:customStyle="1" w:styleId="Heading7Char">
    <w:name w:val="Heading 7 Char"/>
    <w:basedOn w:val="DefaultParagraphFont"/>
    <w:link w:val="Heading7"/>
    <w:uiPriority w:val="9"/>
    <w:semiHidden/>
    <w:rsid w:val="00D5524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5524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55243"/>
    <w:rPr>
      <w:rFonts w:asciiTheme="majorHAnsi" w:eastAsiaTheme="majorEastAsia" w:hAnsiTheme="majorHAnsi" w:cstheme="majorBidi"/>
      <w:i/>
      <w:iCs/>
      <w:color w:val="404040" w:themeColor="text1" w:themeTint="BF"/>
    </w:rPr>
  </w:style>
  <w:style w:type="paragraph" w:styleId="Caption">
    <w:name w:val="caption"/>
    <w:basedOn w:val="Normal"/>
    <w:next w:val="Normal"/>
    <w:autoRedefine/>
    <w:uiPriority w:val="35"/>
    <w:qFormat/>
    <w:rsid w:val="009F3147"/>
    <w:pPr>
      <w:keepNext/>
      <w:spacing w:after="0" w:line="240" w:lineRule="auto"/>
    </w:pPr>
    <w:rPr>
      <w:b/>
      <w:bCs/>
      <w:color w:val="1396D8"/>
    </w:rPr>
  </w:style>
  <w:style w:type="paragraph" w:styleId="Header">
    <w:name w:val="header"/>
    <w:basedOn w:val="Normal"/>
    <w:link w:val="HeaderChar"/>
    <w:autoRedefine/>
    <w:uiPriority w:val="99"/>
    <w:qFormat/>
    <w:rsid w:val="00041909"/>
    <w:pPr>
      <w:pBdr>
        <w:bottom w:val="single" w:sz="6" w:space="1" w:color="666666"/>
      </w:pBdr>
      <w:tabs>
        <w:tab w:val="center" w:pos="4680"/>
        <w:tab w:val="right" w:pos="9360"/>
      </w:tabs>
      <w:spacing w:after="0" w:line="240" w:lineRule="auto"/>
      <w:jc w:val="right"/>
    </w:pPr>
    <w:rPr>
      <w:i/>
    </w:rPr>
  </w:style>
  <w:style w:type="character" w:customStyle="1" w:styleId="HeaderChar">
    <w:name w:val="Header Char"/>
    <w:basedOn w:val="DefaultParagraphFont"/>
    <w:link w:val="Header"/>
    <w:uiPriority w:val="99"/>
    <w:rsid w:val="00041909"/>
    <w:rPr>
      <w:i/>
    </w:rPr>
  </w:style>
  <w:style w:type="paragraph" w:styleId="Footer">
    <w:name w:val="footer"/>
    <w:basedOn w:val="Normal"/>
    <w:link w:val="FooterChar"/>
    <w:autoRedefine/>
    <w:uiPriority w:val="99"/>
    <w:qFormat/>
    <w:rsid w:val="00760677"/>
    <w:pPr>
      <w:tabs>
        <w:tab w:val="center" w:pos="2160"/>
        <w:tab w:val="right" w:pos="9720"/>
      </w:tabs>
      <w:spacing w:after="0" w:line="240" w:lineRule="auto"/>
      <w:ind w:left="3600" w:hanging="3600"/>
    </w:pPr>
    <w:rPr>
      <w:sz w:val="16"/>
    </w:rPr>
  </w:style>
  <w:style w:type="character" w:customStyle="1" w:styleId="FooterChar">
    <w:name w:val="Footer Char"/>
    <w:basedOn w:val="DefaultParagraphFont"/>
    <w:link w:val="Footer"/>
    <w:uiPriority w:val="99"/>
    <w:rsid w:val="00760677"/>
    <w:rPr>
      <w:sz w:val="16"/>
    </w:rPr>
  </w:style>
  <w:style w:type="paragraph" w:styleId="NoteHeading">
    <w:name w:val="Note Heading"/>
    <w:aliases w:val="Note 1"/>
    <w:basedOn w:val="Normal"/>
    <w:next w:val="Normal"/>
    <w:link w:val="NoteHeadingChar"/>
    <w:uiPriority w:val="13"/>
    <w:qFormat/>
    <w:locked/>
    <w:rsid w:val="004C277B"/>
    <w:pPr>
      <w:pBdr>
        <w:top w:val="single" w:sz="18" w:space="6" w:color="C4ECFF" w:themeColor="accent1" w:themeTint="33"/>
        <w:left w:val="single" w:sz="18" w:space="10" w:color="C4ECFF" w:themeColor="accent1" w:themeTint="33"/>
        <w:bottom w:val="single" w:sz="18" w:space="6" w:color="C4ECFF" w:themeColor="accent1" w:themeTint="33"/>
        <w:right w:val="single" w:sz="18" w:space="10" w:color="C4ECFF" w:themeColor="accent1" w:themeTint="33"/>
      </w:pBdr>
      <w:shd w:val="clear" w:color="auto" w:fill="C4ECFF" w:themeFill="accent1" w:themeFillTint="33"/>
      <w:spacing w:before="120" w:after="120" w:line="240" w:lineRule="auto"/>
      <w:ind w:left="936" w:right="216"/>
      <w:jc w:val="both"/>
    </w:pPr>
    <w:rPr>
      <w:i/>
      <w:color w:val="0096D7" w:themeColor="accent1"/>
    </w:rPr>
  </w:style>
  <w:style w:type="character" w:customStyle="1" w:styleId="NoteHeadingChar">
    <w:name w:val="Note Heading Char"/>
    <w:aliases w:val="Note 1 Char"/>
    <w:basedOn w:val="DefaultParagraphFont"/>
    <w:link w:val="NoteHeading"/>
    <w:uiPriority w:val="13"/>
    <w:rsid w:val="004C277B"/>
    <w:rPr>
      <w:i/>
      <w:color w:val="0096D7" w:themeColor="accent1"/>
      <w:szCs w:val="22"/>
      <w:shd w:val="clear" w:color="auto" w:fill="C4ECFF" w:themeFill="accent1" w:themeFillTint="33"/>
    </w:rPr>
  </w:style>
  <w:style w:type="character" w:styleId="PageNumber">
    <w:name w:val="page number"/>
    <w:uiPriority w:val="99"/>
    <w:semiHidden/>
    <w:locked/>
    <w:rsid w:val="00112A69"/>
    <w:rPr>
      <w:rFonts w:eastAsiaTheme="minorEastAsia" w:cs="Arial"/>
      <w:sz w:val="16"/>
      <w:szCs w:val="16"/>
    </w:rPr>
  </w:style>
  <w:style w:type="character" w:styleId="Hyperlink">
    <w:name w:val="Hyperlink"/>
    <w:basedOn w:val="DefaultParagraphFont"/>
    <w:uiPriority w:val="99"/>
    <w:qFormat/>
    <w:rsid w:val="00677C5F"/>
    <w:rPr>
      <w:rFonts w:asciiTheme="minorHAnsi" w:hAnsiTheme="minorHAnsi"/>
      <w:color w:val="1396D8"/>
      <w:u w:val="single"/>
    </w:rPr>
  </w:style>
  <w:style w:type="paragraph" w:customStyle="1" w:styleId="Link">
    <w:name w:val="Link"/>
    <w:basedOn w:val="Normal"/>
    <w:link w:val="LinkChar"/>
    <w:autoRedefine/>
    <w:uiPriority w:val="11"/>
    <w:qFormat/>
    <w:rsid w:val="00112A69"/>
    <w:pPr>
      <w:spacing w:after="0" w:line="240" w:lineRule="auto"/>
    </w:pPr>
    <w:rPr>
      <w:rFonts w:eastAsia="Times New Roman" w:cs="Times New Roman"/>
      <w:color w:val="1396D8"/>
      <w:szCs w:val="24"/>
      <w:u w:val="single"/>
    </w:rPr>
  </w:style>
  <w:style w:type="character" w:customStyle="1" w:styleId="LinkChar">
    <w:name w:val="Link Char"/>
    <w:basedOn w:val="DefaultParagraphFont"/>
    <w:link w:val="Link"/>
    <w:uiPriority w:val="11"/>
    <w:rsid w:val="00D55243"/>
    <w:rPr>
      <w:rFonts w:eastAsia="Times New Roman" w:cs="Times New Roman"/>
      <w:color w:val="1396D8"/>
      <w:szCs w:val="24"/>
      <w:u w:val="single"/>
    </w:rPr>
  </w:style>
  <w:style w:type="character" w:styleId="IntenseReference">
    <w:name w:val="Intense Reference"/>
    <w:aliases w:val="Note 1 Bold"/>
    <w:basedOn w:val="DefaultParagraphFont"/>
    <w:uiPriority w:val="32"/>
    <w:locked/>
    <w:rsid w:val="00112A69"/>
    <w:rPr>
      <w:rFonts w:asciiTheme="minorHAnsi" w:hAnsiTheme="minorHAnsi"/>
      <w:b/>
      <w:bCs/>
      <w:smallCaps/>
      <w:color w:val="BD732A" w:themeColor="accent2"/>
      <w:spacing w:val="5"/>
      <w:sz w:val="20"/>
      <w:u w:val="none"/>
    </w:rPr>
  </w:style>
  <w:style w:type="paragraph" w:customStyle="1" w:styleId="BoldNote1">
    <w:name w:val="Bold Note 1"/>
    <w:basedOn w:val="NoteHeading"/>
    <w:uiPriority w:val="14"/>
    <w:qFormat/>
    <w:rsid w:val="00112A69"/>
    <w:rPr>
      <w:b/>
    </w:rPr>
  </w:style>
  <w:style w:type="paragraph" w:styleId="Quote">
    <w:name w:val="Quote"/>
    <w:basedOn w:val="Normal"/>
    <w:next w:val="Normal"/>
    <w:link w:val="QuoteChar"/>
    <w:uiPriority w:val="14"/>
    <w:qFormat/>
    <w:rsid w:val="00112A69"/>
    <w:pPr>
      <w:ind w:left="720" w:right="720"/>
    </w:pPr>
    <w:rPr>
      <w:iCs/>
      <w:color w:val="000000" w:themeColor="text1"/>
    </w:rPr>
  </w:style>
  <w:style w:type="character" w:customStyle="1" w:styleId="QuoteChar">
    <w:name w:val="Quote Char"/>
    <w:basedOn w:val="DefaultParagraphFont"/>
    <w:link w:val="Quote"/>
    <w:uiPriority w:val="14"/>
    <w:rsid w:val="00D55243"/>
    <w:rPr>
      <w:iCs/>
      <w:color w:val="000000" w:themeColor="text1"/>
    </w:rPr>
  </w:style>
  <w:style w:type="character" w:styleId="IntenseEmphasis">
    <w:name w:val="Intense Emphasis"/>
    <w:basedOn w:val="DefaultParagraphFont"/>
    <w:uiPriority w:val="5"/>
    <w:qFormat/>
    <w:locked/>
    <w:rsid w:val="00112A69"/>
    <w:rPr>
      <w:rFonts w:asciiTheme="minorHAnsi" w:hAnsiTheme="minorHAnsi"/>
      <w:b/>
      <w:bCs/>
      <w:i/>
      <w:iCs/>
      <w:color w:val="1396D8"/>
      <w:sz w:val="20"/>
    </w:rPr>
  </w:style>
  <w:style w:type="character" w:styleId="Emphasis">
    <w:name w:val="Emphasis"/>
    <w:basedOn w:val="DefaultParagraphFont"/>
    <w:uiPriority w:val="5"/>
    <w:qFormat/>
    <w:rsid w:val="00F80AF1"/>
    <w:rPr>
      <w:rFonts w:asciiTheme="minorHAnsi" w:hAnsiTheme="minorHAnsi"/>
      <w:b/>
      <w:iCs/>
      <w:sz w:val="22"/>
    </w:rPr>
  </w:style>
  <w:style w:type="paragraph" w:styleId="BodyText">
    <w:name w:val="Body Text"/>
    <w:basedOn w:val="Normal"/>
    <w:link w:val="BodyTextChar"/>
    <w:uiPriority w:val="99"/>
    <w:semiHidden/>
    <w:unhideWhenUsed/>
    <w:locked/>
    <w:rsid w:val="00015DA7"/>
    <w:pPr>
      <w:spacing w:after="120"/>
    </w:pPr>
  </w:style>
  <w:style w:type="character" w:customStyle="1" w:styleId="BodyTextChar">
    <w:name w:val="Body Text Char"/>
    <w:basedOn w:val="DefaultParagraphFont"/>
    <w:link w:val="BodyText"/>
    <w:uiPriority w:val="99"/>
    <w:semiHidden/>
    <w:rsid w:val="00015DA7"/>
    <w:rPr>
      <w:sz w:val="20"/>
    </w:rPr>
  </w:style>
  <w:style w:type="paragraph" w:styleId="BodyTextFirstIndent">
    <w:name w:val="Body Text First Indent"/>
    <w:aliases w:val="Style Left 0.5"/>
    <w:basedOn w:val="BodyText"/>
    <w:link w:val="BodyTextFirstIndentChar"/>
    <w:autoRedefine/>
    <w:uiPriority w:val="99"/>
    <w:semiHidden/>
    <w:qFormat/>
    <w:locked/>
    <w:rsid w:val="00112A69"/>
    <w:pPr>
      <w:spacing w:after="200"/>
      <w:ind w:left="720"/>
    </w:pPr>
  </w:style>
  <w:style w:type="character" w:customStyle="1" w:styleId="BodyTextFirstIndentChar">
    <w:name w:val="Body Text First Indent Char"/>
    <w:aliases w:val="Style Left 0.5 Char"/>
    <w:basedOn w:val="BodyTextChar"/>
    <w:link w:val="BodyTextFirstIndent"/>
    <w:uiPriority w:val="99"/>
    <w:semiHidden/>
    <w:rsid w:val="00E03CE6"/>
    <w:rPr>
      <w:sz w:val="20"/>
    </w:rPr>
  </w:style>
  <w:style w:type="paragraph" w:customStyle="1" w:styleId="Left05Indent">
    <w:name w:val="Left 0.5&quot; Indent"/>
    <w:basedOn w:val="BodyTextFirstIndent"/>
    <w:autoRedefine/>
    <w:qFormat/>
    <w:locked/>
    <w:rsid w:val="00983264"/>
    <w:pPr>
      <w:spacing w:after="0"/>
      <w:ind w:left="405"/>
    </w:pPr>
    <w:rPr>
      <w:rFonts w:cs="Arial"/>
    </w:rPr>
  </w:style>
  <w:style w:type="paragraph" w:styleId="NormalWeb">
    <w:name w:val="Normal (Web)"/>
    <w:basedOn w:val="Normal"/>
    <w:uiPriority w:val="99"/>
    <w:semiHidden/>
    <w:unhideWhenUsed/>
    <w:locked/>
    <w:rsid w:val="00015DA7"/>
    <w:pPr>
      <w:spacing w:after="292" w:line="292" w:lineRule="atLeast"/>
    </w:pPr>
    <w:rPr>
      <w:rFonts w:ascii="Times New Roman" w:eastAsia="Times New Roman" w:hAnsi="Times New Roman" w:cs="Times New Roman"/>
      <w:sz w:val="23"/>
      <w:szCs w:val="23"/>
    </w:rPr>
  </w:style>
  <w:style w:type="paragraph" w:styleId="ListParagraph">
    <w:name w:val="List Paragraph"/>
    <w:basedOn w:val="Normal"/>
    <w:autoRedefine/>
    <w:uiPriority w:val="34"/>
    <w:qFormat/>
    <w:rsid w:val="003677C2"/>
    <w:pPr>
      <w:numPr>
        <w:numId w:val="17"/>
      </w:numPr>
      <w:spacing w:after="160" w:line="259" w:lineRule="auto"/>
      <w:contextualSpacing/>
    </w:pPr>
  </w:style>
  <w:style w:type="paragraph" w:styleId="TOCHeading">
    <w:name w:val="TOC Heading"/>
    <w:basedOn w:val="Heading1"/>
    <w:next w:val="Normal"/>
    <w:autoRedefine/>
    <w:uiPriority w:val="39"/>
    <w:qFormat/>
    <w:rsid w:val="000807C0"/>
    <w:pPr>
      <w:pBdr>
        <w:bottom w:val="single" w:sz="4" w:space="1" w:color="BFBFBF" w:themeColor="background1" w:themeShade="BF"/>
      </w:pBdr>
      <w:spacing w:before="480" w:line="240" w:lineRule="auto"/>
      <w:outlineLvl w:val="9"/>
    </w:pPr>
    <w:rPr>
      <w:color w:val="0096D7" w:themeColor="accent1"/>
    </w:rPr>
  </w:style>
  <w:style w:type="paragraph" w:styleId="TOC1">
    <w:name w:val="toc 1"/>
    <w:basedOn w:val="Normal"/>
    <w:next w:val="Normal"/>
    <w:autoRedefine/>
    <w:uiPriority w:val="39"/>
    <w:qFormat/>
    <w:rsid w:val="001E6844"/>
    <w:pPr>
      <w:tabs>
        <w:tab w:val="left" w:pos="400"/>
        <w:tab w:val="right" w:leader="dot" w:pos="9350"/>
      </w:tabs>
      <w:spacing w:after="100"/>
    </w:pPr>
    <w:rPr>
      <w:color w:val="000000" w:themeColor="text1"/>
    </w:rPr>
  </w:style>
  <w:style w:type="paragraph" w:styleId="TOC2">
    <w:name w:val="toc 2"/>
    <w:basedOn w:val="TOC1"/>
    <w:next w:val="Normal"/>
    <w:autoRedefine/>
    <w:uiPriority w:val="39"/>
    <w:qFormat/>
    <w:rsid w:val="00227E4B"/>
    <w:pPr>
      <w:ind w:left="288"/>
    </w:pPr>
  </w:style>
  <w:style w:type="paragraph" w:styleId="TOC3">
    <w:name w:val="toc 3"/>
    <w:basedOn w:val="TOC2"/>
    <w:next w:val="Normal"/>
    <w:autoRedefine/>
    <w:uiPriority w:val="39"/>
    <w:qFormat/>
    <w:rsid w:val="00D93A86"/>
    <w:pPr>
      <w:ind w:left="400"/>
    </w:pPr>
  </w:style>
  <w:style w:type="paragraph" w:styleId="BalloonText">
    <w:name w:val="Balloon Text"/>
    <w:basedOn w:val="Normal"/>
    <w:link w:val="BalloonTextChar"/>
    <w:uiPriority w:val="99"/>
    <w:semiHidden/>
    <w:locked/>
    <w:rsid w:val="00901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243"/>
    <w:rPr>
      <w:rFonts w:ascii="Tahoma" w:hAnsi="Tahoma" w:cs="Tahoma"/>
      <w:sz w:val="16"/>
      <w:szCs w:val="16"/>
    </w:rPr>
  </w:style>
  <w:style w:type="paragraph" w:customStyle="1" w:styleId="Boxtext">
    <w:name w:val="Box text"/>
    <w:basedOn w:val="BodyText"/>
    <w:uiPriority w:val="2"/>
    <w:qFormat/>
    <w:rsid w:val="00112A69"/>
    <w:pPr>
      <w:pBdr>
        <w:top w:val="single" w:sz="4" w:space="2" w:color="auto"/>
        <w:left w:val="single" w:sz="4" w:space="4" w:color="auto"/>
        <w:bottom w:val="single" w:sz="4" w:space="4" w:color="auto"/>
        <w:right w:val="single" w:sz="4" w:space="4" w:color="auto"/>
      </w:pBdr>
      <w:spacing w:before="120" w:after="80"/>
    </w:pPr>
    <w:rPr>
      <w:rFonts w:eastAsiaTheme="minorEastAsia" w:cs="Times New Roman"/>
    </w:rPr>
  </w:style>
  <w:style w:type="paragraph" w:styleId="BodyTextIndent3">
    <w:name w:val="Body Text Indent 3"/>
    <w:aliases w:val="Table Text .25 ndent"/>
    <w:basedOn w:val="Normal"/>
    <w:link w:val="BodyTextIndent3Char"/>
    <w:autoRedefine/>
    <w:uiPriority w:val="99"/>
    <w:semiHidden/>
    <w:qFormat/>
    <w:locked/>
    <w:rsid w:val="00112A69"/>
    <w:pPr>
      <w:framePr w:hSpace="180" w:wrap="around" w:vAnchor="text" w:hAnchor="margin" w:y="110"/>
      <w:spacing w:before="60" w:after="0" w:line="240" w:lineRule="auto"/>
      <w:ind w:left="187"/>
    </w:pPr>
    <w:rPr>
      <w:rFonts w:ascii="Arial" w:eastAsiaTheme="minorEastAsia" w:hAnsi="Arial" w:cs="Arial"/>
      <w:color w:val="000000"/>
      <w:sz w:val="16"/>
      <w:szCs w:val="16"/>
    </w:rPr>
  </w:style>
  <w:style w:type="character" w:customStyle="1" w:styleId="BodyTextIndent3Char">
    <w:name w:val="Body Text Indent 3 Char"/>
    <w:aliases w:val="Table Text .25 ndent Char"/>
    <w:basedOn w:val="DefaultParagraphFont"/>
    <w:link w:val="BodyTextIndent3"/>
    <w:uiPriority w:val="99"/>
    <w:semiHidden/>
    <w:rsid w:val="00E03CE6"/>
    <w:rPr>
      <w:rFonts w:ascii="Arial" w:eastAsiaTheme="minorEastAsia" w:hAnsi="Arial" w:cs="Arial"/>
      <w:color w:val="000000"/>
      <w:sz w:val="16"/>
      <w:szCs w:val="16"/>
    </w:rPr>
  </w:style>
  <w:style w:type="paragraph" w:styleId="FootnoteText">
    <w:name w:val="footnote text"/>
    <w:basedOn w:val="Normal"/>
    <w:link w:val="FootnoteTextChar"/>
    <w:autoRedefine/>
    <w:uiPriority w:val="99"/>
    <w:qFormat/>
    <w:rsid w:val="002452E9"/>
    <w:pPr>
      <w:spacing w:after="0" w:line="240" w:lineRule="atLeast"/>
      <w:contextualSpacing/>
    </w:pPr>
    <w:rPr>
      <w:sz w:val="18"/>
    </w:rPr>
  </w:style>
  <w:style w:type="character" w:customStyle="1" w:styleId="FootnoteTextChar">
    <w:name w:val="Footnote Text Char"/>
    <w:basedOn w:val="DefaultParagraphFont"/>
    <w:link w:val="FootnoteText"/>
    <w:uiPriority w:val="99"/>
    <w:rsid w:val="002452E9"/>
    <w:rPr>
      <w:sz w:val="18"/>
    </w:rPr>
  </w:style>
  <w:style w:type="character" w:styleId="FootnoteReference">
    <w:name w:val="footnote reference"/>
    <w:basedOn w:val="DefaultParagraphFont"/>
    <w:uiPriority w:val="99"/>
    <w:rsid w:val="00965A44"/>
    <w:rPr>
      <w:vertAlign w:val="superscript"/>
    </w:rPr>
  </w:style>
  <w:style w:type="paragraph" w:styleId="List">
    <w:name w:val="List"/>
    <w:basedOn w:val="Normal"/>
    <w:uiPriority w:val="99"/>
    <w:semiHidden/>
    <w:locked/>
    <w:rsid w:val="00112A69"/>
    <w:pPr>
      <w:ind w:left="360" w:hanging="360"/>
      <w:contextualSpacing/>
    </w:pPr>
  </w:style>
  <w:style w:type="paragraph" w:styleId="List2">
    <w:name w:val="List 2"/>
    <w:basedOn w:val="Normal"/>
    <w:uiPriority w:val="99"/>
    <w:semiHidden/>
    <w:locked/>
    <w:rsid w:val="00112A69"/>
    <w:pPr>
      <w:ind w:left="720" w:hanging="360"/>
      <w:contextualSpacing/>
    </w:pPr>
  </w:style>
  <w:style w:type="paragraph" w:styleId="List3">
    <w:name w:val="List 3"/>
    <w:basedOn w:val="Normal"/>
    <w:uiPriority w:val="99"/>
    <w:semiHidden/>
    <w:locked/>
    <w:rsid w:val="00112A69"/>
    <w:pPr>
      <w:ind w:left="1080" w:hanging="360"/>
      <w:contextualSpacing/>
    </w:pPr>
  </w:style>
  <w:style w:type="paragraph" w:styleId="List4">
    <w:name w:val="List 4"/>
    <w:basedOn w:val="Normal"/>
    <w:uiPriority w:val="99"/>
    <w:semiHidden/>
    <w:locked/>
    <w:rsid w:val="00112A69"/>
    <w:pPr>
      <w:ind w:left="1440" w:hanging="360"/>
      <w:contextualSpacing/>
    </w:pPr>
  </w:style>
  <w:style w:type="paragraph" w:styleId="List5">
    <w:name w:val="List 5"/>
    <w:basedOn w:val="Normal"/>
    <w:uiPriority w:val="99"/>
    <w:semiHidden/>
    <w:locked/>
    <w:rsid w:val="00112A69"/>
    <w:pPr>
      <w:ind w:left="1800" w:hanging="360"/>
      <w:contextualSpacing/>
    </w:pPr>
  </w:style>
  <w:style w:type="paragraph" w:styleId="ListBullet">
    <w:name w:val="List Bullet"/>
    <w:basedOn w:val="Normal"/>
    <w:uiPriority w:val="99"/>
    <w:semiHidden/>
    <w:locked/>
    <w:rsid w:val="00112A69"/>
    <w:pPr>
      <w:numPr>
        <w:numId w:val="3"/>
      </w:numPr>
      <w:contextualSpacing/>
    </w:pPr>
  </w:style>
  <w:style w:type="paragraph" w:styleId="ListBullet2">
    <w:name w:val="List Bullet 2"/>
    <w:basedOn w:val="Normal"/>
    <w:uiPriority w:val="99"/>
    <w:semiHidden/>
    <w:locked/>
    <w:rsid w:val="00112A69"/>
    <w:pPr>
      <w:numPr>
        <w:numId w:val="4"/>
      </w:numPr>
      <w:contextualSpacing/>
    </w:pPr>
  </w:style>
  <w:style w:type="paragraph" w:styleId="ListBullet3">
    <w:name w:val="List Bullet 3"/>
    <w:basedOn w:val="Normal"/>
    <w:uiPriority w:val="99"/>
    <w:semiHidden/>
    <w:locked/>
    <w:rsid w:val="00112A69"/>
    <w:pPr>
      <w:numPr>
        <w:numId w:val="5"/>
      </w:numPr>
      <w:contextualSpacing/>
    </w:pPr>
  </w:style>
  <w:style w:type="paragraph" w:styleId="ListBullet4">
    <w:name w:val="List Bullet 4"/>
    <w:basedOn w:val="Normal"/>
    <w:uiPriority w:val="99"/>
    <w:semiHidden/>
    <w:locked/>
    <w:rsid w:val="00112A69"/>
    <w:pPr>
      <w:numPr>
        <w:numId w:val="6"/>
      </w:numPr>
      <w:contextualSpacing/>
    </w:pPr>
  </w:style>
  <w:style w:type="paragraph" w:styleId="ListContinue2">
    <w:name w:val="List Continue 2"/>
    <w:basedOn w:val="Normal"/>
    <w:uiPriority w:val="99"/>
    <w:semiHidden/>
    <w:locked/>
    <w:rsid w:val="00112A69"/>
    <w:pPr>
      <w:spacing w:after="120"/>
      <w:ind w:left="720"/>
      <w:contextualSpacing/>
    </w:pPr>
  </w:style>
  <w:style w:type="paragraph" w:styleId="ListContinue4">
    <w:name w:val="List Continue 4"/>
    <w:basedOn w:val="Normal"/>
    <w:uiPriority w:val="99"/>
    <w:semiHidden/>
    <w:locked/>
    <w:rsid w:val="00112A69"/>
    <w:pPr>
      <w:spacing w:after="120"/>
      <w:ind w:left="1440"/>
      <w:contextualSpacing/>
    </w:pPr>
  </w:style>
  <w:style w:type="character" w:styleId="LineNumber">
    <w:name w:val="line number"/>
    <w:basedOn w:val="DefaultParagraphFont"/>
    <w:uiPriority w:val="99"/>
    <w:semiHidden/>
    <w:locked/>
    <w:rsid w:val="00112A69"/>
  </w:style>
  <w:style w:type="paragraph" w:styleId="Index1">
    <w:name w:val="index 1"/>
    <w:basedOn w:val="Normal"/>
    <w:next w:val="Normal"/>
    <w:autoRedefine/>
    <w:uiPriority w:val="99"/>
    <w:semiHidden/>
    <w:unhideWhenUsed/>
    <w:locked/>
    <w:rsid w:val="00E27661"/>
    <w:pPr>
      <w:spacing w:after="0" w:line="240" w:lineRule="auto"/>
      <w:ind w:left="200" w:hanging="200"/>
    </w:pPr>
  </w:style>
  <w:style w:type="paragraph" w:styleId="IndexHeading">
    <w:name w:val="index heading"/>
    <w:basedOn w:val="Normal"/>
    <w:next w:val="Index1"/>
    <w:uiPriority w:val="99"/>
    <w:semiHidden/>
    <w:locked/>
    <w:rsid w:val="00112A69"/>
    <w:rPr>
      <w:rFonts w:asciiTheme="majorHAnsi" w:eastAsiaTheme="majorEastAsia" w:hAnsiTheme="majorHAnsi" w:cstheme="majorBidi"/>
      <w:b/>
      <w:bCs/>
    </w:rPr>
  </w:style>
  <w:style w:type="paragraph" w:customStyle="1" w:styleId="Text">
    <w:name w:val="Text"/>
    <w:basedOn w:val="BodyTextIndent3"/>
    <w:autoRedefine/>
    <w:uiPriority w:val="99"/>
    <w:semiHidden/>
    <w:qFormat/>
    <w:locked/>
    <w:rsid w:val="00112A69"/>
    <w:pPr>
      <w:framePr w:wrap="around"/>
      <w:ind w:left="180"/>
    </w:pPr>
  </w:style>
  <w:style w:type="paragraph" w:customStyle="1" w:styleId="TableTextIndent25">
    <w:name w:val="Table Text Indent .25"/>
    <w:basedOn w:val="Normal"/>
    <w:next w:val="Normal"/>
    <w:autoRedefine/>
    <w:uiPriority w:val="99"/>
    <w:semiHidden/>
    <w:qFormat/>
    <w:locked/>
    <w:rsid w:val="00112A69"/>
    <w:pPr>
      <w:spacing w:before="60" w:after="0" w:line="240" w:lineRule="auto"/>
      <w:ind w:left="216"/>
    </w:pPr>
    <w:rPr>
      <w:sz w:val="16"/>
    </w:rPr>
  </w:style>
  <w:style w:type="paragraph" w:customStyle="1" w:styleId="BoldTableStyle">
    <w:name w:val="Bold Table Style"/>
    <w:basedOn w:val="Normal"/>
    <w:autoRedefine/>
    <w:semiHidden/>
    <w:qFormat/>
    <w:locked/>
    <w:rsid w:val="00112A69"/>
    <w:pPr>
      <w:framePr w:hSpace="180" w:wrap="around" w:vAnchor="text" w:hAnchor="margin" w:y="110"/>
      <w:spacing w:before="40" w:after="40" w:line="240" w:lineRule="auto"/>
    </w:pPr>
    <w:rPr>
      <w:rFonts w:eastAsiaTheme="minorEastAsia" w:cs="Arial"/>
      <w:b/>
      <w:color w:val="000000"/>
      <w:sz w:val="16"/>
      <w:szCs w:val="16"/>
    </w:rPr>
  </w:style>
  <w:style w:type="paragraph" w:styleId="TOC4">
    <w:name w:val="toc 4"/>
    <w:basedOn w:val="TOC3"/>
    <w:next w:val="Normal"/>
    <w:autoRedefine/>
    <w:uiPriority w:val="39"/>
    <w:qFormat/>
    <w:rsid w:val="00F575F0"/>
    <w:pPr>
      <w:ind w:left="1008"/>
    </w:pPr>
    <w:rPr>
      <w:noProof/>
    </w:rPr>
  </w:style>
  <w:style w:type="paragraph" w:styleId="ListNumber">
    <w:name w:val="List Number"/>
    <w:basedOn w:val="Normal"/>
    <w:uiPriority w:val="20"/>
    <w:locked/>
    <w:rsid w:val="00046593"/>
    <w:pPr>
      <w:numPr>
        <w:numId w:val="1"/>
      </w:numPr>
      <w:contextualSpacing/>
    </w:pPr>
  </w:style>
  <w:style w:type="table" w:customStyle="1" w:styleId="LightShading1">
    <w:name w:val="Light Shading1"/>
    <w:basedOn w:val="TableNormal"/>
    <w:uiPriority w:val="60"/>
    <w:locked/>
    <w:rsid w:val="00A00D7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rsid w:val="002207DF"/>
    <w:pPr>
      <w:spacing w:after="0"/>
    </w:pPr>
  </w:style>
  <w:style w:type="character" w:styleId="PlaceholderText">
    <w:name w:val="Placeholder Text"/>
    <w:basedOn w:val="DefaultParagraphFont"/>
    <w:uiPriority w:val="99"/>
    <w:semiHidden/>
    <w:locked/>
    <w:rsid w:val="002B0FD2"/>
    <w:rPr>
      <w:color w:val="808080"/>
    </w:rPr>
  </w:style>
  <w:style w:type="paragraph" w:styleId="Title">
    <w:name w:val="Title"/>
    <w:basedOn w:val="Normal"/>
    <w:next w:val="Normal"/>
    <w:link w:val="TitleChar"/>
    <w:autoRedefine/>
    <w:uiPriority w:val="99"/>
    <w:semiHidden/>
    <w:qFormat/>
    <w:locked/>
    <w:rsid w:val="002B0FD2"/>
    <w:pPr>
      <w:spacing w:after="360" w:line="240" w:lineRule="auto"/>
      <w:contextualSpacing/>
    </w:pPr>
    <w:rPr>
      <w:rFonts w:asciiTheme="majorHAnsi" w:eastAsiaTheme="majorEastAsia" w:hAnsiTheme="majorHAnsi" w:cstheme="majorBidi"/>
      <w:color w:val="139CD8"/>
      <w:spacing w:val="5"/>
      <w:kern w:val="28"/>
      <w:sz w:val="52"/>
      <w:szCs w:val="52"/>
    </w:rPr>
  </w:style>
  <w:style w:type="character" w:customStyle="1" w:styleId="TitleChar">
    <w:name w:val="Title Char"/>
    <w:basedOn w:val="DefaultParagraphFont"/>
    <w:link w:val="Title"/>
    <w:uiPriority w:val="99"/>
    <w:semiHidden/>
    <w:rsid w:val="00E03CE6"/>
    <w:rPr>
      <w:rFonts w:asciiTheme="majorHAnsi" w:eastAsiaTheme="majorEastAsia" w:hAnsiTheme="majorHAnsi" w:cstheme="majorBidi"/>
      <w:color w:val="139CD8"/>
      <w:spacing w:val="5"/>
      <w:kern w:val="28"/>
      <w:sz w:val="52"/>
      <w:szCs w:val="52"/>
    </w:rPr>
  </w:style>
  <w:style w:type="paragraph" w:styleId="Date">
    <w:name w:val="Date"/>
    <w:basedOn w:val="Normal"/>
    <w:next w:val="Normal"/>
    <w:link w:val="DateChar"/>
    <w:autoRedefine/>
    <w:uiPriority w:val="4"/>
    <w:qFormat/>
    <w:locked/>
    <w:rsid w:val="002B0FD2"/>
    <w:rPr>
      <w:color w:val="7E8E9A"/>
    </w:rPr>
  </w:style>
  <w:style w:type="character" w:customStyle="1" w:styleId="DateChar">
    <w:name w:val="Date Char"/>
    <w:basedOn w:val="DefaultParagraphFont"/>
    <w:link w:val="Date"/>
    <w:uiPriority w:val="4"/>
    <w:rsid w:val="00D55243"/>
    <w:rPr>
      <w:color w:val="7E8E9A"/>
      <w:sz w:val="22"/>
    </w:rPr>
  </w:style>
  <w:style w:type="table" w:styleId="ColorfulList-Accent3">
    <w:name w:val="Colorful List Accent 3"/>
    <w:basedOn w:val="TableNormal"/>
    <w:uiPriority w:val="72"/>
    <w:locked/>
    <w:rsid w:val="00D55243"/>
    <w:pPr>
      <w:spacing w:after="0"/>
    </w:pPr>
    <w:rPr>
      <w:color w:val="000000" w:themeColor="text1"/>
    </w:rPr>
    <w:tblPr>
      <w:tblStyleRowBandSize w:val="1"/>
      <w:tblStyleColBandSize w:val="1"/>
    </w:tblPr>
    <w:tcPr>
      <w:shd w:val="clear" w:color="auto" w:fill="EEF7E8" w:themeFill="accent3" w:themeFillTint="19"/>
    </w:tcPr>
    <w:tblStylePr w:type="firstRow">
      <w:rPr>
        <w:b/>
        <w:bCs/>
        <w:color w:val="FFFFFF" w:themeColor="background1"/>
      </w:rPr>
      <w:tblPr/>
      <w:tcPr>
        <w:tcBorders>
          <w:bottom w:val="single" w:sz="12" w:space="0" w:color="FFFFFF" w:themeColor="background1"/>
        </w:tcBorders>
        <w:shd w:val="clear" w:color="auto" w:fill="CD9F00" w:themeFill="accent4" w:themeFillShade="CC"/>
      </w:tcPr>
    </w:tblStylePr>
    <w:tblStylePr w:type="lastRow">
      <w:rPr>
        <w:b/>
        <w:bCs/>
        <w:color w:val="CD9F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C5" w:themeFill="accent3" w:themeFillTint="3F"/>
      </w:tcPr>
    </w:tblStylePr>
    <w:tblStylePr w:type="band1Horz">
      <w:tblPr/>
      <w:tcPr>
        <w:shd w:val="clear" w:color="auto" w:fill="DDEFD0" w:themeFill="accent3" w:themeFillTint="33"/>
      </w:tcPr>
    </w:tblStylePr>
  </w:style>
  <w:style w:type="table" w:styleId="ColorfulGrid-Accent6">
    <w:name w:val="Colorful Grid Accent 6"/>
    <w:basedOn w:val="TableNormal"/>
    <w:uiPriority w:val="73"/>
    <w:locked/>
    <w:rsid w:val="00D55243"/>
    <w:pPr>
      <w:spacing w:after="0"/>
    </w:pPr>
    <w:rPr>
      <w:color w:val="000000" w:themeColor="text1"/>
    </w:rPr>
    <w:tblPr>
      <w:tblStyleRowBandSize w:val="1"/>
      <w:tblStyleColBandSize w:val="1"/>
      <w:tblBorders>
        <w:insideH w:val="single" w:sz="4" w:space="0" w:color="FFFFFF" w:themeColor="background1"/>
      </w:tblBorders>
    </w:tblPr>
    <w:tcPr>
      <w:shd w:val="clear" w:color="auto" w:fill="FBEAB2" w:themeFill="accent6" w:themeFillTint="33"/>
    </w:tcPr>
    <w:tblStylePr w:type="firstRow">
      <w:rPr>
        <w:b/>
        <w:bCs/>
      </w:rPr>
      <w:tblPr/>
      <w:tcPr>
        <w:shd w:val="clear" w:color="auto" w:fill="F7D565" w:themeFill="accent6" w:themeFillTint="66"/>
      </w:tcPr>
    </w:tblStylePr>
    <w:tblStylePr w:type="lastRow">
      <w:rPr>
        <w:b/>
        <w:bCs/>
        <w:color w:val="000000" w:themeColor="text1"/>
      </w:rPr>
      <w:tblPr/>
      <w:tcPr>
        <w:shd w:val="clear" w:color="auto" w:fill="F7D565" w:themeFill="accent6" w:themeFillTint="66"/>
      </w:tcPr>
    </w:tblStylePr>
    <w:tblStylePr w:type="firstCol">
      <w:rPr>
        <w:color w:val="FFFFFF" w:themeColor="background1"/>
      </w:rPr>
      <w:tblPr/>
      <w:tcPr>
        <w:shd w:val="clear" w:color="auto" w:fill="4C3B03" w:themeFill="accent6" w:themeFillShade="BF"/>
      </w:tcPr>
    </w:tblStylePr>
    <w:tblStylePr w:type="lastCol">
      <w:rPr>
        <w:color w:val="FFFFFF" w:themeColor="background1"/>
      </w:rPr>
      <w:tblPr/>
      <w:tcPr>
        <w:shd w:val="clear" w:color="auto" w:fill="4C3B03" w:themeFill="accent6" w:themeFillShade="BF"/>
      </w:tcPr>
    </w:tblStylePr>
    <w:tblStylePr w:type="band1Vert">
      <w:tblPr/>
      <w:tcPr>
        <w:shd w:val="clear" w:color="auto" w:fill="F5CB3F" w:themeFill="accent6" w:themeFillTint="7F"/>
      </w:tcPr>
    </w:tblStylePr>
    <w:tblStylePr w:type="band1Horz">
      <w:tblPr/>
      <w:tcPr>
        <w:shd w:val="clear" w:color="auto" w:fill="F5CB3F" w:themeFill="accent6" w:themeFillTint="7F"/>
      </w:tcPr>
    </w:tblStylePr>
  </w:style>
  <w:style w:type="table" w:styleId="TableGrid">
    <w:name w:val="Table Grid"/>
    <w:basedOn w:val="TableNormal"/>
    <w:uiPriority w:val="39"/>
    <w:locked/>
    <w:rsid w:val="00FB08E3"/>
    <w:pPr>
      <w:spacing w:after="0"/>
      <w:jc w:val="right"/>
    </w:pPr>
    <w:rPr>
      <w:sz w:val="18"/>
    </w:rPr>
    <w:tblPr>
      <w:tblStyleRowBandSize w:val="1"/>
      <w:tblStyleColBandSize w:val="1"/>
    </w:tblPr>
    <w:tblStylePr w:type="firstRow">
      <w:pPr>
        <w:jc w:val="right"/>
      </w:pPr>
      <w:rPr>
        <w:b/>
      </w:rPr>
      <w:tblPr/>
      <w:tcPr>
        <w:tcBorders>
          <w:bottom w:val="single" w:sz="18" w:space="0" w:color="0096D7" w:themeColor="accent1"/>
        </w:tcBorders>
        <w:vAlign w:val="bottom"/>
      </w:tcPr>
    </w:tblStylePr>
    <w:tblStylePr w:type="lastRow">
      <w:rPr>
        <w:b w:val="0"/>
      </w:rPr>
      <w:tblPr/>
      <w:tcPr>
        <w:tcBorders>
          <w:top w:val="single" w:sz="12" w:space="0" w:color="0096D7" w:themeColor="accent1"/>
        </w:tcBorders>
      </w:tcPr>
    </w:tblStylePr>
    <w:tblStylePr w:type="firstCol">
      <w:pPr>
        <w:wordWrap/>
        <w:jc w:val="left"/>
      </w:pPr>
    </w:tblStylePr>
    <w:tblStylePr w:type="band1Horz">
      <w:pPr>
        <w:wordWrap/>
        <w:jc w:val="right"/>
      </w:pPr>
      <w:tblPr/>
      <w:tcPr>
        <w:tcBorders>
          <w:bottom w:val="dashed" w:sz="4" w:space="0" w:color="BFBFBF" w:themeColor="background1" w:themeShade="BF"/>
        </w:tcBorders>
      </w:tcPr>
    </w:tblStylePr>
    <w:tblStylePr w:type="band2Horz">
      <w:pPr>
        <w:wordWrap/>
        <w:jc w:val="right"/>
      </w:pPr>
      <w:tblPr/>
      <w:tcPr>
        <w:tcBorders>
          <w:bottom w:val="dashed" w:sz="4" w:space="0" w:color="BFBFBF" w:themeColor="background1" w:themeShade="BF"/>
        </w:tcBorders>
      </w:tcPr>
    </w:tblStylePr>
    <w:tblStylePr w:type="nwCell">
      <w:pPr>
        <w:jc w:val="left"/>
      </w:pPr>
      <w:tblPr/>
      <w:tcPr>
        <w:vAlign w:val="bottom"/>
      </w:tcPr>
    </w:tblStylePr>
  </w:style>
  <w:style w:type="paragraph" w:customStyle="1" w:styleId="Tablefootnotetext">
    <w:name w:val="Table footnote text"/>
    <w:basedOn w:val="FootnoteText"/>
    <w:uiPriority w:val="8"/>
    <w:qFormat/>
    <w:rsid w:val="00E509A9"/>
  </w:style>
  <w:style w:type="character" w:styleId="Strong">
    <w:name w:val="Strong"/>
    <w:basedOn w:val="DefaultParagraphFont"/>
    <w:uiPriority w:val="22"/>
    <w:qFormat/>
    <w:locked/>
    <w:rsid w:val="00677C5F"/>
    <w:rPr>
      <w:b/>
      <w:bCs/>
    </w:rPr>
  </w:style>
  <w:style w:type="character" w:styleId="SubtleReference">
    <w:name w:val="Subtle Reference"/>
    <w:basedOn w:val="DefaultParagraphFont"/>
    <w:uiPriority w:val="31"/>
    <w:qFormat/>
    <w:locked/>
    <w:rsid w:val="000E683D"/>
    <w:rPr>
      <w:smallCaps/>
      <w:color w:val="5A5A5A" w:themeColor="text1" w:themeTint="A5"/>
    </w:rPr>
  </w:style>
  <w:style w:type="character" w:styleId="CommentReference">
    <w:name w:val="annotation reference"/>
    <w:basedOn w:val="DefaultParagraphFont"/>
    <w:uiPriority w:val="99"/>
    <w:semiHidden/>
    <w:unhideWhenUsed/>
    <w:locked/>
    <w:rsid w:val="000E683D"/>
    <w:rPr>
      <w:sz w:val="16"/>
      <w:szCs w:val="16"/>
    </w:rPr>
  </w:style>
  <w:style w:type="paragraph" w:styleId="CommentText">
    <w:name w:val="annotation text"/>
    <w:basedOn w:val="Normal"/>
    <w:link w:val="CommentTextChar"/>
    <w:uiPriority w:val="99"/>
    <w:unhideWhenUsed/>
    <w:locked/>
    <w:rsid w:val="000E683D"/>
    <w:pPr>
      <w:spacing w:line="240" w:lineRule="auto"/>
    </w:pPr>
    <w:rPr>
      <w:sz w:val="20"/>
      <w:szCs w:val="20"/>
    </w:rPr>
  </w:style>
  <w:style w:type="character" w:customStyle="1" w:styleId="CommentTextChar">
    <w:name w:val="Comment Text Char"/>
    <w:basedOn w:val="DefaultParagraphFont"/>
    <w:link w:val="CommentText"/>
    <w:uiPriority w:val="99"/>
    <w:rsid w:val="000E683D"/>
    <w:rPr>
      <w:sz w:val="20"/>
      <w:szCs w:val="20"/>
    </w:rPr>
  </w:style>
  <w:style w:type="paragraph" w:styleId="CommentSubject">
    <w:name w:val="annotation subject"/>
    <w:basedOn w:val="CommentText"/>
    <w:next w:val="CommentText"/>
    <w:link w:val="CommentSubjectChar"/>
    <w:uiPriority w:val="99"/>
    <w:semiHidden/>
    <w:unhideWhenUsed/>
    <w:locked/>
    <w:rsid w:val="000E683D"/>
    <w:rPr>
      <w:b/>
      <w:bCs/>
    </w:rPr>
  </w:style>
  <w:style w:type="character" w:customStyle="1" w:styleId="CommentSubjectChar">
    <w:name w:val="Comment Subject Char"/>
    <w:basedOn w:val="CommentTextChar"/>
    <w:link w:val="CommentSubject"/>
    <w:uiPriority w:val="99"/>
    <w:semiHidden/>
    <w:rsid w:val="000E683D"/>
    <w:rPr>
      <w:b/>
      <w:bCs/>
      <w:sz w:val="20"/>
      <w:szCs w:val="20"/>
    </w:rPr>
  </w:style>
  <w:style w:type="character" w:styleId="FollowedHyperlink">
    <w:name w:val="FollowedHyperlink"/>
    <w:basedOn w:val="DefaultParagraphFont"/>
    <w:uiPriority w:val="99"/>
    <w:semiHidden/>
    <w:unhideWhenUsed/>
    <w:locked/>
    <w:rsid w:val="000E683D"/>
    <w:rPr>
      <w:color w:val="5D9732" w:themeColor="followedHyperlink"/>
      <w:u w:val="single"/>
    </w:rPr>
  </w:style>
  <w:style w:type="paragraph" w:styleId="Revision">
    <w:name w:val="Revision"/>
    <w:hidden/>
    <w:uiPriority w:val="99"/>
    <w:semiHidden/>
    <w:rsid w:val="000E683D"/>
    <w:pPr>
      <w:spacing w:after="0"/>
    </w:pPr>
  </w:style>
  <w:style w:type="table" w:customStyle="1" w:styleId="PlainTable4">
    <w:name w:val="Plain Table 4"/>
    <w:basedOn w:val="TableNormal"/>
    <w:uiPriority w:val="44"/>
    <w:rsid w:val="00C23B2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C23B2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F1038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locked="0" w:uiPriority="39" w:qFormat="1"/>
    <w:lsdException w:name="toc 4" w:locked="0" w:uiPriority="39" w:qFormat="1"/>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qFormat="1"/>
    <w:lsdException w:name="footer" w:locked="0" w:qFormat="1"/>
    <w:lsdException w:name="caption" w:locked="0" w:uiPriority="35" w:qFormat="1"/>
    <w:lsdException w:name="table of figures" w:locked="0"/>
    <w:lsdException w:name="footnote reference" w:locked="0"/>
    <w:lsdException w:name="List Number" w:uiPriority="20"/>
    <w:lsdException w:name="Title" w:semiHidden="0" w:unhideWhenUsed="0" w:qFormat="1"/>
    <w:lsdException w:name="Default Paragraph Font" w:locked="0" w:uiPriority="1"/>
    <w:lsdException w:name="Subtitle" w:uiPriority="11" w:unhideWhenUsed="0"/>
    <w:lsdException w:name="Date" w:uiPriority="4" w:qFormat="1"/>
    <w:lsdException w:name="Body Text First Indent" w:qFormat="1"/>
    <w:lsdException w:name="Note Heading" w:uiPriority="13" w:qFormat="1"/>
    <w:lsdException w:name="Body Text Indent 3" w:qFormat="1"/>
    <w:lsdException w:name="Hyperlink" w:locked="0" w:qFormat="1"/>
    <w:lsdException w:name="Strong" w:semiHidden="0" w:uiPriority="22" w:unhideWhenUsed="0" w:qFormat="1"/>
    <w:lsdException w:name="Emphasis" w:locked="0" w:semiHidden="0" w:uiPriority="5" w:unhideWhenUsed="0" w:qFormat="1"/>
    <w:lsdException w:name="HTML Top of Form" w:locked="0"/>
    <w:lsdException w:name="HTML Bottom of Form" w:locked="0"/>
    <w:lsdException w:name="Normal Table" w:locked="0"/>
    <w:lsdException w:name="No List" w:locked="0"/>
    <w:lsdException w:name="Table Grid" w:semiHidden="0" w:uiPriority="39" w:unhideWhenUsed="0"/>
    <w:lsdException w:name="Placeholder Text" w:unhideWhenUsed="0"/>
    <w:lsdException w:name="No Spacing" w:locked="0"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1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5"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qFormat/>
    <w:rsid w:val="00C7266E"/>
    <w:pPr>
      <w:spacing w:line="300" w:lineRule="atLeast"/>
    </w:pPr>
  </w:style>
  <w:style w:type="paragraph" w:styleId="Heading1">
    <w:name w:val="heading 1"/>
    <w:basedOn w:val="Normal"/>
    <w:next w:val="Left05Indent"/>
    <w:link w:val="Heading1Char"/>
    <w:autoRedefine/>
    <w:uiPriority w:val="1"/>
    <w:qFormat/>
    <w:rsid w:val="007832EC"/>
    <w:pPr>
      <w:keepNext/>
      <w:keepLines/>
      <w:pBdr>
        <w:bottom w:val="single" w:sz="8" w:space="1" w:color="A6A6A6" w:themeColor="background1" w:themeShade="A6"/>
      </w:pBdr>
      <w:spacing w:after="120" w:line="380" w:lineRule="atLeast"/>
      <w:outlineLvl w:val="0"/>
    </w:pPr>
    <w:rPr>
      <w:rFonts w:asciiTheme="majorHAnsi" w:eastAsiaTheme="majorEastAsia" w:hAnsiTheme="majorHAnsi" w:cstheme="majorBidi"/>
      <w:b/>
      <w:bCs/>
      <w:color w:val="1396D8"/>
      <w:sz w:val="32"/>
      <w:szCs w:val="28"/>
    </w:rPr>
  </w:style>
  <w:style w:type="paragraph" w:styleId="Heading2">
    <w:name w:val="heading 2"/>
    <w:next w:val="Normal"/>
    <w:link w:val="Heading2Char"/>
    <w:autoRedefine/>
    <w:uiPriority w:val="1"/>
    <w:qFormat/>
    <w:rsid w:val="00E31C5D"/>
    <w:pPr>
      <w:keepNext/>
      <w:keepLines/>
      <w:spacing w:before="200" w:after="0"/>
      <w:outlineLvl w:val="1"/>
    </w:pPr>
    <w:rPr>
      <w:rFonts w:eastAsiaTheme="majorEastAsia" w:cstheme="majorBidi"/>
      <w:b/>
      <w:color w:val="1396D8"/>
      <w:sz w:val="28"/>
      <w:szCs w:val="26"/>
    </w:rPr>
  </w:style>
  <w:style w:type="paragraph" w:styleId="Heading3">
    <w:name w:val="heading 3"/>
    <w:basedOn w:val="Heading2"/>
    <w:next w:val="Normal"/>
    <w:link w:val="Heading3Char"/>
    <w:autoRedefine/>
    <w:uiPriority w:val="1"/>
    <w:qFormat/>
    <w:rsid w:val="00D93A86"/>
    <w:pPr>
      <w:outlineLvl w:val="2"/>
    </w:pPr>
    <w:rPr>
      <w:rFonts w:asciiTheme="majorHAnsi" w:hAnsiTheme="majorHAnsi"/>
      <w:bCs/>
      <w:i/>
      <w:color w:val="595959" w:themeColor="text1" w:themeTint="A6"/>
      <w:sz w:val="24"/>
    </w:rPr>
  </w:style>
  <w:style w:type="paragraph" w:styleId="Heading4">
    <w:name w:val="heading 4"/>
    <w:basedOn w:val="Heading3"/>
    <w:next w:val="Normal"/>
    <w:link w:val="Heading4Char"/>
    <w:autoRedefine/>
    <w:uiPriority w:val="1"/>
    <w:qFormat/>
    <w:rsid w:val="00E31C5D"/>
    <w:pPr>
      <w:numPr>
        <w:ilvl w:val="3"/>
      </w:numPr>
      <w:outlineLvl w:val="3"/>
    </w:pPr>
    <w:rPr>
      <w:rFonts w:asciiTheme="minorHAnsi" w:hAnsiTheme="minorHAnsi"/>
      <w:bCs w:val="0"/>
      <w:iCs/>
    </w:rPr>
  </w:style>
  <w:style w:type="paragraph" w:styleId="Heading5">
    <w:name w:val="heading 5"/>
    <w:basedOn w:val="Heading4"/>
    <w:next w:val="Normal"/>
    <w:link w:val="Heading5Char"/>
    <w:uiPriority w:val="9"/>
    <w:semiHidden/>
    <w:locked/>
    <w:rsid w:val="00112A69"/>
    <w:pPr>
      <w:numPr>
        <w:ilvl w:val="4"/>
      </w:numPr>
      <w:outlineLvl w:val="4"/>
    </w:pPr>
    <w:rPr>
      <w:sz w:val="20"/>
    </w:rPr>
  </w:style>
  <w:style w:type="paragraph" w:styleId="Heading6">
    <w:name w:val="heading 6"/>
    <w:basedOn w:val="Heading5"/>
    <w:next w:val="Normal"/>
    <w:link w:val="Heading6Char"/>
    <w:autoRedefine/>
    <w:uiPriority w:val="9"/>
    <w:semiHidden/>
    <w:locked/>
    <w:rsid w:val="00112A69"/>
    <w:pPr>
      <w:numPr>
        <w:ilvl w:val="5"/>
      </w:numPr>
      <w:outlineLvl w:val="5"/>
    </w:pPr>
    <w:rPr>
      <w:iCs w:val="0"/>
      <w:color w:val="666666"/>
    </w:rPr>
  </w:style>
  <w:style w:type="paragraph" w:styleId="Heading7">
    <w:name w:val="heading 7"/>
    <w:basedOn w:val="Normal"/>
    <w:next w:val="Normal"/>
    <w:link w:val="Heading7Char"/>
    <w:uiPriority w:val="9"/>
    <w:semiHidden/>
    <w:locked/>
    <w:rsid w:val="00112A6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locked/>
    <w:rsid w:val="00112A69"/>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locked/>
    <w:rsid w:val="00112A6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32EC"/>
    <w:rPr>
      <w:rFonts w:asciiTheme="majorHAnsi" w:eastAsiaTheme="majorEastAsia" w:hAnsiTheme="majorHAnsi" w:cstheme="majorBidi"/>
      <w:b/>
      <w:bCs/>
      <w:color w:val="1396D8"/>
      <w:sz w:val="32"/>
      <w:szCs w:val="28"/>
    </w:rPr>
  </w:style>
  <w:style w:type="paragraph" w:styleId="NoSpacing">
    <w:name w:val="No Spacing"/>
    <w:uiPriority w:val="2"/>
    <w:qFormat/>
    <w:rsid w:val="00112A69"/>
    <w:pPr>
      <w:spacing w:after="0"/>
      <w:jc w:val="both"/>
    </w:pPr>
  </w:style>
  <w:style w:type="character" w:customStyle="1" w:styleId="Heading2Char">
    <w:name w:val="Heading 2 Char"/>
    <w:basedOn w:val="DefaultParagraphFont"/>
    <w:link w:val="Heading2"/>
    <w:uiPriority w:val="1"/>
    <w:rsid w:val="00E31C5D"/>
    <w:rPr>
      <w:rFonts w:eastAsiaTheme="majorEastAsia" w:cstheme="majorBidi"/>
      <w:b/>
      <w:color w:val="1396D8"/>
      <w:sz w:val="28"/>
      <w:szCs w:val="26"/>
    </w:rPr>
  </w:style>
  <w:style w:type="character" w:customStyle="1" w:styleId="Heading3Char">
    <w:name w:val="Heading 3 Char"/>
    <w:basedOn w:val="DefaultParagraphFont"/>
    <w:link w:val="Heading3"/>
    <w:uiPriority w:val="1"/>
    <w:rsid w:val="00D93A86"/>
    <w:rPr>
      <w:rFonts w:asciiTheme="majorHAnsi" w:eastAsiaTheme="majorEastAsia" w:hAnsiTheme="majorHAnsi" w:cstheme="majorBidi"/>
      <w:b/>
      <w:bCs/>
      <w:i/>
      <w:color w:val="595959" w:themeColor="text1" w:themeTint="A6"/>
      <w:sz w:val="24"/>
      <w:szCs w:val="26"/>
    </w:rPr>
  </w:style>
  <w:style w:type="character" w:customStyle="1" w:styleId="Heading4Char">
    <w:name w:val="Heading 4 Char"/>
    <w:basedOn w:val="DefaultParagraphFont"/>
    <w:link w:val="Heading4"/>
    <w:uiPriority w:val="1"/>
    <w:rsid w:val="00E31C5D"/>
    <w:rPr>
      <w:rFonts w:eastAsiaTheme="majorEastAsia" w:cstheme="majorBidi"/>
      <w:b/>
      <w:i/>
      <w:iCs/>
      <w:color w:val="595959" w:themeColor="text1" w:themeTint="A6"/>
      <w:sz w:val="24"/>
      <w:szCs w:val="26"/>
    </w:rPr>
  </w:style>
  <w:style w:type="character" w:customStyle="1" w:styleId="Heading5Char">
    <w:name w:val="Heading 5 Char"/>
    <w:basedOn w:val="DefaultParagraphFont"/>
    <w:link w:val="Heading5"/>
    <w:uiPriority w:val="9"/>
    <w:semiHidden/>
    <w:rsid w:val="00D55243"/>
    <w:rPr>
      <w:rFonts w:eastAsiaTheme="majorEastAsia" w:cstheme="majorBidi"/>
      <w:b/>
      <w:i/>
      <w:iCs/>
      <w:color w:val="595959" w:themeColor="text1" w:themeTint="A6"/>
      <w:szCs w:val="26"/>
    </w:rPr>
  </w:style>
  <w:style w:type="character" w:customStyle="1" w:styleId="Heading6Char">
    <w:name w:val="Heading 6 Char"/>
    <w:basedOn w:val="DefaultParagraphFont"/>
    <w:link w:val="Heading6"/>
    <w:uiPriority w:val="9"/>
    <w:semiHidden/>
    <w:rsid w:val="00D55243"/>
    <w:rPr>
      <w:rFonts w:eastAsiaTheme="majorEastAsia" w:cstheme="majorBidi"/>
      <w:b/>
      <w:i/>
      <w:color w:val="666666"/>
      <w:szCs w:val="26"/>
    </w:rPr>
  </w:style>
  <w:style w:type="character" w:customStyle="1" w:styleId="Heading7Char">
    <w:name w:val="Heading 7 Char"/>
    <w:basedOn w:val="DefaultParagraphFont"/>
    <w:link w:val="Heading7"/>
    <w:uiPriority w:val="9"/>
    <w:semiHidden/>
    <w:rsid w:val="00D5524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5524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55243"/>
    <w:rPr>
      <w:rFonts w:asciiTheme="majorHAnsi" w:eastAsiaTheme="majorEastAsia" w:hAnsiTheme="majorHAnsi" w:cstheme="majorBidi"/>
      <w:i/>
      <w:iCs/>
      <w:color w:val="404040" w:themeColor="text1" w:themeTint="BF"/>
    </w:rPr>
  </w:style>
  <w:style w:type="paragraph" w:styleId="Caption">
    <w:name w:val="caption"/>
    <w:basedOn w:val="Normal"/>
    <w:next w:val="Normal"/>
    <w:autoRedefine/>
    <w:uiPriority w:val="35"/>
    <w:qFormat/>
    <w:rsid w:val="009F3147"/>
    <w:pPr>
      <w:keepNext/>
      <w:spacing w:after="0" w:line="240" w:lineRule="auto"/>
    </w:pPr>
    <w:rPr>
      <w:b/>
      <w:bCs/>
      <w:color w:val="1396D8"/>
    </w:rPr>
  </w:style>
  <w:style w:type="paragraph" w:styleId="Header">
    <w:name w:val="header"/>
    <w:basedOn w:val="Normal"/>
    <w:link w:val="HeaderChar"/>
    <w:autoRedefine/>
    <w:uiPriority w:val="99"/>
    <w:qFormat/>
    <w:rsid w:val="00041909"/>
    <w:pPr>
      <w:pBdr>
        <w:bottom w:val="single" w:sz="6" w:space="1" w:color="666666"/>
      </w:pBdr>
      <w:tabs>
        <w:tab w:val="center" w:pos="4680"/>
        <w:tab w:val="right" w:pos="9360"/>
      </w:tabs>
      <w:spacing w:after="0" w:line="240" w:lineRule="auto"/>
      <w:jc w:val="right"/>
    </w:pPr>
    <w:rPr>
      <w:i/>
    </w:rPr>
  </w:style>
  <w:style w:type="character" w:customStyle="1" w:styleId="HeaderChar">
    <w:name w:val="Header Char"/>
    <w:basedOn w:val="DefaultParagraphFont"/>
    <w:link w:val="Header"/>
    <w:uiPriority w:val="99"/>
    <w:rsid w:val="00041909"/>
    <w:rPr>
      <w:i/>
    </w:rPr>
  </w:style>
  <w:style w:type="paragraph" w:styleId="Footer">
    <w:name w:val="footer"/>
    <w:basedOn w:val="Normal"/>
    <w:link w:val="FooterChar"/>
    <w:autoRedefine/>
    <w:uiPriority w:val="99"/>
    <w:qFormat/>
    <w:rsid w:val="00760677"/>
    <w:pPr>
      <w:tabs>
        <w:tab w:val="center" w:pos="2160"/>
        <w:tab w:val="right" w:pos="9720"/>
      </w:tabs>
      <w:spacing w:after="0" w:line="240" w:lineRule="auto"/>
      <w:ind w:left="3600" w:hanging="3600"/>
    </w:pPr>
    <w:rPr>
      <w:sz w:val="16"/>
    </w:rPr>
  </w:style>
  <w:style w:type="character" w:customStyle="1" w:styleId="FooterChar">
    <w:name w:val="Footer Char"/>
    <w:basedOn w:val="DefaultParagraphFont"/>
    <w:link w:val="Footer"/>
    <w:uiPriority w:val="99"/>
    <w:rsid w:val="00760677"/>
    <w:rPr>
      <w:sz w:val="16"/>
    </w:rPr>
  </w:style>
  <w:style w:type="paragraph" w:styleId="NoteHeading">
    <w:name w:val="Note Heading"/>
    <w:aliases w:val="Note 1"/>
    <w:basedOn w:val="Normal"/>
    <w:next w:val="Normal"/>
    <w:link w:val="NoteHeadingChar"/>
    <w:uiPriority w:val="13"/>
    <w:qFormat/>
    <w:locked/>
    <w:rsid w:val="004C277B"/>
    <w:pPr>
      <w:pBdr>
        <w:top w:val="single" w:sz="18" w:space="6" w:color="C4ECFF" w:themeColor="accent1" w:themeTint="33"/>
        <w:left w:val="single" w:sz="18" w:space="10" w:color="C4ECFF" w:themeColor="accent1" w:themeTint="33"/>
        <w:bottom w:val="single" w:sz="18" w:space="6" w:color="C4ECFF" w:themeColor="accent1" w:themeTint="33"/>
        <w:right w:val="single" w:sz="18" w:space="10" w:color="C4ECFF" w:themeColor="accent1" w:themeTint="33"/>
      </w:pBdr>
      <w:shd w:val="clear" w:color="auto" w:fill="C4ECFF" w:themeFill="accent1" w:themeFillTint="33"/>
      <w:spacing w:before="120" w:after="120" w:line="240" w:lineRule="auto"/>
      <w:ind w:left="936" w:right="216"/>
      <w:jc w:val="both"/>
    </w:pPr>
    <w:rPr>
      <w:i/>
      <w:color w:val="0096D7" w:themeColor="accent1"/>
    </w:rPr>
  </w:style>
  <w:style w:type="character" w:customStyle="1" w:styleId="NoteHeadingChar">
    <w:name w:val="Note Heading Char"/>
    <w:aliases w:val="Note 1 Char"/>
    <w:basedOn w:val="DefaultParagraphFont"/>
    <w:link w:val="NoteHeading"/>
    <w:uiPriority w:val="13"/>
    <w:rsid w:val="004C277B"/>
    <w:rPr>
      <w:i/>
      <w:color w:val="0096D7" w:themeColor="accent1"/>
      <w:szCs w:val="22"/>
      <w:shd w:val="clear" w:color="auto" w:fill="C4ECFF" w:themeFill="accent1" w:themeFillTint="33"/>
    </w:rPr>
  </w:style>
  <w:style w:type="character" w:styleId="PageNumber">
    <w:name w:val="page number"/>
    <w:uiPriority w:val="99"/>
    <w:semiHidden/>
    <w:locked/>
    <w:rsid w:val="00112A69"/>
    <w:rPr>
      <w:rFonts w:eastAsiaTheme="minorEastAsia" w:cs="Arial"/>
      <w:sz w:val="16"/>
      <w:szCs w:val="16"/>
    </w:rPr>
  </w:style>
  <w:style w:type="character" w:styleId="Hyperlink">
    <w:name w:val="Hyperlink"/>
    <w:basedOn w:val="DefaultParagraphFont"/>
    <w:uiPriority w:val="99"/>
    <w:qFormat/>
    <w:rsid w:val="00677C5F"/>
    <w:rPr>
      <w:rFonts w:asciiTheme="minorHAnsi" w:hAnsiTheme="minorHAnsi"/>
      <w:color w:val="1396D8"/>
      <w:u w:val="single"/>
    </w:rPr>
  </w:style>
  <w:style w:type="paragraph" w:customStyle="1" w:styleId="Link">
    <w:name w:val="Link"/>
    <w:basedOn w:val="Normal"/>
    <w:link w:val="LinkChar"/>
    <w:autoRedefine/>
    <w:uiPriority w:val="11"/>
    <w:qFormat/>
    <w:rsid w:val="00112A69"/>
    <w:pPr>
      <w:spacing w:after="0" w:line="240" w:lineRule="auto"/>
    </w:pPr>
    <w:rPr>
      <w:rFonts w:eastAsia="Times New Roman" w:cs="Times New Roman"/>
      <w:color w:val="1396D8"/>
      <w:szCs w:val="24"/>
      <w:u w:val="single"/>
    </w:rPr>
  </w:style>
  <w:style w:type="character" w:customStyle="1" w:styleId="LinkChar">
    <w:name w:val="Link Char"/>
    <w:basedOn w:val="DefaultParagraphFont"/>
    <w:link w:val="Link"/>
    <w:uiPriority w:val="11"/>
    <w:rsid w:val="00D55243"/>
    <w:rPr>
      <w:rFonts w:eastAsia="Times New Roman" w:cs="Times New Roman"/>
      <w:color w:val="1396D8"/>
      <w:szCs w:val="24"/>
      <w:u w:val="single"/>
    </w:rPr>
  </w:style>
  <w:style w:type="character" w:styleId="IntenseReference">
    <w:name w:val="Intense Reference"/>
    <w:aliases w:val="Note 1 Bold"/>
    <w:basedOn w:val="DefaultParagraphFont"/>
    <w:uiPriority w:val="32"/>
    <w:locked/>
    <w:rsid w:val="00112A69"/>
    <w:rPr>
      <w:rFonts w:asciiTheme="minorHAnsi" w:hAnsiTheme="minorHAnsi"/>
      <w:b/>
      <w:bCs/>
      <w:smallCaps/>
      <w:color w:val="BD732A" w:themeColor="accent2"/>
      <w:spacing w:val="5"/>
      <w:sz w:val="20"/>
      <w:u w:val="none"/>
    </w:rPr>
  </w:style>
  <w:style w:type="paragraph" w:customStyle="1" w:styleId="BoldNote1">
    <w:name w:val="Bold Note 1"/>
    <w:basedOn w:val="NoteHeading"/>
    <w:uiPriority w:val="14"/>
    <w:qFormat/>
    <w:rsid w:val="00112A69"/>
    <w:rPr>
      <w:b/>
    </w:rPr>
  </w:style>
  <w:style w:type="paragraph" w:styleId="Quote">
    <w:name w:val="Quote"/>
    <w:basedOn w:val="Normal"/>
    <w:next w:val="Normal"/>
    <w:link w:val="QuoteChar"/>
    <w:uiPriority w:val="14"/>
    <w:qFormat/>
    <w:rsid w:val="00112A69"/>
    <w:pPr>
      <w:ind w:left="720" w:right="720"/>
    </w:pPr>
    <w:rPr>
      <w:iCs/>
      <w:color w:val="000000" w:themeColor="text1"/>
    </w:rPr>
  </w:style>
  <w:style w:type="character" w:customStyle="1" w:styleId="QuoteChar">
    <w:name w:val="Quote Char"/>
    <w:basedOn w:val="DefaultParagraphFont"/>
    <w:link w:val="Quote"/>
    <w:uiPriority w:val="14"/>
    <w:rsid w:val="00D55243"/>
    <w:rPr>
      <w:iCs/>
      <w:color w:val="000000" w:themeColor="text1"/>
    </w:rPr>
  </w:style>
  <w:style w:type="character" w:styleId="IntenseEmphasis">
    <w:name w:val="Intense Emphasis"/>
    <w:basedOn w:val="DefaultParagraphFont"/>
    <w:uiPriority w:val="5"/>
    <w:qFormat/>
    <w:locked/>
    <w:rsid w:val="00112A69"/>
    <w:rPr>
      <w:rFonts w:asciiTheme="minorHAnsi" w:hAnsiTheme="minorHAnsi"/>
      <w:b/>
      <w:bCs/>
      <w:i/>
      <w:iCs/>
      <w:color w:val="1396D8"/>
      <w:sz w:val="20"/>
    </w:rPr>
  </w:style>
  <w:style w:type="character" w:styleId="Emphasis">
    <w:name w:val="Emphasis"/>
    <w:basedOn w:val="DefaultParagraphFont"/>
    <w:uiPriority w:val="5"/>
    <w:qFormat/>
    <w:rsid w:val="00F80AF1"/>
    <w:rPr>
      <w:rFonts w:asciiTheme="minorHAnsi" w:hAnsiTheme="minorHAnsi"/>
      <w:b/>
      <w:iCs/>
      <w:sz w:val="22"/>
    </w:rPr>
  </w:style>
  <w:style w:type="paragraph" w:styleId="BodyText">
    <w:name w:val="Body Text"/>
    <w:basedOn w:val="Normal"/>
    <w:link w:val="BodyTextChar"/>
    <w:uiPriority w:val="99"/>
    <w:semiHidden/>
    <w:unhideWhenUsed/>
    <w:locked/>
    <w:rsid w:val="00015DA7"/>
    <w:pPr>
      <w:spacing w:after="120"/>
    </w:pPr>
  </w:style>
  <w:style w:type="character" w:customStyle="1" w:styleId="BodyTextChar">
    <w:name w:val="Body Text Char"/>
    <w:basedOn w:val="DefaultParagraphFont"/>
    <w:link w:val="BodyText"/>
    <w:uiPriority w:val="99"/>
    <w:semiHidden/>
    <w:rsid w:val="00015DA7"/>
    <w:rPr>
      <w:sz w:val="20"/>
    </w:rPr>
  </w:style>
  <w:style w:type="paragraph" w:styleId="BodyTextFirstIndent">
    <w:name w:val="Body Text First Indent"/>
    <w:aliases w:val="Style Left 0.5"/>
    <w:basedOn w:val="BodyText"/>
    <w:link w:val="BodyTextFirstIndentChar"/>
    <w:autoRedefine/>
    <w:uiPriority w:val="99"/>
    <w:semiHidden/>
    <w:qFormat/>
    <w:locked/>
    <w:rsid w:val="00112A69"/>
    <w:pPr>
      <w:spacing w:after="200"/>
      <w:ind w:left="720"/>
    </w:pPr>
  </w:style>
  <w:style w:type="character" w:customStyle="1" w:styleId="BodyTextFirstIndentChar">
    <w:name w:val="Body Text First Indent Char"/>
    <w:aliases w:val="Style Left 0.5 Char"/>
    <w:basedOn w:val="BodyTextChar"/>
    <w:link w:val="BodyTextFirstIndent"/>
    <w:uiPriority w:val="99"/>
    <w:semiHidden/>
    <w:rsid w:val="00E03CE6"/>
    <w:rPr>
      <w:sz w:val="20"/>
    </w:rPr>
  </w:style>
  <w:style w:type="paragraph" w:customStyle="1" w:styleId="Left05Indent">
    <w:name w:val="Left 0.5&quot; Indent"/>
    <w:basedOn w:val="BodyTextFirstIndent"/>
    <w:autoRedefine/>
    <w:qFormat/>
    <w:locked/>
    <w:rsid w:val="00983264"/>
    <w:pPr>
      <w:spacing w:after="0"/>
      <w:ind w:left="405"/>
    </w:pPr>
    <w:rPr>
      <w:rFonts w:cs="Arial"/>
    </w:rPr>
  </w:style>
  <w:style w:type="paragraph" w:styleId="NormalWeb">
    <w:name w:val="Normal (Web)"/>
    <w:basedOn w:val="Normal"/>
    <w:uiPriority w:val="99"/>
    <w:semiHidden/>
    <w:unhideWhenUsed/>
    <w:locked/>
    <w:rsid w:val="00015DA7"/>
    <w:pPr>
      <w:spacing w:after="292" w:line="292" w:lineRule="atLeast"/>
    </w:pPr>
    <w:rPr>
      <w:rFonts w:ascii="Times New Roman" w:eastAsia="Times New Roman" w:hAnsi="Times New Roman" w:cs="Times New Roman"/>
      <w:sz w:val="23"/>
      <w:szCs w:val="23"/>
    </w:rPr>
  </w:style>
  <w:style w:type="paragraph" w:styleId="ListParagraph">
    <w:name w:val="List Paragraph"/>
    <w:basedOn w:val="Normal"/>
    <w:autoRedefine/>
    <w:uiPriority w:val="34"/>
    <w:qFormat/>
    <w:rsid w:val="003677C2"/>
    <w:pPr>
      <w:numPr>
        <w:numId w:val="17"/>
      </w:numPr>
      <w:spacing w:after="160" w:line="259" w:lineRule="auto"/>
      <w:contextualSpacing/>
    </w:pPr>
  </w:style>
  <w:style w:type="paragraph" w:styleId="TOCHeading">
    <w:name w:val="TOC Heading"/>
    <w:basedOn w:val="Heading1"/>
    <w:next w:val="Normal"/>
    <w:autoRedefine/>
    <w:uiPriority w:val="39"/>
    <w:qFormat/>
    <w:rsid w:val="000807C0"/>
    <w:pPr>
      <w:pBdr>
        <w:bottom w:val="single" w:sz="4" w:space="1" w:color="BFBFBF" w:themeColor="background1" w:themeShade="BF"/>
      </w:pBdr>
      <w:spacing w:before="480" w:line="240" w:lineRule="auto"/>
      <w:outlineLvl w:val="9"/>
    </w:pPr>
    <w:rPr>
      <w:color w:val="0096D7" w:themeColor="accent1"/>
    </w:rPr>
  </w:style>
  <w:style w:type="paragraph" w:styleId="TOC1">
    <w:name w:val="toc 1"/>
    <w:basedOn w:val="Normal"/>
    <w:next w:val="Normal"/>
    <w:autoRedefine/>
    <w:uiPriority w:val="39"/>
    <w:qFormat/>
    <w:rsid w:val="001E6844"/>
    <w:pPr>
      <w:tabs>
        <w:tab w:val="left" w:pos="400"/>
        <w:tab w:val="right" w:leader="dot" w:pos="9350"/>
      </w:tabs>
      <w:spacing w:after="100"/>
    </w:pPr>
    <w:rPr>
      <w:color w:val="000000" w:themeColor="text1"/>
    </w:rPr>
  </w:style>
  <w:style w:type="paragraph" w:styleId="TOC2">
    <w:name w:val="toc 2"/>
    <w:basedOn w:val="TOC1"/>
    <w:next w:val="Normal"/>
    <w:autoRedefine/>
    <w:uiPriority w:val="39"/>
    <w:qFormat/>
    <w:rsid w:val="00227E4B"/>
    <w:pPr>
      <w:ind w:left="288"/>
    </w:pPr>
  </w:style>
  <w:style w:type="paragraph" w:styleId="TOC3">
    <w:name w:val="toc 3"/>
    <w:basedOn w:val="TOC2"/>
    <w:next w:val="Normal"/>
    <w:autoRedefine/>
    <w:uiPriority w:val="39"/>
    <w:qFormat/>
    <w:rsid w:val="00D93A86"/>
    <w:pPr>
      <w:ind w:left="400"/>
    </w:pPr>
  </w:style>
  <w:style w:type="paragraph" w:styleId="BalloonText">
    <w:name w:val="Balloon Text"/>
    <w:basedOn w:val="Normal"/>
    <w:link w:val="BalloonTextChar"/>
    <w:uiPriority w:val="99"/>
    <w:semiHidden/>
    <w:locked/>
    <w:rsid w:val="00901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243"/>
    <w:rPr>
      <w:rFonts w:ascii="Tahoma" w:hAnsi="Tahoma" w:cs="Tahoma"/>
      <w:sz w:val="16"/>
      <w:szCs w:val="16"/>
    </w:rPr>
  </w:style>
  <w:style w:type="paragraph" w:customStyle="1" w:styleId="Boxtext">
    <w:name w:val="Box text"/>
    <w:basedOn w:val="BodyText"/>
    <w:uiPriority w:val="2"/>
    <w:qFormat/>
    <w:rsid w:val="00112A69"/>
    <w:pPr>
      <w:pBdr>
        <w:top w:val="single" w:sz="4" w:space="2" w:color="auto"/>
        <w:left w:val="single" w:sz="4" w:space="4" w:color="auto"/>
        <w:bottom w:val="single" w:sz="4" w:space="4" w:color="auto"/>
        <w:right w:val="single" w:sz="4" w:space="4" w:color="auto"/>
      </w:pBdr>
      <w:spacing w:before="120" w:after="80"/>
    </w:pPr>
    <w:rPr>
      <w:rFonts w:eastAsiaTheme="minorEastAsia" w:cs="Times New Roman"/>
    </w:rPr>
  </w:style>
  <w:style w:type="paragraph" w:styleId="BodyTextIndent3">
    <w:name w:val="Body Text Indent 3"/>
    <w:aliases w:val="Table Text .25 ndent"/>
    <w:basedOn w:val="Normal"/>
    <w:link w:val="BodyTextIndent3Char"/>
    <w:autoRedefine/>
    <w:uiPriority w:val="99"/>
    <w:semiHidden/>
    <w:qFormat/>
    <w:locked/>
    <w:rsid w:val="00112A69"/>
    <w:pPr>
      <w:framePr w:hSpace="180" w:wrap="around" w:vAnchor="text" w:hAnchor="margin" w:y="110"/>
      <w:spacing w:before="60" w:after="0" w:line="240" w:lineRule="auto"/>
      <w:ind w:left="187"/>
    </w:pPr>
    <w:rPr>
      <w:rFonts w:ascii="Arial" w:eastAsiaTheme="minorEastAsia" w:hAnsi="Arial" w:cs="Arial"/>
      <w:color w:val="000000"/>
      <w:sz w:val="16"/>
      <w:szCs w:val="16"/>
    </w:rPr>
  </w:style>
  <w:style w:type="character" w:customStyle="1" w:styleId="BodyTextIndent3Char">
    <w:name w:val="Body Text Indent 3 Char"/>
    <w:aliases w:val="Table Text .25 ndent Char"/>
    <w:basedOn w:val="DefaultParagraphFont"/>
    <w:link w:val="BodyTextIndent3"/>
    <w:uiPriority w:val="99"/>
    <w:semiHidden/>
    <w:rsid w:val="00E03CE6"/>
    <w:rPr>
      <w:rFonts w:ascii="Arial" w:eastAsiaTheme="minorEastAsia" w:hAnsi="Arial" w:cs="Arial"/>
      <w:color w:val="000000"/>
      <w:sz w:val="16"/>
      <w:szCs w:val="16"/>
    </w:rPr>
  </w:style>
  <w:style w:type="paragraph" w:styleId="FootnoteText">
    <w:name w:val="footnote text"/>
    <w:basedOn w:val="Normal"/>
    <w:link w:val="FootnoteTextChar"/>
    <w:autoRedefine/>
    <w:uiPriority w:val="99"/>
    <w:qFormat/>
    <w:rsid w:val="002452E9"/>
    <w:pPr>
      <w:spacing w:after="0" w:line="240" w:lineRule="atLeast"/>
      <w:contextualSpacing/>
    </w:pPr>
    <w:rPr>
      <w:sz w:val="18"/>
    </w:rPr>
  </w:style>
  <w:style w:type="character" w:customStyle="1" w:styleId="FootnoteTextChar">
    <w:name w:val="Footnote Text Char"/>
    <w:basedOn w:val="DefaultParagraphFont"/>
    <w:link w:val="FootnoteText"/>
    <w:uiPriority w:val="99"/>
    <w:rsid w:val="002452E9"/>
    <w:rPr>
      <w:sz w:val="18"/>
    </w:rPr>
  </w:style>
  <w:style w:type="character" w:styleId="FootnoteReference">
    <w:name w:val="footnote reference"/>
    <w:basedOn w:val="DefaultParagraphFont"/>
    <w:uiPriority w:val="99"/>
    <w:rsid w:val="00965A44"/>
    <w:rPr>
      <w:vertAlign w:val="superscript"/>
    </w:rPr>
  </w:style>
  <w:style w:type="paragraph" w:styleId="List">
    <w:name w:val="List"/>
    <w:basedOn w:val="Normal"/>
    <w:uiPriority w:val="99"/>
    <w:semiHidden/>
    <w:locked/>
    <w:rsid w:val="00112A69"/>
    <w:pPr>
      <w:ind w:left="360" w:hanging="360"/>
      <w:contextualSpacing/>
    </w:pPr>
  </w:style>
  <w:style w:type="paragraph" w:styleId="List2">
    <w:name w:val="List 2"/>
    <w:basedOn w:val="Normal"/>
    <w:uiPriority w:val="99"/>
    <w:semiHidden/>
    <w:locked/>
    <w:rsid w:val="00112A69"/>
    <w:pPr>
      <w:ind w:left="720" w:hanging="360"/>
      <w:contextualSpacing/>
    </w:pPr>
  </w:style>
  <w:style w:type="paragraph" w:styleId="List3">
    <w:name w:val="List 3"/>
    <w:basedOn w:val="Normal"/>
    <w:uiPriority w:val="99"/>
    <w:semiHidden/>
    <w:locked/>
    <w:rsid w:val="00112A69"/>
    <w:pPr>
      <w:ind w:left="1080" w:hanging="360"/>
      <w:contextualSpacing/>
    </w:pPr>
  </w:style>
  <w:style w:type="paragraph" w:styleId="List4">
    <w:name w:val="List 4"/>
    <w:basedOn w:val="Normal"/>
    <w:uiPriority w:val="99"/>
    <w:semiHidden/>
    <w:locked/>
    <w:rsid w:val="00112A69"/>
    <w:pPr>
      <w:ind w:left="1440" w:hanging="360"/>
      <w:contextualSpacing/>
    </w:pPr>
  </w:style>
  <w:style w:type="paragraph" w:styleId="List5">
    <w:name w:val="List 5"/>
    <w:basedOn w:val="Normal"/>
    <w:uiPriority w:val="99"/>
    <w:semiHidden/>
    <w:locked/>
    <w:rsid w:val="00112A69"/>
    <w:pPr>
      <w:ind w:left="1800" w:hanging="360"/>
      <w:contextualSpacing/>
    </w:pPr>
  </w:style>
  <w:style w:type="paragraph" w:styleId="ListBullet">
    <w:name w:val="List Bullet"/>
    <w:basedOn w:val="Normal"/>
    <w:uiPriority w:val="99"/>
    <w:semiHidden/>
    <w:locked/>
    <w:rsid w:val="00112A69"/>
    <w:pPr>
      <w:numPr>
        <w:numId w:val="3"/>
      </w:numPr>
      <w:contextualSpacing/>
    </w:pPr>
  </w:style>
  <w:style w:type="paragraph" w:styleId="ListBullet2">
    <w:name w:val="List Bullet 2"/>
    <w:basedOn w:val="Normal"/>
    <w:uiPriority w:val="99"/>
    <w:semiHidden/>
    <w:locked/>
    <w:rsid w:val="00112A69"/>
    <w:pPr>
      <w:numPr>
        <w:numId w:val="4"/>
      </w:numPr>
      <w:contextualSpacing/>
    </w:pPr>
  </w:style>
  <w:style w:type="paragraph" w:styleId="ListBullet3">
    <w:name w:val="List Bullet 3"/>
    <w:basedOn w:val="Normal"/>
    <w:uiPriority w:val="99"/>
    <w:semiHidden/>
    <w:locked/>
    <w:rsid w:val="00112A69"/>
    <w:pPr>
      <w:numPr>
        <w:numId w:val="5"/>
      </w:numPr>
      <w:contextualSpacing/>
    </w:pPr>
  </w:style>
  <w:style w:type="paragraph" w:styleId="ListBullet4">
    <w:name w:val="List Bullet 4"/>
    <w:basedOn w:val="Normal"/>
    <w:uiPriority w:val="99"/>
    <w:semiHidden/>
    <w:locked/>
    <w:rsid w:val="00112A69"/>
    <w:pPr>
      <w:numPr>
        <w:numId w:val="6"/>
      </w:numPr>
      <w:contextualSpacing/>
    </w:pPr>
  </w:style>
  <w:style w:type="paragraph" w:styleId="ListContinue2">
    <w:name w:val="List Continue 2"/>
    <w:basedOn w:val="Normal"/>
    <w:uiPriority w:val="99"/>
    <w:semiHidden/>
    <w:locked/>
    <w:rsid w:val="00112A69"/>
    <w:pPr>
      <w:spacing w:after="120"/>
      <w:ind w:left="720"/>
      <w:contextualSpacing/>
    </w:pPr>
  </w:style>
  <w:style w:type="paragraph" w:styleId="ListContinue4">
    <w:name w:val="List Continue 4"/>
    <w:basedOn w:val="Normal"/>
    <w:uiPriority w:val="99"/>
    <w:semiHidden/>
    <w:locked/>
    <w:rsid w:val="00112A69"/>
    <w:pPr>
      <w:spacing w:after="120"/>
      <w:ind w:left="1440"/>
      <w:contextualSpacing/>
    </w:pPr>
  </w:style>
  <w:style w:type="character" w:styleId="LineNumber">
    <w:name w:val="line number"/>
    <w:basedOn w:val="DefaultParagraphFont"/>
    <w:uiPriority w:val="99"/>
    <w:semiHidden/>
    <w:locked/>
    <w:rsid w:val="00112A69"/>
  </w:style>
  <w:style w:type="paragraph" w:styleId="Index1">
    <w:name w:val="index 1"/>
    <w:basedOn w:val="Normal"/>
    <w:next w:val="Normal"/>
    <w:autoRedefine/>
    <w:uiPriority w:val="99"/>
    <w:semiHidden/>
    <w:unhideWhenUsed/>
    <w:locked/>
    <w:rsid w:val="00E27661"/>
    <w:pPr>
      <w:spacing w:after="0" w:line="240" w:lineRule="auto"/>
      <w:ind w:left="200" w:hanging="200"/>
    </w:pPr>
  </w:style>
  <w:style w:type="paragraph" w:styleId="IndexHeading">
    <w:name w:val="index heading"/>
    <w:basedOn w:val="Normal"/>
    <w:next w:val="Index1"/>
    <w:uiPriority w:val="99"/>
    <w:semiHidden/>
    <w:locked/>
    <w:rsid w:val="00112A69"/>
    <w:rPr>
      <w:rFonts w:asciiTheme="majorHAnsi" w:eastAsiaTheme="majorEastAsia" w:hAnsiTheme="majorHAnsi" w:cstheme="majorBidi"/>
      <w:b/>
      <w:bCs/>
    </w:rPr>
  </w:style>
  <w:style w:type="paragraph" w:customStyle="1" w:styleId="Text">
    <w:name w:val="Text"/>
    <w:basedOn w:val="BodyTextIndent3"/>
    <w:autoRedefine/>
    <w:uiPriority w:val="99"/>
    <w:semiHidden/>
    <w:qFormat/>
    <w:locked/>
    <w:rsid w:val="00112A69"/>
    <w:pPr>
      <w:framePr w:wrap="around"/>
      <w:ind w:left="180"/>
    </w:pPr>
  </w:style>
  <w:style w:type="paragraph" w:customStyle="1" w:styleId="TableTextIndent25">
    <w:name w:val="Table Text Indent .25"/>
    <w:basedOn w:val="Normal"/>
    <w:next w:val="Normal"/>
    <w:autoRedefine/>
    <w:uiPriority w:val="99"/>
    <w:semiHidden/>
    <w:qFormat/>
    <w:locked/>
    <w:rsid w:val="00112A69"/>
    <w:pPr>
      <w:spacing w:before="60" w:after="0" w:line="240" w:lineRule="auto"/>
      <w:ind w:left="216"/>
    </w:pPr>
    <w:rPr>
      <w:sz w:val="16"/>
    </w:rPr>
  </w:style>
  <w:style w:type="paragraph" w:customStyle="1" w:styleId="BoldTableStyle">
    <w:name w:val="Bold Table Style"/>
    <w:basedOn w:val="Normal"/>
    <w:autoRedefine/>
    <w:semiHidden/>
    <w:qFormat/>
    <w:locked/>
    <w:rsid w:val="00112A69"/>
    <w:pPr>
      <w:framePr w:hSpace="180" w:wrap="around" w:vAnchor="text" w:hAnchor="margin" w:y="110"/>
      <w:spacing w:before="40" w:after="40" w:line="240" w:lineRule="auto"/>
    </w:pPr>
    <w:rPr>
      <w:rFonts w:eastAsiaTheme="minorEastAsia" w:cs="Arial"/>
      <w:b/>
      <w:color w:val="000000"/>
      <w:sz w:val="16"/>
      <w:szCs w:val="16"/>
    </w:rPr>
  </w:style>
  <w:style w:type="paragraph" w:styleId="TOC4">
    <w:name w:val="toc 4"/>
    <w:basedOn w:val="TOC3"/>
    <w:next w:val="Normal"/>
    <w:autoRedefine/>
    <w:uiPriority w:val="39"/>
    <w:qFormat/>
    <w:rsid w:val="00F575F0"/>
    <w:pPr>
      <w:ind w:left="1008"/>
    </w:pPr>
    <w:rPr>
      <w:noProof/>
    </w:rPr>
  </w:style>
  <w:style w:type="paragraph" w:styleId="ListNumber">
    <w:name w:val="List Number"/>
    <w:basedOn w:val="Normal"/>
    <w:uiPriority w:val="20"/>
    <w:locked/>
    <w:rsid w:val="00046593"/>
    <w:pPr>
      <w:numPr>
        <w:numId w:val="1"/>
      </w:numPr>
      <w:contextualSpacing/>
    </w:pPr>
  </w:style>
  <w:style w:type="table" w:customStyle="1" w:styleId="LightShading1">
    <w:name w:val="Light Shading1"/>
    <w:basedOn w:val="TableNormal"/>
    <w:uiPriority w:val="60"/>
    <w:locked/>
    <w:rsid w:val="00A00D7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rsid w:val="002207DF"/>
    <w:pPr>
      <w:spacing w:after="0"/>
    </w:pPr>
  </w:style>
  <w:style w:type="character" w:styleId="PlaceholderText">
    <w:name w:val="Placeholder Text"/>
    <w:basedOn w:val="DefaultParagraphFont"/>
    <w:uiPriority w:val="99"/>
    <w:semiHidden/>
    <w:locked/>
    <w:rsid w:val="002B0FD2"/>
    <w:rPr>
      <w:color w:val="808080"/>
    </w:rPr>
  </w:style>
  <w:style w:type="paragraph" w:styleId="Title">
    <w:name w:val="Title"/>
    <w:basedOn w:val="Normal"/>
    <w:next w:val="Normal"/>
    <w:link w:val="TitleChar"/>
    <w:autoRedefine/>
    <w:uiPriority w:val="99"/>
    <w:semiHidden/>
    <w:qFormat/>
    <w:locked/>
    <w:rsid w:val="002B0FD2"/>
    <w:pPr>
      <w:spacing w:after="360" w:line="240" w:lineRule="auto"/>
      <w:contextualSpacing/>
    </w:pPr>
    <w:rPr>
      <w:rFonts w:asciiTheme="majorHAnsi" w:eastAsiaTheme="majorEastAsia" w:hAnsiTheme="majorHAnsi" w:cstheme="majorBidi"/>
      <w:color w:val="139CD8"/>
      <w:spacing w:val="5"/>
      <w:kern w:val="28"/>
      <w:sz w:val="52"/>
      <w:szCs w:val="52"/>
    </w:rPr>
  </w:style>
  <w:style w:type="character" w:customStyle="1" w:styleId="TitleChar">
    <w:name w:val="Title Char"/>
    <w:basedOn w:val="DefaultParagraphFont"/>
    <w:link w:val="Title"/>
    <w:uiPriority w:val="99"/>
    <w:semiHidden/>
    <w:rsid w:val="00E03CE6"/>
    <w:rPr>
      <w:rFonts w:asciiTheme="majorHAnsi" w:eastAsiaTheme="majorEastAsia" w:hAnsiTheme="majorHAnsi" w:cstheme="majorBidi"/>
      <w:color w:val="139CD8"/>
      <w:spacing w:val="5"/>
      <w:kern w:val="28"/>
      <w:sz w:val="52"/>
      <w:szCs w:val="52"/>
    </w:rPr>
  </w:style>
  <w:style w:type="paragraph" w:styleId="Date">
    <w:name w:val="Date"/>
    <w:basedOn w:val="Normal"/>
    <w:next w:val="Normal"/>
    <w:link w:val="DateChar"/>
    <w:autoRedefine/>
    <w:uiPriority w:val="4"/>
    <w:qFormat/>
    <w:locked/>
    <w:rsid w:val="002B0FD2"/>
    <w:rPr>
      <w:color w:val="7E8E9A"/>
    </w:rPr>
  </w:style>
  <w:style w:type="character" w:customStyle="1" w:styleId="DateChar">
    <w:name w:val="Date Char"/>
    <w:basedOn w:val="DefaultParagraphFont"/>
    <w:link w:val="Date"/>
    <w:uiPriority w:val="4"/>
    <w:rsid w:val="00D55243"/>
    <w:rPr>
      <w:color w:val="7E8E9A"/>
      <w:sz w:val="22"/>
    </w:rPr>
  </w:style>
  <w:style w:type="table" w:styleId="ColorfulList-Accent3">
    <w:name w:val="Colorful List Accent 3"/>
    <w:basedOn w:val="TableNormal"/>
    <w:uiPriority w:val="72"/>
    <w:locked/>
    <w:rsid w:val="00D55243"/>
    <w:pPr>
      <w:spacing w:after="0"/>
    </w:pPr>
    <w:rPr>
      <w:color w:val="000000" w:themeColor="text1"/>
    </w:rPr>
    <w:tblPr>
      <w:tblStyleRowBandSize w:val="1"/>
      <w:tblStyleColBandSize w:val="1"/>
    </w:tblPr>
    <w:tcPr>
      <w:shd w:val="clear" w:color="auto" w:fill="EEF7E8" w:themeFill="accent3" w:themeFillTint="19"/>
    </w:tcPr>
    <w:tblStylePr w:type="firstRow">
      <w:rPr>
        <w:b/>
        <w:bCs/>
        <w:color w:val="FFFFFF" w:themeColor="background1"/>
      </w:rPr>
      <w:tblPr/>
      <w:tcPr>
        <w:tcBorders>
          <w:bottom w:val="single" w:sz="12" w:space="0" w:color="FFFFFF" w:themeColor="background1"/>
        </w:tcBorders>
        <w:shd w:val="clear" w:color="auto" w:fill="CD9F00" w:themeFill="accent4" w:themeFillShade="CC"/>
      </w:tcPr>
    </w:tblStylePr>
    <w:tblStylePr w:type="lastRow">
      <w:rPr>
        <w:b/>
        <w:bCs/>
        <w:color w:val="CD9F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C5" w:themeFill="accent3" w:themeFillTint="3F"/>
      </w:tcPr>
    </w:tblStylePr>
    <w:tblStylePr w:type="band1Horz">
      <w:tblPr/>
      <w:tcPr>
        <w:shd w:val="clear" w:color="auto" w:fill="DDEFD0" w:themeFill="accent3" w:themeFillTint="33"/>
      </w:tcPr>
    </w:tblStylePr>
  </w:style>
  <w:style w:type="table" w:styleId="ColorfulGrid-Accent6">
    <w:name w:val="Colorful Grid Accent 6"/>
    <w:basedOn w:val="TableNormal"/>
    <w:uiPriority w:val="73"/>
    <w:locked/>
    <w:rsid w:val="00D55243"/>
    <w:pPr>
      <w:spacing w:after="0"/>
    </w:pPr>
    <w:rPr>
      <w:color w:val="000000" w:themeColor="text1"/>
    </w:rPr>
    <w:tblPr>
      <w:tblStyleRowBandSize w:val="1"/>
      <w:tblStyleColBandSize w:val="1"/>
      <w:tblBorders>
        <w:insideH w:val="single" w:sz="4" w:space="0" w:color="FFFFFF" w:themeColor="background1"/>
      </w:tblBorders>
    </w:tblPr>
    <w:tcPr>
      <w:shd w:val="clear" w:color="auto" w:fill="FBEAB2" w:themeFill="accent6" w:themeFillTint="33"/>
    </w:tcPr>
    <w:tblStylePr w:type="firstRow">
      <w:rPr>
        <w:b/>
        <w:bCs/>
      </w:rPr>
      <w:tblPr/>
      <w:tcPr>
        <w:shd w:val="clear" w:color="auto" w:fill="F7D565" w:themeFill="accent6" w:themeFillTint="66"/>
      </w:tcPr>
    </w:tblStylePr>
    <w:tblStylePr w:type="lastRow">
      <w:rPr>
        <w:b/>
        <w:bCs/>
        <w:color w:val="000000" w:themeColor="text1"/>
      </w:rPr>
      <w:tblPr/>
      <w:tcPr>
        <w:shd w:val="clear" w:color="auto" w:fill="F7D565" w:themeFill="accent6" w:themeFillTint="66"/>
      </w:tcPr>
    </w:tblStylePr>
    <w:tblStylePr w:type="firstCol">
      <w:rPr>
        <w:color w:val="FFFFFF" w:themeColor="background1"/>
      </w:rPr>
      <w:tblPr/>
      <w:tcPr>
        <w:shd w:val="clear" w:color="auto" w:fill="4C3B03" w:themeFill="accent6" w:themeFillShade="BF"/>
      </w:tcPr>
    </w:tblStylePr>
    <w:tblStylePr w:type="lastCol">
      <w:rPr>
        <w:color w:val="FFFFFF" w:themeColor="background1"/>
      </w:rPr>
      <w:tblPr/>
      <w:tcPr>
        <w:shd w:val="clear" w:color="auto" w:fill="4C3B03" w:themeFill="accent6" w:themeFillShade="BF"/>
      </w:tcPr>
    </w:tblStylePr>
    <w:tblStylePr w:type="band1Vert">
      <w:tblPr/>
      <w:tcPr>
        <w:shd w:val="clear" w:color="auto" w:fill="F5CB3F" w:themeFill="accent6" w:themeFillTint="7F"/>
      </w:tcPr>
    </w:tblStylePr>
    <w:tblStylePr w:type="band1Horz">
      <w:tblPr/>
      <w:tcPr>
        <w:shd w:val="clear" w:color="auto" w:fill="F5CB3F" w:themeFill="accent6" w:themeFillTint="7F"/>
      </w:tcPr>
    </w:tblStylePr>
  </w:style>
  <w:style w:type="table" w:styleId="TableGrid">
    <w:name w:val="Table Grid"/>
    <w:basedOn w:val="TableNormal"/>
    <w:uiPriority w:val="39"/>
    <w:locked/>
    <w:rsid w:val="00FB08E3"/>
    <w:pPr>
      <w:spacing w:after="0"/>
      <w:jc w:val="right"/>
    </w:pPr>
    <w:rPr>
      <w:sz w:val="18"/>
    </w:rPr>
    <w:tblPr>
      <w:tblStyleRowBandSize w:val="1"/>
      <w:tblStyleColBandSize w:val="1"/>
    </w:tblPr>
    <w:tblStylePr w:type="firstRow">
      <w:pPr>
        <w:jc w:val="right"/>
      </w:pPr>
      <w:rPr>
        <w:b/>
      </w:rPr>
      <w:tblPr/>
      <w:tcPr>
        <w:tcBorders>
          <w:bottom w:val="single" w:sz="18" w:space="0" w:color="0096D7" w:themeColor="accent1"/>
        </w:tcBorders>
        <w:vAlign w:val="bottom"/>
      </w:tcPr>
    </w:tblStylePr>
    <w:tblStylePr w:type="lastRow">
      <w:rPr>
        <w:b w:val="0"/>
      </w:rPr>
      <w:tblPr/>
      <w:tcPr>
        <w:tcBorders>
          <w:top w:val="single" w:sz="12" w:space="0" w:color="0096D7" w:themeColor="accent1"/>
        </w:tcBorders>
      </w:tcPr>
    </w:tblStylePr>
    <w:tblStylePr w:type="firstCol">
      <w:pPr>
        <w:wordWrap/>
        <w:jc w:val="left"/>
      </w:pPr>
    </w:tblStylePr>
    <w:tblStylePr w:type="band1Horz">
      <w:pPr>
        <w:wordWrap/>
        <w:jc w:val="right"/>
      </w:pPr>
      <w:tblPr/>
      <w:tcPr>
        <w:tcBorders>
          <w:bottom w:val="dashed" w:sz="4" w:space="0" w:color="BFBFBF" w:themeColor="background1" w:themeShade="BF"/>
        </w:tcBorders>
      </w:tcPr>
    </w:tblStylePr>
    <w:tblStylePr w:type="band2Horz">
      <w:pPr>
        <w:wordWrap/>
        <w:jc w:val="right"/>
      </w:pPr>
      <w:tblPr/>
      <w:tcPr>
        <w:tcBorders>
          <w:bottom w:val="dashed" w:sz="4" w:space="0" w:color="BFBFBF" w:themeColor="background1" w:themeShade="BF"/>
        </w:tcBorders>
      </w:tcPr>
    </w:tblStylePr>
    <w:tblStylePr w:type="nwCell">
      <w:pPr>
        <w:jc w:val="left"/>
      </w:pPr>
      <w:tblPr/>
      <w:tcPr>
        <w:vAlign w:val="bottom"/>
      </w:tcPr>
    </w:tblStylePr>
  </w:style>
  <w:style w:type="paragraph" w:customStyle="1" w:styleId="Tablefootnotetext">
    <w:name w:val="Table footnote text"/>
    <w:basedOn w:val="FootnoteText"/>
    <w:uiPriority w:val="8"/>
    <w:qFormat/>
    <w:rsid w:val="00E509A9"/>
  </w:style>
  <w:style w:type="character" w:styleId="Strong">
    <w:name w:val="Strong"/>
    <w:basedOn w:val="DefaultParagraphFont"/>
    <w:uiPriority w:val="22"/>
    <w:qFormat/>
    <w:locked/>
    <w:rsid w:val="00677C5F"/>
    <w:rPr>
      <w:b/>
      <w:bCs/>
    </w:rPr>
  </w:style>
  <w:style w:type="character" w:styleId="SubtleReference">
    <w:name w:val="Subtle Reference"/>
    <w:basedOn w:val="DefaultParagraphFont"/>
    <w:uiPriority w:val="31"/>
    <w:qFormat/>
    <w:locked/>
    <w:rsid w:val="000E683D"/>
    <w:rPr>
      <w:smallCaps/>
      <w:color w:val="5A5A5A" w:themeColor="text1" w:themeTint="A5"/>
    </w:rPr>
  </w:style>
  <w:style w:type="character" w:styleId="CommentReference">
    <w:name w:val="annotation reference"/>
    <w:basedOn w:val="DefaultParagraphFont"/>
    <w:uiPriority w:val="99"/>
    <w:semiHidden/>
    <w:unhideWhenUsed/>
    <w:locked/>
    <w:rsid w:val="000E683D"/>
    <w:rPr>
      <w:sz w:val="16"/>
      <w:szCs w:val="16"/>
    </w:rPr>
  </w:style>
  <w:style w:type="paragraph" w:styleId="CommentText">
    <w:name w:val="annotation text"/>
    <w:basedOn w:val="Normal"/>
    <w:link w:val="CommentTextChar"/>
    <w:uiPriority w:val="99"/>
    <w:unhideWhenUsed/>
    <w:locked/>
    <w:rsid w:val="000E683D"/>
    <w:pPr>
      <w:spacing w:line="240" w:lineRule="auto"/>
    </w:pPr>
    <w:rPr>
      <w:sz w:val="20"/>
      <w:szCs w:val="20"/>
    </w:rPr>
  </w:style>
  <w:style w:type="character" w:customStyle="1" w:styleId="CommentTextChar">
    <w:name w:val="Comment Text Char"/>
    <w:basedOn w:val="DefaultParagraphFont"/>
    <w:link w:val="CommentText"/>
    <w:uiPriority w:val="99"/>
    <w:rsid w:val="000E683D"/>
    <w:rPr>
      <w:sz w:val="20"/>
      <w:szCs w:val="20"/>
    </w:rPr>
  </w:style>
  <w:style w:type="paragraph" w:styleId="CommentSubject">
    <w:name w:val="annotation subject"/>
    <w:basedOn w:val="CommentText"/>
    <w:next w:val="CommentText"/>
    <w:link w:val="CommentSubjectChar"/>
    <w:uiPriority w:val="99"/>
    <w:semiHidden/>
    <w:unhideWhenUsed/>
    <w:locked/>
    <w:rsid w:val="000E683D"/>
    <w:rPr>
      <w:b/>
      <w:bCs/>
    </w:rPr>
  </w:style>
  <w:style w:type="character" w:customStyle="1" w:styleId="CommentSubjectChar">
    <w:name w:val="Comment Subject Char"/>
    <w:basedOn w:val="CommentTextChar"/>
    <w:link w:val="CommentSubject"/>
    <w:uiPriority w:val="99"/>
    <w:semiHidden/>
    <w:rsid w:val="000E683D"/>
    <w:rPr>
      <w:b/>
      <w:bCs/>
      <w:sz w:val="20"/>
      <w:szCs w:val="20"/>
    </w:rPr>
  </w:style>
  <w:style w:type="character" w:styleId="FollowedHyperlink">
    <w:name w:val="FollowedHyperlink"/>
    <w:basedOn w:val="DefaultParagraphFont"/>
    <w:uiPriority w:val="99"/>
    <w:semiHidden/>
    <w:unhideWhenUsed/>
    <w:locked/>
    <w:rsid w:val="000E683D"/>
    <w:rPr>
      <w:color w:val="5D9732" w:themeColor="followedHyperlink"/>
      <w:u w:val="single"/>
    </w:rPr>
  </w:style>
  <w:style w:type="paragraph" w:styleId="Revision">
    <w:name w:val="Revision"/>
    <w:hidden/>
    <w:uiPriority w:val="99"/>
    <w:semiHidden/>
    <w:rsid w:val="000E683D"/>
    <w:pPr>
      <w:spacing w:after="0"/>
    </w:pPr>
  </w:style>
  <w:style w:type="table" w:customStyle="1" w:styleId="PlainTable4">
    <w:name w:val="Plain Table 4"/>
    <w:basedOn w:val="TableNormal"/>
    <w:uiPriority w:val="44"/>
    <w:rsid w:val="00C23B2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C23B2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F1038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7082">
      <w:bodyDiv w:val="1"/>
      <w:marLeft w:val="0"/>
      <w:marRight w:val="0"/>
      <w:marTop w:val="0"/>
      <w:marBottom w:val="0"/>
      <w:divBdr>
        <w:top w:val="none" w:sz="0" w:space="0" w:color="auto"/>
        <w:left w:val="none" w:sz="0" w:space="0" w:color="auto"/>
        <w:bottom w:val="none" w:sz="0" w:space="0" w:color="auto"/>
        <w:right w:val="none" w:sz="0" w:space="0" w:color="auto"/>
      </w:divBdr>
    </w:div>
    <w:div w:id="105077035">
      <w:bodyDiv w:val="1"/>
      <w:marLeft w:val="0"/>
      <w:marRight w:val="0"/>
      <w:marTop w:val="0"/>
      <w:marBottom w:val="0"/>
      <w:divBdr>
        <w:top w:val="none" w:sz="0" w:space="0" w:color="auto"/>
        <w:left w:val="none" w:sz="0" w:space="0" w:color="auto"/>
        <w:bottom w:val="none" w:sz="0" w:space="0" w:color="auto"/>
        <w:right w:val="none" w:sz="0" w:space="0" w:color="auto"/>
      </w:divBdr>
    </w:div>
    <w:div w:id="150366045">
      <w:bodyDiv w:val="1"/>
      <w:marLeft w:val="0"/>
      <w:marRight w:val="0"/>
      <w:marTop w:val="0"/>
      <w:marBottom w:val="0"/>
      <w:divBdr>
        <w:top w:val="none" w:sz="0" w:space="0" w:color="auto"/>
        <w:left w:val="none" w:sz="0" w:space="0" w:color="auto"/>
        <w:bottom w:val="none" w:sz="0" w:space="0" w:color="auto"/>
        <w:right w:val="none" w:sz="0" w:space="0" w:color="auto"/>
      </w:divBdr>
    </w:div>
    <w:div w:id="163906382">
      <w:bodyDiv w:val="1"/>
      <w:marLeft w:val="0"/>
      <w:marRight w:val="0"/>
      <w:marTop w:val="0"/>
      <w:marBottom w:val="0"/>
      <w:divBdr>
        <w:top w:val="none" w:sz="0" w:space="0" w:color="auto"/>
        <w:left w:val="none" w:sz="0" w:space="0" w:color="auto"/>
        <w:bottom w:val="none" w:sz="0" w:space="0" w:color="auto"/>
        <w:right w:val="none" w:sz="0" w:space="0" w:color="auto"/>
      </w:divBdr>
    </w:div>
    <w:div w:id="250704288">
      <w:bodyDiv w:val="1"/>
      <w:marLeft w:val="0"/>
      <w:marRight w:val="0"/>
      <w:marTop w:val="0"/>
      <w:marBottom w:val="0"/>
      <w:divBdr>
        <w:top w:val="none" w:sz="0" w:space="0" w:color="auto"/>
        <w:left w:val="none" w:sz="0" w:space="0" w:color="auto"/>
        <w:bottom w:val="none" w:sz="0" w:space="0" w:color="auto"/>
        <w:right w:val="none" w:sz="0" w:space="0" w:color="auto"/>
      </w:divBdr>
    </w:div>
    <w:div w:id="279723616">
      <w:bodyDiv w:val="1"/>
      <w:marLeft w:val="0"/>
      <w:marRight w:val="0"/>
      <w:marTop w:val="0"/>
      <w:marBottom w:val="0"/>
      <w:divBdr>
        <w:top w:val="none" w:sz="0" w:space="0" w:color="auto"/>
        <w:left w:val="none" w:sz="0" w:space="0" w:color="auto"/>
        <w:bottom w:val="none" w:sz="0" w:space="0" w:color="auto"/>
        <w:right w:val="none" w:sz="0" w:space="0" w:color="auto"/>
      </w:divBdr>
    </w:div>
    <w:div w:id="332146173">
      <w:bodyDiv w:val="1"/>
      <w:marLeft w:val="0"/>
      <w:marRight w:val="0"/>
      <w:marTop w:val="0"/>
      <w:marBottom w:val="0"/>
      <w:divBdr>
        <w:top w:val="none" w:sz="0" w:space="0" w:color="auto"/>
        <w:left w:val="none" w:sz="0" w:space="0" w:color="auto"/>
        <w:bottom w:val="none" w:sz="0" w:space="0" w:color="auto"/>
        <w:right w:val="none" w:sz="0" w:space="0" w:color="auto"/>
      </w:divBdr>
    </w:div>
    <w:div w:id="335571170">
      <w:bodyDiv w:val="1"/>
      <w:marLeft w:val="0"/>
      <w:marRight w:val="0"/>
      <w:marTop w:val="0"/>
      <w:marBottom w:val="0"/>
      <w:divBdr>
        <w:top w:val="none" w:sz="0" w:space="0" w:color="auto"/>
        <w:left w:val="none" w:sz="0" w:space="0" w:color="auto"/>
        <w:bottom w:val="none" w:sz="0" w:space="0" w:color="auto"/>
        <w:right w:val="none" w:sz="0" w:space="0" w:color="auto"/>
      </w:divBdr>
    </w:div>
    <w:div w:id="339814673">
      <w:bodyDiv w:val="1"/>
      <w:marLeft w:val="0"/>
      <w:marRight w:val="0"/>
      <w:marTop w:val="0"/>
      <w:marBottom w:val="0"/>
      <w:divBdr>
        <w:top w:val="none" w:sz="0" w:space="0" w:color="auto"/>
        <w:left w:val="none" w:sz="0" w:space="0" w:color="auto"/>
        <w:bottom w:val="none" w:sz="0" w:space="0" w:color="auto"/>
        <w:right w:val="none" w:sz="0" w:space="0" w:color="auto"/>
      </w:divBdr>
    </w:div>
    <w:div w:id="343021889">
      <w:bodyDiv w:val="1"/>
      <w:marLeft w:val="0"/>
      <w:marRight w:val="0"/>
      <w:marTop w:val="0"/>
      <w:marBottom w:val="0"/>
      <w:divBdr>
        <w:top w:val="none" w:sz="0" w:space="0" w:color="auto"/>
        <w:left w:val="none" w:sz="0" w:space="0" w:color="auto"/>
        <w:bottom w:val="none" w:sz="0" w:space="0" w:color="auto"/>
        <w:right w:val="none" w:sz="0" w:space="0" w:color="auto"/>
      </w:divBdr>
    </w:div>
    <w:div w:id="363101062">
      <w:bodyDiv w:val="1"/>
      <w:marLeft w:val="0"/>
      <w:marRight w:val="0"/>
      <w:marTop w:val="0"/>
      <w:marBottom w:val="0"/>
      <w:divBdr>
        <w:top w:val="none" w:sz="0" w:space="0" w:color="auto"/>
        <w:left w:val="none" w:sz="0" w:space="0" w:color="auto"/>
        <w:bottom w:val="none" w:sz="0" w:space="0" w:color="auto"/>
        <w:right w:val="none" w:sz="0" w:space="0" w:color="auto"/>
      </w:divBdr>
    </w:div>
    <w:div w:id="364253291">
      <w:bodyDiv w:val="1"/>
      <w:marLeft w:val="0"/>
      <w:marRight w:val="0"/>
      <w:marTop w:val="0"/>
      <w:marBottom w:val="0"/>
      <w:divBdr>
        <w:top w:val="none" w:sz="0" w:space="0" w:color="auto"/>
        <w:left w:val="none" w:sz="0" w:space="0" w:color="auto"/>
        <w:bottom w:val="none" w:sz="0" w:space="0" w:color="auto"/>
        <w:right w:val="none" w:sz="0" w:space="0" w:color="auto"/>
      </w:divBdr>
    </w:div>
    <w:div w:id="406390211">
      <w:bodyDiv w:val="1"/>
      <w:marLeft w:val="0"/>
      <w:marRight w:val="0"/>
      <w:marTop w:val="0"/>
      <w:marBottom w:val="0"/>
      <w:divBdr>
        <w:top w:val="none" w:sz="0" w:space="0" w:color="auto"/>
        <w:left w:val="none" w:sz="0" w:space="0" w:color="auto"/>
        <w:bottom w:val="none" w:sz="0" w:space="0" w:color="auto"/>
        <w:right w:val="none" w:sz="0" w:space="0" w:color="auto"/>
      </w:divBdr>
    </w:div>
    <w:div w:id="443424165">
      <w:bodyDiv w:val="1"/>
      <w:marLeft w:val="0"/>
      <w:marRight w:val="0"/>
      <w:marTop w:val="0"/>
      <w:marBottom w:val="0"/>
      <w:divBdr>
        <w:top w:val="none" w:sz="0" w:space="0" w:color="auto"/>
        <w:left w:val="none" w:sz="0" w:space="0" w:color="auto"/>
        <w:bottom w:val="none" w:sz="0" w:space="0" w:color="auto"/>
        <w:right w:val="none" w:sz="0" w:space="0" w:color="auto"/>
      </w:divBdr>
    </w:div>
    <w:div w:id="464855332">
      <w:bodyDiv w:val="1"/>
      <w:marLeft w:val="0"/>
      <w:marRight w:val="0"/>
      <w:marTop w:val="0"/>
      <w:marBottom w:val="0"/>
      <w:divBdr>
        <w:top w:val="none" w:sz="0" w:space="0" w:color="auto"/>
        <w:left w:val="none" w:sz="0" w:space="0" w:color="auto"/>
        <w:bottom w:val="none" w:sz="0" w:space="0" w:color="auto"/>
        <w:right w:val="none" w:sz="0" w:space="0" w:color="auto"/>
      </w:divBdr>
    </w:div>
    <w:div w:id="468868123">
      <w:bodyDiv w:val="1"/>
      <w:marLeft w:val="0"/>
      <w:marRight w:val="0"/>
      <w:marTop w:val="0"/>
      <w:marBottom w:val="0"/>
      <w:divBdr>
        <w:top w:val="none" w:sz="0" w:space="0" w:color="auto"/>
        <w:left w:val="none" w:sz="0" w:space="0" w:color="auto"/>
        <w:bottom w:val="none" w:sz="0" w:space="0" w:color="auto"/>
        <w:right w:val="none" w:sz="0" w:space="0" w:color="auto"/>
      </w:divBdr>
    </w:div>
    <w:div w:id="469785620">
      <w:bodyDiv w:val="1"/>
      <w:marLeft w:val="0"/>
      <w:marRight w:val="0"/>
      <w:marTop w:val="0"/>
      <w:marBottom w:val="0"/>
      <w:divBdr>
        <w:top w:val="none" w:sz="0" w:space="0" w:color="auto"/>
        <w:left w:val="none" w:sz="0" w:space="0" w:color="auto"/>
        <w:bottom w:val="none" w:sz="0" w:space="0" w:color="auto"/>
        <w:right w:val="none" w:sz="0" w:space="0" w:color="auto"/>
      </w:divBdr>
    </w:div>
    <w:div w:id="479076218">
      <w:bodyDiv w:val="1"/>
      <w:marLeft w:val="0"/>
      <w:marRight w:val="0"/>
      <w:marTop w:val="0"/>
      <w:marBottom w:val="0"/>
      <w:divBdr>
        <w:top w:val="none" w:sz="0" w:space="0" w:color="auto"/>
        <w:left w:val="none" w:sz="0" w:space="0" w:color="auto"/>
        <w:bottom w:val="none" w:sz="0" w:space="0" w:color="auto"/>
        <w:right w:val="none" w:sz="0" w:space="0" w:color="auto"/>
      </w:divBdr>
      <w:divsChild>
        <w:div w:id="866480587">
          <w:marLeft w:val="0"/>
          <w:marRight w:val="0"/>
          <w:marTop w:val="0"/>
          <w:marBottom w:val="0"/>
          <w:divBdr>
            <w:top w:val="none" w:sz="0" w:space="0" w:color="auto"/>
            <w:left w:val="none" w:sz="0" w:space="0" w:color="auto"/>
            <w:bottom w:val="none" w:sz="0" w:space="0" w:color="auto"/>
            <w:right w:val="none" w:sz="0" w:space="0" w:color="auto"/>
          </w:divBdr>
          <w:divsChild>
            <w:div w:id="1725057898">
              <w:marLeft w:val="0"/>
              <w:marRight w:val="0"/>
              <w:marTop w:val="125"/>
              <w:marBottom w:val="0"/>
              <w:divBdr>
                <w:top w:val="single" w:sz="8" w:space="6" w:color="666666"/>
                <w:left w:val="none" w:sz="0" w:space="0" w:color="auto"/>
                <w:bottom w:val="none" w:sz="0" w:space="0" w:color="auto"/>
                <w:right w:val="none" w:sz="0" w:space="0" w:color="auto"/>
              </w:divBdr>
            </w:div>
          </w:divsChild>
        </w:div>
      </w:divsChild>
    </w:div>
    <w:div w:id="523061490">
      <w:bodyDiv w:val="1"/>
      <w:marLeft w:val="0"/>
      <w:marRight w:val="0"/>
      <w:marTop w:val="0"/>
      <w:marBottom w:val="0"/>
      <w:divBdr>
        <w:top w:val="none" w:sz="0" w:space="0" w:color="auto"/>
        <w:left w:val="none" w:sz="0" w:space="0" w:color="auto"/>
        <w:bottom w:val="none" w:sz="0" w:space="0" w:color="auto"/>
        <w:right w:val="none" w:sz="0" w:space="0" w:color="auto"/>
      </w:divBdr>
    </w:div>
    <w:div w:id="528184089">
      <w:bodyDiv w:val="1"/>
      <w:marLeft w:val="0"/>
      <w:marRight w:val="0"/>
      <w:marTop w:val="0"/>
      <w:marBottom w:val="0"/>
      <w:divBdr>
        <w:top w:val="none" w:sz="0" w:space="0" w:color="auto"/>
        <w:left w:val="none" w:sz="0" w:space="0" w:color="auto"/>
        <w:bottom w:val="none" w:sz="0" w:space="0" w:color="auto"/>
        <w:right w:val="none" w:sz="0" w:space="0" w:color="auto"/>
      </w:divBdr>
    </w:div>
    <w:div w:id="550964143">
      <w:bodyDiv w:val="1"/>
      <w:marLeft w:val="0"/>
      <w:marRight w:val="0"/>
      <w:marTop w:val="0"/>
      <w:marBottom w:val="0"/>
      <w:divBdr>
        <w:top w:val="none" w:sz="0" w:space="0" w:color="auto"/>
        <w:left w:val="none" w:sz="0" w:space="0" w:color="auto"/>
        <w:bottom w:val="none" w:sz="0" w:space="0" w:color="auto"/>
        <w:right w:val="none" w:sz="0" w:space="0" w:color="auto"/>
      </w:divBdr>
    </w:div>
    <w:div w:id="571240497">
      <w:bodyDiv w:val="1"/>
      <w:marLeft w:val="0"/>
      <w:marRight w:val="0"/>
      <w:marTop w:val="0"/>
      <w:marBottom w:val="0"/>
      <w:divBdr>
        <w:top w:val="none" w:sz="0" w:space="0" w:color="auto"/>
        <w:left w:val="none" w:sz="0" w:space="0" w:color="auto"/>
        <w:bottom w:val="none" w:sz="0" w:space="0" w:color="auto"/>
        <w:right w:val="none" w:sz="0" w:space="0" w:color="auto"/>
      </w:divBdr>
    </w:div>
    <w:div w:id="577128761">
      <w:bodyDiv w:val="1"/>
      <w:marLeft w:val="0"/>
      <w:marRight w:val="0"/>
      <w:marTop w:val="0"/>
      <w:marBottom w:val="0"/>
      <w:divBdr>
        <w:top w:val="none" w:sz="0" w:space="0" w:color="auto"/>
        <w:left w:val="none" w:sz="0" w:space="0" w:color="auto"/>
        <w:bottom w:val="none" w:sz="0" w:space="0" w:color="auto"/>
        <w:right w:val="none" w:sz="0" w:space="0" w:color="auto"/>
      </w:divBdr>
    </w:div>
    <w:div w:id="603344179">
      <w:bodyDiv w:val="1"/>
      <w:marLeft w:val="0"/>
      <w:marRight w:val="0"/>
      <w:marTop w:val="0"/>
      <w:marBottom w:val="0"/>
      <w:divBdr>
        <w:top w:val="none" w:sz="0" w:space="0" w:color="auto"/>
        <w:left w:val="none" w:sz="0" w:space="0" w:color="auto"/>
        <w:bottom w:val="none" w:sz="0" w:space="0" w:color="auto"/>
        <w:right w:val="none" w:sz="0" w:space="0" w:color="auto"/>
      </w:divBdr>
    </w:div>
    <w:div w:id="659964840">
      <w:bodyDiv w:val="1"/>
      <w:marLeft w:val="0"/>
      <w:marRight w:val="0"/>
      <w:marTop w:val="0"/>
      <w:marBottom w:val="0"/>
      <w:divBdr>
        <w:top w:val="none" w:sz="0" w:space="0" w:color="auto"/>
        <w:left w:val="none" w:sz="0" w:space="0" w:color="auto"/>
        <w:bottom w:val="none" w:sz="0" w:space="0" w:color="auto"/>
        <w:right w:val="none" w:sz="0" w:space="0" w:color="auto"/>
      </w:divBdr>
    </w:div>
    <w:div w:id="741760865">
      <w:bodyDiv w:val="1"/>
      <w:marLeft w:val="0"/>
      <w:marRight w:val="0"/>
      <w:marTop w:val="0"/>
      <w:marBottom w:val="0"/>
      <w:divBdr>
        <w:top w:val="none" w:sz="0" w:space="0" w:color="auto"/>
        <w:left w:val="none" w:sz="0" w:space="0" w:color="auto"/>
        <w:bottom w:val="none" w:sz="0" w:space="0" w:color="auto"/>
        <w:right w:val="none" w:sz="0" w:space="0" w:color="auto"/>
      </w:divBdr>
    </w:div>
    <w:div w:id="800999263">
      <w:bodyDiv w:val="1"/>
      <w:marLeft w:val="0"/>
      <w:marRight w:val="0"/>
      <w:marTop w:val="0"/>
      <w:marBottom w:val="0"/>
      <w:divBdr>
        <w:top w:val="none" w:sz="0" w:space="0" w:color="auto"/>
        <w:left w:val="none" w:sz="0" w:space="0" w:color="auto"/>
        <w:bottom w:val="none" w:sz="0" w:space="0" w:color="auto"/>
        <w:right w:val="none" w:sz="0" w:space="0" w:color="auto"/>
      </w:divBdr>
    </w:div>
    <w:div w:id="802045184">
      <w:bodyDiv w:val="1"/>
      <w:marLeft w:val="0"/>
      <w:marRight w:val="0"/>
      <w:marTop w:val="0"/>
      <w:marBottom w:val="0"/>
      <w:divBdr>
        <w:top w:val="none" w:sz="0" w:space="0" w:color="auto"/>
        <w:left w:val="none" w:sz="0" w:space="0" w:color="auto"/>
        <w:bottom w:val="none" w:sz="0" w:space="0" w:color="auto"/>
        <w:right w:val="none" w:sz="0" w:space="0" w:color="auto"/>
      </w:divBdr>
    </w:div>
    <w:div w:id="806044680">
      <w:bodyDiv w:val="1"/>
      <w:marLeft w:val="0"/>
      <w:marRight w:val="0"/>
      <w:marTop w:val="0"/>
      <w:marBottom w:val="0"/>
      <w:divBdr>
        <w:top w:val="none" w:sz="0" w:space="0" w:color="auto"/>
        <w:left w:val="none" w:sz="0" w:space="0" w:color="auto"/>
        <w:bottom w:val="none" w:sz="0" w:space="0" w:color="auto"/>
        <w:right w:val="none" w:sz="0" w:space="0" w:color="auto"/>
      </w:divBdr>
    </w:div>
    <w:div w:id="809785599">
      <w:bodyDiv w:val="1"/>
      <w:marLeft w:val="0"/>
      <w:marRight w:val="0"/>
      <w:marTop w:val="0"/>
      <w:marBottom w:val="0"/>
      <w:divBdr>
        <w:top w:val="none" w:sz="0" w:space="0" w:color="auto"/>
        <w:left w:val="none" w:sz="0" w:space="0" w:color="auto"/>
        <w:bottom w:val="none" w:sz="0" w:space="0" w:color="auto"/>
        <w:right w:val="none" w:sz="0" w:space="0" w:color="auto"/>
      </w:divBdr>
    </w:div>
    <w:div w:id="884754839">
      <w:bodyDiv w:val="1"/>
      <w:marLeft w:val="0"/>
      <w:marRight w:val="0"/>
      <w:marTop w:val="0"/>
      <w:marBottom w:val="0"/>
      <w:divBdr>
        <w:top w:val="none" w:sz="0" w:space="0" w:color="auto"/>
        <w:left w:val="none" w:sz="0" w:space="0" w:color="auto"/>
        <w:bottom w:val="none" w:sz="0" w:space="0" w:color="auto"/>
        <w:right w:val="none" w:sz="0" w:space="0" w:color="auto"/>
      </w:divBdr>
    </w:div>
    <w:div w:id="890195221">
      <w:bodyDiv w:val="1"/>
      <w:marLeft w:val="0"/>
      <w:marRight w:val="0"/>
      <w:marTop w:val="0"/>
      <w:marBottom w:val="0"/>
      <w:divBdr>
        <w:top w:val="none" w:sz="0" w:space="0" w:color="auto"/>
        <w:left w:val="none" w:sz="0" w:space="0" w:color="auto"/>
        <w:bottom w:val="none" w:sz="0" w:space="0" w:color="auto"/>
        <w:right w:val="none" w:sz="0" w:space="0" w:color="auto"/>
      </w:divBdr>
    </w:div>
    <w:div w:id="962074558">
      <w:bodyDiv w:val="1"/>
      <w:marLeft w:val="0"/>
      <w:marRight w:val="0"/>
      <w:marTop w:val="0"/>
      <w:marBottom w:val="0"/>
      <w:divBdr>
        <w:top w:val="none" w:sz="0" w:space="0" w:color="auto"/>
        <w:left w:val="none" w:sz="0" w:space="0" w:color="auto"/>
        <w:bottom w:val="none" w:sz="0" w:space="0" w:color="auto"/>
        <w:right w:val="none" w:sz="0" w:space="0" w:color="auto"/>
      </w:divBdr>
    </w:div>
    <w:div w:id="1019545610">
      <w:bodyDiv w:val="1"/>
      <w:marLeft w:val="0"/>
      <w:marRight w:val="0"/>
      <w:marTop w:val="0"/>
      <w:marBottom w:val="0"/>
      <w:divBdr>
        <w:top w:val="none" w:sz="0" w:space="0" w:color="auto"/>
        <w:left w:val="none" w:sz="0" w:space="0" w:color="auto"/>
        <w:bottom w:val="none" w:sz="0" w:space="0" w:color="auto"/>
        <w:right w:val="none" w:sz="0" w:space="0" w:color="auto"/>
      </w:divBdr>
    </w:div>
    <w:div w:id="1055667317">
      <w:bodyDiv w:val="1"/>
      <w:marLeft w:val="0"/>
      <w:marRight w:val="0"/>
      <w:marTop w:val="0"/>
      <w:marBottom w:val="0"/>
      <w:divBdr>
        <w:top w:val="none" w:sz="0" w:space="0" w:color="auto"/>
        <w:left w:val="none" w:sz="0" w:space="0" w:color="auto"/>
        <w:bottom w:val="none" w:sz="0" w:space="0" w:color="auto"/>
        <w:right w:val="none" w:sz="0" w:space="0" w:color="auto"/>
      </w:divBdr>
    </w:div>
    <w:div w:id="1072041455">
      <w:bodyDiv w:val="1"/>
      <w:marLeft w:val="0"/>
      <w:marRight w:val="0"/>
      <w:marTop w:val="0"/>
      <w:marBottom w:val="0"/>
      <w:divBdr>
        <w:top w:val="none" w:sz="0" w:space="0" w:color="auto"/>
        <w:left w:val="none" w:sz="0" w:space="0" w:color="auto"/>
        <w:bottom w:val="none" w:sz="0" w:space="0" w:color="auto"/>
        <w:right w:val="none" w:sz="0" w:space="0" w:color="auto"/>
      </w:divBdr>
    </w:div>
    <w:div w:id="1148548168">
      <w:bodyDiv w:val="1"/>
      <w:marLeft w:val="0"/>
      <w:marRight w:val="0"/>
      <w:marTop w:val="0"/>
      <w:marBottom w:val="0"/>
      <w:divBdr>
        <w:top w:val="none" w:sz="0" w:space="0" w:color="auto"/>
        <w:left w:val="none" w:sz="0" w:space="0" w:color="auto"/>
        <w:bottom w:val="none" w:sz="0" w:space="0" w:color="auto"/>
        <w:right w:val="none" w:sz="0" w:space="0" w:color="auto"/>
      </w:divBdr>
    </w:div>
    <w:div w:id="1176841978">
      <w:bodyDiv w:val="1"/>
      <w:marLeft w:val="0"/>
      <w:marRight w:val="0"/>
      <w:marTop w:val="0"/>
      <w:marBottom w:val="0"/>
      <w:divBdr>
        <w:top w:val="none" w:sz="0" w:space="0" w:color="auto"/>
        <w:left w:val="none" w:sz="0" w:space="0" w:color="auto"/>
        <w:bottom w:val="none" w:sz="0" w:space="0" w:color="auto"/>
        <w:right w:val="none" w:sz="0" w:space="0" w:color="auto"/>
      </w:divBdr>
    </w:div>
    <w:div w:id="1193618531">
      <w:bodyDiv w:val="1"/>
      <w:marLeft w:val="0"/>
      <w:marRight w:val="0"/>
      <w:marTop w:val="0"/>
      <w:marBottom w:val="0"/>
      <w:divBdr>
        <w:top w:val="none" w:sz="0" w:space="0" w:color="auto"/>
        <w:left w:val="none" w:sz="0" w:space="0" w:color="auto"/>
        <w:bottom w:val="none" w:sz="0" w:space="0" w:color="auto"/>
        <w:right w:val="none" w:sz="0" w:space="0" w:color="auto"/>
      </w:divBdr>
    </w:div>
    <w:div w:id="1218738288">
      <w:bodyDiv w:val="1"/>
      <w:marLeft w:val="0"/>
      <w:marRight w:val="0"/>
      <w:marTop w:val="0"/>
      <w:marBottom w:val="0"/>
      <w:divBdr>
        <w:top w:val="none" w:sz="0" w:space="0" w:color="auto"/>
        <w:left w:val="none" w:sz="0" w:space="0" w:color="auto"/>
        <w:bottom w:val="none" w:sz="0" w:space="0" w:color="auto"/>
        <w:right w:val="none" w:sz="0" w:space="0" w:color="auto"/>
      </w:divBdr>
    </w:div>
    <w:div w:id="1247301531">
      <w:bodyDiv w:val="1"/>
      <w:marLeft w:val="0"/>
      <w:marRight w:val="0"/>
      <w:marTop w:val="0"/>
      <w:marBottom w:val="0"/>
      <w:divBdr>
        <w:top w:val="none" w:sz="0" w:space="0" w:color="auto"/>
        <w:left w:val="none" w:sz="0" w:space="0" w:color="auto"/>
        <w:bottom w:val="none" w:sz="0" w:space="0" w:color="auto"/>
        <w:right w:val="none" w:sz="0" w:space="0" w:color="auto"/>
      </w:divBdr>
    </w:div>
    <w:div w:id="1249660238">
      <w:bodyDiv w:val="1"/>
      <w:marLeft w:val="0"/>
      <w:marRight w:val="0"/>
      <w:marTop w:val="0"/>
      <w:marBottom w:val="0"/>
      <w:divBdr>
        <w:top w:val="none" w:sz="0" w:space="0" w:color="auto"/>
        <w:left w:val="none" w:sz="0" w:space="0" w:color="auto"/>
        <w:bottom w:val="none" w:sz="0" w:space="0" w:color="auto"/>
        <w:right w:val="none" w:sz="0" w:space="0" w:color="auto"/>
      </w:divBdr>
    </w:div>
    <w:div w:id="1268005597">
      <w:bodyDiv w:val="1"/>
      <w:marLeft w:val="0"/>
      <w:marRight w:val="0"/>
      <w:marTop w:val="0"/>
      <w:marBottom w:val="0"/>
      <w:divBdr>
        <w:top w:val="none" w:sz="0" w:space="0" w:color="auto"/>
        <w:left w:val="none" w:sz="0" w:space="0" w:color="auto"/>
        <w:bottom w:val="none" w:sz="0" w:space="0" w:color="auto"/>
        <w:right w:val="none" w:sz="0" w:space="0" w:color="auto"/>
      </w:divBdr>
    </w:div>
    <w:div w:id="1308437928">
      <w:bodyDiv w:val="1"/>
      <w:marLeft w:val="0"/>
      <w:marRight w:val="0"/>
      <w:marTop w:val="0"/>
      <w:marBottom w:val="0"/>
      <w:divBdr>
        <w:top w:val="none" w:sz="0" w:space="0" w:color="auto"/>
        <w:left w:val="none" w:sz="0" w:space="0" w:color="auto"/>
        <w:bottom w:val="none" w:sz="0" w:space="0" w:color="auto"/>
        <w:right w:val="none" w:sz="0" w:space="0" w:color="auto"/>
      </w:divBdr>
    </w:div>
    <w:div w:id="1326662685">
      <w:bodyDiv w:val="1"/>
      <w:marLeft w:val="0"/>
      <w:marRight w:val="0"/>
      <w:marTop w:val="0"/>
      <w:marBottom w:val="0"/>
      <w:divBdr>
        <w:top w:val="none" w:sz="0" w:space="0" w:color="auto"/>
        <w:left w:val="none" w:sz="0" w:space="0" w:color="auto"/>
        <w:bottom w:val="none" w:sz="0" w:space="0" w:color="auto"/>
        <w:right w:val="none" w:sz="0" w:space="0" w:color="auto"/>
      </w:divBdr>
    </w:div>
    <w:div w:id="1345211228">
      <w:bodyDiv w:val="1"/>
      <w:marLeft w:val="0"/>
      <w:marRight w:val="0"/>
      <w:marTop w:val="0"/>
      <w:marBottom w:val="0"/>
      <w:divBdr>
        <w:top w:val="none" w:sz="0" w:space="0" w:color="auto"/>
        <w:left w:val="none" w:sz="0" w:space="0" w:color="auto"/>
        <w:bottom w:val="none" w:sz="0" w:space="0" w:color="auto"/>
        <w:right w:val="none" w:sz="0" w:space="0" w:color="auto"/>
      </w:divBdr>
    </w:div>
    <w:div w:id="1382097448">
      <w:bodyDiv w:val="1"/>
      <w:marLeft w:val="0"/>
      <w:marRight w:val="0"/>
      <w:marTop w:val="0"/>
      <w:marBottom w:val="0"/>
      <w:divBdr>
        <w:top w:val="none" w:sz="0" w:space="0" w:color="auto"/>
        <w:left w:val="none" w:sz="0" w:space="0" w:color="auto"/>
        <w:bottom w:val="none" w:sz="0" w:space="0" w:color="auto"/>
        <w:right w:val="none" w:sz="0" w:space="0" w:color="auto"/>
      </w:divBdr>
    </w:div>
    <w:div w:id="1390759981">
      <w:bodyDiv w:val="1"/>
      <w:marLeft w:val="0"/>
      <w:marRight w:val="0"/>
      <w:marTop w:val="0"/>
      <w:marBottom w:val="0"/>
      <w:divBdr>
        <w:top w:val="none" w:sz="0" w:space="0" w:color="auto"/>
        <w:left w:val="none" w:sz="0" w:space="0" w:color="auto"/>
        <w:bottom w:val="none" w:sz="0" w:space="0" w:color="auto"/>
        <w:right w:val="none" w:sz="0" w:space="0" w:color="auto"/>
      </w:divBdr>
    </w:div>
    <w:div w:id="1440182995">
      <w:bodyDiv w:val="1"/>
      <w:marLeft w:val="0"/>
      <w:marRight w:val="0"/>
      <w:marTop w:val="0"/>
      <w:marBottom w:val="0"/>
      <w:divBdr>
        <w:top w:val="none" w:sz="0" w:space="0" w:color="auto"/>
        <w:left w:val="none" w:sz="0" w:space="0" w:color="auto"/>
        <w:bottom w:val="none" w:sz="0" w:space="0" w:color="auto"/>
        <w:right w:val="none" w:sz="0" w:space="0" w:color="auto"/>
      </w:divBdr>
    </w:div>
    <w:div w:id="1535968415">
      <w:bodyDiv w:val="1"/>
      <w:marLeft w:val="0"/>
      <w:marRight w:val="0"/>
      <w:marTop w:val="0"/>
      <w:marBottom w:val="0"/>
      <w:divBdr>
        <w:top w:val="none" w:sz="0" w:space="0" w:color="auto"/>
        <w:left w:val="none" w:sz="0" w:space="0" w:color="auto"/>
        <w:bottom w:val="none" w:sz="0" w:space="0" w:color="auto"/>
        <w:right w:val="none" w:sz="0" w:space="0" w:color="auto"/>
      </w:divBdr>
    </w:div>
    <w:div w:id="1570118914">
      <w:bodyDiv w:val="1"/>
      <w:marLeft w:val="0"/>
      <w:marRight w:val="0"/>
      <w:marTop w:val="0"/>
      <w:marBottom w:val="0"/>
      <w:divBdr>
        <w:top w:val="none" w:sz="0" w:space="0" w:color="auto"/>
        <w:left w:val="none" w:sz="0" w:space="0" w:color="auto"/>
        <w:bottom w:val="none" w:sz="0" w:space="0" w:color="auto"/>
        <w:right w:val="none" w:sz="0" w:space="0" w:color="auto"/>
      </w:divBdr>
    </w:div>
    <w:div w:id="1582518494">
      <w:bodyDiv w:val="1"/>
      <w:marLeft w:val="0"/>
      <w:marRight w:val="0"/>
      <w:marTop w:val="0"/>
      <w:marBottom w:val="0"/>
      <w:divBdr>
        <w:top w:val="none" w:sz="0" w:space="0" w:color="auto"/>
        <w:left w:val="none" w:sz="0" w:space="0" w:color="auto"/>
        <w:bottom w:val="none" w:sz="0" w:space="0" w:color="auto"/>
        <w:right w:val="none" w:sz="0" w:space="0" w:color="auto"/>
      </w:divBdr>
    </w:div>
    <w:div w:id="1615743633">
      <w:bodyDiv w:val="1"/>
      <w:marLeft w:val="0"/>
      <w:marRight w:val="0"/>
      <w:marTop w:val="0"/>
      <w:marBottom w:val="0"/>
      <w:divBdr>
        <w:top w:val="none" w:sz="0" w:space="0" w:color="auto"/>
        <w:left w:val="none" w:sz="0" w:space="0" w:color="auto"/>
        <w:bottom w:val="none" w:sz="0" w:space="0" w:color="auto"/>
        <w:right w:val="none" w:sz="0" w:space="0" w:color="auto"/>
      </w:divBdr>
    </w:div>
    <w:div w:id="1631206951">
      <w:bodyDiv w:val="1"/>
      <w:marLeft w:val="0"/>
      <w:marRight w:val="0"/>
      <w:marTop w:val="0"/>
      <w:marBottom w:val="0"/>
      <w:divBdr>
        <w:top w:val="none" w:sz="0" w:space="0" w:color="auto"/>
        <w:left w:val="none" w:sz="0" w:space="0" w:color="auto"/>
        <w:bottom w:val="none" w:sz="0" w:space="0" w:color="auto"/>
        <w:right w:val="none" w:sz="0" w:space="0" w:color="auto"/>
      </w:divBdr>
    </w:div>
    <w:div w:id="1635215644">
      <w:bodyDiv w:val="1"/>
      <w:marLeft w:val="0"/>
      <w:marRight w:val="0"/>
      <w:marTop w:val="0"/>
      <w:marBottom w:val="0"/>
      <w:divBdr>
        <w:top w:val="none" w:sz="0" w:space="0" w:color="auto"/>
        <w:left w:val="none" w:sz="0" w:space="0" w:color="auto"/>
        <w:bottom w:val="none" w:sz="0" w:space="0" w:color="auto"/>
        <w:right w:val="none" w:sz="0" w:space="0" w:color="auto"/>
      </w:divBdr>
    </w:div>
    <w:div w:id="1655571971">
      <w:bodyDiv w:val="1"/>
      <w:marLeft w:val="0"/>
      <w:marRight w:val="0"/>
      <w:marTop w:val="0"/>
      <w:marBottom w:val="0"/>
      <w:divBdr>
        <w:top w:val="none" w:sz="0" w:space="0" w:color="auto"/>
        <w:left w:val="none" w:sz="0" w:space="0" w:color="auto"/>
        <w:bottom w:val="none" w:sz="0" w:space="0" w:color="auto"/>
        <w:right w:val="none" w:sz="0" w:space="0" w:color="auto"/>
      </w:divBdr>
    </w:div>
    <w:div w:id="1665428219">
      <w:bodyDiv w:val="1"/>
      <w:marLeft w:val="0"/>
      <w:marRight w:val="0"/>
      <w:marTop w:val="0"/>
      <w:marBottom w:val="0"/>
      <w:divBdr>
        <w:top w:val="none" w:sz="0" w:space="0" w:color="auto"/>
        <w:left w:val="none" w:sz="0" w:space="0" w:color="auto"/>
        <w:bottom w:val="none" w:sz="0" w:space="0" w:color="auto"/>
        <w:right w:val="none" w:sz="0" w:space="0" w:color="auto"/>
      </w:divBdr>
    </w:div>
    <w:div w:id="1699158709">
      <w:bodyDiv w:val="1"/>
      <w:marLeft w:val="0"/>
      <w:marRight w:val="0"/>
      <w:marTop w:val="0"/>
      <w:marBottom w:val="0"/>
      <w:divBdr>
        <w:top w:val="none" w:sz="0" w:space="0" w:color="auto"/>
        <w:left w:val="none" w:sz="0" w:space="0" w:color="auto"/>
        <w:bottom w:val="none" w:sz="0" w:space="0" w:color="auto"/>
        <w:right w:val="none" w:sz="0" w:space="0" w:color="auto"/>
      </w:divBdr>
    </w:div>
    <w:div w:id="1711109987">
      <w:bodyDiv w:val="1"/>
      <w:marLeft w:val="0"/>
      <w:marRight w:val="0"/>
      <w:marTop w:val="0"/>
      <w:marBottom w:val="0"/>
      <w:divBdr>
        <w:top w:val="none" w:sz="0" w:space="0" w:color="auto"/>
        <w:left w:val="none" w:sz="0" w:space="0" w:color="auto"/>
        <w:bottom w:val="none" w:sz="0" w:space="0" w:color="auto"/>
        <w:right w:val="none" w:sz="0" w:space="0" w:color="auto"/>
      </w:divBdr>
    </w:div>
    <w:div w:id="1715544069">
      <w:bodyDiv w:val="1"/>
      <w:marLeft w:val="0"/>
      <w:marRight w:val="0"/>
      <w:marTop w:val="0"/>
      <w:marBottom w:val="0"/>
      <w:divBdr>
        <w:top w:val="none" w:sz="0" w:space="0" w:color="auto"/>
        <w:left w:val="none" w:sz="0" w:space="0" w:color="auto"/>
        <w:bottom w:val="none" w:sz="0" w:space="0" w:color="auto"/>
        <w:right w:val="none" w:sz="0" w:space="0" w:color="auto"/>
      </w:divBdr>
    </w:div>
    <w:div w:id="1722898128">
      <w:bodyDiv w:val="1"/>
      <w:marLeft w:val="0"/>
      <w:marRight w:val="0"/>
      <w:marTop w:val="0"/>
      <w:marBottom w:val="0"/>
      <w:divBdr>
        <w:top w:val="none" w:sz="0" w:space="0" w:color="auto"/>
        <w:left w:val="none" w:sz="0" w:space="0" w:color="auto"/>
        <w:bottom w:val="none" w:sz="0" w:space="0" w:color="auto"/>
        <w:right w:val="none" w:sz="0" w:space="0" w:color="auto"/>
      </w:divBdr>
    </w:div>
    <w:div w:id="1732581147">
      <w:bodyDiv w:val="1"/>
      <w:marLeft w:val="0"/>
      <w:marRight w:val="0"/>
      <w:marTop w:val="0"/>
      <w:marBottom w:val="0"/>
      <w:divBdr>
        <w:top w:val="none" w:sz="0" w:space="0" w:color="auto"/>
        <w:left w:val="none" w:sz="0" w:space="0" w:color="auto"/>
        <w:bottom w:val="none" w:sz="0" w:space="0" w:color="auto"/>
        <w:right w:val="none" w:sz="0" w:space="0" w:color="auto"/>
      </w:divBdr>
    </w:div>
    <w:div w:id="1771194752">
      <w:bodyDiv w:val="1"/>
      <w:marLeft w:val="0"/>
      <w:marRight w:val="0"/>
      <w:marTop w:val="0"/>
      <w:marBottom w:val="0"/>
      <w:divBdr>
        <w:top w:val="none" w:sz="0" w:space="0" w:color="auto"/>
        <w:left w:val="none" w:sz="0" w:space="0" w:color="auto"/>
        <w:bottom w:val="none" w:sz="0" w:space="0" w:color="auto"/>
        <w:right w:val="none" w:sz="0" w:space="0" w:color="auto"/>
      </w:divBdr>
    </w:div>
    <w:div w:id="1790667053">
      <w:bodyDiv w:val="1"/>
      <w:marLeft w:val="0"/>
      <w:marRight w:val="0"/>
      <w:marTop w:val="0"/>
      <w:marBottom w:val="0"/>
      <w:divBdr>
        <w:top w:val="none" w:sz="0" w:space="0" w:color="auto"/>
        <w:left w:val="none" w:sz="0" w:space="0" w:color="auto"/>
        <w:bottom w:val="none" w:sz="0" w:space="0" w:color="auto"/>
        <w:right w:val="none" w:sz="0" w:space="0" w:color="auto"/>
      </w:divBdr>
    </w:div>
    <w:div w:id="1793356520">
      <w:bodyDiv w:val="1"/>
      <w:marLeft w:val="0"/>
      <w:marRight w:val="0"/>
      <w:marTop w:val="0"/>
      <w:marBottom w:val="0"/>
      <w:divBdr>
        <w:top w:val="none" w:sz="0" w:space="0" w:color="auto"/>
        <w:left w:val="none" w:sz="0" w:space="0" w:color="auto"/>
        <w:bottom w:val="none" w:sz="0" w:space="0" w:color="auto"/>
        <w:right w:val="none" w:sz="0" w:space="0" w:color="auto"/>
      </w:divBdr>
    </w:div>
    <w:div w:id="1819764871">
      <w:bodyDiv w:val="1"/>
      <w:marLeft w:val="0"/>
      <w:marRight w:val="0"/>
      <w:marTop w:val="0"/>
      <w:marBottom w:val="0"/>
      <w:divBdr>
        <w:top w:val="none" w:sz="0" w:space="0" w:color="auto"/>
        <w:left w:val="none" w:sz="0" w:space="0" w:color="auto"/>
        <w:bottom w:val="none" w:sz="0" w:space="0" w:color="auto"/>
        <w:right w:val="none" w:sz="0" w:space="0" w:color="auto"/>
      </w:divBdr>
    </w:div>
    <w:div w:id="1878622013">
      <w:bodyDiv w:val="1"/>
      <w:marLeft w:val="0"/>
      <w:marRight w:val="0"/>
      <w:marTop w:val="0"/>
      <w:marBottom w:val="0"/>
      <w:divBdr>
        <w:top w:val="none" w:sz="0" w:space="0" w:color="auto"/>
        <w:left w:val="none" w:sz="0" w:space="0" w:color="auto"/>
        <w:bottom w:val="none" w:sz="0" w:space="0" w:color="auto"/>
        <w:right w:val="none" w:sz="0" w:space="0" w:color="auto"/>
      </w:divBdr>
    </w:div>
    <w:div w:id="1933469558">
      <w:bodyDiv w:val="1"/>
      <w:marLeft w:val="0"/>
      <w:marRight w:val="0"/>
      <w:marTop w:val="0"/>
      <w:marBottom w:val="0"/>
      <w:divBdr>
        <w:top w:val="none" w:sz="0" w:space="0" w:color="auto"/>
        <w:left w:val="none" w:sz="0" w:space="0" w:color="auto"/>
        <w:bottom w:val="none" w:sz="0" w:space="0" w:color="auto"/>
        <w:right w:val="none" w:sz="0" w:space="0" w:color="auto"/>
      </w:divBdr>
    </w:div>
    <w:div w:id="1948543027">
      <w:bodyDiv w:val="1"/>
      <w:marLeft w:val="0"/>
      <w:marRight w:val="0"/>
      <w:marTop w:val="0"/>
      <w:marBottom w:val="0"/>
      <w:divBdr>
        <w:top w:val="none" w:sz="0" w:space="0" w:color="auto"/>
        <w:left w:val="none" w:sz="0" w:space="0" w:color="auto"/>
        <w:bottom w:val="none" w:sz="0" w:space="0" w:color="auto"/>
        <w:right w:val="none" w:sz="0" w:space="0" w:color="auto"/>
      </w:divBdr>
    </w:div>
    <w:div w:id="1952664244">
      <w:bodyDiv w:val="1"/>
      <w:marLeft w:val="0"/>
      <w:marRight w:val="0"/>
      <w:marTop w:val="0"/>
      <w:marBottom w:val="0"/>
      <w:divBdr>
        <w:top w:val="none" w:sz="0" w:space="0" w:color="auto"/>
        <w:left w:val="none" w:sz="0" w:space="0" w:color="auto"/>
        <w:bottom w:val="none" w:sz="0" w:space="0" w:color="auto"/>
        <w:right w:val="none" w:sz="0" w:space="0" w:color="auto"/>
      </w:divBdr>
    </w:div>
    <w:div w:id="1957325478">
      <w:bodyDiv w:val="1"/>
      <w:marLeft w:val="0"/>
      <w:marRight w:val="0"/>
      <w:marTop w:val="0"/>
      <w:marBottom w:val="0"/>
      <w:divBdr>
        <w:top w:val="none" w:sz="0" w:space="0" w:color="auto"/>
        <w:left w:val="none" w:sz="0" w:space="0" w:color="auto"/>
        <w:bottom w:val="none" w:sz="0" w:space="0" w:color="auto"/>
        <w:right w:val="none" w:sz="0" w:space="0" w:color="auto"/>
      </w:divBdr>
    </w:div>
    <w:div w:id="1971128916">
      <w:bodyDiv w:val="1"/>
      <w:marLeft w:val="0"/>
      <w:marRight w:val="0"/>
      <w:marTop w:val="0"/>
      <w:marBottom w:val="0"/>
      <w:divBdr>
        <w:top w:val="none" w:sz="0" w:space="0" w:color="auto"/>
        <w:left w:val="none" w:sz="0" w:space="0" w:color="auto"/>
        <w:bottom w:val="none" w:sz="0" w:space="0" w:color="auto"/>
        <w:right w:val="none" w:sz="0" w:space="0" w:color="auto"/>
      </w:divBdr>
    </w:div>
    <w:div w:id="1996297237">
      <w:bodyDiv w:val="1"/>
      <w:marLeft w:val="0"/>
      <w:marRight w:val="0"/>
      <w:marTop w:val="0"/>
      <w:marBottom w:val="0"/>
      <w:divBdr>
        <w:top w:val="none" w:sz="0" w:space="0" w:color="auto"/>
        <w:left w:val="none" w:sz="0" w:space="0" w:color="auto"/>
        <w:bottom w:val="none" w:sz="0" w:space="0" w:color="auto"/>
        <w:right w:val="none" w:sz="0" w:space="0" w:color="auto"/>
      </w:divBdr>
    </w:div>
    <w:div w:id="1998612508">
      <w:bodyDiv w:val="1"/>
      <w:marLeft w:val="0"/>
      <w:marRight w:val="0"/>
      <w:marTop w:val="0"/>
      <w:marBottom w:val="0"/>
      <w:divBdr>
        <w:top w:val="none" w:sz="0" w:space="0" w:color="auto"/>
        <w:left w:val="none" w:sz="0" w:space="0" w:color="auto"/>
        <w:bottom w:val="none" w:sz="0" w:space="0" w:color="auto"/>
        <w:right w:val="none" w:sz="0" w:space="0" w:color="auto"/>
      </w:divBdr>
    </w:div>
    <w:div w:id="2009862450">
      <w:bodyDiv w:val="1"/>
      <w:marLeft w:val="0"/>
      <w:marRight w:val="0"/>
      <w:marTop w:val="0"/>
      <w:marBottom w:val="0"/>
      <w:divBdr>
        <w:top w:val="none" w:sz="0" w:space="0" w:color="auto"/>
        <w:left w:val="none" w:sz="0" w:space="0" w:color="auto"/>
        <w:bottom w:val="none" w:sz="0" w:space="0" w:color="auto"/>
        <w:right w:val="none" w:sz="0" w:space="0" w:color="auto"/>
      </w:divBdr>
    </w:div>
    <w:div w:id="2027442359">
      <w:bodyDiv w:val="1"/>
      <w:marLeft w:val="0"/>
      <w:marRight w:val="0"/>
      <w:marTop w:val="0"/>
      <w:marBottom w:val="0"/>
      <w:divBdr>
        <w:top w:val="none" w:sz="0" w:space="0" w:color="auto"/>
        <w:left w:val="none" w:sz="0" w:space="0" w:color="auto"/>
        <w:bottom w:val="none" w:sz="0" w:space="0" w:color="auto"/>
        <w:right w:val="none" w:sz="0" w:space="0" w:color="auto"/>
      </w:divBdr>
    </w:div>
    <w:div w:id="2028218309">
      <w:bodyDiv w:val="1"/>
      <w:marLeft w:val="0"/>
      <w:marRight w:val="0"/>
      <w:marTop w:val="0"/>
      <w:marBottom w:val="0"/>
      <w:divBdr>
        <w:top w:val="none" w:sz="0" w:space="0" w:color="auto"/>
        <w:left w:val="none" w:sz="0" w:space="0" w:color="auto"/>
        <w:bottom w:val="none" w:sz="0" w:space="0" w:color="auto"/>
        <w:right w:val="none" w:sz="0" w:space="0" w:color="auto"/>
      </w:divBdr>
    </w:div>
    <w:div w:id="2033263050">
      <w:bodyDiv w:val="1"/>
      <w:marLeft w:val="0"/>
      <w:marRight w:val="0"/>
      <w:marTop w:val="0"/>
      <w:marBottom w:val="0"/>
      <w:divBdr>
        <w:top w:val="none" w:sz="0" w:space="0" w:color="auto"/>
        <w:left w:val="none" w:sz="0" w:space="0" w:color="auto"/>
        <w:bottom w:val="none" w:sz="0" w:space="0" w:color="auto"/>
        <w:right w:val="none" w:sz="0" w:space="0" w:color="auto"/>
      </w:divBdr>
    </w:div>
    <w:div w:id="2039042695">
      <w:bodyDiv w:val="1"/>
      <w:marLeft w:val="0"/>
      <w:marRight w:val="0"/>
      <w:marTop w:val="0"/>
      <w:marBottom w:val="0"/>
      <w:divBdr>
        <w:top w:val="none" w:sz="0" w:space="0" w:color="auto"/>
        <w:left w:val="none" w:sz="0" w:space="0" w:color="auto"/>
        <w:bottom w:val="none" w:sz="0" w:space="0" w:color="auto"/>
        <w:right w:val="none" w:sz="0" w:space="0" w:color="auto"/>
      </w:divBdr>
    </w:div>
    <w:div w:id="2075621463">
      <w:bodyDiv w:val="1"/>
      <w:marLeft w:val="0"/>
      <w:marRight w:val="0"/>
      <w:marTop w:val="0"/>
      <w:marBottom w:val="0"/>
      <w:divBdr>
        <w:top w:val="none" w:sz="0" w:space="0" w:color="auto"/>
        <w:left w:val="none" w:sz="0" w:space="0" w:color="auto"/>
        <w:bottom w:val="none" w:sz="0" w:space="0" w:color="auto"/>
        <w:right w:val="none" w:sz="0" w:space="0" w:color="auto"/>
      </w:divBdr>
    </w:div>
    <w:div w:id="2109616780">
      <w:bodyDiv w:val="1"/>
      <w:marLeft w:val="0"/>
      <w:marRight w:val="0"/>
      <w:marTop w:val="0"/>
      <w:marBottom w:val="0"/>
      <w:divBdr>
        <w:top w:val="none" w:sz="0" w:space="0" w:color="auto"/>
        <w:left w:val="none" w:sz="0" w:space="0" w:color="auto"/>
        <w:bottom w:val="none" w:sz="0" w:space="0" w:color="auto"/>
        <w:right w:val="none" w:sz="0" w:space="0" w:color="auto"/>
      </w:divBdr>
    </w:div>
    <w:div w:id="2118405806">
      <w:bodyDiv w:val="1"/>
      <w:marLeft w:val="0"/>
      <w:marRight w:val="0"/>
      <w:marTop w:val="0"/>
      <w:marBottom w:val="0"/>
      <w:divBdr>
        <w:top w:val="none" w:sz="0" w:space="0" w:color="auto"/>
        <w:left w:val="none" w:sz="0" w:space="0" w:color="auto"/>
        <w:bottom w:val="none" w:sz="0" w:space="0" w:color="auto"/>
        <w:right w:val="none" w:sz="0" w:space="0" w:color="auto"/>
      </w:divBdr>
    </w:div>
    <w:div w:id="213405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chart" Target="charts/chart5.xml"/><Relationship Id="rId39" Type="http://schemas.openxmlformats.org/officeDocument/2006/relationships/footer" Target="footer5.xml"/><Relationship Id="rId21" Type="http://schemas.openxmlformats.org/officeDocument/2006/relationships/chart" Target="charts/chart1.xml"/><Relationship Id="rId34" Type="http://schemas.openxmlformats.org/officeDocument/2006/relationships/image" Target="media/image5.png"/><Relationship Id="rId42" Type="http://schemas.openxmlformats.org/officeDocument/2006/relationships/chart" Target="charts/chart18.xml"/><Relationship Id="rId47" Type="http://schemas.openxmlformats.org/officeDocument/2006/relationships/image" Target="media/image8.jpg"/><Relationship Id="rId50" Type="http://schemas.openxmlformats.org/officeDocument/2006/relationships/image" Target="media/image9.png"/><Relationship Id="rId55" Type="http://schemas.openxmlformats.org/officeDocument/2006/relationships/chart" Target="charts/chart27.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www.gasbuddy.com/"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image" Target="media/image6.png"/><Relationship Id="rId46" Type="http://schemas.openxmlformats.org/officeDocument/2006/relationships/image" Target="media/image7.jp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eia.gov/survey/form/eia_878/faqs.php" TargetMode="External"/><Relationship Id="rId29" Type="http://schemas.openxmlformats.org/officeDocument/2006/relationships/chart" Target="charts/chart8.xml"/><Relationship Id="rId41" Type="http://schemas.openxmlformats.org/officeDocument/2006/relationships/chart" Target="charts/chart17.xml"/><Relationship Id="rId54"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5.xm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chart" Target="charts/chart23.xml"/><Relationship Id="rId57"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help.gasbuddy.com/hc/en-us/articles/225454887-Report-Prices" TargetMode="Externa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chart" Target="charts/chart2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19.xml"/><Relationship Id="rId48" Type="http://schemas.openxmlformats.org/officeDocument/2006/relationships/chart" Target="charts/chart22.xml"/><Relationship Id="rId56"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image" Target="media/image10.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tracker.gasbuddy.com"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IASASCOMP\pmws_share\EIA-878\NAA\Additional_Data\GasBuddy\OPIS_GB_prices_20170731.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EIASASCOMP\pmws_share\EIA-878\NAA\OPIS_Price_Data\Output\Unweighted_Ave_2017\National%20Final%20Results.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EIASASCOMP\pmws_share\EIA-878\NAA\OPIS_Price_Data\Output\Unweighted_Ave_2017\National%20Final%20Results.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EIASASCOMP\pmws_share\EIA-878\NAA\OPIS_Price_Data\Output\Unweighted_Ave_2017\National%20Final%20Results.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EIASASCOMP\pmws_share\EIA-878\NAA\Additional_Data\GasBuddy\OPIS_GB_prices_20170731.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EIASASCOMP\pmws_share\EIA-878\NAA\Additional_Data\GasBuddy\OPIS_GB_prices_20170731.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EIASASCOMP\pmws_share\EIA-878\NAA\Additional_Data\GasBuddy\OPIS_GB_prices_20170731.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EIASASCOMP\pmws_share\EIA-878\NAA\Report\Graphs%20and%20charts\Ruey%20Pyng_%20OPISvsEIA_CHIC_NYC_0515to07312017_v2.xlsx" TargetMode="External"/><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2" Type="http://schemas.openxmlformats.org/officeDocument/2006/relationships/oleObject" Target="file:///\\EIASASCOMP\pmws_share\EIA-878\NAA\Report\Graphs%20and%20charts\Ruey%20Pyng_%20OPISvsEIA_CHIC_NYC_0515to07312017_v2.xlsx" TargetMode="External"/><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file:///\\EIASASCOMP\sdsi_share\SMT\BZH\MogasFrame\Alternativesources\Price%20and%20Price%20Differential%20Plots.xlsx"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EIASASCOMP\pmws_share\EIA-878\NAA\Additional_Data\GasBuddy\OPIS_GB_prices_20170731.xlsx" TargetMode="External"/></Relationships>
</file>

<file path=word/charts/_rels/chart20.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file:///\\EIASASCOMP\sdsi_share\SMT\BZH\MogasFrame\Alternativesources\Price%20and%20Price%20Differential%20Plots.xlsx" TargetMode="External"/></Relationships>
</file>

<file path=word/charts/_rels/chart21.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oleObject" Target="file:///\\EIASASCOMP\sdsi_share\SMT\BZH\MogasFrame\Alternativesources\Price%20and%20Price%20Differential%20Plots.xlsx" TargetMode="External"/></Relationships>
</file>

<file path=word/charts/_rels/chart22.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oleObject" Target="file:///\\EIASASCOMP\pmws_share\EIA-878\NAA\Additional_Data\GasBuddy\OPIS_GB_prices_20170731_MIDGRADE.xlsx" TargetMode="External"/></Relationships>
</file>

<file path=word/charts/_rels/chart23.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oleObject" Target="file:///\\EIASASCOMP\pmws_share\EIA-878\NAA\Additional_Data\GasBuddy\OPIS_GB_prices_20170731_PREMIUM.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EIASASCOMP\pmws_share\EIA-878\NAA\Report\Graphs%20and%20charts\Ruey%20Pyng_%20OPISvsEIA_CHIC_NYC_0515to07312017_v2.xlsx" TargetMode="External"/><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2" Type="http://schemas.openxmlformats.org/officeDocument/2006/relationships/oleObject" Target="file:///\\EIASASCOMP\pmws_share\EIA-878\NAA\Report\Graphs%20and%20charts\Ruey%20Pyng_%20OPISvsEIA_CHIC_NYC_0515to07312017_v2.xlsx" TargetMode="External"/><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2" Type="http://schemas.openxmlformats.org/officeDocument/2006/relationships/oleObject" Target="file:///\\EIASASCOMP\pmws_share\EIA-878\NAA\Report\Graphs%20and%20charts\Ruey%20Pyng_%20OPISvsEIA_CHIC_NYC_0515to07312017_v2.xlsx" TargetMode="External"/><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2" Type="http://schemas.openxmlformats.org/officeDocument/2006/relationships/oleObject" Target="file:///\\EIASASCOMP\pmws_share\EIA-878\NAA\Report\Graphs%20and%20charts\Ruey%20Pyng_%20OPISvsEIA_CHIC_NYC_0515to07312017_v2.xlsx" TargetMode="External"/><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EIASASCOMP\sdsi_share\QAT\ALY\OPIS\Comparison%20of%20max%20prices%20for%20full%20OPIS%20data%20feed.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EIASASCOMP\sdsi_share\QAT\ALY\OPIS\Comparison%20of%20max%20prices%20for%20full%20OPIS%20data%20feed.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EIASASCOMP\sdsi_share\QAT\ALY\OPIS\Comparison%20of%20max%20prices%20for%20full%20OPIS%20data%20feed.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EIASASCOMP\sdsi_share\QAT\ALY\OPIS\Comparison%20of%20max%20prices%20for%20full%20OPIS%20data%20feed.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EIASASCOMP\sdsi_share\QAT\ALY\OPIS\Comparison%20of%20max%20prices%20for%20full%20OPIS%20data%20feed.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EIASASCOMP\sdsi_share\QAT\ALY\OPIS\Comparison%20of%20max%20prices%20for%20full%20OPIS%20data%20feed.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OPIS vs. GasBuddy (cash price where available)  </a:t>
            </a:r>
            <a:endParaRPr lang="en-US" sz="1050" baseline="0"/>
          </a:p>
          <a:p>
            <a:pPr>
              <a:defRPr sz="1400" b="0" i="0" u="none" strike="noStrike" kern="1200" spc="0" baseline="0">
                <a:solidFill>
                  <a:schemeClr val="tx1">
                    <a:lumMod val="65000"/>
                    <a:lumOff val="35000"/>
                  </a:schemeClr>
                </a:solidFill>
                <a:latin typeface="+mn-lt"/>
                <a:ea typeface="+mn-ea"/>
                <a:cs typeface="+mn-cs"/>
              </a:defRPr>
            </a:pPr>
            <a:r>
              <a:rPr lang="en-US" sz="1050" baseline="0"/>
              <a:t> Regular Gasoline</a:t>
            </a:r>
            <a:endParaRPr lang="en-US" sz="1050"/>
          </a:p>
        </c:rich>
      </c:tx>
      <c:layout>
        <c:manualLayout>
          <c:xMode val="edge"/>
          <c:yMode val="edge"/>
          <c:x val="0.12478873239436619"/>
          <c:y val="0"/>
        </c:manualLayout>
      </c:layout>
      <c:overlay val="0"/>
      <c:spPr>
        <a:noFill/>
        <a:ln>
          <a:noFill/>
        </a:ln>
        <a:effectLst/>
      </c:spPr>
    </c:title>
    <c:autoTitleDeleted val="0"/>
    <c:plotArea>
      <c:layout/>
      <c:scatterChart>
        <c:scatterStyle val="lineMarker"/>
        <c:varyColors val="0"/>
        <c:ser>
          <c:idx val="0"/>
          <c:order val="0"/>
          <c:tx>
            <c:strRef>
              <c:f>'GB Cash vs OPIS'!$A$1</c:f>
              <c:strCache>
                <c:ptCount val="1"/>
                <c:pt idx="0">
                  <c:v>GB PRICE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rendlineLbl>
          </c:trendline>
          <c:xVal>
            <c:numRef>
              <c:f>'GB Cash vs OPIS'!$A$2:$A$614</c:f>
              <c:numCache>
                <c:formatCode>General</c:formatCode>
                <c:ptCount val="613"/>
                <c:pt idx="0">
                  <c:v>2.2400000000000002</c:v>
                </c:pt>
                <c:pt idx="1">
                  <c:v>2.23</c:v>
                </c:pt>
                <c:pt idx="2">
                  <c:v>2.27</c:v>
                </c:pt>
                <c:pt idx="3">
                  <c:v>2.21</c:v>
                </c:pt>
                <c:pt idx="4">
                  <c:v>2.25</c:v>
                </c:pt>
                <c:pt idx="5">
                  <c:v>2.27</c:v>
                </c:pt>
                <c:pt idx="6">
                  <c:v>2.19</c:v>
                </c:pt>
                <c:pt idx="7">
                  <c:v>2.29</c:v>
                </c:pt>
                <c:pt idx="8">
                  <c:v>2.4700000000000002</c:v>
                </c:pt>
                <c:pt idx="9">
                  <c:v>2.29</c:v>
                </c:pt>
                <c:pt idx="10">
                  <c:v>2.41</c:v>
                </c:pt>
                <c:pt idx="11">
                  <c:v>2.59</c:v>
                </c:pt>
                <c:pt idx="12">
                  <c:v>2.44</c:v>
                </c:pt>
                <c:pt idx="13">
                  <c:v>2.06</c:v>
                </c:pt>
                <c:pt idx="14">
                  <c:v>2.99</c:v>
                </c:pt>
                <c:pt idx="15">
                  <c:v>3.25</c:v>
                </c:pt>
                <c:pt idx="16">
                  <c:v>3.15</c:v>
                </c:pt>
                <c:pt idx="17">
                  <c:v>2.17</c:v>
                </c:pt>
                <c:pt idx="18">
                  <c:v>2.89</c:v>
                </c:pt>
                <c:pt idx="19">
                  <c:v>2.27</c:v>
                </c:pt>
                <c:pt idx="20">
                  <c:v>1.97</c:v>
                </c:pt>
                <c:pt idx="21">
                  <c:v>2.57</c:v>
                </c:pt>
                <c:pt idx="22">
                  <c:v>2.29</c:v>
                </c:pt>
                <c:pt idx="23">
                  <c:v>2.04</c:v>
                </c:pt>
                <c:pt idx="24">
                  <c:v>2.4900000000000002</c:v>
                </c:pt>
                <c:pt idx="25">
                  <c:v>2.4300000000000002</c:v>
                </c:pt>
                <c:pt idx="26">
                  <c:v>2.5299999999999998</c:v>
                </c:pt>
                <c:pt idx="27">
                  <c:v>2.25</c:v>
                </c:pt>
                <c:pt idx="28">
                  <c:v>2.23</c:v>
                </c:pt>
                <c:pt idx="29">
                  <c:v>3.01</c:v>
                </c:pt>
                <c:pt idx="30">
                  <c:v>2.13</c:v>
                </c:pt>
                <c:pt idx="31">
                  <c:v>2.31</c:v>
                </c:pt>
                <c:pt idx="32">
                  <c:v>2.09</c:v>
                </c:pt>
                <c:pt idx="33">
                  <c:v>2.93</c:v>
                </c:pt>
                <c:pt idx="34">
                  <c:v>2.09</c:v>
                </c:pt>
                <c:pt idx="35">
                  <c:v>2.57</c:v>
                </c:pt>
                <c:pt idx="36">
                  <c:v>2.29</c:v>
                </c:pt>
                <c:pt idx="37">
                  <c:v>2.29</c:v>
                </c:pt>
                <c:pt idx="38">
                  <c:v>2.39</c:v>
                </c:pt>
                <c:pt idx="39">
                  <c:v>2.0499999999999998</c:v>
                </c:pt>
                <c:pt idx="40">
                  <c:v>1.99</c:v>
                </c:pt>
                <c:pt idx="41">
                  <c:v>2.4500000000000002</c:v>
                </c:pt>
                <c:pt idx="42">
                  <c:v>2.19</c:v>
                </c:pt>
                <c:pt idx="43">
                  <c:v>2.2400000000000002</c:v>
                </c:pt>
                <c:pt idx="44">
                  <c:v>2.21</c:v>
                </c:pt>
                <c:pt idx="45">
                  <c:v>2.59</c:v>
                </c:pt>
                <c:pt idx="46">
                  <c:v>2.09</c:v>
                </c:pt>
                <c:pt idx="47">
                  <c:v>2.29</c:v>
                </c:pt>
                <c:pt idx="48">
                  <c:v>2.25</c:v>
                </c:pt>
                <c:pt idx="49">
                  <c:v>2.2799999999999998</c:v>
                </c:pt>
                <c:pt idx="50">
                  <c:v>2.79</c:v>
                </c:pt>
                <c:pt idx="51">
                  <c:v>3.09</c:v>
                </c:pt>
                <c:pt idx="52">
                  <c:v>2.19</c:v>
                </c:pt>
                <c:pt idx="53">
                  <c:v>2.4300000000000002</c:v>
                </c:pt>
                <c:pt idx="54">
                  <c:v>2.0699999999999998</c:v>
                </c:pt>
                <c:pt idx="55">
                  <c:v>2.25</c:v>
                </c:pt>
                <c:pt idx="56">
                  <c:v>2.27</c:v>
                </c:pt>
                <c:pt idx="57">
                  <c:v>2.2599999999999998</c:v>
                </c:pt>
                <c:pt idx="58">
                  <c:v>2.15</c:v>
                </c:pt>
                <c:pt idx="59">
                  <c:v>1.99</c:v>
                </c:pt>
                <c:pt idx="60">
                  <c:v>3.12</c:v>
                </c:pt>
                <c:pt idx="61">
                  <c:v>2.69</c:v>
                </c:pt>
                <c:pt idx="62">
                  <c:v>2.35</c:v>
                </c:pt>
                <c:pt idx="63">
                  <c:v>2.2200000000000002</c:v>
                </c:pt>
                <c:pt idx="64">
                  <c:v>2.16</c:v>
                </c:pt>
                <c:pt idx="65">
                  <c:v>2.2200000000000002</c:v>
                </c:pt>
                <c:pt idx="66">
                  <c:v>2.27</c:v>
                </c:pt>
                <c:pt idx="67">
                  <c:v>2.2400000000000002</c:v>
                </c:pt>
                <c:pt idx="68">
                  <c:v>2.31</c:v>
                </c:pt>
                <c:pt idx="69">
                  <c:v>2.42</c:v>
                </c:pt>
                <c:pt idx="70">
                  <c:v>2.2599999999999998</c:v>
                </c:pt>
                <c:pt idx="71">
                  <c:v>2.0699999999999998</c:v>
                </c:pt>
                <c:pt idx="72">
                  <c:v>2.2000000000000002</c:v>
                </c:pt>
                <c:pt idx="73">
                  <c:v>2.48</c:v>
                </c:pt>
                <c:pt idx="74">
                  <c:v>2.37</c:v>
                </c:pt>
                <c:pt idx="75">
                  <c:v>2.09</c:v>
                </c:pt>
                <c:pt idx="76">
                  <c:v>2.25</c:v>
                </c:pt>
                <c:pt idx="77">
                  <c:v>2.52</c:v>
                </c:pt>
                <c:pt idx="78">
                  <c:v>2.15</c:v>
                </c:pt>
                <c:pt idx="79">
                  <c:v>2.4300000000000002</c:v>
                </c:pt>
                <c:pt idx="80">
                  <c:v>2.0699999999999998</c:v>
                </c:pt>
                <c:pt idx="81">
                  <c:v>2.23</c:v>
                </c:pt>
                <c:pt idx="82">
                  <c:v>2.09</c:v>
                </c:pt>
                <c:pt idx="83">
                  <c:v>2.04</c:v>
                </c:pt>
                <c:pt idx="84">
                  <c:v>1.94</c:v>
                </c:pt>
                <c:pt idx="85">
                  <c:v>1.96</c:v>
                </c:pt>
                <c:pt idx="86">
                  <c:v>2.25</c:v>
                </c:pt>
                <c:pt idx="87">
                  <c:v>2.21</c:v>
                </c:pt>
                <c:pt idx="88">
                  <c:v>2.34</c:v>
                </c:pt>
                <c:pt idx="89">
                  <c:v>2.25</c:v>
                </c:pt>
                <c:pt idx="90">
                  <c:v>2.21</c:v>
                </c:pt>
                <c:pt idx="91">
                  <c:v>2.2000000000000002</c:v>
                </c:pt>
                <c:pt idx="92">
                  <c:v>2.4900000000000002</c:v>
                </c:pt>
                <c:pt idx="93">
                  <c:v>2.0499999999999998</c:v>
                </c:pt>
                <c:pt idx="94">
                  <c:v>2.65</c:v>
                </c:pt>
                <c:pt idx="95">
                  <c:v>2.21</c:v>
                </c:pt>
                <c:pt idx="96">
                  <c:v>2.39</c:v>
                </c:pt>
                <c:pt idx="97">
                  <c:v>2.15</c:v>
                </c:pt>
                <c:pt idx="98">
                  <c:v>2.4900000000000002</c:v>
                </c:pt>
                <c:pt idx="99">
                  <c:v>2.59</c:v>
                </c:pt>
                <c:pt idx="100">
                  <c:v>2.59</c:v>
                </c:pt>
                <c:pt idx="101">
                  <c:v>2.59</c:v>
                </c:pt>
                <c:pt idx="102">
                  <c:v>2.4300000000000002</c:v>
                </c:pt>
                <c:pt idx="103">
                  <c:v>2.25</c:v>
                </c:pt>
                <c:pt idx="104">
                  <c:v>2.2799999999999998</c:v>
                </c:pt>
                <c:pt idx="105">
                  <c:v>2.3199999999999998</c:v>
                </c:pt>
                <c:pt idx="106">
                  <c:v>2.48</c:v>
                </c:pt>
                <c:pt idx="107">
                  <c:v>2.29</c:v>
                </c:pt>
                <c:pt idx="108">
                  <c:v>2.4500000000000002</c:v>
                </c:pt>
                <c:pt idx="109">
                  <c:v>2.14</c:v>
                </c:pt>
                <c:pt idx="110">
                  <c:v>2.59</c:v>
                </c:pt>
                <c:pt idx="111">
                  <c:v>2.0699999999999998</c:v>
                </c:pt>
                <c:pt idx="112">
                  <c:v>2.39</c:v>
                </c:pt>
                <c:pt idx="113">
                  <c:v>2.3199999999999998</c:v>
                </c:pt>
                <c:pt idx="114">
                  <c:v>2.85</c:v>
                </c:pt>
                <c:pt idx="115">
                  <c:v>2.2400000000000002</c:v>
                </c:pt>
                <c:pt idx="116">
                  <c:v>2.99</c:v>
                </c:pt>
                <c:pt idx="117">
                  <c:v>2.5499999999999998</c:v>
                </c:pt>
                <c:pt idx="118">
                  <c:v>2.16</c:v>
                </c:pt>
                <c:pt idx="119">
                  <c:v>2.31</c:v>
                </c:pt>
                <c:pt idx="120">
                  <c:v>2.23</c:v>
                </c:pt>
                <c:pt idx="121">
                  <c:v>2.3199999999999998</c:v>
                </c:pt>
                <c:pt idx="122">
                  <c:v>2.95</c:v>
                </c:pt>
                <c:pt idx="123">
                  <c:v>2.0499999999999998</c:v>
                </c:pt>
                <c:pt idx="124">
                  <c:v>2.5499999999999998</c:v>
                </c:pt>
                <c:pt idx="125">
                  <c:v>2.19</c:v>
                </c:pt>
                <c:pt idx="126">
                  <c:v>2.25</c:v>
                </c:pt>
                <c:pt idx="127">
                  <c:v>2.29</c:v>
                </c:pt>
                <c:pt idx="128">
                  <c:v>2.19</c:v>
                </c:pt>
                <c:pt idx="129">
                  <c:v>3.07</c:v>
                </c:pt>
                <c:pt idx="130">
                  <c:v>3.15</c:v>
                </c:pt>
                <c:pt idx="131">
                  <c:v>2.69</c:v>
                </c:pt>
                <c:pt idx="132">
                  <c:v>2.25</c:v>
                </c:pt>
                <c:pt idx="133">
                  <c:v>2.89</c:v>
                </c:pt>
                <c:pt idx="134">
                  <c:v>2.09</c:v>
                </c:pt>
                <c:pt idx="135">
                  <c:v>2.79</c:v>
                </c:pt>
                <c:pt idx="136">
                  <c:v>2.2400000000000002</c:v>
                </c:pt>
                <c:pt idx="137">
                  <c:v>2.17</c:v>
                </c:pt>
                <c:pt idx="138">
                  <c:v>2.23</c:v>
                </c:pt>
                <c:pt idx="139">
                  <c:v>2.21</c:v>
                </c:pt>
                <c:pt idx="140">
                  <c:v>2.21</c:v>
                </c:pt>
                <c:pt idx="141">
                  <c:v>2.19</c:v>
                </c:pt>
                <c:pt idx="142">
                  <c:v>2.19</c:v>
                </c:pt>
                <c:pt idx="143">
                  <c:v>2.2400000000000002</c:v>
                </c:pt>
                <c:pt idx="144">
                  <c:v>2.19</c:v>
                </c:pt>
                <c:pt idx="145">
                  <c:v>2.23</c:v>
                </c:pt>
                <c:pt idx="146">
                  <c:v>2.09</c:v>
                </c:pt>
                <c:pt idx="147">
                  <c:v>1.99</c:v>
                </c:pt>
                <c:pt idx="148">
                  <c:v>2.09</c:v>
                </c:pt>
                <c:pt idx="149">
                  <c:v>2.59</c:v>
                </c:pt>
                <c:pt idx="150">
                  <c:v>2.89</c:v>
                </c:pt>
                <c:pt idx="151">
                  <c:v>2.35</c:v>
                </c:pt>
                <c:pt idx="152">
                  <c:v>2.31</c:v>
                </c:pt>
                <c:pt idx="153">
                  <c:v>2.36</c:v>
                </c:pt>
                <c:pt idx="154">
                  <c:v>2.34</c:v>
                </c:pt>
                <c:pt idx="155">
                  <c:v>1.99</c:v>
                </c:pt>
                <c:pt idx="156">
                  <c:v>2.37</c:v>
                </c:pt>
                <c:pt idx="157">
                  <c:v>2.19</c:v>
                </c:pt>
                <c:pt idx="158">
                  <c:v>2.35</c:v>
                </c:pt>
                <c:pt idx="159">
                  <c:v>2.4900000000000002</c:v>
                </c:pt>
                <c:pt idx="160">
                  <c:v>2.61</c:v>
                </c:pt>
                <c:pt idx="161">
                  <c:v>2.87</c:v>
                </c:pt>
                <c:pt idx="162">
                  <c:v>2.31</c:v>
                </c:pt>
                <c:pt idx="163">
                  <c:v>2.0499999999999998</c:v>
                </c:pt>
                <c:pt idx="164">
                  <c:v>3.13</c:v>
                </c:pt>
                <c:pt idx="165">
                  <c:v>2.69</c:v>
                </c:pt>
                <c:pt idx="166">
                  <c:v>2.04</c:v>
                </c:pt>
                <c:pt idx="167">
                  <c:v>2.79</c:v>
                </c:pt>
                <c:pt idx="168">
                  <c:v>2.14</c:v>
                </c:pt>
                <c:pt idx="169">
                  <c:v>2.0499999999999998</c:v>
                </c:pt>
                <c:pt idx="170">
                  <c:v>2.25</c:v>
                </c:pt>
                <c:pt idx="171">
                  <c:v>2.23</c:v>
                </c:pt>
                <c:pt idx="172">
                  <c:v>2.59</c:v>
                </c:pt>
                <c:pt idx="173">
                  <c:v>2.29</c:v>
                </c:pt>
                <c:pt idx="174">
                  <c:v>2.17</c:v>
                </c:pt>
                <c:pt idx="175">
                  <c:v>2.14</c:v>
                </c:pt>
                <c:pt idx="176">
                  <c:v>2.33</c:v>
                </c:pt>
                <c:pt idx="177">
                  <c:v>2.4900000000000002</c:v>
                </c:pt>
                <c:pt idx="178">
                  <c:v>2.14</c:v>
                </c:pt>
                <c:pt idx="179">
                  <c:v>2.0099999999999998</c:v>
                </c:pt>
                <c:pt idx="180">
                  <c:v>2.09</c:v>
                </c:pt>
                <c:pt idx="181">
                  <c:v>2.89</c:v>
                </c:pt>
                <c:pt idx="182">
                  <c:v>2.92</c:v>
                </c:pt>
                <c:pt idx="183">
                  <c:v>2.19</c:v>
                </c:pt>
                <c:pt idx="184">
                  <c:v>2.23</c:v>
                </c:pt>
                <c:pt idx="185">
                  <c:v>1.96</c:v>
                </c:pt>
                <c:pt idx="186">
                  <c:v>2.09</c:v>
                </c:pt>
                <c:pt idx="187">
                  <c:v>2.63</c:v>
                </c:pt>
                <c:pt idx="188">
                  <c:v>3.19</c:v>
                </c:pt>
                <c:pt idx="189">
                  <c:v>2.89</c:v>
                </c:pt>
                <c:pt idx="190">
                  <c:v>2.4500000000000002</c:v>
                </c:pt>
                <c:pt idx="191">
                  <c:v>2.0299999999999998</c:v>
                </c:pt>
                <c:pt idx="192">
                  <c:v>2.4900000000000002</c:v>
                </c:pt>
                <c:pt idx="193">
                  <c:v>1.93</c:v>
                </c:pt>
                <c:pt idx="194">
                  <c:v>2.39</c:v>
                </c:pt>
                <c:pt idx="195">
                  <c:v>2.99</c:v>
                </c:pt>
                <c:pt idx="196">
                  <c:v>2.3199999999999998</c:v>
                </c:pt>
                <c:pt idx="197">
                  <c:v>2.5099999999999998</c:v>
                </c:pt>
                <c:pt idx="198">
                  <c:v>2.2799999999999998</c:v>
                </c:pt>
                <c:pt idx="199">
                  <c:v>2.3199999999999998</c:v>
                </c:pt>
                <c:pt idx="200">
                  <c:v>2.35</c:v>
                </c:pt>
                <c:pt idx="201">
                  <c:v>2.61</c:v>
                </c:pt>
                <c:pt idx="202">
                  <c:v>2.4900000000000002</c:v>
                </c:pt>
                <c:pt idx="203">
                  <c:v>2.79</c:v>
                </c:pt>
                <c:pt idx="204">
                  <c:v>2.21</c:v>
                </c:pt>
                <c:pt idx="205">
                  <c:v>2.29</c:v>
                </c:pt>
                <c:pt idx="206">
                  <c:v>2.79</c:v>
                </c:pt>
                <c:pt idx="207">
                  <c:v>2.69</c:v>
                </c:pt>
                <c:pt idx="208">
                  <c:v>2.36</c:v>
                </c:pt>
                <c:pt idx="209">
                  <c:v>2.19</c:v>
                </c:pt>
                <c:pt idx="210">
                  <c:v>2.5099999999999998</c:v>
                </c:pt>
                <c:pt idx="211">
                  <c:v>2.16</c:v>
                </c:pt>
                <c:pt idx="212">
                  <c:v>2.25</c:v>
                </c:pt>
                <c:pt idx="213">
                  <c:v>2.4900000000000002</c:v>
                </c:pt>
                <c:pt idx="214">
                  <c:v>2.19</c:v>
                </c:pt>
                <c:pt idx="215">
                  <c:v>2.5499999999999998</c:v>
                </c:pt>
                <c:pt idx="216">
                  <c:v>2.2400000000000002</c:v>
                </c:pt>
                <c:pt idx="217">
                  <c:v>2.4900000000000002</c:v>
                </c:pt>
                <c:pt idx="218">
                  <c:v>2.25</c:v>
                </c:pt>
                <c:pt idx="219">
                  <c:v>1.99</c:v>
                </c:pt>
                <c:pt idx="220">
                  <c:v>2.5</c:v>
                </c:pt>
                <c:pt idx="221">
                  <c:v>2.16</c:v>
                </c:pt>
                <c:pt idx="222">
                  <c:v>2.29</c:v>
                </c:pt>
                <c:pt idx="223">
                  <c:v>2.39</c:v>
                </c:pt>
                <c:pt idx="224">
                  <c:v>2.09</c:v>
                </c:pt>
                <c:pt idx="225">
                  <c:v>2.29</c:v>
                </c:pt>
                <c:pt idx="226">
                  <c:v>2.4900000000000002</c:v>
                </c:pt>
                <c:pt idx="227">
                  <c:v>1.99</c:v>
                </c:pt>
                <c:pt idx="228">
                  <c:v>2.15</c:v>
                </c:pt>
                <c:pt idx="229">
                  <c:v>2.2599999999999998</c:v>
                </c:pt>
                <c:pt idx="230">
                  <c:v>2.0499999999999998</c:v>
                </c:pt>
                <c:pt idx="231">
                  <c:v>2.59</c:v>
                </c:pt>
                <c:pt idx="232">
                  <c:v>2.16</c:v>
                </c:pt>
                <c:pt idx="233">
                  <c:v>2.21</c:v>
                </c:pt>
                <c:pt idx="234">
                  <c:v>2.42</c:v>
                </c:pt>
                <c:pt idx="235">
                  <c:v>2.29</c:v>
                </c:pt>
                <c:pt idx="236">
                  <c:v>2.2400000000000002</c:v>
                </c:pt>
                <c:pt idx="237">
                  <c:v>1.99</c:v>
                </c:pt>
                <c:pt idx="238">
                  <c:v>2.09</c:v>
                </c:pt>
                <c:pt idx="239">
                  <c:v>2.17</c:v>
                </c:pt>
                <c:pt idx="240">
                  <c:v>2.31</c:v>
                </c:pt>
                <c:pt idx="241">
                  <c:v>1.95</c:v>
                </c:pt>
                <c:pt idx="242">
                  <c:v>2.29</c:v>
                </c:pt>
                <c:pt idx="243">
                  <c:v>2.39</c:v>
                </c:pt>
                <c:pt idx="244">
                  <c:v>2.4500000000000002</c:v>
                </c:pt>
                <c:pt idx="245">
                  <c:v>2.44</c:v>
                </c:pt>
                <c:pt idx="246">
                  <c:v>2.4300000000000002</c:v>
                </c:pt>
                <c:pt idx="247">
                  <c:v>2.19</c:v>
                </c:pt>
                <c:pt idx="248">
                  <c:v>2.23</c:v>
                </c:pt>
                <c:pt idx="249">
                  <c:v>2.4700000000000002</c:v>
                </c:pt>
                <c:pt idx="250">
                  <c:v>2.39</c:v>
                </c:pt>
                <c:pt idx="251">
                  <c:v>2.4500000000000002</c:v>
                </c:pt>
                <c:pt idx="252">
                  <c:v>2.4900000000000002</c:v>
                </c:pt>
                <c:pt idx="253">
                  <c:v>2.4500000000000002</c:v>
                </c:pt>
                <c:pt idx="254">
                  <c:v>2.33</c:v>
                </c:pt>
                <c:pt idx="255">
                  <c:v>2.29</c:v>
                </c:pt>
                <c:pt idx="256">
                  <c:v>2.34</c:v>
                </c:pt>
                <c:pt idx="257">
                  <c:v>2.2400000000000002</c:v>
                </c:pt>
                <c:pt idx="258">
                  <c:v>2.29</c:v>
                </c:pt>
                <c:pt idx="259">
                  <c:v>2.36</c:v>
                </c:pt>
                <c:pt idx="260">
                  <c:v>2.19</c:v>
                </c:pt>
                <c:pt idx="261">
                  <c:v>2.29</c:v>
                </c:pt>
                <c:pt idx="262">
                  <c:v>2.25</c:v>
                </c:pt>
                <c:pt idx="263">
                  <c:v>2.2599999999999998</c:v>
                </c:pt>
                <c:pt idx="264">
                  <c:v>2.17</c:v>
                </c:pt>
                <c:pt idx="265">
                  <c:v>2.44</c:v>
                </c:pt>
                <c:pt idx="266">
                  <c:v>2.39</c:v>
                </c:pt>
                <c:pt idx="267">
                  <c:v>2.4300000000000002</c:v>
                </c:pt>
                <c:pt idx="268">
                  <c:v>2.19</c:v>
                </c:pt>
                <c:pt idx="269">
                  <c:v>3.05</c:v>
                </c:pt>
                <c:pt idx="270">
                  <c:v>2.37</c:v>
                </c:pt>
                <c:pt idx="271">
                  <c:v>2.19</c:v>
                </c:pt>
                <c:pt idx="272">
                  <c:v>2.35</c:v>
                </c:pt>
                <c:pt idx="273">
                  <c:v>2.09</c:v>
                </c:pt>
                <c:pt idx="274">
                  <c:v>2.27</c:v>
                </c:pt>
                <c:pt idx="275">
                  <c:v>2.14</c:v>
                </c:pt>
                <c:pt idx="276">
                  <c:v>1.98</c:v>
                </c:pt>
                <c:pt idx="277">
                  <c:v>2.14</c:v>
                </c:pt>
                <c:pt idx="278">
                  <c:v>2.0299999999999998</c:v>
                </c:pt>
                <c:pt idx="279">
                  <c:v>2.15</c:v>
                </c:pt>
                <c:pt idx="280">
                  <c:v>2.5499999999999998</c:v>
                </c:pt>
                <c:pt idx="281">
                  <c:v>2.19</c:v>
                </c:pt>
                <c:pt idx="282">
                  <c:v>2.09</c:v>
                </c:pt>
                <c:pt idx="283">
                  <c:v>2.15</c:v>
                </c:pt>
                <c:pt idx="284">
                  <c:v>1.99</c:v>
                </c:pt>
                <c:pt idx="285">
                  <c:v>2.14</c:v>
                </c:pt>
                <c:pt idx="286">
                  <c:v>2.37</c:v>
                </c:pt>
                <c:pt idx="287">
                  <c:v>2.79</c:v>
                </c:pt>
                <c:pt idx="288">
                  <c:v>2.39</c:v>
                </c:pt>
                <c:pt idx="289">
                  <c:v>2.35</c:v>
                </c:pt>
                <c:pt idx="290">
                  <c:v>2.99</c:v>
                </c:pt>
                <c:pt idx="291">
                  <c:v>2.79</c:v>
                </c:pt>
                <c:pt idx="292">
                  <c:v>2.39</c:v>
                </c:pt>
                <c:pt idx="293">
                  <c:v>2.15</c:v>
                </c:pt>
                <c:pt idx="294">
                  <c:v>2.33</c:v>
                </c:pt>
                <c:pt idx="295">
                  <c:v>2.08</c:v>
                </c:pt>
                <c:pt idx="296">
                  <c:v>2.39</c:v>
                </c:pt>
                <c:pt idx="297">
                  <c:v>2.23</c:v>
                </c:pt>
                <c:pt idx="298">
                  <c:v>2.17</c:v>
                </c:pt>
                <c:pt idx="299">
                  <c:v>2.27</c:v>
                </c:pt>
                <c:pt idx="300">
                  <c:v>2.29</c:v>
                </c:pt>
                <c:pt idx="301">
                  <c:v>2.27</c:v>
                </c:pt>
                <c:pt idx="302">
                  <c:v>2.23</c:v>
                </c:pt>
                <c:pt idx="303">
                  <c:v>2.2400000000000002</c:v>
                </c:pt>
                <c:pt idx="304">
                  <c:v>2.29</c:v>
                </c:pt>
                <c:pt idx="305">
                  <c:v>2.37</c:v>
                </c:pt>
                <c:pt idx="306">
                  <c:v>2.0099999999999998</c:v>
                </c:pt>
                <c:pt idx="307">
                  <c:v>2.19</c:v>
                </c:pt>
                <c:pt idx="308">
                  <c:v>2.0699999999999998</c:v>
                </c:pt>
                <c:pt idx="309">
                  <c:v>2.09</c:v>
                </c:pt>
                <c:pt idx="310">
                  <c:v>2.09</c:v>
                </c:pt>
                <c:pt idx="311">
                  <c:v>2.17</c:v>
                </c:pt>
                <c:pt idx="312">
                  <c:v>2.0299999999999998</c:v>
                </c:pt>
                <c:pt idx="313">
                  <c:v>2.0499999999999998</c:v>
                </c:pt>
                <c:pt idx="314">
                  <c:v>2.0499999999999998</c:v>
                </c:pt>
                <c:pt idx="315">
                  <c:v>2.0499999999999998</c:v>
                </c:pt>
                <c:pt idx="316">
                  <c:v>2.0499999999999998</c:v>
                </c:pt>
                <c:pt idx="317">
                  <c:v>2.0299999999999998</c:v>
                </c:pt>
                <c:pt idx="318">
                  <c:v>2.0499999999999998</c:v>
                </c:pt>
                <c:pt idx="319">
                  <c:v>2.15</c:v>
                </c:pt>
                <c:pt idx="320">
                  <c:v>1.99</c:v>
                </c:pt>
                <c:pt idx="321">
                  <c:v>2.19</c:v>
                </c:pt>
                <c:pt idx="322">
                  <c:v>2.0699999999999998</c:v>
                </c:pt>
                <c:pt idx="323">
                  <c:v>2.0499999999999998</c:v>
                </c:pt>
                <c:pt idx="324">
                  <c:v>2.15</c:v>
                </c:pt>
                <c:pt idx="325">
                  <c:v>2.72</c:v>
                </c:pt>
                <c:pt idx="326">
                  <c:v>2.97</c:v>
                </c:pt>
                <c:pt idx="327">
                  <c:v>2.65</c:v>
                </c:pt>
                <c:pt idx="328">
                  <c:v>2.02</c:v>
                </c:pt>
                <c:pt idx="329">
                  <c:v>2.0699999999999998</c:v>
                </c:pt>
                <c:pt idx="330">
                  <c:v>2.09</c:v>
                </c:pt>
                <c:pt idx="331">
                  <c:v>2.25</c:v>
                </c:pt>
                <c:pt idx="332">
                  <c:v>2.34</c:v>
                </c:pt>
                <c:pt idx="333">
                  <c:v>2.19</c:v>
                </c:pt>
                <c:pt idx="334">
                  <c:v>2.34</c:v>
                </c:pt>
                <c:pt idx="335">
                  <c:v>2.93</c:v>
                </c:pt>
                <c:pt idx="336">
                  <c:v>2.62</c:v>
                </c:pt>
                <c:pt idx="337">
                  <c:v>2.27</c:v>
                </c:pt>
                <c:pt idx="338">
                  <c:v>1.99</c:v>
                </c:pt>
                <c:pt idx="339">
                  <c:v>2.1800000000000002</c:v>
                </c:pt>
                <c:pt idx="340">
                  <c:v>2.4900000000000002</c:v>
                </c:pt>
                <c:pt idx="341">
                  <c:v>2.39</c:v>
                </c:pt>
                <c:pt idx="342">
                  <c:v>2.35</c:v>
                </c:pt>
                <c:pt idx="343">
                  <c:v>2.89</c:v>
                </c:pt>
                <c:pt idx="344">
                  <c:v>1.96</c:v>
                </c:pt>
                <c:pt idx="345">
                  <c:v>2.75</c:v>
                </c:pt>
                <c:pt idx="346">
                  <c:v>2.0699999999999998</c:v>
                </c:pt>
                <c:pt idx="347">
                  <c:v>2.19</c:v>
                </c:pt>
                <c:pt idx="348">
                  <c:v>2.46</c:v>
                </c:pt>
                <c:pt idx="349">
                  <c:v>2.69</c:v>
                </c:pt>
                <c:pt idx="350">
                  <c:v>2.39</c:v>
                </c:pt>
                <c:pt idx="351">
                  <c:v>2.99</c:v>
                </c:pt>
                <c:pt idx="352">
                  <c:v>3.09</c:v>
                </c:pt>
                <c:pt idx="353">
                  <c:v>2.35</c:v>
                </c:pt>
                <c:pt idx="354">
                  <c:v>2.34</c:v>
                </c:pt>
                <c:pt idx="355">
                  <c:v>2.27</c:v>
                </c:pt>
                <c:pt idx="356">
                  <c:v>2.2599999999999998</c:v>
                </c:pt>
                <c:pt idx="357">
                  <c:v>2.13</c:v>
                </c:pt>
                <c:pt idx="358">
                  <c:v>2.31</c:v>
                </c:pt>
                <c:pt idx="359">
                  <c:v>3.05</c:v>
                </c:pt>
                <c:pt idx="360">
                  <c:v>2.79</c:v>
                </c:pt>
                <c:pt idx="361">
                  <c:v>2.0699999999999998</c:v>
                </c:pt>
                <c:pt idx="362">
                  <c:v>1.9</c:v>
                </c:pt>
                <c:pt idx="363">
                  <c:v>2.4500000000000002</c:v>
                </c:pt>
                <c:pt idx="364">
                  <c:v>2.34</c:v>
                </c:pt>
                <c:pt idx="365">
                  <c:v>2.37</c:v>
                </c:pt>
                <c:pt idx="366">
                  <c:v>2.59</c:v>
                </c:pt>
                <c:pt idx="367">
                  <c:v>2.38</c:v>
                </c:pt>
                <c:pt idx="368">
                  <c:v>2.2799999999999998</c:v>
                </c:pt>
                <c:pt idx="369">
                  <c:v>2.2599999999999998</c:v>
                </c:pt>
                <c:pt idx="370">
                  <c:v>2.37</c:v>
                </c:pt>
                <c:pt idx="371">
                  <c:v>2.44</c:v>
                </c:pt>
                <c:pt idx="372">
                  <c:v>2.39</c:v>
                </c:pt>
                <c:pt idx="373">
                  <c:v>2.4900000000000002</c:v>
                </c:pt>
                <c:pt idx="374">
                  <c:v>2.48</c:v>
                </c:pt>
                <c:pt idx="375">
                  <c:v>2.52</c:v>
                </c:pt>
                <c:pt idx="376">
                  <c:v>2.4700000000000002</c:v>
                </c:pt>
                <c:pt idx="377">
                  <c:v>2.34</c:v>
                </c:pt>
                <c:pt idx="378">
                  <c:v>2.29</c:v>
                </c:pt>
                <c:pt idx="379">
                  <c:v>2.39</c:v>
                </c:pt>
                <c:pt idx="380">
                  <c:v>2.39</c:v>
                </c:pt>
                <c:pt idx="381">
                  <c:v>2.39</c:v>
                </c:pt>
                <c:pt idx="382">
                  <c:v>2.35</c:v>
                </c:pt>
                <c:pt idx="383">
                  <c:v>2.3199999999999998</c:v>
                </c:pt>
                <c:pt idx="384">
                  <c:v>2.33</c:v>
                </c:pt>
                <c:pt idx="385">
                  <c:v>2.1800000000000002</c:v>
                </c:pt>
                <c:pt idx="386">
                  <c:v>2.29</c:v>
                </c:pt>
                <c:pt idx="387">
                  <c:v>2.39</c:v>
                </c:pt>
                <c:pt idx="388">
                  <c:v>2.37</c:v>
                </c:pt>
                <c:pt idx="389">
                  <c:v>2.19</c:v>
                </c:pt>
                <c:pt idx="390">
                  <c:v>1.94</c:v>
                </c:pt>
                <c:pt idx="391">
                  <c:v>2.15</c:v>
                </c:pt>
                <c:pt idx="392">
                  <c:v>2.29</c:v>
                </c:pt>
                <c:pt idx="393">
                  <c:v>2.31</c:v>
                </c:pt>
                <c:pt idx="394">
                  <c:v>2.04</c:v>
                </c:pt>
                <c:pt idx="395">
                  <c:v>2.0699999999999998</c:v>
                </c:pt>
                <c:pt idx="396">
                  <c:v>2.16</c:v>
                </c:pt>
                <c:pt idx="397">
                  <c:v>2.39</c:v>
                </c:pt>
                <c:pt idx="398">
                  <c:v>2.39</c:v>
                </c:pt>
                <c:pt idx="399">
                  <c:v>2.39</c:v>
                </c:pt>
                <c:pt idx="400">
                  <c:v>2.29</c:v>
                </c:pt>
                <c:pt idx="401">
                  <c:v>3.09</c:v>
                </c:pt>
                <c:pt idx="402">
                  <c:v>2.02</c:v>
                </c:pt>
                <c:pt idx="403">
                  <c:v>2.4900000000000002</c:v>
                </c:pt>
                <c:pt idx="404">
                  <c:v>2.42</c:v>
                </c:pt>
                <c:pt idx="405">
                  <c:v>2.34</c:v>
                </c:pt>
                <c:pt idx="406">
                  <c:v>2.0499999999999998</c:v>
                </c:pt>
                <c:pt idx="407">
                  <c:v>2.15</c:v>
                </c:pt>
                <c:pt idx="408">
                  <c:v>2.27</c:v>
                </c:pt>
                <c:pt idx="409">
                  <c:v>2.29</c:v>
                </c:pt>
                <c:pt idx="410">
                  <c:v>2.23</c:v>
                </c:pt>
                <c:pt idx="411">
                  <c:v>2.25</c:v>
                </c:pt>
                <c:pt idx="412">
                  <c:v>2.19</c:v>
                </c:pt>
                <c:pt idx="413">
                  <c:v>2.0499999999999998</c:v>
                </c:pt>
                <c:pt idx="414">
                  <c:v>1.99</c:v>
                </c:pt>
                <c:pt idx="415">
                  <c:v>2.36</c:v>
                </c:pt>
                <c:pt idx="416">
                  <c:v>2.09</c:v>
                </c:pt>
                <c:pt idx="417">
                  <c:v>2.2599999999999998</c:v>
                </c:pt>
                <c:pt idx="418">
                  <c:v>2.61</c:v>
                </c:pt>
                <c:pt idx="419">
                  <c:v>2.15</c:v>
                </c:pt>
                <c:pt idx="420">
                  <c:v>3.89</c:v>
                </c:pt>
                <c:pt idx="421">
                  <c:v>2.0699999999999998</c:v>
                </c:pt>
                <c:pt idx="422">
                  <c:v>2.14</c:v>
                </c:pt>
                <c:pt idx="423">
                  <c:v>2.89</c:v>
                </c:pt>
                <c:pt idx="424">
                  <c:v>1.99</c:v>
                </c:pt>
                <c:pt idx="425">
                  <c:v>2.29</c:v>
                </c:pt>
                <c:pt idx="426">
                  <c:v>2.74</c:v>
                </c:pt>
                <c:pt idx="427">
                  <c:v>2.29</c:v>
                </c:pt>
                <c:pt idx="428">
                  <c:v>2.1800000000000002</c:v>
                </c:pt>
                <c:pt idx="429">
                  <c:v>2.19</c:v>
                </c:pt>
                <c:pt idx="430">
                  <c:v>2.09</c:v>
                </c:pt>
                <c:pt idx="431">
                  <c:v>2.19</c:v>
                </c:pt>
                <c:pt idx="432">
                  <c:v>2.11</c:v>
                </c:pt>
                <c:pt idx="433">
                  <c:v>2.25</c:v>
                </c:pt>
                <c:pt idx="434">
                  <c:v>2.2799999999999998</c:v>
                </c:pt>
                <c:pt idx="435">
                  <c:v>2.13</c:v>
                </c:pt>
                <c:pt idx="436">
                  <c:v>2.25</c:v>
                </c:pt>
                <c:pt idx="437">
                  <c:v>2.2599999999999998</c:v>
                </c:pt>
                <c:pt idx="438">
                  <c:v>3.25</c:v>
                </c:pt>
                <c:pt idx="439">
                  <c:v>2.4900000000000002</c:v>
                </c:pt>
                <c:pt idx="440">
                  <c:v>2.2599999999999998</c:v>
                </c:pt>
                <c:pt idx="441">
                  <c:v>2.86</c:v>
                </c:pt>
                <c:pt idx="442">
                  <c:v>2.39</c:v>
                </c:pt>
                <c:pt idx="443">
                  <c:v>2.09</c:v>
                </c:pt>
                <c:pt idx="444">
                  <c:v>2.35</c:v>
                </c:pt>
                <c:pt idx="445">
                  <c:v>2.15</c:v>
                </c:pt>
                <c:pt idx="446">
                  <c:v>2.19</c:v>
                </c:pt>
                <c:pt idx="447">
                  <c:v>2.35</c:v>
                </c:pt>
                <c:pt idx="448">
                  <c:v>2.17</c:v>
                </c:pt>
                <c:pt idx="449">
                  <c:v>2.35</c:v>
                </c:pt>
                <c:pt idx="450">
                  <c:v>2.27</c:v>
                </c:pt>
                <c:pt idx="451">
                  <c:v>3.39</c:v>
                </c:pt>
                <c:pt idx="452">
                  <c:v>2.27</c:v>
                </c:pt>
                <c:pt idx="453">
                  <c:v>2.39</c:v>
                </c:pt>
                <c:pt idx="454">
                  <c:v>2.29</c:v>
                </c:pt>
                <c:pt idx="455">
                  <c:v>2.27</c:v>
                </c:pt>
                <c:pt idx="456">
                  <c:v>2.2400000000000002</c:v>
                </c:pt>
                <c:pt idx="457">
                  <c:v>2.23</c:v>
                </c:pt>
                <c:pt idx="458">
                  <c:v>2.0499999999999998</c:v>
                </c:pt>
                <c:pt idx="459">
                  <c:v>2.19</c:v>
                </c:pt>
                <c:pt idx="460">
                  <c:v>2.21</c:v>
                </c:pt>
                <c:pt idx="461">
                  <c:v>2.81</c:v>
                </c:pt>
                <c:pt idx="462">
                  <c:v>2.15</c:v>
                </c:pt>
                <c:pt idx="463">
                  <c:v>2.89</c:v>
                </c:pt>
                <c:pt idx="464">
                  <c:v>2.27</c:v>
                </c:pt>
                <c:pt idx="465">
                  <c:v>2.27</c:v>
                </c:pt>
                <c:pt idx="466">
                  <c:v>2.39</c:v>
                </c:pt>
                <c:pt idx="467">
                  <c:v>2.35</c:v>
                </c:pt>
                <c:pt idx="468">
                  <c:v>2.93</c:v>
                </c:pt>
                <c:pt idx="469">
                  <c:v>1.99</c:v>
                </c:pt>
                <c:pt idx="470">
                  <c:v>2.75</c:v>
                </c:pt>
                <c:pt idx="471">
                  <c:v>2.29</c:v>
                </c:pt>
                <c:pt idx="472">
                  <c:v>2.35</c:v>
                </c:pt>
                <c:pt idx="473">
                  <c:v>2.23</c:v>
                </c:pt>
                <c:pt idx="474">
                  <c:v>2.59</c:v>
                </c:pt>
                <c:pt idx="475">
                  <c:v>2.35</c:v>
                </c:pt>
                <c:pt idx="476">
                  <c:v>2.29</c:v>
                </c:pt>
                <c:pt idx="477">
                  <c:v>2.39</c:v>
                </c:pt>
                <c:pt idx="478">
                  <c:v>2.19</c:v>
                </c:pt>
                <c:pt idx="479">
                  <c:v>3.09</c:v>
                </c:pt>
                <c:pt idx="480">
                  <c:v>1.99</c:v>
                </c:pt>
                <c:pt idx="481">
                  <c:v>3.09</c:v>
                </c:pt>
                <c:pt idx="482">
                  <c:v>2.5299999999999998</c:v>
                </c:pt>
                <c:pt idx="483">
                  <c:v>2.35</c:v>
                </c:pt>
                <c:pt idx="484">
                  <c:v>2.79</c:v>
                </c:pt>
                <c:pt idx="485">
                  <c:v>2.29</c:v>
                </c:pt>
                <c:pt idx="486">
                  <c:v>2.0699999999999998</c:v>
                </c:pt>
                <c:pt idx="487">
                  <c:v>2.29</c:v>
                </c:pt>
                <c:pt idx="488">
                  <c:v>3.09</c:v>
                </c:pt>
                <c:pt idx="489">
                  <c:v>2.4500000000000002</c:v>
                </c:pt>
                <c:pt idx="490">
                  <c:v>2.35</c:v>
                </c:pt>
                <c:pt idx="491">
                  <c:v>2.4300000000000002</c:v>
                </c:pt>
                <c:pt idx="492">
                  <c:v>2.21</c:v>
                </c:pt>
                <c:pt idx="493">
                  <c:v>2.5499999999999998</c:v>
                </c:pt>
                <c:pt idx="494">
                  <c:v>2.59</c:v>
                </c:pt>
                <c:pt idx="495">
                  <c:v>2.31</c:v>
                </c:pt>
                <c:pt idx="496">
                  <c:v>2.59</c:v>
                </c:pt>
                <c:pt idx="497">
                  <c:v>2.19</c:v>
                </c:pt>
                <c:pt idx="498">
                  <c:v>2.39</c:v>
                </c:pt>
                <c:pt idx="499">
                  <c:v>1.99</c:v>
                </c:pt>
                <c:pt idx="500">
                  <c:v>2.79</c:v>
                </c:pt>
                <c:pt idx="501">
                  <c:v>3.09</c:v>
                </c:pt>
                <c:pt idx="502">
                  <c:v>2.2200000000000002</c:v>
                </c:pt>
                <c:pt idx="503">
                  <c:v>2.4700000000000002</c:v>
                </c:pt>
                <c:pt idx="504">
                  <c:v>2.35</c:v>
                </c:pt>
                <c:pt idx="505">
                  <c:v>2.4300000000000002</c:v>
                </c:pt>
                <c:pt idx="506">
                  <c:v>2.39</c:v>
                </c:pt>
                <c:pt idx="507">
                  <c:v>2.29</c:v>
                </c:pt>
                <c:pt idx="508">
                  <c:v>2.59</c:v>
                </c:pt>
                <c:pt idx="509">
                  <c:v>2.95</c:v>
                </c:pt>
                <c:pt idx="510">
                  <c:v>2.4900000000000002</c:v>
                </c:pt>
                <c:pt idx="511">
                  <c:v>2.4900000000000002</c:v>
                </c:pt>
                <c:pt idx="512">
                  <c:v>2.25</c:v>
                </c:pt>
                <c:pt idx="513">
                  <c:v>2.11</c:v>
                </c:pt>
                <c:pt idx="514">
                  <c:v>3.19</c:v>
                </c:pt>
                <c:pt idx="515">
                  <c:v>2.4900000000000002</c:v>
                </c:pt>
                <c:pt idx="516">
                  <c:v>2.5499999999999998</c:v>
                </c:pt>
                <c:pt idx="517">
                  <c:v>2.25</c:v>
                </c:pt>
                <c:pt idx="518">
                  <c:v>2.0699999999999998</c:v>
                </c:pt>
                <c:pt idx="519">
                  <c:v>2.19</c:v>
                </c:pt>
                <c:pt idx="520">
                  <c:v>2.29</c:v>
                </c:pt>
                <c:pt idx="521">
                  <c:v>2.31</c:v>
                </c:pt>
                <c:pt idx="522">
                  <c:v>2.34</c:v>
                </c:pt>
                <c:pt idx="523">
                  <c:v>2.3199999999999998</c:v>
                </c:pt>
                <c:pt idx="524">
                  <c:v>2.2400000000000002</c:v>
                </c:pt>
                <c:pt idx="525">
                  <c:v>2.2000000000000002</c:v>
                </c:pt>
                <c:pt idx="526">
                  <c:v>2.13</c:v>
                </c:pt>
                <c:pt idx="527">
                  <c:v>2.31</c:v>
                </c:pt>
                <c:pt idx="528">
                  <c:v>1.99</c:v>
                </c:pt>
                <c:pt idx="529">
                  <c:v>2.25</c:v>
                </c:pt>
                <c:pt idx="530">
                  <c:v>2.5499999999999998</c:v>
                </c:pt>
                <c:pt idx="531">
                  <c:v>2.2400000000000002</c:v>
                </c:pt>
                <c:pt idx="532">
                  <c:v>2.09</c:v>
                </c:pt>
                <c:pt idx="533">
                  <c:v>2.99</c:v>
                </c:pt>
                <c:pt idx="534">
                  <c:v>1.96</c:v>
                </c:pt>
                <c:pt idx="535">
                  <c:v>2.4</c:v>
                </c:pt>
                <c:pt idx="536">
                  <c:v>2.09</c:v>
                </c:pt>
                <c:pt idx="537">
                  <c:v>2.5</c:v>
                </c:pt>
                <c:pt idx="538">
                  <c:v>2.35</c:v>
                </c:pt>
                <c:pt idx="539">
                  <c:v>2.89</c:v>
                </c:pt>
                <c:pt idx="540">
                  <c:v>2.09</c:v>
                </c:pt>
                <c:pt idx="541">
                  <c:v>2.59</c:v>
                </c:pt>
                <c:pt idx="542">
                  <c:v>2.2200000000000002</c:v>
                </c:pt>
                <c:pt idx="543">
                  <c:v>2.79</c:v>
                </c:pt>
                <c:pt idx="544">
                  <c:v>2.35</c:v>
                </c:pt>
                <c:pt idx="545">
                  <c:v>2.09</c:v>
                </c:pt>
                <c:pt idx="546">
                  <c:v>2.4500000000000002</c:v>
                </c:pt>
                <c:pt idx="547">
                  <c:v>2.5499999999999998</c:v>
                </c:pt>
                <c:pt idx="548">
                  <c:v>2.11</c:v>
                </c:pt>
                <c:pt idx="549">
                  <c:v>2.2599999999999998</c:v>
                </c:pt>
                <c:pt idx="550">
                  <c:v>2.69</c:v>
                </c:pt>
                <c:pt idx="551">
                  <c:v>2.59</c:v>
                </c:pt>
                <c:pt idx="552">
                  <c:v>2.0699999999999998</c:v>
                </c:pt>
                <c:pt idx="553">
                  <c:v>2.46</c:v>
                </c:pt>
                <c:pt idx="554">
                  <c:v>2.23</c:v>
                </c:pt>
                <c:pt idx="555">
                  <c:v>2.99</c:v>
                </c:pt>
                <c:pt idx="556">
                  <c:v>2.4300000000000002</c:v>
                </c:pt>
                <c:pt idx="557">
                  <c:v>2.1800000000000002</c:v>
                </c:pt>
                <c:pt idx="558">
                  <c:v>2.37</c:v>
                </c:pt>
                <c:pt idx="559">
                  <c:v>2.36</c:v>
                </c:pt>
                <c:pt idx="560">
                  <c:v>2.0699999999999998</c:v>
                </c:pt>
                <c:pt idx="561">
                  <c:v>2.31</c:v>
                </c:pt>
                <c:pt idx="562">
                  <c:v>1.99</c:v>
                </c:pt>
                <c:pt idx="563">
                  <c:v>2.13</c:v>
                </c:pt>
                <c:pt idx="564">
                  <c:v>2.19</c:v>
                </c:pt>
                <c:pt idx="565">
                  <c:v>2.15</c:v>
                </c:pt>
                <c:pt idx="566">
                  <c:v>2.39</c:v>
                </c:pt>
                <c:pt idx="567">
                  <c:v>2.09</c:v>
                </c:pt>
                <c:pt idx="568">
                  <c:v>2.27</c:v>
                </c:pt>
                <c:pt idx="569">
                  <c:v>2.59</c:v>
                </c:pt>
                <c:pt idx="570">
                  <c:v>2.15</c:v>
                </c:pt>
                <c:pt idx="571">
                  <c:v>2.1800000000000002</c:v>
                </c:pt>
                <c:pt idx="572">
                  <c:v>2.19</c:v>
                </c:pt>
                <c:pt idx="573">
                  <c:v>2.59</c:v>
                </c:pt>
                <c:pt idx="574">
                  <c:v>2.89</c:v>
                </c:pt>
                <c:pt idx="575">
                  <c:v>2.17</c:v>
                </c:pt>
                <c:pt idx="576">
                  <c:v>2.25</c:v>
                </c:pt>
                <c:pt idx="577">
                  <c:v>2.4500000000000002</c:v>
                </c:pt>
                <c:pt idx="578">
                  <c:v>2.0699999999999998</c:v>
                </c:pt>
                <c:pt idx="579">
                  <c:v>2.89</c:v>
                </c:pt>
                <c:pt idx="580">
                  <c:v>2.15</c:v>
                </c:pt>
                <c:pt idx="581">
                  <c:v>2.23</c:v>
                </c:pt>
                <c:pt idx="582">
                  <c:v>2.4900000000000002</c:v>
                </c:pt>
                <c:pt idx="583">
                  <c:v>2.59</c:v>
                </c:pt>
                <c:pt idx="584">
                  <c:v>2.33</c:v>
                </c:pt>
                <c:pt idx="585">
                  <c:v>2.19</c:v>
                </c:pt>
                <c:pt idx="586">
                  <c:v>2.2400000000000002</c:v>
                </c:pt>
                <c:pt idx="587">
                  <c:v>2.35</c:v>
                </c:pt>
                <c:pt idx="588">
                  <c:v>3.29</c:v>
                </c:pt>
                <c:pt idx="589">
                  <c:v>2.29</c:v>
                </c:pt>
                <c:pt idx="590">
                  <c:v>2.19</c:v>
                </c:pt>
                <c:pt idx="591">
                  <c:v>2.37</c:v>
                </c:pt>
                <c:pt idx="592">
                  <c:v>2.0499999999999998</c:v>
                </c:pt>
                <c:pt idx="593">
                  <c:v>2.33</c:v>
                </c:pt>
                <c:pt idx="594">
                  <c:v>2.4700000000000002</c:v>
                </c:pt>
                <c:pt idx="595">
                  <c:v>2.23</c:v>
                </c:pt>
                <c:pt idx="596">
                  <c:v>2.4300000000000002</c:v>
                </c:pt>
                <c:pt idx="597">
                  <c:v>2.19</c:v>
                </c:pt>
                <c:pt idx="598">
                  <c:v>2.33</c:v>
                </c:pt>
                <c:pt idx="599">
                  <c:v>2.35</c:v>
                </c:pt>
                <c:pt idx="600">
                  <c:v>2.59</c:v>
                </c:pt>
                <c:pt idx="601">
                  <c:v>2.29</c:v>
                </c:pt>
                <c:pt idx="602">
                  <c:v>2.21</c:v>
                </c:pt>
                <c:pt idx="603">
                  <c:v>2.6</c:v>
                </c:pt>
                <c:pt idx="604">
                  <c:v>2.19</c:v>
                </c:pt>
                <c:pt idx="605">
                  <c:v>1.93</c:v>
                </c:pt>
                <c:pt idx="606">
                  <c:v>2.85</c:v>
                </c:pt>
                <c:pt idx="607">
                  <c:v>2.15</c:v>
                </c:pt>
                <c:pt idx="608">
                  <c:v>2.09</c:v>
                </c:pt>
                <c:pt idx="609">
                  <c:v>2.09</c:v>
                </c:pt>
                <c:pt idx="610">
                  <c:v>2.09</c:v>
                </c:pt>
                <c:pt idx="611">
                  <c:v>2.2799999999999998</c:v>
                </c:pt>
                <c:pt idx="612">
                  <c:v>2.19</c:v>
                </c:pt>
              </c:numCache>
            </c:numRef>
          </c:xVal>
          <c:yVal>
            <c:numRef>
              <c:f>'GB Cash vs OPIS'!$B$2:$B$614</c:f>
              <c:numCache>
                <c:formatCode>General</c:formatCode>
                <c:ptCount val="613"/>
                <c:pt idx="0">
                  <c:v>2.2490000000000001</c:v>
                </c:pt>
                <c:pt idx="1">
                  <c:v>2.2389999999999999</c:v>
                </c:pt>
                <c:pt idx="2">
                  <c:v>2.2789999999999999</c:v>
                </c:pt>
                <c:pt idx="3">
                  <c:v>2.2189999999999999</c:v>
                </c:pt>
                <c:pt idx="4">
                  <c:v>2.2589999999999999</c:v>
                </c:pt>
                <c:pt idx="5">
                  <c:v>2.2789999999999999</c:v>
                </c:pt>
                <c:pt idx="6">
                  <c:v>2.1989999999999998</c:v>
                </c:pt>
                <c:pt idx="7">
                  <c:v>2.2989999999999999</c:v>
                </c:pt>
                <c:pt idx="8">
                  <c:v>2.4790000000000001</c:v>
                </c:pt>
                <c:pt idx="9">
                  <c:v>2.2989999999999999</c:v>
                </c:pt>
                <c:pt idx="10">
                  <c:v>2.419</c:v>
                </c:pt>
                <c:pt idx="11">
                  <c:v>2.5990000000000002</c:v>
                </c:pt>
                <c:pt idx="12">
                  <c:v>2.4489999999999998</c:v>
                </c:pt>
                <c:pt idx="13">
                  <c:v>2.0590000000000002</c:v>
                </c:pt>
                <c:pt idx="14">
                  <c:v>2.9990000000000001</c:v>
                </c:pt>
                <c:pt idx="15">
                  <c:v>3.2589999999999999</c:v>
                </c:pt>
                <c:pt idx="16">
                  <c:v>3.1589999999999998</c:v>
                </c:pt>
                <c:pt idx="17">
                  <c:v>2.1789999999999998</c:v>
                </c:pt>
                <c:pt idx="18">
                  <c:v>2.899</c:v>
                </c:pt>
                <c:pt idx="19">
                  <c:v>2.2789999999999999</c:v>
                </c:pt>
                <c:pt idx="20">
                  <c:v>1.9590000000000001</c:v>
                </c:pt>
                <c:pt idx="21">
                  <c:v>2.5790000000000002</c:v>
                </c:pt>
                <c:pt idx="22">
                  <c:v>2.2989999999999999</c:v>
                </c:pt>
                <c:pt idx="23">
                  <c:v>2.0489999999999999</c:v>
                </c:pt>
                <c:pt idx="24">
                  <c:v>2.5790000000000002</c:v>
                </c:pt>
                <c:pt idx="25">
                  <c:v>2.4390000000000001</c:v>
                </c:pt>
                <c:pt idx="26">
                  <c:v>2.4590000000000001</c:v>
                </c:pt>
                <c:pt idx="27">
                  <c:v>2.2589999999999999</c:v>
                </c:pt>
                <c:pt idx="28">
                  <c:v>2.2389999999999999</c:v>
                </c:pt>
                <c:pt idx="29">
                  <c:v>3.0190000000000001</c:v>
                </c:pt>
                <c:pt idx="30">
                  <c:v>2.1389999999999998</c:v>
                </c:pt>
                <c:pt idx="31">
                  <c:v>2.319</c:v>
                </c:pt>
                <c:pt idx="32">
                  <c:v>2.0990000000000002</c:v>
                </c:pt>
                <c:pt idx="33">
                  <c:v>2.9390000000000001</c:v>
                </c:pt>
                <c:pt idx="34">
                  <c:v>2.0990000000000002</c:v>
                </c:pt>
                <c:pt idx="35">
                  <c:v>2.629</c:v>
                </c:pt>
                <c:pt idx="36">
                  <c:v>2.2989999999999999</c:v>
                </c:pt>
                <c:pt idx="37">
                  <c:v>2.2989999999999999</c:v>
                </c:pt>
                <c:pt idx="38">
                  <c:v>2.4990000000000001</c:v>
                </c:pt>
                <c:pt idx="39">
                  <c:v>2.0590000000000002</c:v>
                </c:pt>
                <c:pt idx="40">
                  <c:v>1.9590000000000001</c:v>
                </c:pt>
                <c:pt idx="41">
                  <c:v>2.4590000000000001</c:v>
                </c:pt>
                <c:pt idx="42">
                  <c:v>2.0990000000000002</c:v>
                </c:pt>
                <c:pt idx="43">
                  <c:v>2.2490000000000001</c:v>
                </c:pt>
                <c:pt idx="44">
                  <c:v>2.2189999999999999</c:v>
                </c:pt>
                <c:pt idx="45">
                  <c:v>2.5990000000000002</c:v>
                </c:pt>
                <c:pt idx="46">
                  <c:v>2.0990000000000002</c:v>
                </c:pt>
                <c:pt idx="47">
                  <c:v>2.149</c:v>
                </c:pt>
                <c:pt idx="48">
                  <c:v>2.3090000000000002</c:v>
                </c:pt>
                <c:pt idx="49">
                  <c:v>2.2890000000000001</c:v>
                </c:pt>
                <c:pt idx="50">
                  <c:v>2.7589999999999999</c:v>
                </c:pt>
                <c:pt idx="51">
                  <c:v>3.0990000000000002</c:v>
                </c:pt>
                <c:pt idx="52">
                  <c:v>2.1989999999999998</c:v>
                </c:pt>
                <c:pt idx="53">
                  <c:v>2.399</c:v>
                </c:pt>
                <c:pt idx="54">
                  <c:v>2.0790000000000002</c:v>
                </c:pt>
                <c:pt idx="55">
                  <c:v>2.2589999999999999</c:v>
                </c:pt>
                <c:pt idx="56">
                  <c:v>2.2789999999999999</c:v>
                </c:pt>
                <c:pt idx="57">
                  <c:v>2.2690000000000001</c:v>
                </c:pt>
                <c:pt idx="58">
                  <c:v>2.1589999999999998</c:v>
                </c:pt>
                <c:pt idx="59">
                  <c:v>1.9990000000000001</c:v>
                </c:pt>
                <c:pt idx="60">
                  <c:v>3.129</c:v>
                </c:pt>
                <c:pt idx="61">
                  <c:v>2.6989999999999998</c:v>
                </c:pt>
                <c:pt idx="62">
                  <c:v>2.3690000000000002</c:v>
                </c:pt>
                <c:pt idx="63">
                  <c:v>2.1589999999999998</c:v>
                </c:pt>
                <c:pt idx="64">
                  <c:v>2.2290000000000001</c:v>
                </c:pt>
                <c:pt idx="65">
                  <c:v>2.1589999999999998</c:v>
                </c:pt>
                <c:pt idx="66">
                  <c:v>2.2690000000000001</c:v>
                </c:pt>
                <c:pt idx="67">
                  <c:v>2.2490000000000001</c:v>
                </c:pt>
                <c:pt idx="68">
                  <c:v>2.319</c:v>
                </c:pt>
                <c:pt idx="69">
                  <c:v>2.4289999999999998</c:v>
                </c:pt>
                <c:pt idx="70">
                  <c:v>2.1989999999999998</c:v>
                </c:pt>
                <c:pt idx="71">
                  <c:v>2.0790000000000002</c:v>
                </c:pt>
                <c:pt idx="72">
                  <c:v>2.2090000000000001</c:v>
                </c:pt>
                <c:pt idx="73">
                  <c:v>2.4489999999999998</c:v>
                </c:pt>
                <c:pt idx="74">
                  <c:v>2.339</c:v>
                </c:pt>
                <c:pt idx="75">
                  <c:v>2.0990000000000002</c:v>
                </c:pt>
                <c:pt idx="76">
                  <c:v>2.2189999999999999</c:v>
                </c:pt>
                <c:pt idx="77">
                  <c:v>2.5289999999999999</c:v>
                </c:pt>
                <c:pt idx="78">
                  <c:v>2.1589999999999998</c:v>
                </c:pt>
                <c:pt idx="79">
                  <c:v>2.4390000000000001</c:v>
                </c:pt>
                <c:pt idx="80">
                  <c:v>2.0790000000000002</c:v>
                </c:pt>
                <c:pt idx="81">
                  <c:v>2.2389999999999999</c:v>
                </c:pt>
                <c:pt idx="82">
                  <c:v>2.0990000000000002</c:v>
                </c:pt>
                <c:pt idx="83">
                  <c:v>2.0489999999999999</c:v>
                </c:pt>
                <c:pt idx="84">
                  <c:v>1.9490000000000001</c:v>
                </c:pt>
                <c:pt idx="85">
                  <c:v>1.9690000000000001</c:v>
                </c:pt>
                <c:pt idx="86">
                  <c:v>2.2589999999999999</c:v>
                </c:pt>
                <c:pt idx="87">
                  <c:v>2.319</c:v>
                </c:pt>
                <c:pt idx="88">
                  <c:v>2.3490000000000002</c:v>
                </c:pt>
                <c:pt idx="89">
                  <c:v>2.2589999999999999</c:v>
                </c:pt>
                <c:pt idx="90">
                  <c:v>2.2189999999999999</c:v>
                </c:pt>
                <c:pt idx="91">
                  <c:v>2.3490000000000002</c:v>
                </c:pt>
                <c:pt idx="92">
                  <c:v>2.4990000000000001</c:v>
                </c:pt>
                <c:pt idx="93">
                  <c:v>2.0590000000000002</c:v>
                </c:pt>
                <c:pt idx="94">
                  <c:v>2.7589999999999999</c:v>
                </c:pt>
                <c:pt idx="95">
                  <c:v>2.2189999999999999</c:v>
                </c:pt>
                <c:pt idx="96">
                  <c:v>2.399</c:v>
                </c:pt>
                <c:pt idx="97">
                  <c:v>2.1589999999999998</c:v>
                </c:pt>
                <c:pt idx="98">
                  <c:v>2.4990000000000001</c:v>
                </c:pt>
                <c:pt idx="99">
                  <c:v>2.5990000000000002</c:v>
                </c:pt>
                <c:pt idx="100">
                  <c:v>2.5990000000000002</c:v>
                </c:pt>
                <c:pt idx="101">
                  <c:v>2.5990000000000002</c:v>
                </c:pt>
                <c:pt idx="102">
                  <c:v>2.4390000000000001</c:v>
                </c:pt>
                <c:pt idx="103">
                  <c:v>2.2690000000000001</c:v>
                </c:pt>
                <c:pt idx="104">
                  <c:v>2.2890000000000001</c:v>
                </c:pt>
                <c:pt idx="105">
                  <c:v>2.3290000000000002</c:v>
                </c:pt>
                <c:pt idx="106">
                  <c:v>2.4990000000000001</c:v>
                </c:pt>
                <c:pt idx="107">
                  <c:v>2.359</c:v>
                </c:pt>
                <c:pt idx="108">
                  <c:v>2.4990000000000001</c:v>
                </c:pt>
                <c:pt idx="109">
                  <c:v>2.149</c:v>
                </c:pt>
                <c:pt idx="110">
                  <c:v>2.5990000000000002</c:v>
                </c:pt>
                <c:pt idx="111">
                  <c:v>2.0790000000000002</c:v>
                </c:pt>
                <c:pt idx="112">
                  <c:v>2.399</c:v>
                </c:pt>
                <c:pt idx="113">
                  <c:v>2.2490000000000001</c:v>
                </c:pt>
                <c:pt idx="114">
                  <c:v>2.9590000000000001</c:v>
                </c:pt>
                <c:pt idx="115">
                  <c:v>2.2389999999999999</c:v>
                </c:pt>
                <c:pt idx="116">
                  <c:v>2.9990000000000001</c:v>
                </c:pt>
                <c:pt idx="117">
                  <c:v>2.6589999999999998</c:v>
                </c:pt>
                <c:pt idx="118">
                  <c:v>2.169</c:v>
                </c:pt>
                <c:pt idx="119">
                  <c:v>2.319</c:v>
                </c:pt>
                <c:pt idx="120">
                  <c:v>2.2389999999999999</c:v>
                </c:pt>
                <c:pt idx="121">
                  <c:v>2.3290000000000002</c:v>
                </c:pt>
                <c:pt idx="122">
                  <c:v>2.9590000000000001</c:v>
                </c:pt>
                <c:pt idx="123">
                  <c:v>2.0590000000000002</c:v>
                </c:pt>
                <c:pt idx="124">
                  <c:v>2.5590000000000002</c:v>
                </c:pt>
                <c:pt idx="125">
                  <c:v>2.1989999999999998</c:v>
                </c:pt>
                <c:pt idx="126">
                  <c:v>2.2589999999999999</c:v>
                </c:pt>
                <c:pt idx="127">
                  <c:v>2.2989999999999999</c:v>
                </c:pt>
                <c:pt idx="128">
                  <c:v>2.2490000000000001</c:v>
                </c:pt>
                <c:pt idx="129">
                  <c:v>3.1989999999999998</c:v>
                </c:pt>
                <c:pt idx="130">
                  <c:v>3.1589999999999998</c:v>
                </c:pt>
                <c:pt idx="131">
                  <c:v>2.6989999999999998</c:v>
                </c:pt>
                <c:pt idx="132">
                  <c:v>2.2589999999999999</c:v>
                </c:pt>
                <c:pt idx="133">
                  <c:v>2.9590000000000001</c:v>
                </c:pt>
                <c:pt idx="134">
                  <c:v>2.0990000000000002</c:v>
                </c:pt>
                <c:pt idx="135">
                  <c:v>2.6589999999999998</c:v>
                </c:pt>
                <c:pt idx="136">
                  <c:v>2.2490000000000001</c:v>
                </c:pt>
                <c:pt idx="137">
                  <c:v>2.1789999999999998</c:v>
                </c:pt>
                <c:pt idx="138">
                  <c:v>2.2490000000000001</c:v>
                </c:pt>
                <c:pt idx="139">
                  <c:v>2.2189999999999999</c:v>
                </c:pt>
                <c:pt idx="140">
                  <c:v>2.2189999999999999</c:v>
                </c:pt>
                <c:pt idx="141">
                  <c:v>2.1989999999999998</c:v>
                </c:pt>
                <c:pt idx="142">
                  <c:v>2.1989999999999998</c:v>
                </c:pt>
                <c:pt idx="143">
                  <c:v>2.2490000000000001</c:v>
                </c:pt>
                <c:pt idx="144">
                  <c:v>2.1989999999999998</c:v>
                </c:pt>
                <c:pt idx="145">
                  <c:v>2.2389999999999999</c:v>
                </c:pt>
                <c:pt idx="146">
                  <c:v>2.0990000000000002</c:v>
                </c:pt>
                <c:pt idx="147">
                  <c:v>1.9990000000000001</c:v>
                </c:pt>
                <c:pt idx="148">
                  <c:v>2.0990000000000002</c:v>
                </c:pt>
                <c:pt idx="149">
                  <c:v>2.5990000000000002</c:v>
                </c:pt>
                <c:pt idx="150">
                  <c:v>2.899</c:v>
                </c:pt>
                <c:pt idx="151">
                  <c:v>2.359</c:v>
                </c:pt>
                <c:pt idx="152">
                  <c:v>2.319</c:v>
                </c:pt>
                <c:pt idx="153">
                  <c:v>2.3490000000000002</c:v>
                </c:pt>
                <c:pt idx="154">
                  <c:v>2.3490000000000002</c:v>
                </c:pt>
                <c:pt idx="155">
                  <c:v>1.9990000000000001</c:v>
                </c:pt>
                <c:pt idx="156">
                  <c:v>2.379</c:v>
                </c:pt>
                <c:pt idx="157">
                  <c:v>2.1989999999999998</c:v>
                </c:pt>
                <c:pt idx="158">
                  <c:v>2.4590000000000001</c:v>
                </c:pt>
                <c:pt idx="159">
                  <c:v>2.4990000000000001</c:v>
                </c:pt>
                <c:pt idx="160">
                  <c:v>2.6190000000000002</c:v>
                </c:pt>
                <c:pt idx="161">
                  <c:v>2.879</c:v>
                </c:pt>
                <c:pt idx="162">
                  <c:v>2.319</c:v>
                </c:pt>
                <c:pt idx="163">
                  <c:v>2.0590000000000002</c:v>
                </c:pt>
                <c:pt idx="164">
                  <c:v>3.1389999999999998</c:v>
                </c:pt>
                <c:pt idx="165">
                  <c:v>2.7989999999999999</c:v>
                </c:pt>
                <c:pt idx="166">
                  <c:v>2.129</c:v>
                </c:pt>
                <c:pt idx="167">
                  <c:v>2.899</c:v>
                </c:pt>
                <c:pt idx="168">
                  <c:v>2.4489999999999998</c:v>
                </c:pt>
                <c:pt idx="169">
                  <c:v>2.0590000000000002</c:v>
                </c:pt>
                <c:pt idx="170">
                  <c:v>2.2589999999999999</c:v>
                </c:pt>
                <c:pt idx="171">
                  <c:v>2.2389999999999999</c:v>
                </c:pt>
                <c:pt idx="172">
                  <c:v>2.5990000000000002</c:v>
                </c:pt>
                <c:pt idx="173">
                  <c:v>2.2989999999999999</c:v>
                </c:pt>
                <c:pt idx="174">
                  <c:v>2.1789999999999998</c:v>
                </c:pt>
                <c:pt idx="175">
                  <c:v>2.149</c:v>
                </c:pt>
                <c:pt idx="176">
                  <c:v>2.339</c:v>
                </c:pt>
                <c:pt idx="177">
                  <c:v>2.4990000000000001</c:v>
                </c:pt>
                <c:pt idx="178">
                  <c:v>2.149</c:v>
                </c:pt>
                <c:pt idx="179">
                  <c:v>1.9990000000000001</c:v>
                </c:pt>
                <c:pt idx="180">
                  <c:v>2.0990000000000002</c:v>
                </c:pt>
                <c:pt idx="181">
                  <c:v>2.899</c:v>
                </c:pt>
                <c:pt idx="182">
                  <c:v>2.9289999999999998</c:v>
                </c:pt>
                <c:pt idx="183">
                  <c:v>2.1989999999999998</c:v>
                </c:pt>
                <c:pt idx="184">
                  <c:v>2.2389999999999999</c:v>
                </c:pt>
                <c:pt idx="185">
                  <c:v>1.9690000000000001</c:v>
                </c:pt>
                <c:pt idx="186">
                  <c:v>2.0990000000000002</c:v>
                </c:pt>
                <c:pt idx="187">
                  <c:v>2.6389999999999998</c:v>
                </c:pt>
                <c:pt idx="188">
                  <c:v>3.2989999999999999</c:v>
                </c:pt>
                <c:pt idx="189">
                  <c:v>2.899</c:v>
                </c:pt>
                <c:pt idx="190">
                  <c:v>2.4590000000000001</c:v>
                </c:pt>
                <c:pt idx="191">
                  <c:v>2.0390000000000001</c:v>
                </c:pt>
                <c:pt idx="192">
                  <c:v>2.4990000000000001</c:v>
                </c:pt>
                <c:pt idx="193">
                  <c:v>1.9390000000000001</c:v>
                </c:pt>
                <c:pt idx="194">
                  <c:v>2.419</c:v>
                </c:pt>
                <c:pt idx="195">
                  <c:v>2.9990000000000001</c:v>
                </c:pt>
                <c:pt idx="196">
                  <c:v>2.3290000000000002</c:v>
                </c:pt>
                <c:pt idx="197">
                  <c:v>2.5190000000000001</c:v>
                </c:pt>
                <c:pt idx="198">
                  <c:v>2.2890000000000001</c:v>
                </c:pt>
                <c:pt idx="199">
                  <c:v>2.3290000000000002</c:v>
                </c:pt>
                <c:pt idx="200">
                  <c:v>2.359</c:v>
                </c:pt>
                <c:pt idx="201">
                  <c:v>2.6190000000000002</c:v>
                </c:pt>
                <c:pt idx="202">
                  <c:v>2.4990000000000001</c:v>
                </c:pt>
                <c:pt idx="203">
                  <c:v>2.899</c:v>
                </c:pt>
                <c:pt idx="204">
                  <c:v>2.1589999999999998</c:v>
                </c:pt>
                <c:pt idx="205">
                  <c:v>2.2989999999999999</c:v>
                </c:pt>
                <c:pt idx="206">
                  <c:v>2.7989999999999999</c:v>
                </c:pt>
                <c:pt idx="207">
                  <c:v>2.6989999999999998</c:v>
                </c:pt>
                <c:pt idx="208">
                  <c:v>2.3690000000000002</c:v>
                </c:pt>
                <c:pt idx="209">
                  <c:v>2.1989999999999998</c:v>
                </c:pt>
                <c:pt idx="210">
                  <c:v>2.5190000000000001</c:v>
                </c:pt>
                <c:pt idx="211">
                  <c:v>2.169</c:v>
                </c:pt>
                <c:pt idx="212">
                  <c:v>2.2989999999999999</c:v>
                </c:pt>
                <c:pt idx="213">
                  <c:v>2.5990000000000002</c:v>
                </c:pt>
                <c:pt idx="214">
                  <c:v>2.1589999999999998</c:v>
                </c:pt>
                <c:pt idx="215">
                  <c:v>2.5990000000000002</c:v>
                </c:pt>
                <c:pt idx="216">
                  <c:v>2.2989999999999999</c:v>
                </c:pt>
                <c:pt idx="217">
                  <c:v>2.4990000000000001</c:v>
                </c:pt>
                <c:pt idx="218">
                  <c:v>2.2589999999999999</c:v>
                </c:pt>
                <c:pt idx="219">
                  <c:v>1.9990000000000001</c:v>
                </c:pt>
                <c:pt idx="220">
                  <c:v>2.4990000000000001</c:v>
                </c:pt>
                <c:pt idx="221">
                  <c:v>2.169</c:v>
                </c:pt>
                <c:pt idx="222">
                  <c:v>2.2989999999999999</c:v>
                </c:pt>
                <c:pt idx="223">
                  <c:v>2.399</c:v>
                </c:pt>
                <c:pt idx="224">
                  <c:v>2.0990000000000002</c:v>
                </c:pt>
                <c:pt idx="225">
                  <c:v>2.2989999999999999</c:v>
                </c:pt>
                <c:pt idx="226">
                  <c:v>2.4990000000000001</c:v>
                </c:pt>
                <c:pt idx="227">
                  <c:v>1.9990000000000001</c:v>
                </c:pt>
                <c:pt idx="228">
                  <c:v>2.1589999999999998</c:v>
                </c:pt>
                <c:pt idx="229">
                  <c:v>2.2789999999999999</c:v>
                </c:pt>
                <c:pt idx="230">
                  <c:v>2.0590000000000002</c:v>
                </c:pt>
                <c:pt idx="231">
                  <c:v>2.5990000000000002</c:v>
                </c:pt>
                <c:pt idx="232">
                  <c:v>2.169</c:v>
                </c:pt>
                <c:pt idx="233">
                  <c:v>2.2189999999999999</c:v>
                </c:pt>
                <c:pt idx="234">
                  <c:v>2.4289999999999998</c:v>
                </c:pt>
                <c:pt idx="235">
                  <c:v>2.2989999999999999</c:v>
                </c:pt>
                <c:pt idx="236">
                  <c:v>2.2490000000000001</c:v>
                </c:pt>
                <c:pt idx="237">
                  <c:v>1.9990000000000001</c:v>
                </c:pt>
                <c:pt idx="238">
                  <c:v>2.1989999999999998</c:v>
                </c:pt>
                <c:pt idx="239">
                  <c:v>2.1789999999999998</c:v>
                </c:pt>
                <c:pt idx="240">
                  <c:v>2.319</c:v>
                </c:pt>
                <c:pt idx="241">
                  <c:v>1.9590000000000001</c:v>
                </c:pt>
                <c:pt idx="242">
                  <c:v>2.2989999999999999</c:v>
                </c:pt>
                <c:pt idx="243">
                  <c:v>2.399</c:v>
                </c:pt>
                <c:pt idx="244">
                  <c:v>2.4590000000000001</c:v>
                </c:pt>
                <c:pt idx="245">
                  <c:v>2.4990000000000001</c:v>
                </c:pt>
                <c:pt idx="246">
                  <c:v>2.4390000000000001</c:v>
                </c:pt>
                <c:pt idx="247">
                  <c:v>2.1989999999999998</c:v>
                </c:pt>
                <c:pt idx="248">
                  <c:v>2.2389999999999999</c:v>
                </c:pt>
                <c:pt idx="249">
                  <c:v>2.4590000000000001</c:v>
                </c:pt>
                <c:pt idx="250">
                  <c:v>2.399</c:v>
                </c:pt>
                <c:pt idx="251">
                  <c:v>2.4590000000000001</c:v>
                </c:pt>
                <c:pt idx="252">
                  <c:v>2.4990000000000001</c:v>
                </c:pt>
                <c:pt idx="253">
                  <c:v>2.4790000000000001</c:v>
                </c:pt>
                <c:pt idx="254">
                  <c:v>2.339</c:v>
                </c:pt>
                <c:pt idx="255">
                  <c:v>2.2989999999999999</c:v>
                </c:pt>
                <c:pt idx="256">
                  <c:v>2.3490000000000002</c:v>
                </c:pt>
                <c:pt idx="257">
                  <c:v>2.2490000000000001</c:v>
                </c:pt>
                <c:pt idx="258">
                  <c:v>2.2989999999999999</c:v>
                </c:pt>
                <c:pt idx="259">
                  <c:v>2.3690000000000002</c:v>
                </c:pt>
                <c:pt idx="260">
                  <c:v>2.1989999999999998</c:v>
                </c:pt>
                <c:pt idx="261">
                  <c:v>2.2989999999999999</c:v>
                </c:pt>
                <c:pt idx="262">
                  <c:v>2.2589999999999999</c:v>
                </c:pt>
                <c:pt idx="263">
                  <c:v>2.2989999999999999</c:v>
                </c:pt>
                <c:pt idx="264">
                  <c:v>2.2589999999999999</c:v>
                </c:pt>
                <c:pt idx="265">
                  <c:v>2.4489999999999998</c:v>
                </c:pt>
                <c:pt idx="266">
                  <c:v>2.399</c:v>
                </c:pt>
                <c:pt idx="267">
                  <c:v>2.4390000000000001</c:v>
                </c:pt>
                <c:pt idx="268">
                  <c:v>2.1989999999999998</c:v>
                </c:pt>
                <c:pt idx="269">
                  <c:v>3.0590000000000002</c:v>
                </c:pt>
                <c:pt idx="270">
                  <c:v>2.379</c:v>
                </c:pt>
                <c:pt idx="271">
                  <c:v>2.1989999999999998</c:v>
                </c:pt>
                <c:pt idx="272">
                  <c:v>2.359</c:v>
                </c:pt>
                <c:pt idx="273">
                  <c:v>2.0990000000000002</c:v>
                </c:pt>
                <c:pt idx="274">
                  <c:v>2.2789999999999999</c:v>
                </c:pt>
                <c:pt idx="275">
                  <c:v>2.149</c:v>
                </c:pt>
                <c:pt idx="276">
                  <c:v>1.9890000000000001</c:v>
                </c:pt>
                <c:pt idx="277">
                  <c:v>2.149</c:v>
                </c:pt>
                <c:pt idx="278">
                  <c:v>2.0190000000000001</c:v>
                </c:pt>
                <c:pt idx="279">
                  <c:v>2.1589999999999998</c:v>
                </c:pt>
                <c:pt idx="280">
                  <c:v>2.5590000000000002</c:v>
                </c:pt>
                <c:pt idx="281">
                  <c:v>2.1989999999999998</c:v>
                </c:pt>
                <c:pt idx="282">
                  <c:v>2.0990000000000002</c:v>
                </c:pt>
                <c:pt idx="283">
                  <c:v>2.1589999999999998</c:v>
                </c:pt>
                <c:pt idx="284">
                  <c:v>1.9990000000000001</c:v>
                </c:pt>
                <c:pt idx="285">
                  <c:v>2.149</c:v>
                </c:pt>
                <c:pt idx="286">
                  <c:v>2.379</c:v>
                </c:pt>
                <c:pt idx="287">
                  <c:v>2.7989999999999999</c:v>
                </c:pt>
                <c:pt idx="288">
                  <c:v>2.399</c:v>
                </c:pt>
                <c:pt idx="289">
                  <c:v>2.359</c:v>
                </c:pt>
                <c:pt idx="290">
                  <c:v>3.0990000000000002</c:v>
                </c:pt>
                <c:pt idx="291">
                  <c:v>2.899</c:v>
                </c:pt>
                <c:pt idx="292">
                  <c:v>2.399</c:v>
                </c:pt>
                <c:pt idx="293">
                  <c:v>2.1589999999999998</c:v>
                </c:pt>
                <c:pt idx="294">
                  <c:v>2.339</c:v>
                </c:pt>
                <c:pt idx="295">
                  <c:v>2.089</c:v>
                </c:pt>
                <c:pt idx="296">
                  <c:v>2.2189999999999999</c:v>
                </c:pt>
                <c:pt idx="297">
                  <c:v>2.2389999999999999</c:v>
                </c:pt>
                <c:pt idx="298">
                  <c:v>2.2389999999999999</c:v>
                </c:pt>
                <c:pt idx="299">
                  <c:v>2.2789999999999999</c:v>
                </c:pt>
                <c:pt idx="300">
                  <c:v>2.2989999999999999</c:v>
                </c:pt>
                <c:pt idx="301">
                  <c:v>2.2789999999999999</c:v>
                </c:pt>
                <c:pt idx="302">
                  <c:v>2.2389999999999999</c:v>
                </c:pt>
                <c:pt idx="303">
                  <c:v>2.2490000000000001</c:v>
                </c:pt>
                <c:pt idx="304">
                  <c:v>2.2989999999999999</c:v>
                </c:pt>
                <c:pt idx="305">
                  <c:v>2.4089999999999998</c:v>
                </c:pt>
                <c:pt idx="306">
                  <c:v>2.0190000000000001</c:v>
                </c:pt>
                <c:pt idx="307">
                  <c:v>2.149</c:v>
                </c:pt>
                <c:pt idx="308">
                  <c:v>2.0790000000000002</c:v>
                </c:pt>
                <c:pt idx="309">
                  <c:v>2.0790000000000002</c:v>
                </c:pt>
                <c:pt idx="310">
                  <c:v>2.0990000000000002</c:v>
                </c:pt>
                <c:pt idx="311">
                  <c:v>2.1789999999999998</c:v>
                </c:pt>
                <c:pt idx="312">
                  <c:v>1.9990000000000001</c:v>
                </c:pt>
                <c:pt idx="313">
                  <c:v>2.1589999999999998</c:v>
                </c:pt>
                <c:pt idx="314">
                  <c:v>2.0590000000000002</c:v>
                </c:pt>
                <c:pt idx="315">
                  <c:v>2.0590000000000002</c:v>
                </c:pt>
                <c:pt idx="316">
                  <c:v>2.1589999999999998</c:v>
                </c:pt>
                <c:pt idx="317">
                  <c:v>2.0390000000000001</c:v>
                </c:pt>
                <c:pt idx="318">
                  <c:v>2.0590000000000002</c:v>
                </c:pt>
                <c:pt idx="319">
                  <c:v>2.1589999999999998</c:v>
                </c:pt>
                <c:pt idx="320">
                  <c:v>1.9990000000000001</c:v>
                </c:pt>
                <c:pt idx="321">
                  <c:v>2.089</c:v>
                </c:pt>
                <c:pt idx="322">
                  <c:v>2.0790000000000002</c:v>
                </c:pt>
                <c:pt idx="323">
                  <c:v>1.9990000000000001</c:v>
                </c:pt>
                <c:pt idx="324">
                  <c:v>1.9990000000000001</c:v>
                </c:pt>
                <c:pt idx="325">
                  <c:v>2.7290000000000001</c:v>
                </c:pt>
                <c:pt idx="326">
                  <c:v>2.9790000000000001</c:v>
                </c:pt>
                <c:pt idx="327">
                  <c:v>2.6589999999999998</c:v>
                </c:pt>
                <c:pt idx="328">
                  <c:v>2.0790000000000002</c:v>
                </c:pt>
                <c:pt idx="329">
                  <c:v>2.1389999999999998</c:v>
                </c:pt>
                <c:pt idx="330">
                  <c:v>2.0990000000000002</c:v>
                </c:pt>
                <c:pt idx="331">
                  <c:v>2.2589999999999999</c:v>
                </c:pt>
                <c:pt idx="332">
                  <c:v>2.3490000000000002</c:v>
                </c:pt>
                <c:pt idx="333">
                  <c:v>2.1989999999999998</c:v>
                </c:pt>
                <c:pt idx="334">
                  <c:v>2.3490000000000002</c:v>
                </c:pt>
                <c:pt idx="335">
                  <c:v>2.9390000000000001</c:v>
                </c:pt>
                <c:pt idx="336">
                  <c:v>2.629</c:v>
                </c:pt>
                <c:pt idx="337">
                  <c:v>2.2789999999999999</c:v>
                </c:pt>
                <c:pt idx="338">
                  <c:v>1.9990000000000001</c:v>
                </c:pt>
                <c:pt idx="339">
                  <c:v>2.1989999999999998</c:v>
                </c:pt>
                <c:pt idx="340">
                  <c:v>2.4990000000000001</c:v>
                </c:pt>
                <c:pt idx="341">
                  <c:v>2.399</c:v>
                </c:pt>
                <c:pt idx="342">
                  <c:v>2.2989999999999999</c:v>
                </c:pt>
                <c:pt idx="343">
                  <c:v>2.9990000000000001</c:v>
                </c:pt>
                <c:pt idx="344">
                  <c:v>1.9690000000000001</c:v>
                </c:pt>
                <c:pt idx="345">
                  <c:v>2.859</c:v>
                </c:pt>
                <c:pt idx="346">
                  <c:v>2.0790000000000002</c:v>
                </c:pt>
                <c:pt idx="347">
                  <c:v>2.1989999999999998</c:v>
                </c:pt>
                <c:pt idx="348">
                  <c:v>2.4689999999999999</c:v>
                </c:pt>
                <c:pt idx="349">
                  <c:v>2.7989999999999999</c:v>
                </c:pt>
                <c:pt idx="350">
                  <c:v>2.399</c:v>
                </c:pt>
                <c:pt idx="351">
                  <c:v>2.9990000000000001</c:v>
                </c:pt>
                <c:pt idx="352">
                  <c:v>3.0990000000000002</c:v>
                </c:pt>
                <c:pt idx="353">
                  <c:v>2.3490000000000002</c:v>
                </c:pt>
                <c:pt idx="354">
                  <c:v>2.3490000000000002</c:v>
                </c:pt>
                <c:pt idx="355">
                  <c:v>2.2989999999999999</c:v>
                </c:pt>
                <c:pt idx="356">
                  <c:v>2.2690000000000001</c:v>
                </c:pt>
                <c:pt idx="357">
                  <c:v>2.1389999999999998</c:v>
                </c:pt>
                <c:pt idx="358">
                  <c:v>2.319</c:v>
                </c:pt>
                <c:pt idx="359">
                  <c:v>3.0590000000000002</c:v>
                </c:pt>
                <c:pt idx="360">
                  <c:v>2.7989999999999999</c:v>
                </c:pt>
                <c:pt idx="361">
                  <c:v>2.129</c:v>
                </c:pt>
                <c:pt idx="362">
                  <c:v>1.9590000000000001</c:v>
                </c:pt>
                <c:pt idx="363">
                  <c:v>2.4590000000000001</c:v>
                </c:pt>
                <c:pt idx="364">
                  <c:v>2.3490000000000002</c:v>
                </c:pt>
                <c:pt idx="365">
                  <c:v>2.379</c:v>
                </c:pt>
                <c:pt idx="366">
                  <c:v>2.4990000000000001</c:v>
                </c:pt>
                <c:pt idx="367">
                  <c:v>2.3889999999999998</c:v>
                </c:pt>
                <c:pt idx="368">
                  <c:v>2.2890000000000001</c:v>
                </c:pt>
                <c:pt idx="369">
                  <c:v>2.2690000000000001</c:v>
                </c:pt>
                <c:pt idx="370">
                  <c:v>2.379</c:v>
                </c:pt>
                <c:pt idx="371">
                  <c:v>2.4489999999999998</c:v>
                </c:pt>
                <c:pt idx="372">
                  <c:v>2.399</c:v>
                </c:pt>
                <c:pt idx="373">
                  <c:v>2.4990000000000001</c:v>
                </c:pt>
                <c:pt idx="374">
                  <c:v>2.4390000000000001</c:v>
                </c:pt>
                <c:pt idx="375">
                  <c:v>2.5289999999999999</c:v>
                </c:pt>
                <c:pt idx="376">
                  <c:v>2.4790000000000001</c:v>
                </c:pt>
                <c:pt idx="377">
                  <c:v>2.3490000000000002</c:v>
                </c:pt>
                <c:pt idx="378">
                  <c:v>2.2989999999999999</c:v>
                </c:pt>
                <c:pt idx="379">
                  <c:v>2.3290000000000002</c:v>
                </c:pt>
                <c:pt idx="380">
                  <c:v>2.399</c:v>
                </c:pt>
                <c:pt idx="381">
                  <c:v>2.379</c:v>
                </c:pt>
                <c:pt idx="382">
                  <c:v>2.359</c:v>
                </c:pt>
                <c:pt idx="383">
                  <c:v>2.339</c:v>
                </c:pt>
                <c:pt idx="384">
                  <c:v>2.339</c:v>
                </c:pt>
                <c:pt idx="385">
                  <c:v>2.149</c:v>
                </c:pt>
                <c:pt idx="386">
                  <c:v>2.2989999999999999</c:v>
                </c:pt>
                <c:pt idx="387">
                  <c:v>2.359</c:v>
                </c:pt>
                <c:pt idx="388">
                  <c:v>2.379</c:v>
                </c:pt>
                <c:pt idx="389">
                  <c:v>2.1989999999999998</c:v>
                </c:pt>
                <c:pt idx="390">
                  <c:v>1.9490000000000001</c:v>
                </c:pt>
                <c:pt idx="391">
                  <c:v>2.0390000000000001</c:v>
                </c:pt>
                <c:pt idx="392">
                  <c:v>2.2989999999999999</c:v>
                </c:pt>
                <c:pt idx="393">
                  <c:v>2.319</c:v>
                </c:pt>
                <c:pt idx="394">
                  <c:v>2.0489999999999999</c:v>
                </c:pt>
                <c:pt idx="395">
                  <c:v>2.0990000000000002</c:v>
                </c:pt>
                <c:pt idx="396">
                  <c:v>2.169</c:v>
                </c:pt>
                <c:pt idx="397">
                  <c:v>2.399</c:v>
                </c:pt>
                <c:pt idx="398">
                  <c:v>2.399</c:v>
                </c:pt>
                <c:pt idx="399">
                  <c:v>2.399</c:v>
                </c:pt>
                <c:pt idx="400">
                  <c:v>2.2989999999999999</c:v>
                </c:pt>
                <c:pt idx="401">
                  <c:v>3.0990000000000002</c:v>
                </c:pt>
                <c:pt idx="402">
                  <c:v>2.0289999999999999</c:v>
                </c:pt>
                <c:pt idx="403">
                  <c:v>2.4990000000000001</c:v>
                </c:pt>
                <c:pt idx="404">
                  <c:v>2.4289999999999998</c:v>
                </c:pt>
                <c:pt idx="405">
                  <c:v>2.2989999999999999</c:v>
                </c:pt>
                <c:pt idx="406">
                  <c:v>2.1589999999999998</c:v>
                </c:pt>
                <c:pt idx="407">
                  <c:v>2.1589999999999998</c:v>
                </c:pt>
                <c:pt idx="408">
                  <c:v>2.379</c:v>
                </c:pt>
                <c:pt idx="409">
                  <c:v>2.2989999999999999</c:v>
                </c:pt>
                <c:pt idx="410">
                  <c:v>2.339</c:v>
                </c:pt>
                <c:pt idx="411">
                  <c:v>2.2589999999999999</c:v>
                </c:pt>
                <c:pt idx="412">
                  <c:v>2.1989999999999998</c:v>
                </c:pt>
                <c:pt idx="413">
                  <c:v>2.0590000000000002</c:v>
                </c:pt>
                <c:pt idx="414">
                  <c:v>1.9990000000000001</c:v>
                </c:pt>
                <c:pt idx="415">
                  <c:v>2.4689999999999999</c:v>
                </c:pt>
                <c:pt idx="416">
                  <c:v>2.0990000000000002</c:v>
                </c:pt>
                <c:pt idx="417">
                  <c:v>2.2690000000000001</c:v>
                </c:pt>
                <c:pt idx="418">
                  <c:v>2.6190000000000002</c:v>
                </c:pt>
                <c:pt idx="419">
                  <c:v>2.1589999999999998</c:v>
                </c:pt>
                <c:pt idx="420">
                  <c:v>3.899</c:v>
                </c:pt>
                <c:pt idx="421">
                  <c:v>2.1589999999999998</c:v>
                </c:pt>
                <c:pt idx="422">
                  <c:v>2.149</c:v>
                </c:pt>
                <c:pt idx="423">
                  <c:v>2.9990000000000001</c:v>
                </c:pt>
                <c:pt idx="424">
                  <c:v>2.0489999999999999</c:v>
                </c:pt>
                <c:pt idx="425">
                  <c:v>2.2989999999999999</c:v>
                </c:pt>
                <c:pt idx="426">
                  <c:v>2.7989999999999999</c:v>
                </c:pt>
                <c:pt idx="427">
                  <c:v>2.2989999999999999</c:v>
                </c:pt>
                <c:pt idx="428">
                  <c:v>2.089</c:v>
                </c:pt>
                <c:pt idx="429">
                  <c:v>2.1989999999999998</c:v>
                </c:pt>
                <c:pt idx="430">
                  <c:v>2.0990000000000002</c:v>
                </c:pt>
                <c:pt idx="431">
                  <c:v>2.1989999999999998</c:v>
                </c:pt>
                <c:pt idx="432">
                  <c:v>2.1190000000000002</c:v>
                </c:pt>
                <c:pt idx="433">
                  <c:v>2.2589999999999999</c:v>
                </c:pt>
                <c:pt idx="434">
                  <c:v>2.2890000000000001</c:v>
                </c:pt>
                <c:pt idx="435">
                  <c:v>2.1389999999999998</c:v>
                </c:pt>
                <c:pt idx="436">
                  <c:v>2.2589999999999999</c:v>
                </c:pt>
                <c:pt idx="437">
                  <c:v>2.2490000000000001</c:v>
                </c:pt>
                <c:pt idx="438">
                  <c:v>3.2589999999999999</c:v>
                </c:pt>
                <c:pt idx="439">
                  <c:v>2.4990000000000001</c:v>
                </c:pt>
                <c:pt idx="440">
                  <c:v>2.2690000000000001</c:v>
                </c:pt>
                <c:pt idx="441">
                  <c:v>2.8690000000000002</c:v>
                </c:pt>
                <c:pt idx="442">
                  <c:v>2.4990000000000001</c:v>
                </c:pt>
                <c:pt idx="443">
                  <c:v>2.0990000000000002</c:v>
                </c:pt>
                <c:pt idx="444">
                  <c:v>2.359</c:v>
                </c:pt>
                <c:pt idx="445">
                  <c:v>2.0489999999999999</c:v>
                </c:pt>
                <c:pt idx="446">
                  <c:v>2.1989999999999998</c:v>
                </c:pt>
                <c:pt idx="447">
                  <c:v>2.359</c:v>
                </c:pt>
                <c:pt idx="448">
                  <c:v>2.1789999999999998</c:v>
                </c:pt>
                <c:pt idx="449">
                  <c:v>2.359</c:v>
                </c:pt>
                <c:pt idx="450">
                  <c:v>2.2789999999999999</c:v>
                </c:pt>
                <c:pt idx="451">
                  <c:v>3.399</c:v>
                </c:pt>
                <c:pt idx="452">
                  <c:v>2.2789999999999999</c:v>
                </c:pt>
                <c:pt idx="453">
                  <c:v>2.399</c:v>
                </c:pt>
                <c:pt idx="454">
                  <c:v>2.2989999999999999</c:v>
                </c:pt>
                <c:pt idx="455">
                  <c:v>2.2789999999999999</c:v>
                </c:pt>
                <c:pt idx="456">
                  <c:v>2.2490000000000001</c:v>
                </c:pt>
                <c:pt idx="457">
                  <c:v>2.2389999999999999</c:v>
                </c:pt>
                <c:pt idx="458">
                  <c:v>2.1589999999999998</c:v>
                </c:pt>
                <c:pt idx="459">
                  <c:v>2.1989999999999998</c:v>
                </c:pt>
                <c:pt idx="460">
                  <c:v>2.2189999999999999</c:v>
                </c:pt>
                <c:pt idx="461">
                  <c:v>2.919</c:v>
                </c:pt>
                <c:pt idx="462">
                  <c:v>2.1589999999999998</c:v>
                </c:pt>
                <c:pt idx="463">
                  <c:v>2.899</c:v>
                </c:pt>
                <c:pt idx="464">
                  <c:v>2.3490000000000002</c:v>
                </c:pt>
                <c:pt idx="465">
                  <c:v>2.339</c:v>
                </c:pt>
                <c:pt idx="466">
                  <c:v>2.4990000000000001</c:v>
                </c:pt>
                <c:pt idx="467">
                  <c:v>2.359</c:v>
                </c:pt>
                <c:pt idx="468">
                  <c:v>2.9990000000000001</c:v>
                </c:pt>
                <c:pt idx="469">
                  <c:v>1.9990000000000001</c:v>
                </c:pt>
                <c:pt idx="470">
                  <c:v>2.7589999999999999</c:v>
                </c:pt>
                <c:pt idx="471">
                  <c:v>2.2989999999999999</c:v>
                </c:pt>
                <c:pt idx="472">
                  <c:v>2.359</c:v>
                </c:pt>
                <c:pt idx="473">
                  <c:v>2.2389999999999999</c:v>
                </c:pt>
                <c:pt idx="474">
                  <c:v>2.5990000000000002</c:v>
                </c:pt>
                <c:pt idx="475">
                  <c:v>2.359</c:v>
                </c:pt>
                <c:pt idx="476">
                  <c:v>2.2989999999999999</c:v>
                </c:pt>
                <c:pt idx="477">
                  <c:v>2.4990000000000001</c:v>
                </c:pt>
                <c:pt idx="478">
                  <c:v>2.1589999999999998</c:v>
                </c:pt>
                <c:pt idx="479">
                  <c:v>3.0990000000000002</c:v>
                </c:pt>
                <c:pt idx="480">
                  <c:v>1.9990000000000001</c:v>
                </c:pt>
                <c:pt idx="481">
                  <c:v>3.0990000000000002</c:v>
                </c:pt>
                <c:pt idx="482">
                  <c:v>2.5990000000000002</c:v>
                </c:pt>
                <c:pt idx="483">
                  <c:v>2.399</c:v>
                </c:pt>
                <c:pt idx="484">
                  <c:v>2.899</c:v>
                </c:pt>
                <c:pt idx="485">
                  <c:v>2.2989999999999999</c:v>
                </c:pt>
                <c:pt idx="486">
                  <c:v>2.0790000000000002</c:v>
                </c:pt>
                <c:pt idx="487">
                  <c:v>2.2989999999999999</c:v>
                </c:pt>
                <c:pt idx="488">
                  <c:v>3.0990000000000002</c:v>
                </c:pt>
                <c:pt idx="489">
                  <c:v>2.4590000000000001</c:v>
                </c:pt>
                <c:pt idx="490">
                  <c:v>2.359</c:v>
                </c:pt>
                <c:pt idx="491">
                  <c:v>2.4390000000000001</c:v>
                </c:pt>
                <c:pt idx="492">
                  <c:v>2.2189999999999999</c:v>
                </c:pt>
                <c:pt idx="493">
                  <c:v>2.5590000000000002</c:v>
                </c:pt>
                <c:pt idx="494">
                  <c:v>2.5990000000000002</c:v>
                </c:pt>
                <c:pt idx="495">
                  <c:v>2.319</c:v>
                </c:pt>
                <c:pt idx="496">
                  <c:v>2.5990000000000002</c:v>
                </c:pt>
                <c:pt idx="497">
                  <c:v>2.1989999999999998</c:v>
                </c:pt>
                <c:pt idx="498">
                  <c:v>2.399</c:v>
                </c:pt>
                <c:pt idx="499">
                  <c:v>1.9990000000000001</c:v>
                </c:pt>
                <c:pt idx="500">
                  <c:v>2.7989999999999999</c:v>
                </c:pt>
                <c:pt idx="501">
                  <c:v>3.0990000000000002</c:v>
                </c:pt>
                <c:pt idx="502">
                  <c:v>2.2290000000000001</c:v>
                </c:pt>
                <c:pt idx="503">
                  <c:v>2.4790000000000001</c:v>
                </c:pt>
                <c:pt idx="504">
                  <c:v>2.359</c:v>
                </c:pt>
                <c:pt idx="505">
                  <c:v>2.4390000000000001</c:v>
                </c:pt>
                <c:pt idx="506">
                  <c:v>2.399</c:v>
                </c:pt>
                <c:pt idx="507">
                  <c:v>2.2989999999999999</c:v>
                </c:pt>
                <c:pt idx="508">
                  <c:v>2.5990000000000002</c:v>
                </c:pt>
                <c:pt idx="509">
                  <c:v>2.9590000000000001</c:v>
                </c:pt>
                <c:pt idx="510">
                  <c:v>2.4990000000000001</c:v>
                </c:pt>
                <c:pt idx="511">
                  <c:v>2.4990000000000001</c:v>
                </c:pt>
                <c:pt idx="512">
                  <c:v>2.2589999999999999</c:v>
                </c:pt>
                <c:pt idx="513">
                  <c:v>2.1190000000000002</c:v>
                </c:pt>
                <c:pt idx="514">
                  <c:v>3.1989999999999998</c:v>
                </c:pt>
                <c:pt idx="515">
                  <c:v>2.4990000000000001</c:v>
                </c:pt>
                <c:pt idx="516">
                  <c:v>2.6589999999999998</c:v>
                </c:pt>
                <c:pt idx="517">
                  <c:v>2.2589999999999999</c:v>
                </c:pt>
                <c:pt idx="518">
                  <c:v>2.0790000000000002</c:v>
                </c:pt>
                <c:pt idx="519">
                  <c:v>2.1989999999999998</c:v>
                </c:pt>
                <c:pt idx="520">
                  <c:v>2.2989999999999999</c:v>
                </c:pt>
                <c:pt idx="521">
                  <c:v>2.319</c:v>
                </c:pt>
                <c:pt idx="522">
                  <c:v>2.3490000000000002</c:v>
                </c:pt>
                <c:pt idx="523">
                  <c:v>2.379</c:v>
                </c:pt>
                <c:pt idx="524">
                  <c:v>2.2490000000000001</c:v>
                </c:pt>
                <c:pt idx="525">
                  <c:v>2.149</c:v>
                </c:pt>
                <c:pt idx="526">
                  <c:v>2.1389999999999998</c:v>
                </c:pt>
                <c:pt idx="527">
                  <c:v>2.359</c:v>
                </c:pt>
                <c:pt idx="528">
                  <c:v>1.9990000000000001</c:v>
                </c:pt>
                <c:pt idx="529">
                  <c:v>2.2589999999999999</c:v>
                </c:pt>
                <c:pt idx="530">
                  <c:v>2.5590000000000002</c:v>
                </c:pt>
                <c:pt idx="531">
                  <c:v>2.2490000000000001</c:v>
                </c:pt>
                <c:pt idx="532">
                  <c:v>2.0990000000000002</c:v>
                </c:pt>
                <c:pt idx="533">
                  <c:v>3.0990000000000002</c:v>
                </c:pt>
                <c:pt idx="534">
                  <c:v>1.9690000000000001</c:v>
                </c:pt>
                <c:pt idx="535">
                  <c:v>2.1589999999999998</c:v>
                </c:pt>
                <c:pt idx="536">
                  <c:v>2.0990000000000002</c:v>
                </c:pt>
                <c:pt idx="537">
                  <c:v>2.4590000000000001</c:v>
                </c:pt>
                <c:pt idx="538">
                  <c:v>2.359</c:v>
                </c:pt>
                <c:pt idx="539">
                  <c:v>2.9990000000000001</c:v>
                </c:pt>
                <c:pt idx="540">
                  <c:v>2.0990000000000002</c:v>
                </c:pt>
                <c:pt idx="541">
                  <c:v>2.6589999999999998</c:v>
                </c:pt>
                <c:pt idx="542">
                  <c:v>2.2290000000000001</c:v>
                </c:pt>
                <c:pt idx="543">
                  <c:v>2.7989999999999999</c:v>
                </c:pt>
                <c:pt idx="544">
                  <c:v>2.359</c:v>
                </c:pt>
                <c:pt idx="545">
                  <c:v>2.0990000000000002</c:v>
                </c:pt>
                <c:pt idx="546">
                  <c:v>2.4590000000000001</c:v>
                </c:pt>
                <c:pt idx="547">
                  <c:v>2.5590000000000002</c:v>
                </c:pt>
                <c:pt idx="548">
                  <c:v>2.1190000000000002</c:v>
                </c:pt>
                <c:pt idx="549">
                  <c:v>2.2690000000000001</c:v>
                </c:pt>
                <c:pt idx="550">
                  <c:v>2.6989999999999998</c:v>
                </c:pt>
                <c:pt idx="551">
                  <c:v>2.5990000000000002</c:v>
                </c:pt>
                <c:pt idx="552">
                  <c:v>2.0790000000000002</c:v>
                </c:pt>
                <c:pt idx="553">
                  <c:v>2.4390000000000001</c:v>
                </c:pt>
                <c:pt idx="554">
                  <c:v>2.2389999999999999</c:v>
                </c:pt>
                <c:pt idx="555">
                  <c:v>2.9990000000000001</c:v>
                </c:pt>
                <c:pt idx="556">
                  <c:v>2.4390000000000001</c:v>
                </c:pt>
                <c:pt idx="557">
                  <c:v>2.1989999999999998</c:v>
                </c:pt>
                <c:pt idx="558">
                  <c:v>2.3690000000000002</c:v>
                </c:pt>
                <c:pt idx="559">
                  <c:v>2.3690000000000002</c:v>
                </c:pt>
                <c:pt idx="560">
                  <c:v>2.0790000000000002</c:v>
                </c:pt>
                <c:pt idx="561">
                  <c:v>2.319</c:v>
                </c:pt>
                <c:pt idx="562">
                  <c:v>1.9990000000000001</c:v>
                </c:pt>
                <c:pt idx="563">
                  <c:v>2.1389999999999998</c:v>
                </c:pt>
                <c:pt idx="564">
                  <c:v>2.1989999999999998</c:v>
                </c:pt>
                <c:pt idx="565">
                  <c:v>2.1589999999999998</c:v>
                </c:pt>
                <c:pt idx="566">
                  <c:v>2.4990000000000001</c:v>
                </c:pt>
                <c:pt idx="567">
                  <c:v>2.0990000000000002</c:v>
                </c:pt>
                <c:pt idx="568">
                  <c:v>2.1989999999999998</c:v>
                </c:pt>
                <c:pt idx="569">
                  <c:v>2.5990000000000002</c:v>
                </c:pt>
                <c:pt idx="570">
                  <c:v>2.1589999999999998</c:v>
                </c:pt>
                <c:pt idx="571">
                  <c:v>2.1890000000000001</c:v>
                </c:pt>
                <c:pt idx="572">
                  <c:v>2.1989999999999998</c:v>
                </c:pt>
                <c:pt idx="573">
                  <c:v>2.5590000000000002</c:v>
                </c:pt>
                <c:pt idx="574">
                  <c:v>2.899</c:v>
                </c:pt>
                <c:pt idx="575">
                  <c:v>2.1789999999999998</c:v>
                </c:pt>
                <c:pt idx="576">
                  <c:v>2.2589999999999999</c:v>
                </c:pt>
                <c:pt idx="577">
                  <c:v>2.5590000000000002</c:v>
                </c:pt>
                <c:pt idx="578">
                  <c:v>2.0790000000000002</c:v>
                </c:pt>
                <c:pt idx="579">
                  <c:v>2.899</c:v>
                </c:pt>
                <c:pt idx="580">
                  <c:v>2.1589999999999998</c:v>
                </c:pt>
                <c:pt idx="581">
                  <c:v>2.2389999999999999</c:v>
                </c:pt>
                <c:pt idx="582">
                  <c:v>2.4990000000000001</c:v>
                </c:pt>
                <c:pt idx="583">
                  <c:v>2.7189999999999999</c:v>
                </c:pt>
                <c:pt idx="584">
                  <c:v>2.339</c:v>
                </c:pt>
                <c:pt idx="585">
                  <c:v>2.1989999999999998</c:v>
                </c:pt>
                <c:pt idx="586">
                  <c:v>2.2490000000000001</c:v>
                </c:pt>
                <c:pt idx="587">
                  <c:v>2.359</c:v>
                </c:pt>
                <c:pt idx="588">
                  <c:v>3.2989999999999999</c:v>
                </c:pt>
                <c:pt idx="589">
                  <c:v>2.2989999999999999</c:v>
                </c:pt>
                <c:pt idx="590">
                  <c:v>2.1989999999999998</c:v>
                </c:pt>
                <c:pt idx="591">
                  <c:v>2.379</c:v>
                </c:pt>
                <c:pt idx="592">
                  <c:v>2.0590000000000002</c:v>
                </c:pt>
                <c:pt idx="593">
                  <c:v>2.339</c:v>
                </c:pt>
                <c:pt idx="594">
                  <c:v>2.4790000000000001</c:v>
                </c:pt>
                <c:pt idx="595">
                  <c:v>2.2389999999999999</c:v>
                </c:pt>
                <c:pt idx="596">
                  <c:v>2.4390000000000001</c:v>
                </c:pt>
                <c:pt idx="597">
                  <c:v>2.2989999999999999</c:v>
                </c:pt>
                <c:pt idx="598">
                  <c:v>2.2389999999999999</c:v>
                </c:pt>
                <c:pt idx="599">
                  <c:v>2.359</c:v>
                </c:pt>
                <c:pt idx="600">
                  <c:v>2.5990000000000002</c:v>
                </c:pt>
                <c:pt idx="601">
                  <c:v>2.379</c:v>
                </c:pt>
                <c:pt idx="602">
                  <c:v>2.2189999999999999</c:v>
                </c:pt>
                <c:pt idx="603">
                  <c:v>2.5990000000000002</c:v>
                </c:pt>
                <c:pt idx="604">
                  <c:v>2.1989999999999998</c:v>
                </c:pt>
                <c:pt idx="605">
                  <c:v>1.9390000000000001</c:v>
                </c:pt>
                <c:pt idx="606">
                  <c:v>2.9590000000000001</c:v>
                </c:pt>
                <c:pt idx="607">
                  <c:v>2.1589999999999998</c:v>
                </c:pt>
                <c:pt idx="608">
                  <c:v>2.0990000000000002</c:v>
                </c:pt>
                <c:pt idx="609">
                  <c:v>2.0590000000000002</c:v>
                </c:pt>
                <c:pt idx="610">
                  <c:v>2.0990000000000002</c:v>
                </c:pt>
                <c:pt idx="611">
                  <c:v>2.2890000000000001</c:v>
                </c:pt>
                <c:pt idx="612">
                  <c:v>2.1989999999999998</c:v>
                </c:pt>
              </c:numCache>
            </c:numRef>
          </c:yVal>
          <c:smooth val="0"/>
        </c:ser>
        <c:dLbls>
          <c:showLegendKey val="0"/>
          <c:showVal val="0"/>
          <c:showCatName val="0"/>
          <c:showSerName val="0"/>
          <c:showPercent val="0"/>
          <c:showBubbleSize val="0"/>
        </c:dLbls>
        <c:axId val="40234368"/>
        <c:axId val="40420864"/>
      </c:scatterChart>
      <c:valAx>
        <c:axId val="40234368"/>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GasBuddy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20864"/>
        <c:crosses val="autoZero"/>
        <c:crossBetween val="midCat"/>
      </c:valAx>
      <c:valAx>
        <c:axId val="40420864"/>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OPIS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4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Chart!$B$2</c:f>
              <c:strCache>
                <c:ptCount val="1"/>
                <c:pt idx="0">
                  <c:v>OPIS</c:v>
                </c:pt>
              </c:strCache>
            </c:strRef>
          </c:tx>
          <c:spPr>
            <a:ln w="28575" cap="rnd">
              <a:solidFill>
                <a:schemeClr val="accent1"/>
              </a:solidFill>
              <a:round/>
            </a:ln>
            <a:effectLst/>
          </c:spPr>
          <c:marker>
            <c:symbol val="none"/>
          </c:marker>
          <c:cat>
            <c:numRef>
              <c:f>Chart!$A$3:$A$14</c:f>
              <c:numCache>
                <c:formatCode>d\-mmm\-yy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Chart!$B$3:$B$14</c:f>
              <c:numCache>
                <c:formatCode>0.000</c:formatCode>
                <c:ptCount val="12"/>
                <c:pt idx="0">
                  <c:v>2.3709463087248306</c:v>
                </c:pt>
                <c:pt idx="1">
                  <c:v>2.3936979865771795</c:v>
                </c:pt>
                <c:pt idx="2">
                  <c:v>2.4014664429530175</c:v>
                </c:pt>
                <c:pt idx="3">
                  <c:v>2.4000067114093948</c:v>
                </c:pt>
                <c:pt idx="4">
                  <c:v>2.3587651006711394</c:v>
                </c:pt>
                <c:pt idx="5">
                  <c:v>2.321953020134226</c:v>
                </c:pt>
                <c:pt idx="6">
                  <c:v>2.2866342281879186</c:v>
                </c:pt>
                <c:pt idx="7">
                  <c:v>2.2682449664429529</c:v>
                </c:pt>
                <c:pt idx="8">
                  <c:v>2.2928590604026837</c:v>
                </c:pt>
                <c:pt idx="9">
                  <c:v>2.2766510067114085</c:v>
                </c:pt>
                <c:pt idx="10">
                  <c:v>2.3116845637583903</c:v>
                </c:pt>
                <c:pt idx="11">
                  <c:v>2.3463825503355689</c:v>
                </c:pt>
              </c:numCache>
            </c:numRef>
          </c:val>
          <c:smooth val="0"/>
        </c:ser>
        <c:ser>
          <c:idx val="1"/>
          <c:order val="1"/>
          <c:tx>
            <c:strRef>
              <c:f>Chart!$C$2</c:f>
              <c:strCache>
                <c:ptCount val="1"/>
                <c:pt idx="0">
                  <c:v>EIA</c:v>
                </c:pt>
              </c:strCache>
            </c:strRef>
          </c:tx>
          <c:spPr>
            <a:ln w="28575" cap="rnd">
              <a:solidFill>
                <a:schemeClr val="accent2"/>
              </a:solidFill>
              <a:round/>
            </a:ln>
            <a:effectLst/>
          </c:spPr>
          <c:marker>
            <c:symbol val="none"/>
          </c:marker>
          <c:cat>
            <c:numRef>
              <c:f>Chart!$A$3:$A$14</c:f>
              <c:numCache>
                <c:formatCode>d\-mmm\-yy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Chart!$C$3:$C$14</c:f>
              <c:numCache>
                <c:formatCode>0.000</c:formatCode>
                <c:ptCount val="12"/>
                <c:pt idx="0">
                  <c:v>2.3629312080536899</c:v>
                </c:pt>
                <c:pt idx="1">
                  <c:v>2.3888825503355675</c:v>
                </c:pt>
                <c:pt idx="2">
                  <c:v>2.3940067114093941</c:v>
                </c:pt>
                <c:pt idx="3">
                  <c:v>2.3984295302013416</c:v>
                </c:pt>
                <c:pt idx="4">
                  <c:v>2.3582399328859052</c:v>
                </c:pt>
                <c:pt idx="5">
                  <c:v>2.3161409395973123</c:v>
                </c:pt>
                <c:pt idx="6">
                  <c:v>2.2820385906040257</c:v>
                </c:pt>
                <c:pt idx="7">
                  <c:v>2.2609748322147629</c:v>
                </c:pt>
                <c:pt idx="8">
                  <c:v>2.2884379194630857</c:v>
                </c:pt>
                <c:pt idx="9">
                  <c:v>2.2692432885906042</c:v>
                </c:pt>
                <c:pt idx="10">
                  <c:v>2.3042382550335572</c:v>
                </c:pt>
                <c:pt idx="11">
                  <c:v>2.3421761744966427</c:v>
                </c:pt>
              </c:numCache>
            </c:numRef>
          </c:val>
          <c:smooth val="0"/>
        </c:ser>
        <c:dLbls>
          <c:showLegendKey val="0"/>
          <c:showVal val="0"/>
          <c:showCatName val="0"/>
          <c:showSerName val="0"/>
          <c:showPercent val="0"/>
          <c:showBubbleSize val="0"/>
        </c:dLbls>
        <c:marker val="1"/>
        <c:smooth val="0"/>
        <c:axId val="59387264"/>
        <c:axId val="59393152"/>
      </c:lineChart>
      <c:dateAx>
        <c:axId val="59387264"/>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3152"/>
        <c:crosses val="autoZero"/>
        <c:auto val="1"/>
        <c:lblOffset val="100"/>
        <c:baseTimeUnit val="days"/>
      </c:dateAx>
      <c:valAx>
        <c:axId val="59393152"/>
        <c:scaling>
          <c:orientation val="minMax"/>
          <c:min val="2.20000000000000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Price ($)</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7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Chart!$B$17</c:f>
              <c:strCache>
                <c:ptCount val="1"/>
                <c:pt idx="0">
                  <c:v>OPIS</c:v>
                </c:pt>
              </c:strCache>
            </c:strRef>
          </c:tx>
          <c:spPr>
            <a:ln w="28575" cap="rnd">
              <a:solidFill>
                <a:schemeClr val="accent1"/>
              </a:solidFill>
              <a:round/>
            </a:ln>
            <a:effectLst/>
          </c:spPr>
          <c:marker>
            <c:symbol val="none"/>
          </c:marker>
          <c:cat>
            <c:numRef>
              <c:f>Chart!$A$18:$A$29</c:f>
              <c:numCache>
                <c:formatCode>d\-mmm\-yy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Chart!$B$18:$B$29</c:f>
              <c:numCache>
                <c:formatCode>0.000</c:formatCode>
                <c:ptCount val="12"/>
                <c:pt idx="0">
                  <c:v>2.6380397350993379</c:v>
                </c:pt>
                <c:pt idx="1">
                  <c:v>2.6590993377483461</c:v>
                </c:pt>
                <c:pt idx="2">
                  <c:v>2.6679105960264917</c:v>
                </c:pt>
                <c:pt idx="3">
                  <c:v>2.6655562913907311</c:v>
                </c:pt>
                <c:pt idx="4">
                  <c:v>2.6320132450331122</c:v>
                </c:pt>
                <c:pt idx="5">
                  <c:v>2.5949602649006618</c:v>
                </c:pt>
                <c:pt idx="6">
                  <c:v>2.5703609271523171</c:v>
                </c:pt>
                <c:pt idx="7">
                  <c:v>2.5472814569536419</c:v>
                </c:pt>
                <c:pt idx="8">
                  <c:v>2.5693973509933774</c:v>
                </c:pt>
                <c:pt idx="9">
                  <c:v>2.5474139072847679</c:v>
                </c:pt>
                <c:pt idx="10">
                  <c:v>2.5800927152317876</c:v>
                </c:pt>
                <c:pt idx="11">
                  <c:v>2.6149271523178803</c:v>
                </c:pt>
              </c:numCache>
            </c:numRef>
          </c:val>
          <c:smooth val="0"/>
        </c:ser>
        <c:ser>
          <c:idx val="1"/>
          <c:order val="1"/>
          <c:tx>
            <c:strRef>
              <c:f>Chart!$C$17</c:f>
              <c:strCache>
                <c:ptCount val="1"/>
                <c:pt idx="0">
                  <c:v>EIA</c:v>
                </c:pt>
              </c:strCache>
            </c:strRef>
          </c:tx>
          <c:spPr>
            <a:ln w="28575" cap="rnd">
              <a:solidFill>
                <a:schemeClr val="accent2"/>
              </a:solidFill>
              <a:round/>
            </a:ln>
            <a:effectLst/>
          </c:spPr>
          <c:marker>
            <c:symbol val="none"/>
          </c:marker>
          <c:cat>
            <c:numRef>
              <c:f>Chart!$A$18:$A$29</c:f>
              <c:numCache>
                <c:formatCode>d\-mmm\-yy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Chart!$C$18:$C$29</c:f>
              <c:numCache>
                <c:formatCode>0.000</c:formatCode>
                <c:ptCount val="12"/>
                <c:pt idx="0">
                  <c:v>2.6308543046357622</c:v>
                </c:pt>
                <c:pt idx="1">
                  <c:v>2.6553278145695383</c:v>
                </c:pt>
                <c:pt idx="2">
                  <c:v>2.6595099337748374</c:v>
                </c:pt>
                <c:pt idx="3">
                  <c:v>2.664903973509936</c:v>
                </c:pt>
                <c:pt idx="4">
                  <c:v>2.6295827814569543</c:v>
                </c:pt>
                <c:pt idx="5">
                  <c:v>2.5856456953642382</c:v>
                </c:pt>
                <c:pt idx="6">
                  <c:v>2.5554370860927151</c:v>
                </c:pt>
                <c:pt idx="7">
                  <c:v>2.5343973509933755</c:v>
                </c:pt>
                <c:pt idx="8">
                  <c:v>2.5617682119205285</c:v>
                </c:pt>
                <c:pt idx="9">
                  <c:v>2.5377450331125817</c:v>
                </c:pt>
                <c:pt idx="10">
                  <c:v>2.5748543046357599</c:v>
                </c:pt>
                <c:pt idx="11">
                  <c:v>2.6138973509933763</c:v>
                </c:pt>
              </c:numCache>
            </c:numRef>
          </c:val>
          <c:smooth val="0"/>
        </c:ser>
        <c:dLbls>
          <c:showLegendKey val="0"/>
          <c:showVal val="0"/>
          <c:showCatName val="0"/>
          <c:showSerName val="0"/>
          <c:showPercent val="0"/>
          <c:showBubbleSize val="0"/>
        </c:dLbls>
        <c:marker val="1"/>
        <c:smooth val="0"/>
        <c:axId val="32962432"/>
        <c:axId val="32963968"/>
      </c:lineChart>
      <c:dateAx>
        <c:axId val="32962432"/>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3968"/>
        <c:crosses val="autoZero"/>
        <c:auto val="1"/>
        <c:lblOffset val="100"/>
        <c:baseTimeUnit val="days"/>
      </c:dateAx>
      <c:valAx>
        <c:axId val="32963968"/>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Price</a:t>
                </a:r>
                <a:r>
                  <a:rPr lang="en-US" baseline="0"/>
                  <a:t> ($)</a:t>
                </a:r>
                <a:endParaRPr lang="en-US"/>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2432"/>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Chart!$B$32</c:f>
              <c:strCache>
                <c:ptCount val="1"/>
                <c:pt idx="0">
                  <c:v>OPIS</c:v>
                </c:pt>
              </c:strCache>
            </c:strRef>
          </c:tx>
          <c:spPr>
            <a:ln w="28575" cap="rnd">
              <a:solidFill>
                <a:schemeClr val="accent1"/>
              </a:solidFill>
              <a:round/>
            </a:ln>
            <a:effectLst/>
          </c:spPr>
          <c:marker>
            <c:symbol val="none"/>
          </c:marker>
          <c:cat>
            <c:numRef>
              <c:f>Chart!$A$33:$A$44</c:f>
              <c:numCache>
                <c:formatCode>d\-mmm\-yy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Chart!$B$33:$B$44</c:f>
              <c:numCache>
                <c:formatCode>0.000</c:formatCode>
                <c:ptCount val="12"/>
                <c:pt idx="0">
                  <c:v>2.8782281879194662</c:v>
                </c:pt>
                <c:pt idx="1">
                  <c:v>2.9036644295302012</c:v>
                </c:pt>
                <c:pt idx="2">
                  <c:v>2.9110469798657728</c:v>
                </c:pt>
                <c:pt idx="3">
                  <c:v>2.9077248322147677</c:v>
                </c:pt>
                <c:pt idx="4">
                  <c:v>2.8741677852349001</c:v>
                </c:pt>
                <c:pt idx="5">
                  <c:v>2.8388322147651031</c:v>
                </c:pt>
                <c:pt idx="6">
                  <c:v>2.8049060402684591</c:v>
                </c:pt>
                <c:pt idx="7">
                  <c:v>2.7895704697986585</c:v>
                </c:pt>
                <c:pt idx="8">
                  <c:v>2.8125234899328873</c:v>
                </c:pt>
                <c:pt idx="9">
                  <c:v>2.7922550335570504</c:v>
                </c:pt>
                <c:pt idx="10">
                  <c:v>2.8301073825503362</c:v>
                </c:pt>
                <c:pt idx="11">
                  <c:v>2.858865771812082</c:v>
                </c:pt>
              </c:numCache>
            </c:numRef>
          </c:val>
          <c:smooth val="0"/>
        </c:ser>
        <c:ser>
          <c:idx val="1"/>
          <c:order val="1"/>
          <c:tx>
            <c:strRef>
              <c:f>Chart!$C$32</c:f>
              <c:strCache>
                <c:ptCount val="1"/>
                <c:pt idx="0">
                  <c:v>EIA</c:v>
                </c:pt>
              </c:strCache>
            </c:strRef>
          </c:tx>
          <c:spPr>
            <a:ln w="28575" cap="rnd">
              <a:solidFill>
                <a:schemeClr val="accent2"/>
              </a:solidFill>
              <a:round/>
            </a:ln>
            <a:effectLst/>
          </c:spPr>
          <c:marker>
            <c:symbol val="none"/>
          </c:marker>
          <c:cat>
            <c:numRef>
              <c:f>Chart!$A$33:$A$44</c:f>
              <c:numCache>
                <c:formatCode>d\-mmm\-yy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Chart!$C$33:$C$44</c:f>
              <c:numCache>
                <c:formatCode>0.000</c:formatCode>
                <c:ptCount val="12"/>
                <c:pt idx="0">
                  <c:v>2.8699865771812112</c:v>
                </c:pt>
                <c:pt idx="1">
                  <c:v>2.8984832214765102</c:v>
                </c:pt>
                <c:pt idx="2">
                  <c:v>2.8981744966442959</c:v>
                </c:pt>
                <c:pt idx="3">
                  <c:v>2.9031073825503353</c:v>
                </c:pt>
                <c:pt idx="4">
                  <c:v>2.8681476510067117</c:v>
                </c:pt>
                <c:pt idx="5">
                  <c:v>2.8285436241610751</c:v>
                </c:pt>
                <c:pt idx="6">
                  <c:v>2.7946308724832245</c:v>
                </c:pt>
                <c:pt idx="7">
                  <c:v>2.7763791946308736</c:v>
                </c:pt>
                <c:pt idx="8">
                  <c:v>2.8041879194630863</c:v>
                </c:pt>
                <c:pt idx="9">
                  <c:v>2.7847013422818812</c:v>
                </c:pt>
                <c:pt idx="10">
                  <c:v>2.8243859060402685</c:v>
                </c:pt>
                <c:pt idx="11">
                  <c:v>2.8618557046979882</c:v>
                </c:pt>
              </c:numCache>
            </c:numRef>
          </c:val>
          <c:smooth val="0"/>
        </c:ser>
        <c:dLbls>
          <c:showLegendKey val="0"/>
          <c:showVal val="0"/>
          <c:showCatName val="0"/>
          <c:showSerName val="0"/>
          <c:showPercent val="0"/>
          <c:showBubbleSize val="0"/>
        </c:dLbls>
        <c:marker val="1"/>
        <c:smooth val="0"/>
        <c:axId val="69341952"/>
        <c:axId val="69343488"/>
      </c:lineChart>
      <c:dateAx>
        <c:axId val="69341952"/>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43488"/>
        <c:crosses val="autoZero"/>
        <c:auto val="1"/>
        <c:lblOffset val="100"/>
        <c:baseTimeUnit val="days"/>
      </c:dateAx>
      <c:valAx>
        <c:axId val="69343488"/>
        <c:scaling>
          <c:orientation val="minMax"/>
          <c:min val="2.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Price ($)</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41952"/>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1533505265055"/>
          <c:y val="7.7795275590551174E-2"/>
          <c:w val="0.75199506481711553"/>
          <c:h val="0.76290975439093733"/>
        </c:manualLayout>
      </c:layout>
      <c:scatterChart>
        <c:scatterStyle val="lineMarker"/>
        <c:varyColors val="0"/>
        <c:ser>
          <c:idx val="0"/>
          <c:order val="0"/>
          <c:tx>
            <c:strRef>
              <c:f>'GB Cash vs EIA'!$B$1</c:f>
              <c:strCache>
                <c:ptCount val="1"/>
                <c:pt idx="0">
                  <c:v>EIA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rendlineLbl>
          </c:trendline>
          <c:xVal>
            <c:numRef>
              <c:f>'GB Cash vs EIA'!$A$2:$A$617</c:f>
              <c:numCache>
                <c:formatCode>General</c:formatCode>
                <c:ptCount val="616"/>
                <c:pt idx="0">
                  <c:v>2.2400000000000002</c:v>
                </c:pt>
                <c:pt idx="1">
                  <c:v>2.23</c:v>
                </c:pt>
                <c:pt idx="2">
                  <c:v>2.27</c:v>
                </c:pt>
                <c:pt idx="3">
                  <c:v>2.21</c:v>
                </c:pt>
                <c:pt idx="4">
                  <c:v>2.25</c:v>
                </c:pt>
                <c:pt idx="5">
                  <c:v>2.27</c:v>
                </c:pt>
                <c:pt idx="6">
                  <c:v>2.19</c:v>
                </c:pt>
                <c:pt idx="7">
                  <c:v>2.29</c:v>
                </c:pt>
                <c:pt idx="8">
                  <c:v>2.4700000000000002</c:v>
                </c:pt>
                <c:pt idx="9">
                  <c:v>2.29</c:v>
                </c:pt>
                <c:pt idx="10">
                  <c:v>2.41</c:v>
                </c:pt>
                <c:pt idx="11">
                  <c:v>2.59</c:v>
                </c:pt>
                <c:pt idx="12">
                  <c:v>2.44</c:v>
                </c:pt>
                <c:pt idx="13">
                  <c:v>2.06</c:v>
                </c:pt>
                <c:pt idx="14">
                  <c:v>2.99</c:v>
                </c:pt>
                <c:pt idx="15">
                  <c:v>3.25</c:v>
                </c:pt>
                <c:pt idx="16">
                  <c:v>3.15</c:v>
                </c:pt>
                <c:pt idx="17">
                  <c:v>2.17</c:v>
                </c:pt>
                <c:pt idx="18">
                  <c:v>2.89</c:v>
                </c:pt>
                <c:pt idx="19">
                  <c:v>2.27</c:v>
                </c:pt>
                <c:pt idx="20">
                  <c:v>1.97</c:v>
                </c:pt>
                <c:pt idx="21">
                  <c:v>2.57</c:v>
                </c:pt>
                <c:pt idx="22">
                  <c:v>2.29</c:v>
                </c:pt>
                <c:pt idx="23">
                  <c:v>2.04</c:v>
                </c:pt>
                <c:pt idx="24">
                  <c:v>2.4900000000000002</c:v>
                </c:pt>
                <c:pt idx="25">
                  <c:v>2.4300000000000002</c:v>
                </c:pt>
                <c:pt idx="26">
                  <c:v>2.5299999999999998</c:v>
                </c:pt>
                <c:pt idx="27">
                  <c:v>2.25</c:v>
                </c:pt>
                <c:pt idx="28">
                  <c:v>2.23</c:v>
                </c:pt>
                <c:pt idx="29">
                  <c:v>3.01</c:v>
                </c:pt>
                <c:pt idx="30">
                  <c:v>2.13</c:v>
                </c:pt>
                <c:pt idx="31">
                  <c:v>2.31</c:v>
                </c:pt>
                <c:pt idx="32">
                  <c:v>2.09</c:v>
                </c:pt>
                <c:pt idx="33">
                  <c:v>2.93</c:v>
                </c:pt>
                <c:pt idx="34">
                  <c:v>2.09</c:v>
                </c:pt>
                <c:pt idx="35">
                  <c:v>2.57</c:v>
                </c:pt>
                <c:pt idx="36">
                  <c:v>2.29</c:v>
                </c:pt>
                <c:pt idx="37">
                  <c:v>2.29</c:v>
                </c:pt>
                <c:pt idx="38">
                  <c:v>2.39</c:v>
                </c:pt>
                <c:pt idx="39">
                  <c:v>2.0499999999999998</c:v>
                </c:pt>
                <c:pt idx="40">
                  <c:v>1.99</c:v>
                </c:pt>
                <c:pt idx="41">
                  <c:v>2.4500000000000002</c:v>
                </c:pt>
                <c:pt idx="42">
                  <c:v>2.19</c:v>
                </c:pt>
                <c:pt idx="43">
                  <c:v>2.2400000000000002</c:v>
                </c:pt>
                <c:pt idx="44">
                  <c:v>2.21</c:v>
                </c:pt>
                <c:pt idx="45">
                  <c:v>2.59</c:v>
                </c:pt>
                <c:pt idx="46">
                  <c:v>2.09</c:v>
                </c:pt>
                <c:pt idx="47">
                  <c:v>2.29</c:v>
                </c:pt>
                <c:pt idx="48">
                  <c:v>2.25</c:v>
                </c:pt>
                <c:pt idx="49">
                  <c:v>2.2799999999999998</c:v>
                </c:pt>
                <c:pt idx="50">
                  <c:v>2.79</c:v>
                </c:pt>
                <c:pt idx="51">
                  <c:v>3.09</c:v>
                </c:pt>
                <c:pt idx="52">
                  <c:v>2.19</c:v>
                </c:pt>
                <c:pt idx="53">
                  <c:v>2.4300000000000002</c:v>
                </c:pt>
                <c:pt idx="54">
                  <c:v>2.0699999999999998</c:v>
                </c:pt>
                <c:pt idx="55">
                  <c:v>2.25</c:v>
                </c:pt>
                <c:pt idx="56">
                  <c:v>2.27</c:v>
                </c:pt>
                <c:pt idx="57">
                  <c:v>2.2599999999999998</c:v>
                </c:pt>
                <c:pt idx="58">
                  <c:v>2.15</c:v>
                </c:pt>
                <c:pt idx="59">
                  <c:v>1.99</c:v>
                </c:pt>
                <c:pt idx="60">
                  <c:v>3.12</c:v>
                </c:pt>
                <c:pt idx="61">
                  <c:v>2.69</c:v>
                </c:pt>
                <c:pt idx="62">
                  <c:v>2.35</c:v>
                </c:pt>
                <c:pt idx="63">
                  <c:v>2.2200000000000002</c:v>
                </c:pt>
                <c:pt idx="64">
                  <c:v>2.16</c:v>
                </c:pt>
                <c:pt idx="65">
                  <c:v>2.2200000000000002</c:v>
                </c:pt>
                <c:pt idx="66">
                  <c:v>2.27</c:v>
                </c:pt>
                <c:pt idx="67">
                  <c:v>2.2400000000000002</c:v>
                </c:pt>
                <c:pt idx="68">
                  <c:v>2.31</c:v>
                </c:pt>
                <c:pt idx="69">
                  <c:v>2.42</c:v>
                </c:pt>
                <c:pt idx="70">
                  <c:v>2.2599999999999998</c:v>
                </c:pt>
                <c:pt idx="71">
                  <c:v>2.0699999999999998</c:v>
                </c:pt>
                <c:pt idx="72">
                  <c:v>2.2000000000000002</c:v>
                </c:pt>
                <c:pt idx="73">
                  <c:v>2.48</c:v>
                </c:pt>
                <c:pt idx="74">
                  <c:v>2.37</c:v>
                </c:pt>
                <c:pt idx="75">
                  <c:v>2.09</c:v>
                </c:pt>
                <c:pt idx="76">
                  <c:v>2.25</c:v>
                </c:pt>
                <c:pt idx="77">
                  <c:v>2.52</c:v>
                </c:pt>
                <c:pt idx="78">
                  <c:v>2.15</c:v>
                </c:pt>
                <c:pt idx="79">
                  <c:v>2.4300000000000002</c:v>
                </c:pt>
                <c:pt idx="80">
                  <c:v>2.0699999999999998</c:v>
                </c:pt>
                <c:pt idx="81">
                  <c:v>2.23</c:v>
                </c:pt>
                <c:pt idx="82">
                  <c:v>2.09</c:v>
                </c:pt>
                <c:pt idx="83">
                  <c:v>2.04</c:v>
                </c:pt>
                <c:pt idx="84">
                  <c:v>1.94</c:v>
                </c:pt>
                <c:pt idx="85">
                  <c:v>1.96</c:v>
                </c:pt>
                <c:pt idx="86">
                  <c:v>2.25</c:v>
                </c:pt>
                <c:pt idx="87">
                  <c:v>2.21</c:v>
                </c:pt>
                <c:pt idx="88">
                  <c:v>2.34</c:v>
                </c:pt>
                <c:pt idx="89">
                  <c:v>2.25</c:v>
                </c:pt>
                <c:pt idx="90">
                  <c:v>2.21</c:v>
                </c:pt>
                <c:pt idx="91">
                  <c:v>2.2000000000000002</c:v>
                </c:pt>
                <c:pt idx="92">
                  <c:v>2.4900000000000002</c:v>
                </c:pt>
                <c:pt idx="93">
                  <c:v>2.0499999999999998</c:v>
                </c:pt>
                <c:pt idx="94">
                  <c:v>2.65</c:v>
                </c:pt>
                <c:pt idx="95">
                  <c:v>2.21</c:v>
                </c:pt>
                <c:pt idx="96">
                  <c:v>2.39</c:v>
                </c:pt>
                <c:pt idx="97">
                  <c:v>2.15</c:v>
                </c:pt>
                <c:pt idx="98">
                  <c:v>2.4900000000000002</c:v>
                </c:pt>
                <c:pt idx="99">
                  <c:v>2.59</c:v>
                </c:pt>
                <c:pt idx="100">
                  <c:v>2.59</c:v>
                </c:pt>
                <c:pt idx="101">
                  <c:v>2.59</c:v>
                </c:pt>
                <c:pt idx="102">
                  <c:v>2.4300000000000002</c:v>
                </c:pt>
                <c:pt idx="103">
                  <c:v>2.25</c:v>
                </c:pt>
                <c:pt idx="104">
                  <c:v>2.2799999999999998</c:v>
                </c:pt>
                <c:pt idx="105">
                  <c:v>2.3199999999999998</c:v>
                </c:pt>
                <c:pt idx="106">
                  <c:v>2.48</c:v>
                </c:pt>
                <c:pt idx="107">
                  <c:v>2.29</c:v>
                </c:pt>
                <c:pt idx="108">
                  <c:v>2.4500000000000002</c:v>
                </c:pt>
                <c:pt idx="109">
                  <c:v>2.14</c:v>
                </c:pt>
                <c:pt idx="110">
                  <c:v>2.59</c:v>
                </c:pt>
                <c:pt idx="111">
                  <c:v>2.0699999999999998</c:v>
                </c:pt>
                <c:pt idx="112">
                  <c:v>2.39</c:v>
                </c:pt>
                <c:pt idx="113">
                  <c:v>2.3199999999999998</c:v>
                </c:pt>
                <c:pt idx="114">
                  <c:v>2.85</c:v>
                </c:pt>
                <c:pt idx="115">
                  <c:v>2.2400000000000002</c:v>
                </c:pt>
                <c:pt idx="116">
                  <c:v>2.99</c:v>
                </c:pt>
                <c:pt idx="117">
                  <c:v>2.5499999999999998</c:v>
                </c:pt>
                <c:pt idx="118">
                  <c:v>2.16</c:v>
                </c:pt>
                <c:pt idx="119">
                  <c:v>2.31</c:v>
                </c:pt>
                <c:pt idx="120">
                  <c:v>2.23</c:v>
                </c:pt>
                <c:pt idx="121">
                  <c:v>2.3199999999999998</c:v>
                </c:pt>
                <c:pt idx="122">
                  <c:v>2.95</c:v>
                </c:pt>
                <c:pt idx="123">
                  <c:v>2.0499999999999998</c:v>
                </c:pt>
                <c:pt idx="124">
                  <c:v>2.5499999999999998</c:v>
                </c:pt>
                <c:pt idx="125">
                  <c:v>2.19</c:v>
                </c:pt>
                <c:pt idx="126">
                  <c:v>2.25</c:v>
                </c:pt>
                <c:pt idx="127">
                  <c:v>2.29</c:v>
                </c:pt>
                <c:pt idx="128">
                  <c:v>2.19</c:v>
                </c:pt>
                <c:pt idx="129">
                  <c:v>2.95</c:v>
                </c:pt>
                <c:pt idx="130">
                  <c:v>3.07</c:v>
                </c:pt>
                <c:pt idx="131">
                  <c:v>3.15</c:v>
                </c:pt>
                <c:pt idx="132">
                  <c:v>2.69</c:v>
                </c:pt>
                <c:pt idx="133">
                  <c:v>2.25</c:v>
                </c:pt>
                <c:pt idx="134">
                  <c:v>2.89</c:v>
                </c:pt>
                <c:pt idx="135">
                  <c:v>2.09</c:v>
                </c:pt>
                <c:pt idx="136">
                  <c:v>2.79</c:v>
                </c:pt>
                <c:pt idx="137">
                  <c:v>2.2400000000000002</c:v>
                </c:pt>
                <c:pt idx="138">
                  <c:v>2.17</c:v>
                </c:pt>
                <c:pt idx="139">
                  <c:v>2.23</c:v>
                </c:pt>
                <c:pt idx="140">
                  <c:v>2.21</c:v>
                </c:pt>
                <c:pt idx="141">
                  <c:v>2.21</c:v>
                </c:pt>
                <c:pt idx="142">
                  <c:v>2.19</c:v>
                </c:pt>
                <c:pt idx="143">
                  <c:v>2.19</c:v>
                </c:pt>
                <c:pt idx="144">
                  <c:v>2.2400000000000002</c:v>
                </c:pt>
                <c:pt idx="145">
                  <c:v>2.19</c:v>
                </c:pt>
                <c:pt idx="146">
                  <c:v>2.23</c:v>
                </c:pt>
                <c:pt idx="147">
                  <c:v>2.09</c:v>
                </c:pt>
                <c:pt idx="148">
                  <c:v>1.99</c:v>
                </c:pt>
                <c:pt idx="149">
                  <c:v>2.09</c:v>
                </c:pt>
                <c:pt idx="150">
                  <c:v>2.59</c:v>
                </c:pt>
                <c:pt idx="151">
                  <c:v>2.89</c:v>
                </c:pt>
                <c:pt idx="152">
                  <c:v>2.35</c:v>
                </c:pt>
                <c:pt idx="153">
                  <c:v>2.31</c:v>
                </c:pt>
                <c:pt idx="154">
                  <c:v>2.36</c:v>
                </c:pt>
                <c:pt idx="155">
                  <c:v>2.34</c:v>
                </c:pt>
                <c:pt idx="156">
                  <c:v>1.99</c:v>
                </c:pt>
                <c:pt idx="157">
                  <c:v>2.37</c:v>
                </c:pt>
                <c:pt idx="158">
                  <c:v>2.19</c:v>
                </c:pt>
                <c:pt idx="159">
                  <c:v>2.35</c:v>
                </c:pt>
                <c:pt idx="160">
                  <c:v>2.4900000000000002</c:v>
                </c:pt>
                <c:pt idx="161">
                  <c:v>2.61</c:v>
                </c:pt>
                <c:pt idx="162">
                  <c:v>2.87</c:v>
                </c:pt>
                <c:pt idx="163">
                  <c:v>2.31</c:v>
                </c:pt>
                <c:pt idx="164">
                  <c:v>2.0499999999999998</c:v>
                </c:pt>
                <c:pt idx="165">
                  <c:v>3.13</c:v>
                </c:pt>
                <c:pt idx="166">
                  <c:v>2.69</c:v>
                </c:pt>
                <c:pt idx="167">
                  <c:v>2.04</c:v>
                </c:pt>
                <c:pt idx="168">
                  <c:v>2.79</c:v>
                </c:pt>
                <c:pt idx="169">
                  <c:v>2.14</c:v>
                </c:pt>
                <c:pt idx="170">
                  <c:v>2.0499999999999998</c:v>
                </c:pt>
                <c:pt idx="171">
                  <c:v>2.25</c:v>
                </c:pt>
                <c:pt idx="172">
                  <c:v>2.23</c:v>
                </c:pt>
                <c:pt idx="173">
                  <c:v>2.59</c:v>
                </c:pt>
                <c:pt idx="174">
                  <c:v>2.29</c:v>
                </c:pt>
                <c:pt idx="175">
                  <c:v>2.17</c:v>
                </c:pt>
                <c:pt idx="176">
                  <c:v>2.14</c:v>
                </c:pt>
                <c:pt idx="177">
                  <c:v>2.33</c:v>
                </c:pt>
                <c:pt idx="178">
                  <c:v>2.4900000000000002</c:v>
                </c:pt>
                <c:pt idx="179">
                  <c:v>2.14</c:v>
                </c:pt>
                <c:pt idx="180">
                  <c:v>2.0099999999999998</c:v>
                </c:pt>
                <c:pt idx="181">
                  <c:v>2.09</c:v>
                </c:pt>
                <c:pt idx="182">
                  <c:v>2.89</c:v>
                </c:pt>
                <c:pt idx="183">
                  <c:v>2.92</c:v>
                </c:pt>
                <c:pt idx="184">
                  <c:v>2.19</c:v>
                </c:pt>
                <c:pt idx="185">
                  <c:v>2.23</c:v>
                </c:pt>
                <c:pt idx="186">
                  <c:v>1.96</c:v>
                </c:pt>
                <c:pt idx="187">
                  <c:v>2.09</c:v>
                </c:pt>
                <c:pt idx="188">
                  <c:v>2.63</c:v>
                </c:pt>
                <c:pt idx="189">
                  <c:v>3.19</c:v>
                </c:pt>
                <c:pt idx="190">
                  <c:v>2.89</c:v>
                </c:pt>
                <c:pt idx="191">
                  <c:v>2.4500000000000002</c:v>
                </c:pt>
                <c:pt idx="192">
                  <c:v>2.0299999999999998</c:v>
                </c:pt>
                <c:pt idx="193">
                  <c:v>2.4900000000000002</c:v>
                </c:pt>
                <c:pt idx="194">
                  <c:v>1.93</c:v>
                </c:pt>
                <c:pt idx="195">
                  <c:v>2.39</c:v>
                </c:pt>
                <c:pt idx="196">
                  <c:v>2.99</c:v>
                </c:pt>
                <c:pt idx="197">
                  <c:v>2.3199999999999998</c:v>
                </c:pt>
                <c:pt idx="198">
                  <c:v>2.5099999999999998</c:v>
                </c:pt>
                <c:pt idx="199">
                  <c:v>2.2799999999999998</c:v>
                </c:pt>
                <c:pt idx="200">
                  <c:v>2.3199999999999998</c:v>
                </c:pt>
                <c:pt idx="201">
                  <c:v>2.35</c:v>
                </c:pt>
                <c:pt idx="202">
                  <c:v>2.61</c:v>
                </c:pt>
                <c:pt idx="203">
                  <c:v>2.4900000000000002</c:v>
                </c:pt>
                <c:pt idx="204">
                  <c:v>2.79</c:v>
                </c:pt>
                <c:pt idx="205">
                  <c:v>2.21</c:v>
                </c:pt>
                <c:pt idx="206">
                  <c:v>2.29</c:v>
                </c:pt>
                <c:pt idx="207">
                  <c:v>2.79</c:v>
                </c:pt>
                <c:pt idx="208">
                  <c:v>2.69</c:v>
                </c:pt>
                <c:pt idx="209">
                  <c:v>2.36</c:v>
                </c:pt>
                <c:pt idx="210">
                  <c:v>2.19</c:v>
                </c:pt>
                <c:pt idx="211">
                  <c:v>2.5099999999999998</c:v>
                </c:pt>
                <c:pt idx="212">
                  <c:v>2.16</c:v>
                </c:pt>
                <c:pt idx="213">
                  <c:v>2.25</c:v>
                </c:pt>
                <c:pt idx="214">
                  <c:v>2.4900000000000002</c:v>
                </c:pt>
                <c:pt idx="215">
                  <c:v>2.19</c:v>
                </c:pt>
                <c:pt idx="216">
                  <c:v>2.5499999999999998</c:v>
                </c:pt>
                <c:pt idx="217">
                  <c:v>2.2400000000000002</c:v>
                </c:pt>
                <c:pt idx="218">
                  <c:v>2.4900000000000002</c:v>
                </c:pt>
                <c:pt idx="219">
                  <c:v>2.25</c:v>
                </c:pt>
                <c:pt idx="220">
                  <c:v>1.99</c:v>
                </c:pt>
                <c:pt idx="221">
                  <c:v>2.5</c:v>
                </c:pt>
                <c:pt idx="222">
                  <c:v>2.16</c:v>
                </c:pt>
                <c:pt idx="223">
                  <c:v>2.29</c:v>
                </c:pt>
                <c:pt idx="224">
                  <c:v>2.39</c:v>
                </c:pt>
                <c:pt idx="225">
                  <c:v>2.09</c:v>
                </c:pt>
                <c:pt idx="226">
                  <c:v>2.29</c:v>
                </c:pt>
                <c:pt idx="227">
                  <c:v>2.4900000000000002</c:v>
                </c:pt>
                <c:pt idx="228">
                  <c:v>1.99</c:v>
                </c:pt>
                <c:pt idx="229">
                  <c:v>2.15</c:v>
                </c:pt>
                <c:pt idx="230">
                  <c:v>2.2599999999999998</c:v>
                </c:pt>
                <c:pt idx="231">
                  <c:v>2.0499999999999998</c:v>
                </c:pt>
                <c:pt idx="232">
                  <c:v>2.59</c:v>
                </c:pt>
                <c:pt idx="233">
                  <c:v>2.16</c:v>
                </c:pt>
                <c:pt idx="234">
                  <c:v>2.21</c:v>
                </c:pt>
                <c:pt idx="235">
                  <c:v>2.42</c:v>
                </c:pt>
                <c:pt idx="236">
                  <c:v>2.29</c:v>
                </c:pt>
                <c:pt idx="237">
                  <c:v>2.2400000000000002</c:v>
                </c:pt>
                <c:pt idx="238">
                  <c:v>1.99</c:v>
                </c:pt>
                <c:pt idx="239">
                  <c:v>2.09</c:v>
                </c:pt>
                <c:pt idx="240">
                  <c:v>2.17</c:v>
                </c:pt>
                <c:pt idx="241">
                  <c:v>2.31</c:v>
                </c:pt>
                <c:pt idx="242">
                  <c:v>1.95</c:v>
                </c:pt>
                <c:pt idx="243">
                  <c:v>2.29</c:v>
                </c:pt>
                <c:pt idx="244">
                  <c:v>2.39</c:v>
                </c:pt>
                <c:pt idx="245">
                  <c:v>2.4500000000000002</c:v>
                </c:pt>
                <c:pt idx="246">
                  <c:v>2.44</c:v>
                </c:pt>
                <c:pt idx="247">
                  <c:v>2.4300000000000002</c:v>
                </c:pt>
                <c:pt idx="248">
                  <c:v>2.19</c:v>
                </c:pt>
                <c:pt idx="249">
                  <c:v>2.23</c:v>
                </c:pt>
                <c:pt idx="250">
                  <c:v>2.4700000000000002</c:v>
                </c:pt>
                <c:pt idx="251">
                  <c:v>2.39</c:v>
                </c:pt>
                <c:pt idx="252">
                  <c:v>2.4500000000000002</c:v>
                </c:pt>
                <c:pt idx="253">
                  <c:v>2.4900000000000002</c:v>
                </c:pt>
                <c:pt idx="254">
                  <c:v>2.4500000000000002</c:v>
                </c:pt>
                <c:pt idx="255">
                  <c:v>2.33</c:v>
                </c:pt>
                <c:pt idx="256">
                  <c:v>2.29</c:v>
                </c:pt>
                <c:pt idx="257">
                  <c:v>2.34</c:v>
                </c:pt>
                <c:pt idx="258">
                  <c:v>2.2400000000000002</c:v>
                </c:pt>
                <c:pt idx="259">
                  <c:v>2.29</c:v>
                </c:pt>
                <c:pt idx="260">
                  <c:v>2.36</c:v>
                </c:pt>
                <c:pt idx="261">
                  <c:v>2.19</c:v>
                </c:pt>
                <c:pt idx="262">
                  <c:v>2.29</c:v>
                </c:pt>
                <c:pt idx="263">
                  <c:v>2.25</c:v>
                </c:pt>
                <c:pt idx="264">
                  <c:v>2.2599999999999998</c:v>
                </c:pt>
                <c:pt idx="265">
                  <c:v>2.17</c:v>
                </c:pt>
                <c:pt idx="266">
                  <c:v>2.44</c:v>
                </c:pt>
                <c:pt idx="267">
                  <c:v>2.39</c:v>
                </c:pt>
                <c:pt idx="268">
                  <c:v>2.4300000000000002</c:v>
                </c:pt>
                <c:pt idx="269">
                  <c:v>2.19</c:v>
                </c:pt>
                <c:pt idx="270">
                  <c:v>3.05</c:v>
                </c:pt>
                <c:pt idx="271">
                  <c:v>2.37</c:v>
                </c:pt>
                <c:pt idx="272">
                  <c:v>2.19</c:v>
                </c:pt>
                <c:pt idx="273">
                  <c:v>2.35</c:v>
                </c:pt>
                <c:pt idx="274">
                  <c:v>2.09</c:v>
                </c:pt>
                <c:pt idx="275">
                  <c:v>2.27</c:v>
                </c:pt>
                <c:pt idx="276">
                  <c:v>2.14</c:v>
                </c:pt>
                <c:pt idx="277">
                  <c:v>1.98</c:v>
                </c:pt>
                <c:pt idx="278">
                  <c:v>2.14</c:v>
                </c:pt>
                <c:pt idx="279">
                  <c:v>2.0299999999999998</c:v>
                </c:pt>
                <c:pt idx="280">
                  <c:v>2.15</c:v>
                </c:pt>
                <c:pt idx="281">
                  <c:v>2.5499999999999998</c:v>
                </c:pt>
                <c:pt idx="282">
                  <c:v>2.19</c:v>
                </c:pt>
                <c:pt idx="283">
                  <c:v>2.09</c:v>
                </c:pt>
                <c:pt idx="284">
                  <c:v>2.15</c:v>
                </c:pt>
                <c:pt idx="285">
                  <c:v>1.99</c:v>
                </c:pt>
                <c:pt idx="286">
                  <c:v>2.14</c:v>
                </c:pt>
                <c:pt idx="287">
                  <c:v>2.37</c:v>
                </c:pt>
                <c:pt idx="288">
                  <c:v>2.79</c:v>
                </c:pt>
                <c:pt idx="289">
                  <c:v>2.39</c:v>
                </c:pt>
                <c:pt idx="290">
                  <c:v>2.35</c:v>
                </c:pt>
                <c:pt idx="291">
                  <c:v>2.99</c:v>
                </c:pt>
                <c:pt idx="292">
                  <c:v>2.79</c:v>
                </c:pt>
                <c:pt idx="293">
                  <c:v>2.39</c:v>
                </c:pt>
                <c:pt idx="294">
                  <c:v>2.15</c:v>
                </c:pt>
                <c:pt idx="295">
                  <c:v>2.33</c:v>
                </c:pt>
                <c:pt idx="296">
                  <c:v>2.08</c:v>
                </c:pt>
                <c:pt idx="297">
                  <c:v>2.39</c:v>
                </c:pt>
                <c:pt idx="298">
                  <c:v>2.23</c:v>
                </c:pt>
                <c:pt idx="299">
                  <c:v>2.17</c:v>
                </c:pt>
                <c:pt idx="300">
                  <c:v>2.27</c:v>
                </c:pt>
                <c:pt idx="301">
                  <c:v>2.29</c:v>
                </c:pt>
                <c:pt idx="302">
                  <c:v>2.27</c:v>
                </c:pt>
                <c:pt idx="303">
                  <c:v>2.23</c:v>
                </c:pt>
                <c:pt idx="304">
                  <c:v>2.2400000000000002</c:v>
                </c:pt>
                <c:pt idx="305">
                  <c:v>2.29</c:v>
                </c:pt>
                <c:pt idx="306">
                  <c:v>2.37</c:v>
                </c:pt>
                <c:pt idx="307">
                  <c:v>2.0099999999999998</c:v>
                </c:pt>
                <c:pt idx="308">
                  <c:v>2.19</c:v>
                </c:pt>
                <c:pt idx="309">
                  <c:v>2.0699999999999998</c:v>
                </c:pt>
                <c:pt idx="310">
                  <c:v>2.09</c:v>
                </c:pt>
                <c:pt idx="311">
                  <c:v>2.09</c:v>
                </c:pt>
                <c:pt idx="312">
                  <c:v>2.17</c:v>
                </c:pt>
                <c:pt idx="313">
                  <c:v>2.0299999999999998</c:v>
                </c:pt>
                <c:pt idx="314">
                  <c:v>2.0499999999999998</c:v>
                </c:pt>
                <c:pt idx="315">
                  <c:v>2.0499999999999998</c:v>
                </c:pt>
                <c:pt idx="316">
                  <c:v>2.0499999999999998</c:v>
                </c:pt>
                <c:pt idx="317">
                  <c:v>2.0499999999999998</c:v>
                </c:pt>
                <c:pt idx="318">
                  <c:v>2.0299999999999998</c:v>
                </c:pt>
                <c:pt idx="319">
                  <c:v>2.0499999999999998</c:v>
                </c:pt>
                <c:pt idx="320">
                  <c:v>2.15</c:v>
                </c:pt>
                <c:pt idx="321">
                  <c:v>1.99</c:v>
                </c:pt>
                <c:pt idx="322">
                  <c:v>2.19</c:v>
                </c:pt>
                <c:pt idx="323">
                  <c:v>2.0699999999999998</c:v>
                </c:pt>
                <c:pt idx="324">
                  <c:v>2.0499999999999998</c:v>
                </c:pt>
                <c:pt idx="325">
                  <c:v>2.15</c:v>
                </c:pt>
                <c:pt idx="326">
                  <c:v>2.72</c:v>
                </c:pt>
                <c:pt idx="327">
                  <c:v>2.97</c:v>
                </c:pt>
                <c:pt idx="328">
                  <c:v>2.65</c:v>
                </c:pt>
                <c:pt idx="329">
                  <c:v>2.02</c:v>
                </c:pt>
                <c:pt idx="330">
                  <c:v>2.0699999999999998</c:v>
                </c:pt>
                <c:pt idx="331">
                  <c:v>2.09</c:v>
                </c:pt>
                <c:pt idx="332">
                  <c:v>2.25</c:v>
                </c:pt>
                <c:pt idx="333">
                  <c:v>2.34</c:v>
                </c:pt>
                <c:pt idx="334">
                  <c:v>2.19</c:v>
                </c:pt>
                <c:pt idx="335">
                  <c:v>2.34</c:v>
                </c:pt>
                <c:pt idx="336">
                  <c:v>2.93</c:v>
                </c:pt>
                <c:pt idx="337">
                  <c:v>2.62</c:v>
                </c:pt>
                <c:pt idx="338">
                  <c:v>2.27</c:v>
                </c:pt>
                <c:pt idx="339">
                  <c:v>1.99</c:v>
                </c:pt>
                <c:pt idx="340">
                  <c:v>2.1800000000000002</c:v>
                </c:pt>
                <c:pt idx="341">
                  <c:v>2.4900000000000002</c:v>
                </c:pt>
                <c:pt idx="342">
                  <c:v>2.39</c:v>
                </c:pt>
                <c:pt idx="343">
                  <c:v>2.35</c:v>
                </c:pt>
                <c:pt idx="344">
                  <c:v>2.89</c:v>
                </c:pt>
                <c:pt idx="345">
                  <c:v>1.96</c:v>
                </c:pt>
                <c:pt idx="346">
                  <c:v>2.75</c:v>
                </c:pt>
                <c:pt idx="347">
                  <c:v>2.0699999999999998</c:v>
                </c:pt>
                <c:pt idx="348">
                  <c:v>2.19</c:v>
                </c:pt>
                <c:pt idx="349">
                  <c:v>2.46</c:v>
                </c:pt>
                <c:pt idx="350">
                  <c:v>2.69</c:v>
                </c:pt>
                <c:pt idx="351">
                  <c:v>2.39</c:v>
                </c:pt>
                <c:pt idx="352">
                  <c:v>2.99</c:v>
                </c:pt>
                <c:pt idx="353">
                  <c:v>3.09</c:v>
                </c:pt>
                <c:pt idx="354">
                  <c:v>2.35</c:v>
                </c:pt>
                <c:pt idx="355">
                  <c:v>2.34</c:v>
                </c:pt>
                <c:pt idx="356">
                  <c:v>2.27</c:v>
                </c:pt>
                <c:pt idx="357">
                  <c:v>2.2599999999999998</c:v>
                </c:pt>
                <c:pt idx="358">
                  <c:v>2.13</c:v>
                </c:pt>
                <c:pt idx="359">
                  <c:v>2.31</c:v>
                </c:pt>
                <c:pt idx="360">
                  <c:v>3.05</c:v>
                </c:pt>
                <c:pt idx="361">
                  <c:v>2.79</c:v>
                </c:pt>
                <c:pt idx="362">
                  <c:v>2.0699999999999998</c:v>
                </c:pt>
                <c:pt idx="363">
                  <c:v>1.9</c:v>
                </c:pt>
                <c:pt idx="364">
                  <c:v>2.4500000000000002</c:v>
                </c:pt>
                <c:pt idx="365">
                  <c:v>2.34</c:v>
                </c:pt>
                <c:pt idx="366">
                  <c:v>2.37</c:v>
                </c:pt>
                <c:pt idx="367">
                  <c:v>2.59</c:v>
                </c:pt>
                <c:pt idx="368">
                  <c:v>2.38</c:v>
                </c:pt>
                <c:pt idx="369">
                  <c:v>2.2799999999999998</c:v>
                </c:pt>
                <c:pt idx="370">
                  <c:v>2.2599999999999998</c:v>
                </c:pt>
                <c:pt idx="371">
                  <c:v>2.37</c:v>
                </c:pt>
                <c:pt idx="372">
                  <c:v>2.44</c:v>
                </c:pt>
                <c:pt idx="373">
                  <c:v>2.39</c:v>
                </c:pt>
                <c:pt idx="374">
                  <c:v>2.4900000000000002</c:v>
                </c:pt>
                <c:pt idx="375">
                  <c:v>2.48</c:v>
                </c:pt>
                <c:pt idx="376">
                  <c:v>2.52</c:v>
                </c:pt>
                <c:pt idx="377">
                  <c:v>2.4700000000000002</c:v>
                </c:pt>
                <c:pt idx="378">
                  <c:v>2.34</c:v>
                </c:pt>
                <c:pt idx="379">
                  <c:v>2.29</c:v>
                </c:pt>
                <c:pt idx="380">
                  <c:v>2.39</c:v>
                </c:pt>
                <c:pt idx="381">
                  <c:v>2.39</c:v>
                </c:pt>
                <c:pt idx="382">
                  <c:v>2.39</c:v>
                </c:pt>
                <c:pt idx="383">
                  <c:v>2.35</c:v>
                </c:pt>
                <c:pt idx="384">
                  <c:v>2.3199999999999998</c:v>
                </c:pt>
                <c:pt idx="385">
                  <c:v>2.33</c:v>
                </c:pt>
                <c:pt idx="386">
                  <c:v>2.1800000000000002</c:v>
                </c:pt>
                <c:pt idx="387">
                  <c:v>2.29</c:v>
                </c:pt>
                <c:pt idx="388">
                  <c:v>2.39</c:v>
                </c:pt>
                <c:pt idx="389">
                  <c:v>2.37</c:v>
                </c:pt>
                <c:pt idx="390">
                  <c:v>2.19</c:v>
                </c:pt>
                <c:pt idx="391">
                  <c:v>1.94</c:v>
                </c:pt>
                <c:pt idx="392">
                  <c:v>2.15</c:v>
                </c:pt>
                <c:pt idx="393">
                  <c:v>2.29</c:v>
                </c:pt>
                <c:pt idx="394">
                  <c:v>2.31</c:v>
                </c:pt>
                <c:pt idx="395">
                  <c:v>2.04</c:v>
                </c:pt>
                <c:pt idx="396">
                  <c:v>2.0699999999999998</c:v>
                </c:pt>
                <c:pt idx="397">
                  <c:v>2.16</c:v>
                </c:pt>
                <c:pt idx="398">
                  <c:v>2.39</c:v>
                </c:pt>
                <c:pt idx="399">
                  <c:v>2.39</c:v>
                </c:pt>
                <c:pt idx="400">
                  <c:v>2.39</c:v>
                </c:pt>
                <c:pt idx="401">
                  <c:v>2.29</c:v>
                </c:pt>
                <c:pt idx="402">
                  <c:v>3.09</c:v>
                </c:pt>
                <c:pt idx="403">
                  <c:v>2.02</c:v>
                </c:pt>
                <c:pt idx="404">
                  <c:v>2.4900000000000002</c:v>
                </c:pt>
                <c:pt idx="405">
                  <c:v>2.42</c:v>
                </c:pt>
                <c:pt idx="406">
                  <c:v>2.34</c:v>
                </c:pt>
                <c:pt idx="407">
                  <c:v>2.0499999999999998</c:v>
                </c:pt>
                <c:pt idx="408">
                  <c:v>2.15</c:v>
                </c:pt>
                <c:pt idx="409">
                  <c:v>2.27</c:v>
                </c:pt>
                <c:pt idx="410">
                  <c:v>2.29</c:v>
                </c:pt>
                <c:pt idx="411">
                  <c:v>2.23</c:v>
                </c:pt>
                <c:pt idx="412">
                  <c:v>2.25</c:v>
                </c:pt>
                <c:pt idx="413">
                  <c:v>2.19</c:v>
                </c:pt>
                <c:pt idx="414">
                  <c:v>2.0499999999999998</c:v>
                </c:pt>
                <c:pt idx="415">
                  <c:v>1.99</c:v>
                </c:pt>
                <c:pt idx="416">
                  <c:v>2.36</c:v>
                </c:pt>
                <c:pt idx="417">
                  <c:v>2.09</c:v>
                </c:pt>
                <c:pt idx="418">
                  <c:v>2.2599999999999998</c:v>
                </c:pt>
                <c:pt idx="419">
                  <c:v>2.61</c:v>
                </c:pt>
                <c:pt idx="420">
                  <c:v>2.15</c:v>
                </c:pt>
                <c:pt idx="421">
                  <c:v>3.89</c:v>
                </c:pt>
                <c:pt idx="422">
                  <c:v>2.0699999999999998</c:v>
                </c:pt>
                <c:pt idx="423">
                  <c:v>2.14</c:v>
                </c:pt>
                <c:pt idx="424">
                  <c:v>2.89</c:v>
                </c:pt>
                <c:pt idx="425">
                  <c:v>1.99</c:v>
                </c:pt>
                <c:pt idx="426">
                  <c:v>2.29</c:v>
                </c:pt>
                <c:pt idx="427">
                  <c:v>2.74</c:v>
                </c:pt>
                <c:pt idx="428">
                  <c:v>2.29</c:v>
                </c:pt>
                <c:pt idx="429">
                  <c:v>2.1800000000000002</c:v>
                </c:pt>
                <c:pt idx="430">
                  <c:v>2.19</c:v>
                </c:pt>
                <c:pt idx="431">
                  <c:v>2.09</c:v>
                </c:pt>
                <c:pt idx="432">
                  <c:v>2.19</c:v>
                </c:pt>
                <c:pt idx="433">
                  <c:v>2.15</c:v>
                </c:pt>
                <c:pt idx="434">
                  <c:v>2.11</c:v>
                </c:pt>
                <c:pt idx="435">
                  <c:v>2.25</c:v>
                </c:pt>
                <c:pt idx="436">
                  <c:v>2.2799999999999998</c:v>
                </c:pt>
                <c:pt idx="437">
                  <c:v>2.13</c:v>
                </c:pt>
                <c:pt idx="438">
                  <c:v>2.25</c:v>
                </c:pt>
                <c:pt idx="439">
                  <c:v>2.2599999999999998</c:v>
                </c:pt>
                <c:pt idx="440">
                  <c:v>3.25</c:v>
                </c:pt>
                <c:pt idx="441">
                  <c:v>2.4900000000000002</c:v>
                </c:pt>
                <c:pt idx="442">
                  <c:v>2.2599999999999998</c:v>
                </c:pt>
                <c:pt idx="443">
                  <c:v>2.86</c:v>
                </c:pt>
                <c:pt idx="444">
                  <c:v>2.39</c:v>
                </c:pt>
                <c:pt idx="445">
                  <c:v>2.09</c:v>
                </c:pt>
                <c:pt idx="446">
                  <c:v>2.35</c:v>
                </c:pt>
                <c:pt idx="447">
                  <c:v>2.15</c:v>
                </c:pt>
                <c:pt idx="448">
                  <c:v>2.19</c:v>
                </c:pt>
                <c:pt idx="449">
                  <c:v>2.35</c:v>
                </c:pt>
                <c:pt idx="450">
                  <c:v>2.17</c:v>
                </c:pt>
                <c:pt idx="451">
                  <c:v>2.35</c:v>
                </c:pt>
                <c:pt idx="452">
                  <c:v>2.27</c:v>
                </c:pt>
                <c:pt idx="453">
                  <c:v>3.39</c:v>
                </c:pt>
                <c:pt idx="454">
                  <c:v>2.27</c:v>
                </c:pt>
                <c:pt idx="455">
                  <c:v>2.39</c:v>
                </c:pt>
                <c:pt idx="456">
                  <c:v>2.29</c:v>
                </c:pt>
                <c:pt idx="457">
                  <c:v>2.27</c:v>
                </c:pt>
                <c:pt idx="458">
                  <c:v>2.2400000000000002</c:v>
                </c:pt>
                <c:pt idx="459">
                  <c:v>2.23</c:v>
                </c:pt>
                <c:pt idx="460">
                  <c:v>2.0499999999999998</c:v>
                </c:pt>
                <c:pt idx="461">
                  <c:v>2.19</c:v>
                </c:pt>
                <c:pt idx="462">
                  <c:v>2.21</c:v>
                </c:pt>
                <c:pt idx="463">
                  <c:v>2.81</c:v>
                </c:pt>
                <c:pt idx="464">
                  <c:v>2.15</c:v>
                </c:pt>
                <c:pt idx="465">
                  <c:v>2.89</c:v>
                </c:pt>
                <c:pt idx="466">
                  <c:v>2.27</c:v>
                </c:pt>
                <c:pt idx="467">
                  <c:v>2.27</c:v>
                </c:pt>
                <c:pt idx="468">
                  <c:v>2.39</c:v>
                </c:pt>
                <c:pt idx="469">
                  <c:v>2.35</c:v>
                </c:pt>
                <c:pt idx="470">
                  <c:v>2.93</c:v>
                </c:pt>
                <c:pt idx="471">
                  <c:v>1.99</c:v>
                </c:pt>
                <c:pt idx="472">
                  <c:v>2.75</c:v>
                </c:pt>
                <c:pt idx="473">
                  <c:v>2.29</c:v>
                </c:pt>
                <c:pt idx="474">
                  <c:v>2.35</c:v>
                </c:pt>
                <c:pt idx="475">
                  <c:v>2.23</c:v>
                </c:pt>
                <c:pt idx="476">
                  <c:v>2.59</c:v>
                </c:pt>
                <c:pt idx="477">
                  <c:v>2.35</c:v>
                </c:pt>
                <c:pt idx="478">
                  <c:v>2.29</c:v>
                </c:pt>
                <c:pt idx="479">
                  <c:v>2.39</c:v>
                </c:pt>
                <c:pt idx="480">
                  <c:v>2.19</c:v>
                </c:pt>
                <c:pt idx="481">
                  <c:v>3.09</c:v>
                </c:pt>
                <c:pt idx="482">
                  <c:v>1.99</c:v>
                </c:pt>
                <c:pt idx="483">
                  <c:v>3.09</c:v>
                </c:pt>
                <c:pt idx="484">
                  <c:v>2.5299999999999998</c:v>
                </c:pt>
                <c:pt idx="485">
                  <c:v>2.35</c:v>
                </c:pt>
                <c:pt idx="486">
                  <c:v>2.79</c:v>
                </c:pt>
                <c:pt idx="487">
                  <c:v>2.29</c:v>
                </c:pt>
                <c:pt idx="488">
                  <c:v>2.0699999999999998</c:v>
                </c:pt>
                <c:pt idx="489">
                  <c:v>2.29</c:v>
                </c:pt>
                <c:pt idx="490">
                  <c:v>3.09</c:v>
                </c:pt>
                <c:pt idx="491">
                  <c:v>2.4500000000000002</c:v>
                </c:pt>
                <c:pt idx="492">
                  <c:v>2.35</c:v>
                </c:pt>
                <c:pt idx="493">
                  <c:v>2.4300000000000002</c:v>
                </c:pt>
                <c:pt idx="494">
                  <c:v>2.21</c:v>
                </c:pt>
                <c:pt idx="495">
                  <c:v>2.5499999999999998</c:v>
                </c:pt>
                <c:pt idx="496">
                  <c:v>2.59</c:v>
                </c:pt>
                <c:pt idx="497">
                  <c:v>2.31</c:v>
                </c:pt>
                <c:pt idx="498">
                  <c:v>2.59</c:v>
                </c:pt>
                <c:pt idx="499">
                  <c:v>2.19</c:v>
                </c:pt>
                <c:pt idx="500">
                  <c:v>2.39</c:v>
                </c:pt>
                <c:pt idx="501">
                  <c:v>1.99</c:v>
                </c:pt>
                <c:pt idx="502">
                  <c:v>2.79</c:v>
                </c:pt>
                <c:pt idx="503">
                  <c:v>3.09</c:v>
                </c:pt>
                <c:pt idx="504">
                  <c:v>2.2200000000000002</c:v>
                </c:pt>
                <c:pt idx="505">
                  <c:v>2.4700000000000002</c:v>
                </c:pt>
                <c:pt idx="506">
                  <c:v>2.35</c:v>
                </c:pt>
                <c:pt idx="507">
                  <c:v>2.4300000000000002</c:v>
                </c:pt>
                <c:pt idx="508">
                  <c:v>2.39</c:v>
                </c:pt>
                <c:pt idx="509">
                  <c:v>2.29</c:v>
                </c:pt>
                <c:pt idx="510">
                  <c:v>2.59</c:v>
                </c:pt>
                <c:pt idx="511">
                  <c:v>2.95</c:v>
                </c:pt>
                <c:pt idx="512">
                  <c:v>2.4900000000000002</c:v>
                </c:pt>
                <c:pt idx="513">
                  <c:v>2.4900000000000002</c:v>
                </c:pt>
                <c:pt idx="514">
                  <c:v>2.25</c:v>
                </c:pt>
                <c:pt idx="515">
                  <c:v>2.11</c:v>
                </c:pt>
                <c:pt idx="516">
                  <c:v>3.19</c:v>
                </c:pt>
                <c:pt idx="517">
                  <c:v>2.4900000000000002</c:v>
                </c:pt>
                <c:pt idx="518">
                  <c:v>2.5499999999999998</c:v>
                </c:pt>
                <c:pt idx="519">
                  <c:v>2.25</c:v>
                </c:pt>
                <c:pt idx="520">
                  <c:v>2.0699999999999998</c:v>
                </c:pt>
                <c:pt idx="521">
                  <c:v>2.19</c:v>
                </c:pt>
                <c:pt idx="522">
                  <c:v>2.29</c:v>
                </c:pt>
                <c:pt idx="523">
                  <c:v>2.31</c:v>
                </c:pt>
                <c:pt idx="524">
                  <c:v>2.34</c:v>
                </c:pt>
                <c:pt idx="525">
                  <c:v>2.3199999999999998</c:v>
                </c:pt>
                <c:pt idx="526">
                  <c:v>2.2400000000000002</c:v>
                </c:pt>
                <c:pt idx="527">
                  <c:v>2.2000000000000002</c:v>
                </c:pt>
                <c:pt idx="528">
                  <c:v>2.13</c:v>
                </c:pt>
                <c:pt idx="529">
                  <c:v>2.31</c:v>
                </c:pt>
                <c:pt idx="530">
                  <c:v>1.99</c:v>
                </c:pt>
                <c:pt idx="531">
                  <c:v>2.25</c:v>
                </c:pt>
                <c:pt idx="532">
                  <c:v>2.5499999999999998</c:v>
                </c:pt>
                <c:pt idx="533">
                  <c:v>2.2400000000000002</c:v>
                </c:pt>
                <c:pt idx="534">
                  <c:v>2.09</c:v>
                </c:pt>
                <c:pt idx="535">
                  <c:v>2.99</c:v>
                </c:pt>
                <c:pt idx="536">
                  <c:v>1.96</c:v>
                </c:pt>
                <c:pt idx="537">
                  <c:v>2.4</c:v>
                </c:pt>
                <c:pt idx="538">
                  <c:v>2.09</c:v>
                </c:pt>
                <c:pt idx="539">
                  <c:v>2.5</c:v>
                </c:pt>
                <c:pt idx="540">
                  <c:v>2.35</c:v>
                </c:pt>
                <c:pt idx="541">
                  <c:v>2.09</c:v>
                </c:pt>
                <c:pt idx="542">
                  <c:v>2.59</c:v>
                </c:pt>
                <c:pt idx="543">
                  <c:v>2.2200000000000002</c:v>
                </c:pt>
                <c:pt idx="544">
                  <c:v>2.79</c:v>
                </c:pt>
                <c:pt idx="545">
                  <c:v>2.35</c:v>
                </c:pt>
                <c:pt idx="546">
                  <c:v>2.09</c:v>
                </c:pt>
                <c:pt idx="547">
                  <c:v>2.4500000000000002</c:v>
                </c:pt>
                <c:pt idx="548">
                  <c:v>2.5499999999999998</c:v>
                </c:pt>
                <c:pt idx="549">
                  <c:v>2.11</c:v>
                </c:pt>
                <c:pt idx="550">
                  <c:v>2.35</c:v>
                </c:pt>
                <c:pt idx="551">
                  <c:v>2.2599999999999998</c:v>
                </c:pt>
                <c:pt idx="552">
                  <c:v>2.69</c:v>
                </c:pt>
                <c:pt idx="553">
                  <c:v>2.59</c:v>
                </c:pt>
                <c:pt idx="554">
                  <c:v>2.0699999999999998</c:v>
                </c:pt>
                <c:pt idx="555">
                  <c:v>2.46</c:v>
                </c:pt>
                <c:pt idx="556">
                  <c:v>2.23</c:v>
                </c:pt>
                <c:pt idx="557">
                  <c:v>2.99</c:v>
                </c:pt>
                <c:pt idx="558">
                  <c:v>2.4300000000000002</c:v>
                </c:pt>
                <c:pt idx="559">
                  <c:v>2.1800000000000002</c:v>
                </c:pt>
                <c:pt idx="560">
                  <c:v>2.37</c:v>
                </c:pt>
                <c:pt idx="561">
                  <c:v>2.36</c:v>
                </c:pt>
                <c:pt idx="562">
                  <c:v>2.0699999999999998</c:v>
                </c:pt>
                <c:pt idx="563">
                  <c:v>2.31</c:v>
                </c:pt>
                <c:pt idx="564">
                  <c:v>1.99</c:v>
                </c:pt>
                <c:pt idx="565">
                  <c:v>2.13</c:v>
                </c:pt>
                <c:pt idx="566">
                  <c:v>2.19</c:v>
                </c:pt>
                <c:pt idx="567">
                  <c:v>2.15</c:v>
                </c:pt>
                <c:pt idx="568">
                  <c:v>2.39</c:v>
                </c:pt>
                <c:pt idx="569">
                  <c:v>2.09</c:v>
                </c:pt>
                <c:pt idx="570">
                  <c:v>2.27</c:v>
                </c:pt>
                <c:pt idx="571">
                  <c:v>2.59</c:v>
                </c:pt>
                <c:pt idx="572">
                  <c:v>2.15</c:v>
                </c:pt>
                <c:pt idx="573">
                  <c:v>2.1800000000000002</c:v>
                </c:pt>
                <c:pt idx="574">
                  <c:v>2.19</c:v>
                </c:pt>
                <c:pt idx="575">
                  <c:v>2.59</c:v>
                </c:pt>
                <c:pt idx="576">
                  <c:v>2.89</c:v>
                </c:pt>
                <c:pt idx="577">
                  <c:v>2.17</c:v>
                </c:pt>
                <c:pt idx="578">
                  <c:v>2.25</c:v>
                </c:pt>
                <c:pt idx="579">
                  <c:v>2.4500000000000002</c:v>
                </c:pt>
                <c:pt idx="580">
                  <c:v>2.0699999999999998</c:v>
                </c:pt>
                <c:pt idx="581">
                  <c:v>2.89</c:v>
                </c:pt>
                <c:pt idx="582">
                  <c:v>2.15</c:v>
                </c:pt>
                <c:pt idx="583">
                  <c:v>2.23</c:v>
                </c:pt>
                <c:pt idx="584">
                  <c:v>2.4900000000000002</c:v>
                </c:pt>
                <c:pt idx="585">
                  <c:v>2.59</c:v>
                </c:pt>
                <c:pt idx="586">
                  <c:v>2.33</c:v>
                </c:pt>
                <c:pt idx="587">
                  <c:v>2.19</c:v>
                </c:pt>
                <c:pt idx="588">
                  <c:v>2.2400000000000002</c:v>
                </c:pt>
                <c:pt idx="589">
                  <c:v>2.35</c:v>
                </c:pt>
                <c:pt idx="590">
                  <c:v>3.29</c:v>
                </c:pt>
                <c:pt idx="591">
                  <c:v>2.29</c:v>
                </c:pt>
                <c:pt idx="592">
                  <c:v>2.19</c:v>
                </c:pt>
                <c:pt idx="593">
                  <c:v>2.37</c:v>
                </c:pt>
                <c:pt idx="594">
                  <c:v>2.0499999999999998</c:v>
                </c:pt>
                <c:pt idx="595">
                  <c:v>2.33</c:v>
                </c:pt>
                <c:pt idx="596">
                  <c:v>2.4700000000000002</c:v>
                </c:pt>
                <c:pt idx="597">
                  <c:v>2.23</c:v>
                </c:pt>
                <c:pt idx="598">
                  <c:v>2.4300000000000002</c:v>
                </c:pt>
                <c:pt idx="599">
                  <c:v>2.19</c:v>
                </c:pt>
                <c:pt idx="600">
                  <c:v>2.33</c:v>
                </c:pt>
                <c:pt idx="601">
                  <c:v>2.35</c:v>
                </c:pt>
                <c:pt idx="602">
                  <c:v>2.59</c:v>
                </c:pt>
                <c:pt idx="603">
                  <c:v>2.29</c:v>
                </c:pt>
                <c:pt idx="604">
                  <c:v>2.21</c:v>
                </c:pt>
                <c:pt idx="605">
                  <c:v>2.6</c:v>
                </c:pt>
                <c:pt idx="606">
                  <c:v>2.19</c:v>
                </c:pt>
                <c:pt idx="607">
                  <c:v>2.99</c:v>
                </c:pt>
                <c:pt idx="608">
                  <c:v>1.93</c:v>
                </c:pt>
                <c:pt idx="609">
                  <c:v>2.85</c:v>
                </c:pt>
                <c:pt idx="610">
                  <c:v>2.15</c:v>
                </c:pt>
                <c:pt idx="611">
                  <c:v>2.09</c:v>
                </c:pt>
                <c:pt idx="612">
                  <c:v>2.09</c:v>
                </c:pt>
                <c:pt idx="613">
                  <c:v>2.09</c:v>
                </c:pt>
                <c:pt idx="614">
                  <c:v>2.2799999999999998</c:v>
                </c:pt>
                <c:pt idx="615">
                  <c:v>2.19</c:v>
                </c:pt>
              </c:numCache>
            </c:numRef>
          </c:xVal>
          <c:yVal>
            <c:numRef>
              <c:f>'GB Cash vs EIA'!$B$2:$B$617</c:f>
              <c:numCache>
                <c:formatCode>General</c:formatCode>
                <c:ptCount val="616"/>
                <c:pt idx="0">
                  <c:v>2.2490000000000001</c:v>
                </c:pt>
                <c:pt idx="1">
                  <c:v>2.2389999999999999</c:v>
                </c:pt>
                <c:pt idx="2">
                  <c:v>2.2989999999999999</c:v>
                </c:pt>
                <c:pt idx="3">
                  <c:v>2.2189999999999999</c:v>
                </c:pt>
                <c:pt idx="4">
                  <c:v>2.2589999999999999</c:v>
                </c:pt>
                <c:pt idx="5">
                  <c:v>2.2789999999999999</c:v>
                </c:pt>
                <c:pt idx="6">
                  <c:v>2.1989999999999998</c:v>
                </c:pt>
                <c:pt idx="7">
                  <c:v>2.2989999999999999</c:v>
                </c:pt>
                <c:pt idx="8">
                  <c:v>2.4790000000000001</c:v>
                </c:pt>
                <c:pt idx="9">
                  <c:v>2.2989999999999999</c:v>
                </c:pt>
                <c:pt idx="10">
                  <c:v>2.419</c:v>
                </c:pt>
                <c:pt idx="11">
                  <c:v>2.5990000000000002</c:v>
                </c:pt>
                <c:pt idx="12">
                  <c:v>2.4489999999999998</c:v>
                </c:pt>
                <c:pt idx="13">
                  <c:v>2.0289999999999999</c:v>
                </c:pt>
                <c:pt idx="14">
                  <c:v>2.9990000000000001</c:v>
                </c:pt>
                <c:pt idx="15">
                  <c:v>3.2589999999999999</c:v>
                </c:pt>
                <c:pt idx="16">
                  <c:v>3.1589999999999998</c:v>
                </c:pt>
                <c:pt idx="17">
                  <c:v>2.1789999999999998</c:v>
                </c:pt>
                <c:pt idx="18">
                  <c:v>2.899</c:v>
                </c:pt>
                <c:pt idx="19">
                  <c:v>2.2490000000000001</c:v>
                </c:pt>
                <c:pt idx="20">
                  <c:v>1.9790000000000001</c:v>
                </c:pt>
                <c:pt idx="21">
                  <c:v>2.5590000000000002</c:v>
                </c:pt>
                <c:pt idx="22">
                  <c:v>2.2989999999999999</c:v>
                </c:pt>
                <c:pt idx="23">
                  <c:v>2.04</c:v>
                </c:pt>
                <c:pt idx="24">
                  <c:v>2.4990000000000001</c:v>
                </c:pt>
                <c:pt idx="25">
                  <c:v>2.4590000000000001</c:v>
                </c:pt>
                <c:pt idx="26">
                  <c:v>2.4590000000000001</c:v>
                </c:pt>
                <c:pt idx="27">
                  <c:v>2.2589999999999999</c:v>
                </c:pt>
                <c:pt idx="28">
                  <c:v>2.2389999999999999</c:v>
                </c:pt>
                <c:pt idx="29">
                  <c:v>3.0190000000000001</c:v>
                </c:pt>
                <c:pt idx="30">
                  <c:v>2.1389999999999998</c:v>
                </c:pt>
                <c:pt idx="31">
                  <c:v>2.319</c:v>
                </c:pt>
                <c:pt idx="32">
                  <c:v>2.0990000000000002</c:v>
                </c:pt>
                <c:pt idx="33">
                  <c:v>2.9390000000000001</c:v>
                </c:pt>
                <c:pt idx="34">
                  <c:v>2.0990000000000002</c:v>
                </c:pt>
                <c:pt idx="35">
                  <c:v>2.5790000000000002</c:v>
                </c:pt>
                <c:pt idx="36">
                  <c:v>2.2989999999999999</c:v>
                </c:pt>
                <c:pt idx="37">
                  <c:v>2.2989999999999999</c:v>
                </c:pt>
                <c:pt idx="38">
                  <c:v>2.399</c:v>
                </c:pt>
                <c:pt idx="39">
                  <c:v>2.0590000000000002</c:v>
                </c:pt>
                <c:pt idx="40">
                  <c:v>1.9590000000000001</c:v>
                </c:pt>
                <c:pt idx="41">
                  <c:v>2.4590000000000001</c:v>
                </c:pt>
                <c:pt idx="42">
                  <c:v>2.1989999999999998</c:v>
                </c:pt>
                <c:pt idx="43">
                  <c:v>2.2490000000000001</c:v>
                </c:pt>
                <c:pt idx="44">
                  <c:v>2.2189999999999999</c:v>
                </c:pt>
                <c:pt idx="45">
                  <c:v>2.4990000000000001</c:v>
                </c:pt>
                <c:pt idx="46">
                  <c:v>2.09</c:v>
                </c:pt>
                <c:pt idx="47">
                  <c:v>2.2850000000000001</c:v>
                </c:pt>
                <c:pt idx="48">
                  <c:v>2.3090000000000002</c:v>
                </c:pt>
                <c:pt idx="49">
                  <c:v>2.3090000000000002</c:v>
                </c:pt>
                <c:pt idx="50">
                  <c:v>2.75</c:v>
                </c:pt>
                <c:pt idx="51">
                  <c:v>3.09</c:v>
                </c:pt>
                <c:pt idx="52">
                  <c:v>2.2400000000000002</c:v>
                </c:pt>
                <c:pt idx="53">
                  <c:v>2.399</c:v>
                </c:pt>
                <c:pt idx="54">
                  <c:v>2.0790000000000002</c:v>
                </c:pt>
                <c:pt idx="55">
                  <c:v>2.2589999999999999</c:v>
                </c:pt>
                <c:pt idx="56">
                  <c:v>2.2789999999999999</c:v>
                </c:pt>
                <c:pt idx="57">
                  <c:v>2.2890000000000001</c:v>
                </c:pt>
                <c:pt idx="58">
                  <c:v>2.1589999999999998</c:v>
                </c:pt>
                <c:pt idx="59">
                  <c:v>1.99</c:v>
                </c:pt>
                <c:pt idx="60">
                  <c:v>3.129</c:v>
                </c:pt>
                <c:pt idx="61">
                  <c:v>2.7389999999999999</c:v>
                </c:pt>
                <c:pt idx="62">
                  <c:v>2.359</c:v>
                </c:pt>
                <c:pt idx="63">
                  <c:v>2.1589999999999998</c:v>
                </c:pt>
                <c:pt idx="64">
                  <c:v>2.169</c:v>
                </c:pt>
                <c:pt idx="65">
                  <c:v>2.1589999999999998</c:v>
                </c:pt>
                <c:pt idx="66">
                  <c:v>2.2690000000000001</c:v>
                </c:pt>
                <c:pt idx="67">
                  <c:v>2.2989999999999999</c:v>
                </c:pt>
                <c:pt idx="68">
                  <c:v>2.319</c:v>
                </c:pt>
                <c:pt idx="69">
                  <c:v>2.4289999999999998</c:v>
                </c:pt>
                <c:pt idx="70">
                  <c:v>2.1989999999999998</c:v>
                </c:pt>
                <c:pt idx="71">
                  <c:v>2.0790000000000002</c:v>
                </c:pt>
                <c:pt idx="72">
                  <c:v>2.2090000000000001</c:v>
                </c:pt>
                <c:pt idx="73">
                  <c:v>2.4900000000000002</c:v>
                </c:pt>
                <c:pt idx="74">
                  <c:v>2.37</c:v>
                </c:pt>
                <c:pt idx="75">
                  <c:v>2.0990000000000002</c:v>
                </c:pt>
                <c:pt idx="76">
                  <c:v>2.2189999999999999</c:v>
                </c:pt>
                <c:pt idx="77">
                  <c:v>2.5289999999999999</c:v>
                </c:pt>
                <c:pt idx="78">
                  <c:v>2.1589999999999998</c:v>
                </c:pt>
                <c:pt idx="79">
                  <c:v>2.4390000000000001</c:v>
                </c:pt>
                <c:pt idx="80">
                  <c:v>2.0790000000000002</c:v>
                </c:pt>
                <c:pt idx="81">
                  <c:v>2.23</c:v>
                </c:pt>
                <c:pt idx="82">
                  <c:v>1.94</c:v>
                </c:pt>
                <c:pt idx="83">
                  <c:v>2.04</c:v>
                </c:pt>
                <c:pt idx="84">
                  <c:v>1.94</c:v>
                </c:pt>
                <c:pt idx="85">
                  <c:v>1.95</c:v>
                </c:pt>
                <c:pt idx="86">
                  <c:v>2.2589999999999999</c:v>
                </c:pt>
                <c:pt idx="87">
                  <c:v>2.1989999999999998</c:v>
                </c:pt>
                <c:pt idx="88">
                  <c:v>2.34</c:v>
                </c:pt>
                <c:pt idx="89">
                  <c:v>2.2589999999999999</c:v>
                </c:pt>
                <c:pt idx="90">
                  <c:v>2.2189999999999999</c:v>
                </c:pt>
                <c:pt idx="91">
                  <c:v>2.3490000000000002</c:v>
                </c:pt>
                <c:pt idx="92">
                  <c:v>2.4990000000000001</c:v>
                </c:pt>
                <c:pt idx="93">
                  <c:v>2.0590000000000002</c:v>
                </c:pt>
                <c:pt idx="94">
                  <c:v>2.6589999999999998</c:v>
                </c:pt>
                <c:pt idx="95">
                  <c:v>2.21</c:v>
                </c:pt>
                <c:pt idx="96">
                  <c:v>2.399</c:v>
                </c:pt>
                <c:pt idx="97">
                  <c:v>2.1589999999999998</c:v>
                </c:pt>
                <c:pt idx="98">
                  <c:v>2.4990000000000001</c:v>
                </c:pt>
                <c:pt idx="99">
                  <c:v>2.5990000000000002</c:v>
                </c:pt>
                <c:pt idx="100">
                  <c:v>2.5990000000000002</c:v>
                </c:pt>
                <c:pt idx="101">
                  <c:v>2.5990000000000002</c:v>
                </c:pt>
                <c:pt idx="102">
                  <c:v>2.4590000000000001</c:v>
                </c:pt>
                <c:pt idx="103">
                  <c:v>2.2789999999999999</c:v>
                </c:pt>
                <c:pt idx="104">
                  <c:v>2.2890000000000001</c:v>
                </c:pt>
                <c:pt idx="105">
                  <c:v>2.3290000000000002</c:v>
                </c:pt>
                <c:pt idx="106">
                  <c:v>2.4900000000000002</c:v>
                </c:pt>
                <c:pt idx="107">
                  <c:v>2.29</c:v>
                </c:pt>
                <c:pt idx="108">
                  <c:v>2.4590000000000001</c:v>
                </c:pt>
                <c:pt idx="109">
                  <c:v>2.149</c:v>
                </c:pt>
                <c:pt idx="110">
                  <c:v>2.5990000000000002</c:v>
                </c:pt>
                <c:pt idx="111">
                  <c:v>2.0790000000000002</c:v>
                </c:pt>
                <c:pt idx="112">
                  <c:v>2.399</c:v>
                </c:pt>
                <c:pt idx="113">
                  <c:v>2.2490000000000001</c:v>
                </c:pt>
                <c:pt idx="114">
                  <c:v>2.9329999999999998</c:v>
                </c:pt>
                <c:pt idx="115">
                  <c:v>2.2490000000000001</c:v>
                </c:pt>
                <c:pt idx="116">
                  <c:v>2.9990000000000001</c:v>
                </c:pt>
                <c:pt idx="117">
                  <c:v>2.6589999999999998</c:v>
                </c:pt>
                <c:pt idx="118">
                  <c:v>2.169</c:v>
                </c:pt>
                <c:pt idx="119">
                  <c:v>2.319</c:v>
                </c:pt>
                <c:pt idx="120">
                  <c:v>2.2389999999999999</c:v>
                </c:pt>
                <c:pt idx="121">
                  <c:v>2.3290000000000002</c:v>
                </c:pt>
                <c:pt idx="122">
                  <c:v>2.9590000000000001</c:v>
                </c:pt>
                <c:pt idx="123">
                  <c:v>2.0590000000000002</c:v>
                </c:pt>
                <c:pt idx="124">
                  <c:v>2.5590000000000002</c:v>
                </c:pt>
                <c:pt idx="125">
                  <c:v>2.1989999999999998</c:v>
                </c:pt>
                <c:pt idx="126">
                  <c:v>2.129</c:v>
                </c:pt>
                <c:pt idx="127">
                  <c:v>2.2989999999999999</c:v>
                </c:pt>
                <c:pt idx="128">
                  <c:v>2.1989999999999998</c:v>
                </c:pt>
                <c:pt idx="129">
                  <c:v>2.9590000000000001</c:v>
                </c:pt>
                <c:pt idx="130">
                  <c:v>3.0790000000000002</c:v>
                </c:pt>
                <c:pt idx="131">
                  <c:v>3.1589999999999998</c:v>
                </c:pt>
                <c:pt idx="132">
                  <c:v>2.6989999999999998</c:v>
                </c:pt>
                <c:pt idx="133">
                  <c:v>2.319</c:v>
                </c:pt>
                <c:pt idx="134">
                  <c:v>2.899</c:v>
                </c:pt>
                <c:pt idx="135">
                  <c:v>2.09</c:v>
                </c:pt>
                <c:pt idx="136">
                  <c:v>2.6589999999999998</c:v>
                </c:pt>
                <c:pt idx="137">
                  <c:v>2.2400000000000002</c:v>
                </c:pt>
                <c:pt idx="138">
                  <c:v>2.17</c:v>
                </c:pt>
                <c:pt idx="139">
                  <c:v>2.2400000000000002</c:v>
                </c:pt>
                <c:pt idx="140">
                  <c:v>2.21</c:v>
                </c:pt>
                <c:pt idx="141">
                  <c:v>2.21</c:v>
                </c:pt>
                <c:pt idx="142">
                  <c:v>2.19</c:v>
                </c:pt>
                <c:pt idx="143">
                  <c:v>2.19</c:v>
                </c:pt>
                <c:pt idx="144">
                  <c:v>2.2400000000000002</c:v>
                </c:pt>
                <c:pt idx="145">
                  <c:v>2.19</c:v>
                </c:pt>
                <c:pt idx="146">
                  <c:v>2.23</c:v>
                </c:pt>
                <c:pt idx="147">
                  <c:v>2.09</c:v>
                </c:pt>
                <c:pt idx="148">
                  <c:v>1.99</c:v>
                </c:pt>
                <c:pt idx="149">
                  <c:v>2.09</c:v>
                </c:pt>
                <c:pt idx="150">
                  <c:v>2.5990000000000002</c:v>
                </c:pt>
                <c:pt idx="151">
                  <c:v>2.899</c:v>
                </c:pt>
                <c:pt idx="152">
                  <c:v>2.359</c:v>
                </c:pt>
                <c:pt idx="153">
                  <c:v>2.3180000000000001</c:v>
                </c:pt>
                <c:pt idx="154">
                  <c:v>2.3490000000000002</c:v>
                </c:pt>
                <c:pt idx="155">
                  <c:v>2.3490000000000002</c:v>
                </c:pt>
                <c:pt idx="156">
                  <c:v>1.99</c:v>
                </c:pt>
                <c:pt idx="157">
                  <c:v>2.359</c:v>
                </c:pt>
                <c:pt idx="158">
                  <c:v>2.1989999999999998</c:v>
                </c:pt>
                <c:pt idx="159">
                  <c:v>2.399</c:v>
                </c:pt>
                <c:pt idx="160">
                  <c:v>2.4990000000000001</c:v>
                </c:pt>
                <c:pt idx="161">
                  <c:v>2.6190000000000002</c:v>
                </c:pt>
                <c:pt idx="162">
                  <c:v>2.879</c:v>
                </c:pt>
                <c:pt idx="163">
                  <c:v>2.319</c:v>
                </c:pt>
                <c:pt idx="164">
                  <c:v>2.0590000000000002</c:v>
                </c:pt>
                <c:pt idx="165">
                  <c:v>3.1389999999999998</c:v>
                </c:pt>
                <c:pt idx="166">
                  <c:v>2.7090000000000001</c:v>
                </c:pt>
                <c:pt idx="167">
                  <c:v>2.129</c:v>
                </c:pt>
                <c:pt idx="168">
                  <c:v>2.7989999999999999</c:v>
                </c:pt>
                <c:pt idx="169">
                  <c:v>2.149</c:v>
                </c:pt>
                <c:pt idx="170">
                  <c:v>2.0590000000000002</c:v>
                </c:pt>
                <c:pt idx="171">
                  <c:v>2.2589999999999999</c:v>
                </c:pt>
                <c:pt idx="172">
                  <c:v>2.1989999999999998</c:v>
                </c:pt>
                <c:pt idx="173">
                  <c:v>2.6190000000000002</c:v>
                </c:pt>
                <c:pt idx="174">
                  <c:v>2.2989999999999999</c:v>
                </c:pt>
                <c:pt idx="175">
                  <c:v>2.1789999999999998</c:v>
                </c:pt>
                <c:pt idx="176">
                  <c:v>2.149</c:v>
                </c:pt>
                <c:pt idx="177">
                  <c:v>2.359</c:v>
                </c:pt>
                <c:pt idx="178">
                  <c:v>2.4990000000000001</c:v>
                </c:pt>
                <c:pt idx="179">
                  <c:v>2.149</c:v>
                </c:pt>
                <c:pt idx="180">
                  <c:v>1.9990000000000001</c:v>
                </c:pt>
                <c:pt idx="181">
                  <c:v>2.0990000000000002</c:v>
                </c:pt>
                <c:pt idx="182">
                  <c:v>2.9990000000000001</c:v>
                </c:pt>
                <c:pt idx="183">
                  <c:v>2.9289999999999998</c:v>
                </c:pt>
                <c:pt idx="184">
                  <c:v>2.1989999999999998</c:v>
                </c:pt>
                <c:pt idx="185">
                  <c:v>2.2290000000000001</c:v>
                </c:pt>
                <c:pt idx="186">
                  <c:v>1.9690000000000001</c:v>
                </c:pt>
                <c:pt idx="187">
                  <c:v>2.0990000000000002</c:v>
                </c:pt>
                <c:pt idx="188">
                  <c:v>2.6389999999999998</c:v>
                </c:pt>
                <c:pt idx="189">
                  <c:v>3.1989999999999998</c:v>
                </c:pt>
                <c:pt idx="190">
                  <c:v>2.899</c:v>
                </c:pt>
                <c:pt idx="191">
                  <c:v>2.4590000000000001</c:v>
                </c:pt>
                <c:pt idx="192">
                  <c:v>2.1589999999999998</c:v>
                </c:pt>
                <c:pt idx="193">
                  <c:v>2.4990000000000001</c:v>
                </c:pt>
                <c:pt idx="194">
                  <c:v>1.9390000000000001</c:v>
                </c:pt>
                <c:pt idx="195">
                  <c:v>2.419</c:v>
                </c:pt>
                <c:pt idx="196">
                  <c:v>2.9990000000000001</c:v>
                </c:pt>
                <c:pt idx="197">
                  <c:v>2.3290000000000002</c:v>
                </c:pt>
                <c:pt idx="198">
                  <c:v>2.5190000000000001</c:v>
                </c:pt>
                <c:pt idx="199">
                  <c:v>2.2890000000000001</c:v>
                </c:pt>
                <c:pt idx="200">
                  <c:v>2.3290000000000002</c:v>
                </c:pt>
                <c:pt idx="201">
                  <c:v>2.359</c:v>
                </c:pt>
                <c:pt idx="202">
                  <c:v>2.6190000000000002</c:v>
                </c:pt>
                <c:pt idx="203">
                  <c:v>2.4990000000000001</c:v>
                </c:pt>
                <c:pt idx="204">
                  <c:v>2.7989999999999999</c:v>
                </c:pt>
                <c:pt idx="205">
                  <c:v>2.1589999999999998</c:v>
                </c:pt>
                <c:pt idx="206">
                  <c:v>2.2989999999999999</c:v>
                </c:pt>
                <c:pt idx="207">
                  <c:v>2.7989999999999999</c:v>
                </c:pt>
                <c:pt idx="208">
                  <c:v>2.6989999999999998</c:v>
                </c:pt>
                <c:pt idx="209">
                  <c:v>2.3690000000000002</c:v>
                </c:pt>
                <c:pt idx="210">
                  <c:v>2.1989999999999998</c:v>
                </c:pt>
                <c:pt idx="211">
                  <c:v>2.3969999999999998</c:v>
                </c:pt>
                <c:pt idx="212">
                  <c:v>2.129</c:v>
                </c:pt>
                <c:pt idx="213">
                  <c:v>2.2389999999999999</c:v>
                </c:pt>
                <c:pt idx="214">
                  <c:v>2.4990000000000001</c:v>
                </c:pt>
                <c:pt idx="215">
                  <c:v>2.2189999999999999</c:v>
                </c:pt>
                <c:pt idx="216">
                  <c:v>2.5590000000000002</c:v>
                </c:pt>
                <c:pt idx="217">
                  <c:v>2.2490000000000001</c:v>
                </c:pt>
                <c:pt idx="218">
                  <c:v>2.4990000000000001</c:v>
                </c:pt>
                <c:pt idx="219">
                  <c:v>2.2589999999999999</c:v>
                </c:pt>
                <c:pt idx="220">
                  <c:v>1.9990000000000001</c:v>
                </c:pt>
                <c:pt idx="221">
                  <c:v>2.4990000000000001</c:v>
                </c:pt>
                <c:pt idx="222">
                  <c:v>2.169</c:v>
                </c:pt>
                <c:pt idx="223">
                  <c:v>2.2989999999999999</c:v>
                </c:pt>
                <c:pt idx="224">
                  <c:v>2.399</c:v>
                </c:pt>
                <c:pt idx="225">
                  <c:v>2.0990000000000002</c:v>
                </c:pt>
                <c:pt idx="226">
                  <c:v>2.2989999999999999</c:v>
                </c:pt>
                <c:pt idx="227">
                  <c:v>2.4990000000000001</c:v>
                </c:pt>
                <c:pt idx="228">
                  <c:v>1.9390000000000001</c:v>
                </c:pt>
                <c:pt idx="229">
                  <c:v>2.1589999999999998</c:v>
                </c:pt>
                <c:pt idx="230">
                  <c:v>2.2890000000000001</c:v>
                </c:pt>
                <c:pt idx="231">
                  <c:v>2.032</c:v>
                </c:pt>
                <c:pt idx="232">
                  <c:v>2.5990000000000002</c:v>
                </c:pt>
                <c:pt idx="233">
                  <c:v>2.169</c:v>
                </c:pt>
                <c:pt idx="234">
                  <c:v>2.2189999999999999</c:v>
                </c:pt>
                <c:pt idx="235">
                  <c:v>2.4289999999999998</c:v>
                </c:pt>
                <c:pt idx="236">
                  <c:v>2.2989999999999999</c:v>
                </c:pt>
                <c:pt idx="237">
                  <c:v>2.2490000000000001</c:v>
                </c:pt>
                <c:pt idx="238">
                  <c:v>1.99</c:v>
                </c:pt>
                <c:pt idx="239">
                  <c:v>2.0990000000000002</c:v>
                </c:pt>
                <c:pt idx="240">
                  <c:v>2.1389999999999998</c:v>
                </c:pt>
                <c:pt idx="241">
                  <c:v>2.31</c:v>
                </c:pt>
                <c:pt idx="242">
                  <c:v>1.9590000000000001</c:v>
                </c:pt>
                <c:pt idx="243">
                  <c:v>2.2989999999999999</c:v>
                </c:pt>
                <c:pt idx="244">
                  <c:v>2.399</c:v>
                </c:pt>
                <c:pt idx="245">
                  <c:v>2.4990000000000001</c:v>
                </c:pt>
                <c:pt idx="246">
                  <c:v>2.4990000000000001</c:v>
                </c:pt>
                <c:pt idx="247">
                  <c:v>2.4390000000000001</c:v>
                </c:pt>
                <c:pt idx="248">
                  <c:v>2.1989999999999998</c:v>
                </c:pt>
                <c:pt idx="249">
                  <c:v>2.2389999999999999</c:v>
                </c:pt>
                <c:pt idx="250">
                  <c:v>2.4590000000000001</c:v>
                </c:pt>
                <c:pt idx="251">
                  <c:v>2.399</c:v>
                </c:pt>
                <c:pt idx="252">
                  <c:v>2.4590000000000001</c:v>
                </c:pt>
                <c:pt idx="253">
                  <c:v>2.4990000000000001</c:v>
                </c:pt>
                <c:pt idx="254">
                  <c:v>2.4790000000000001</c:v>
                </c:pt>
                <c:pt idx="255">
                  <c:v>2.339</c:v>
                </c:pt>
                <c:pt idx="256">
                  <c:v>2.2989999999999999</c:v>
                </c:pt>
                <c:pt idx="257">
                  <c:v>2.3490000000000002</c:v>
                </c:pt>
                <c:pt idx="258">
                  <c:v>2.3090000000000002</c:v>
                </c:pt>
                <c:pt idx="259">
                  <c:v>2.2989999999999999</c:v>
                </c:pt>
                <c:pt idx="260">
                  <c:v>2.3690000000000002</c:v>
                </c:pt>
                <c:pt idx="261">
                  <c:v>2.1989999999999998</c:v>
                </c:pt>
                <c:pt idx="262">
                  <c:v>2.2989999999999999</c:v>
                </c:pt>
                <c:pt idx="263">
                  <c:v>2.2589999999999999</c:v>
                </c:pt>
                <c:pt idx="264">
                  <c:v>2.2989999999999999</c:v>
                </c:pt>
                <c:pt idx="265">
                  <c:v>2.2589999999999999</c:v>
                </c:pt>
                <c:pt idx="266">
                  <c:v>2.4089999999999998</c:v>
                </c:pt>
                <c:pt idx="267">
                  <c:v>2.399</c:v>
                </c:pt>
                <c:pt idx="268">
                  <c:v>2.4390000000000001</c:v>
                </c:pt>
                <c:pt idx="269">
                  <c:v>2.1989999999999998</c:v>
                </c:pt>
                <c:pt idx="270">
                  <c:v>3.0590000000000002</c:v>
                </c:pt>
                <c:pt idx="271">
                  <c:v>2.379</c:v>
                </c:pt>
                <c:pt idx="272">
                  <c:v>2.1989999999999998</c:v>
                </c:pt>
                <c:pt idx="273">
                  <c:v>2.359</c:v>
                </c:pt>
                <c:pt idx="274">
                  <c:v>2.0990000000000002</c:v>
                </c:pt>
                <c:pt idx="275">
                  <c:v>2.2789999999999999</c:v>
                </c:pt>
                <c:pt idx="276">
                  <c:v>2.14</c:v>
                </c:pt>
                <c:pt idx="277">
                  <c:v>1.98</c:v>
                </c:pt>
                <c:pt idx="278">
                  <c:v>2.14</c:v>
                </c:pt>
                <c:pt idx="279">
                  <c:v>2.0299999999999998</c:v>
                </c:pt>
                <c:pt idx="280">
                  <c:v>2.15</c:v>
                </c:pt>
                <c:pt idx="281">
                  <c:v>2.4990000000000001</c:v>
                </c:pt>
                <c:pt idx="282">
                  <c:v>2.1989999999999998</c:v>
                </c:pt>
                <c:pt idx="283">
                  <c:v>2.0990000000000002</c:v>
                </c:pt>
                <c:pt idx="284">
                  <c:v>2.1589999999999998</c:v>
                </c:pt>
                <c:pt idx="285">
                  <c:v>1.9990000000000001</c:v>
                </c:pt>
                <c:pt idx="286">
                  <c:v>2.149</c:v>
                </c:pt>
                <c:pt idx="287">
                  <c:v>2.379</c:v>
                </c:pt>
                <c:pt idx="288">
                  <c:v>2.7989999999999999</c:v>
                </c:pt>
                <c:pt idx="289">
                  <c:v>2.399</c:v>
                </c:pt>
                <c:pt idx="290">
                  <c:v>2.359</c:v>
                </c:pt>
                <c:pt idx="291">
                  <c:v>2.9990000000000001</c:v>
                </c:pt>
                <c:pt idx="292">
                  <c:v>2.7989999999999999</c:v>
                </c:pt>
                <c:pt idx="293">
                  <c:v>2.399</c:v>
                </c:pt>
                <c:pt idx="294">
                  <c:v>2.1589999999999998</c:v>
                </c:pt>
                <c:pt idx="295">
                  <c:v>2.2989999999999999</c:v>
                </c:pt>
                <c:pt idx="296">
                  <c:v>2.089</c:v>
                </c:pt>
                <c:pt idx="297">
                  <c:v>2.2189999999999999</c:v>
                </c:pt>
                <c:pt idx="298">
                  <c:v>2.2389999999999999</c:v>
                </c:pt>
                <c:pt idx="299">
                  <c:v>2.2389999999999999</c:v>
                </c:pt>
                <c:pt idx="300">
                  <c:v>2.2789999999999999</c:v>
                </c:pt>
                <c:pt idx="301">
                  <c:v>2.2989999999999999</c:v>
                </c:pt>
                <c:pt idx="302">
                  <c:v>2.2789999999999999</c:v>
                </c:pt>
                <c:pt idx="303">
                  <c:v>2.2389999999999999</c:v>
                </c:pt>
                <c:pt idx="304">
                  <c:v>2.2789999999999999</c:v>
                </c:pt>
                <c:pt idx="305">
                  <c:v>2.2989999999999999</c:v>
                </c:pt>
                <c:pt idx="306">
                  <c:v>2.4289999999999998</c:v>
                </c:pt>
                <c:pt idx="307">
                  <c:v>2.0190000000000001</c:v>
                </c:pt>
                <c:pt idx="308">
                  <c:v>2.149</c:v>
                </c:pt>
                <c:pt idx="309">
                  <c:v>2.0790000000000002</c:v>
                </c:pt>
                <c:pt idx="310">
                  <c:v>2.0790000000000002</c:v>
                </c:pt>
                <c:pt idx="311">
                  <c:v>2.0990000000000002</c:v>
                </c:pt>
                <c:pt idx="312">
                  <c:v>2.1789999999999998</c:v>
                </c:pt>
                <c:pt idx="313">
                  <c:v>1.9990000000000001</c:v>
                </c:pt>
                <c:pt idx="314">
                  <c:v>2.1589999999999998</c:v>
                </c:pt>
                <c:pt idx="315">
                  <c:v>2.1589999999999998</c:v>
                </c:pt>
                <c:pt idx="316">
                  <c:v>2.1589999999999998</c:v>
                </c:pt>
                <c:pt idx="317">
                  <c:v>2.1589999999999998</c:v>
                </c:pt>
                <c:pt idx="318">
                  <c:v>2.1589999999999998</c:v>
                </c:pt>
                <c:pt idx="319">
                  <c:v>2.1589999999999998</c:v>
                </c:pt>
                <c:pt idx="320">
                  <c:v>2.1589999999999998</c:v>
                </c:pt>
                <c:pt idx="321">
                  <c:v>2.0990000000000002</c:v>
                </c:pt>
                <c:pt idx="322">
                  <c:v>2.089</c:v>
                </c:pt>
                <c:pt idx="323">
                  <c:v>2.1589999999999998</c:v>
                </c:pt>
                <c:pt idx="324">
                  <c:v>2.0590000000000002</c:v>
                </c:pt>
                <c:pt idx="325">
                  <c:v>2.1589999999999998</c:v>
                </c:pt>
                <c:pt idx="326">
                  <c:v>2.7290000000000001</c:v>
                </c:pt>
                <c:pt idx="327">
                  <c:v>2.9790000000000001</c:v>
                </c:pt>
                <c:pt idx="328">
                  <c:v>2.6589999999999998</c:v>
                </c:pt>
                <c:pt idx="329">
                  <c:v>2.0990000000000002</c:v>
                </c:pt>
                <c:pt idx="330">
                  <c:v>2.1389999999999998</c:v>
                </c:pt>
                <c:pt idx="331">
                  <c:v>2.0990000000000002</c:v>
                </c:pt>
                <c:pt idx="332">
                  <c:v>2.2589999999999999</c:v>
                </c:pt>
                <c:pt idx="333">
                  <c:v>2.3490000000000002</c:v>
                </c:pt>
                <c:pt idx="334">
                  <c:v>2.1389999999999998</c:v>
                </c:pt>
                <c:pt idx="335">
                  <c:v>2.2989999999999999</c:v>
                </c:pt>
                <c:pt idx="336">
                  <c:v>2.9390000000000001</c:v>
                </c:pt>
                <c:pt idx="337">
                  <c:v>2.629</c:v>
                </c:pt>
                <c:pt idx="338">
                  <c:v>2.2789999999999999</c:v>
                </c:pt>
                <c:pt idx="339">
                  <c:v>1.9990000000000001</c:v>
                </c:pt>
                <c:pt idx="340">
                  <c:v>2.1989999999999998</c:v>
                </c:pt>
                <c:pt idx="341">
                  <c:v>2.4990000000000001</c:v>
                </c:pt>
                <c:pt idx="342">
                  <c:v>2.379</c:v>
                </c:pt>
                <c:pt idx="343">
                  <c:v>2.359</c:v>
                </c:pt>
                <c:pt idx="344">
                  <c:v>2.899</c:v>
                </c:pt>
                <c:pt idx="345">
                  <c:v>1.9690000000000001</c:v>
                </c:pt>
                <c:pt idx="346">
                  <c:v>2.7589999999999999</c:v>
                </c:pt>
                <c:pt idx="347">
                  <c:v>2.0790000000000002</c:v>
                </c:pt>
                <c:pt idx="348">
                  <c:v>2.1589999999999998</c:v>
                </c:pt>
                <c:pt idx="349">
                  <c:v>2.4689999999999999</c:v>
                </c:pt>
                <c:pt idx="350">
                  <c:v>2.6989999999999998</c:v>
                </c:pt>
                <c:pt idx="351">
                  <c:v>2.419</c:v>
                </c:pt>
                <c:pt idx="352">
                  <c:v>2.9990000000000001</c:v>
                </c:pt>
                <c:pt idx="353">
                  <c:v>3.0990000000000002</c:v>
                </c:pt>
                <c:pt idx="354">
                  <c:v>2.3490000000000002</c:v>
                </c:pt>
                <c:pt idx="355">
                  <c:v>2.3490000000000002</c:v>
                </c:pt>
                <c:pt idx="356">
                  <c:v>2.2989999999999999</c:v>
                </c:pt>
                <c:pt idx="357">
                  <c:v>2.2690000000000001</c:v>
                </c:pt>
                <c:pt idx="358">
                  <c:v>2.1389999999999998</c:v>
                </c:pt>
                <c:pt idx="359">
                  <c:v>2.319</c:v>
                </c:pt>
                <c:pt idx="360">
                  <c:v>3.0790000000000002</c:v>
                </c:pt>
                <c:pt idx="361">
                  <c:v>2.7989999999999999</c:v>
                </c:pt>
                <c:pt idx="362">
                  <c:v>2.0790000000000002</c:v>
                </c:pt>
                <c:pt idx="363">
                  <c:v>1.929</c:v>
                </c:pt>
                <c:pt idx="364">
                  <c:v>2.4590000000000001</c:v>
                </c:pt>
                <c:pt idx="365">
                  <c:v>2.3490000000000002</c:v>
                </c:pt>
                <c:pt idx="366">
                  <c:v>2.379</c:v>
                </c:pt>
                <c:pt idx="367">
                  <c:v>2.4990000000000001</c:v>
                </c:pt>
                <c:pt idx="368">
                  <c:v>2.3889999999999998</c:v>
                </c:pt>
                <c:pt idx="369">
                  <c:v>2.2890000000000001</c:v>
                </c:pt>
                <c:pt idx="370">
                  <c:v>2.4390000000000001</c:v>
                </c:pt>
                <c:pt idx="371">
                  <c:v>2.379</c:v>
                </c:pt>
                <c:pt idx="372">
                  <c:v>2.4489999999999998</c:v>
                </c:pt>
                <c:pt idx="373">
                  <c:v>2.399</c:v>
                </c:pt>
                <c:pt idx="374">
                  <c:v>2.4990000000000001</c:v>
                </c:pt>
                <c:pt idx="375">
                  <c:v>2.4390000000000001</c:v>
                </c:pt>
                <c:pt idx="376">
                  <c:v>2.5289999999999999</c:v>
                </c:pt>
                <c:pt idx="377">
                  <c:v>2.4790000000000001</c:v>
                </c:pt>
                <c:pt idx="378">
                  <c:v>2.3490000000000002</c:v>
                </c:pt>
                <c:pt idx="379">
                  <c:v>2.2989999999999999</c:v>
                </c:pt>
                <c:pt idx="380">
                  <c:v>2.3290000000000002</c:v>
                </c:pt>
                <c:pt idx="381">
                  <c:v>2.399</c:v>
                </c:pt>
                <c:pt idx="382">
                  <c:v>2.379</c:v>
                </c:pt>
                <c:pt idx="383">
                  <c:v>2.359</c:v>
                </c:pt>
                <c:pt idx="384">
                  <c:v>2.359</c:v>
                </c:pt>
                <c:pt idx="385">
                  <c:v>2.339</c:v>
                </c:pt>
                <c:pt idx="386">
                  <c:v>2.1789999999999998</c:v>
                </c:pt>
                <c:pt idx="387">
                  <c:v>2.2989999999999999</c:v>
                </c:pt>
                <c:pt idx="388">
                  <c:v>2.359</c:v>
                </c:pt>
                <c:pt idx="389">
                  <c:v>2.379</c:v>
                </c:pt>
                <c:pt idx="390">
                  <c:v>2.1989999999999998</c:v>
                </c:pt>
                <c:pt idx="391">
                  <c:v>1.9490000000000001</c:v>
                </c:pt>
                <c:pt idx="392">
                  <c:v>2.0299999999999998</c:v>
                </c:pt>
                <c:pt idx="393">
                  <c:v>2.2989999999999999</c:v>
                </c:pt>
                <c:pt idx="394">
                  <c:v>2.319</c:v>
                </c:pt>
                <c:pt idx="395">
                  <c:v>2.0489999999999999</c:v>
                </c:pt>
                <c:pt idx="396">
                  <c:v>2.0990000000000002</c:v>
                </c:pt>
                <c:pt idx="397">
                  <c:v>2.169</c:v>
                </c:pt>
                <c:pt idx="398">
                  <c:v>2.399</c:v>
                </c:pt>
                <c:pt idx="399">
                  <c:v>2.399</c:v>
                </c:pt>
                <c:pt idx="400">
                  <c:v>2.399</c:v>
                </c:pt>
                <c:pt idx="401">
                  <c:v>2.2989999999999999</c:v>
                </c:pt>
                <c:pt idx="402">
                  <c:v>3.0990000000000002</c:v>
                </c:pt>
                <c:pt idx="403">
                  <c:v>2.0289999999999999</c:v>
                </c:pt>
                <c:pt idx="404">
                  <c:v>2.4990000000000001</c:v>
                </c:pt>
                <c:pt idx="405">
                  <c:v>2.379</c:v>
                </c:pt>
                <c:pt idx="406">
                  <c:v>2.3490000000000002</c:v>
                </c:pt>
                <c:pt idx="407">
                  <c:v>2.1589999999999998</c:v>
                </c:pt>
                <c:pt idx="408">
                  <c:v>2.1589999999999998</c:v>
                </c:pt>
                <c:pt idx="409">
                  <c:v>2.2789999999999999</c:v>
                </c:pt>
                <c:pt idx="410">
                  <c:v>2.29</c:v>
                </c:pt>
                <c:pt idx="411">
                  <c:v>2.2389999999999999</c:v>
                </c:pt>
                <c:pt idx="412">
                  <c:v>2.3130000000000002</c:v>
                </c:pt>
                <c:pt idx="413">
                  <c:v>2.1989999999999998</c:v>
                </c:pt>
                <c:pt idx="414">
                  <c:v>2.1789999999999998</c:v>
                </c:pt>
                <c:pt idx="415">
                  <c:v>1.9990000000000001</c:v>
                </c:pt>
                <c:pt idx="416">
                  <c:v>2.3690000000000002</c:v>
                </c:pt>
                <c:pt idx="417">
                  <c:v>2.09</c:v>
                </c:pt>
                <c:pt idx="418">
                  <c:v>2.2690000000000001</c:v>
                </c:pt>
                <c:pt idx="419">
                  <c:v>2.6190000000000002</c:v>
                </c:pt>
                <c:pt idx="420">
                  <c:v>2.1589999999999998</c:v>
                </c:pt>
                <c:pt idx="421">
                  <c:v>3.899</c:v>
                </c:pt>
                <c:pt idx="422">
                  <c:v>2.0790000000000002</c:v>
                </c:pt>
                <c:pt idx="423">
                  <c:v>2.149</c:v>
                </c:pt>
                <c:pt idx="424">
                  <c:v>2.899</c:v>
                </c:pt>
                <c:pt idx="425">
                  <c:v>1.9990000000000001</c:v>
                </c:pt>
                <c:pt idx="426">
                  <c:v>2.2989999999999999</c:v>
                </c:pt>
                <c:pt idx="427">
                  <c:v>2.7490000000000001</c:v>
                </c:pt>
                <c:pt idx="428">
                  <c:v>2.2989999999999999</c:v>
                </c:pt>
                <c:pt idx="429">
                  <c:v>2.089</c:v>
                </c:pt>
                <c:pt idx="430">
                  <c:v>2.1989999999999998</c:v>
                </c:pt>
                <c:pt idx="431">
                  <c:v>2.0990000000000002</c:v>
                </c:pt>
                <c:pt idx="432">
                  <c:v>2.1989999999999998</c:v>
                </c:pt>
                <c:pt idx="433">
                  <c:v>2.15</c:v>
                </c:pt>
                <c:pt idx="434">
                  <c:v>2.1190000000000002</c:v>
                </c:pt>
                <c:pt idx="435">
                  <c:v>2.2589999999999999</c:v>
                </c:pt>
                <c:pt idx="436">
                  <c:v>2.2890000000000001</c:v>
                </c:pt>
                <c:pt idx="437">
                  <c:v>2.1389999999999998</c:v>
                </c:pt>
                <c:pt idx="438">
                  <c:v>2.2589999999999999</c:v>
                </c:pt>
                <c:pt idx="439">
                  <c:v>2.2690000000000001</c:v>
                </c:pt>
                <c:pt idx="440">
                  <c:v>3.2589999999999999</c:v>
                </c:pt>
                <c:pt idx="441">
                  <c:v>2.4990000000000001</c:v>
                </c:pt>
                <c:pt idx="442">
                  <c:v>2.2690000000000001</c:v>
                </c:pt>
                <c:pt idx="443">
                  <c:v>2.86</c:v>
                </c:pt>
                <c:pt idx="444">
                  <c:v>2.399</c:v>
                </c:pt>
                <c:pt idx="445">
                  <c:v>2.0990000000000002</c:v>
                </c:pt>
                <c:pt idx="446">
                  <c:v>2.359</c:v>
                </c:pt>
                <c:pt idx="447">
                  <c:v>2.1589999999999998</c:v>
                </c:pt>
                <c:pt idx="448">
                  <c:v>2.1989999999999998</c:v>
                </c:pt>
                <c:pt idx="449">
                  <c:v>2.359</c:v>
                </c:pt>
                <c:pt idx="450">
                  <c:v>2.1789999999999998</c:v>
                </c:pt>
                <c:pt idx="451">
                  <c:v>2.359</c:v>
                </c:pt>
                <c:pt idx="452">
                  <c:v>2.2789999999999999</c:v>
                </c:pt>
                <c:pt idx="453">
                  <c:v>3.399</c:v>
                </c:pt>
                <c:pt idx="454">
                  <c:v>2.2789999999999999</c:v>
                </c:pt>
                <c:pt idx="455">
                  <c:v>2.399</c:v>
                </c:pt>
                <c:pt idx="456">
                  <c:v>2.2989999999999999</c:v>
                </c:pt>
                <c:pt idx="457">
                  <c:v>2.2789999999999999</c:v>
                </c:pt>
                <c:pt idx="458">
                  <c:v>2.2490000000000001</c:v>
                </c:pt>
                <c:pt idx="459">
                  <c:v>2.2389999999999999</c:v>
                </c:pt>
                <c:pt idx="460">
                  <c:v>2.1589999999999998</c:v>
                </c:pt>
                <c:pt idx="461">
                  <c:v>2.1989999999999998</c:v>
                </c:pt>
                <c:pt idx="462">
                  <c:v>2.2189999999999999</c:v>
                </c:pt>
                <c:pt idx="463">
                  <c:v>2.9590000000000001</c:v>
                </c:pt>
                <c:pt idx="464">
                  <c:v>2.1589999999999998</c:v>
                </c:pt>
                <c:pt idx="465">
                  <c:v>2.899</c:v>
                </c:pt>
                <c:pt idx="466">
                  <c:v>2.37</c:v>
                </c:pt>
                <c:pt idx="467">
                  <c:v>2.339</c:v>
                </c:pt>
                <c:pt idx="468">
                  <c:v>2.39</c:v>
                </c:pt>
                <c:pt idx="469">
                  <c:v>2.359</c:v>
                </c:pt>
                <c:pt idx="470">
                  <c:v>2.93</c:v>
                </c:pt>
                <c:pt idx="471">
                  <c:v>1.9990000000000001</c:v>
                </c:pt>
                <c:pt idx="472">
                  <c:v>2.7589999999999999</c:v>
                </c:pt>
                <c:pt idx="473">
                  <c:v>2.2989999999999999</c:v>
                </c:pt>
                <c:pt idx="474">
                  <c:v>2.359</c:v>
                </c:pt>
                <c:pt idx="475">
                  <c:v>2.2389999999999999</c:v>
                </c:pt>
                <c:pt idx="476">
                  <c:v>2.5990000000000002</c:v>
                </c:pt>
                <c:pt idx="477">
                  <c:v>2.359</c:v>
                </c:pt>
                <c:pt idx="478">
                  <c:v>2.2989999999999999</c:v>
                </c:pt>
                <c:pt idx="479">
                  <c:v>2.359</c:v>
                </c:pt>
                <c:pt idx="480">
                  <c:v>2.1589999999999998</c:v>
                </c:pt>
                <c:pt idx="481">
                  <c:v>3.0990000000000002</c:v>
                </c:pt>
                <c:pt idx="482">
                  <c:v>1.9990000000000001</c:v>
                </c:pt>
                <c:pt idx="483">
                  <c:v>2.9990000000000001</c:v>
                </c:pt>
                <c:pt idx="484">
                  <c:v>2.5390000000000001</c:v>
                </c:pt>
                <c:pt idx="485">
                  <c:v>2.399</c:v>
                </c:pt>
                <c:pt idx="486">
                  <c:v>2.87</c:v>
                </c:pt>
                <c:pt idx="487">
                  <c:v>2.2989999999999999</c:v>
                </c:pt>
                <c:pt idx="488">
                  <c:v>2.0790000000000002</c:v>
                </c:pt>
                <c:pt idx="489">
                  <c:v>2.2989999999999999</c:v>
                </c:pt>
                <c:pt idx="490">
                  <c:v>3.0990000000000002</c:v>
                </c:pt>
                <c:pt idx="491">
                  <c:v>2.4590000000000001</c:v>
                </c:pt>
                <c:pt idx="492">
                  <c:v>2.359</c:v>
                </c:pt>
                <c:pt idx="493">
                  <c:v>2.4390000000000001</c:v>
                </c:pt>
                <c:pt idx="494">
                  <c:v>2.2189999999999999</c:v>
                </c:pt>
                <c:pt idx="495">
                  <c:v>2.5590000000000002</c:v>
                </c:pt>
                <c:pt idx="496">
                  <c:v>2.5990000000000002</c:v>
                </c:pt>
                <c:pt idx="497">
                  <c:v>2.319</c:v>
                </c:pt>
                <c:pt idx="498">
                  <c:v>2.6589999999999998</c:v>
                </c:pt>
                <c:pt idx="499">
                  <c:v>2.1989999999999998</c:v>
                </c:pt>
                <c:pt idx="500">
                  <c:v>2.399</c:v>
                </c:pt>
                <c:pt idx="501">
                  <c:v>1.9990000000000001</c:v>
                </c:pt>
                <c:pt idx="502">
                  <c:v>2.7989999999999999</c:v>
                </c:pt>
                <c:pt idx="503">
                  <c:v>3.0990000000000002</c:v>
                </c:pt>
                <c:pt idx="504">
                  <c:v>2.2290000000000001</c:v>
                </c:pt>
                <c:pt idx="505">
                  <c:v>2.4790000000000001</c:v>
                </c:pt>
                <c:pt idx="506">
                  <c:v>2.35</c:v>
                </c:pt>
                <c:pt idx="507">
                  <c:v>2.4300000000000002</c:v>
                </c:pt>
                <c:pt idx="508">
                  <c:v>2.39</c:v>
                </c:pt>
                <c:pt idx="509">
                  <c:v>2.29</c:v>
                </c:pt>
                <c:pt idx="510">
                  <c:v>2.5990000000000002</c:v>
                </c:pt>
                <c:pt idx="511">
                  <c:v>2.9590000000000001</c:v>
                </c:pt>
                <c:pt idx="512">
                  <c:v>2.4990000000000001</c:v>
                </c:pt>
                <c:pt idx="513">
                  <c:v>2.4990000000000001</c:v>
                </c:pt>
                <c:pt idx="514">
                  <c:v>2.2589999999999999</c:v>
                </c:pt>
                <c:pt idx="515">
                  <c:v>2.1190000000000002</c:v>
                </c:pt>
                <c:pt idx="516">
                  <c:v>3.0990000000000002</c:v>
                </c:pt>
                <c:pt idx="517">
                  <c:v>2.4990000000000001</c:v>
                </c:pt>
                <c:pt idx="518">
                  <c:v>2.5499999999999998</c:v>
                </c:pt>
                <c:pt idx="519">
                  <c:v>2.2589999999999999</c:v>
                </c:pt>
                <c:pt idx="520">
                  <c:v>2.0790000000000002</c:v>
                </c:pt>
                <c:pt idx="521">
                  <c:v>2.2789999999999999</c:v>
                </c:pt>
                <c:pt idx="522">
                  <c:v>2.2989999999999999</c:v>
                </c:pt>
                <c:pt idx="523">
                  <c:v>2.319</c:v>
                </c:pt>
                <c:pt idx="524">
                  <c:v>2.3490000000000002</c:v>
                </c:pt>
                <c:pt idx="525">
                  <c:v>2.379</c:v>
                </c:pt>
                <c:pt idx="526">
                  <c:v>2.2490000000000001</c:v>
                </c:pt>
                <c:pt idx="527">
                  <c:v>2.149</c:v>
                </c:pt>
                <c:pt idx="528">
                  <c:v>2.1389999999999998</c:v>
                </c:pt>
                <c:pt idx="529">
                  <c:v>2.2789999999999999</c:v>
                </c:pt>
                <c:pt idx="530">
                  <c:v>1.9990000000000001</c:v>
                </c:pt>
                <c:pt idx="531">
                  <c:v>2.2589999999999999</c:v>
                </c:pt>
                <c:pt idx="532">
                  <c:v>2.5990000000000002</c:v>
                </c:pt>
                <c:pt idx="533">
                  <c:v>2.2490000000000001</c:v>
                </c:pt>
                <c:pt idx="534">
                  <c:v>2.0990000000000002</c:v>
                </c:pt>
                <c:pt idx="535">
                  <c:v>2.9990000000000001</c:v>
                </c:pt>
                <c:pt idx="536">
                  <c:v>1.9690000000000001</c:v>
                </c:pt>
                <c:pt idx="537">
                  <c:v>2.1589999999999998</c:v>
                </c:pt>
                <c:pt idx="538">
                  <c:v>2.0990000000000002</c:v>
                </c:pt>
                <c:pt idx="539">
                  <c:v>2.4590000000000001</c:v>
                </c:pt>
                <c:pt idx="540">
                  <c:v>2.35</c:v>
                </c:pt>
                <c:pt idx="541">
                  <c:v>2.0990000000000002</c:v>
                </c:pt>
                <c:pt idx="542">
                  <c:v>2.5990000000000002</c:v>
                </c:pt>
                <c:pt idx="543">
                  <c:v>2.1989999999999998</c:v>
                </c:pt>
                <c:pt idx="544">
                  <c:v>2.7989999999999999</c:v>
                </c:pt>
                <c:pt idx="545">
                  <c:v>2.359</c:v>
                </c:pt>
                <c:pt idx="546">
                  <c:v>2.0990000000000002</c:v>
                </c:pt>
                <c:pt idx="547">
                  <c:v>2.4590000000000001</c:v>
                </c:pt>
                <c:pt idx="548">
                  <c:v>2.5590000000000002</c:v>
                </c:pt>
                <c:pt idx="549">
                  <c:v>2.1190000000000002</c:v>
                </c:pt>
                <c:pt idx="550">
                  <c:v>2.359</c:v>
                </c:pt>
                <c:pt idx="551">
                  <c:v>2.2690000000000001</c:v>
                </c:pt>
                <c:pt idx="552">
                  <c:v>2.6989999999999998</c:v>
                </c:pt>
                <c:pt idx="553">
                  <c:v>2.5990000000000002</c:v>
                </c:pt>
                <c:pt idx="554">
                  <c:v>2.0790000000000002</c:v>
                </c:pt>
                <c:pt idx="555">
                  <c:v>2.4489999999999998</c:v>
                </c:pt>
                <c:pt idx="556">
                  <c:v>2.2389999999999999</c:v>
                </c:pt>
                <c:pt idx="557">
                  <c:v>2.9990000000000001</c:v>
                </c:pt>
                <c:pt idx="558">
                  <c:v>2.4390000000000001</c:v>
                </c:pt>
                <c:pt idx="559">
                  <c:v>2.1890000000000001</c:v>
                </c:pt>
                <c:pt idx="560">
                  <c:v>2.3690000000000002</c:v>
                </c:pt>
                <c:pt idx="561">
                  <c:v>2.3690000000000002</c:v>
                </c:pt>
                <c:pt idx="562">
                  <c:v>2.0790000000000002</c:v>
                </c:pt>
                <c:pt idx="563">
                  <c:v>2.31</c:v>
                </c:pt>
                <c:pt idx="564">
                  <c:v>1.9990000000000001</c:v>
                </c:pt>
                <c:pt idx="565">
                  <c:v>2.1389999999999998</c:v>
                </c:pt>
                <c:pt idx="566">
                  <c:v>2.1989999999999998</c:v>
                </c:pt>
                <c:pt idx="567">
                  <c:v>2.1589999999999998</c:v>
                </c:pt>
                <c:pt idx="568">
                  <c:v>2.476</c:v>
                </c:pt>
                <c:pt idx="569">
                  <c:v>2.0990000000000002</c:v>
                </c:pt>
                <c:pt idx="570">
                  <c:v>2.19</c:v>
                </c:pt>
                <c:pt idx="571">
                  <c:v>2.5990000000000002</c:v>
                </c:pt>
                <c:pt idx="572">
                  <c:v>2.1589999999999998</c:v>
                </c:pt>
                <c:pt idx="573">
                  <c:v>2.1890000000000001</c:v>
                </c:pt>
                <c:pt idx="574">
                  <c:v>2.1989999999999998</c:v>
                </c:pt>
                <c:pt idx="575">
                  <c:v>2.5990000000000002</c:v>
                </c:pt>
                <c:pt idx="576">
                  <c:v>2.899</c:v>
                </c:pt>
                <c:pt idx="577">
                  <c:v>2.1789999999999998</c:v>
                </c:pt>
                <c:pt idx="578">
                  <c:v>2.2589999999999999</c:v>
                </c:pt>
                <c:pt idx="579">
                  <c:v>2.4590000000000001</c:v>
                </c:pt>
                <c:pt idx="580">
                  <c:v>2.0699999999999998</c:v>
                </c:pt>
                <c:pt idx="581">
                  <c:v>2.899</c:v>
                </c:pt>
                <c:pt idx="582">
                  <c:v>2.1589999999999998</c:v>
                </c:pt>
                <c:pt idx="583">
                  <c:v>2.2389999999999999</c:v>
                </c:pt>
                <c:pt idx="584">
                  <c:v>2.4990000000000001</c:v>
                </c:pt>
                <c:pt idx="585">
                  <c:v>2.5990000000000002</c:v>
                </c:pt>
                <c:pt idx="586">
                  <c:v>2.339</c:v>
                </c:pt>
                <c:pt idx="587">
                  <c:v>2.1989999999999998</c:v>
                </c:pt>
                <c:pt idx="588">
                  <c:v>2.2490000000000001</c:v>
                </c:pt>
                <c:pt idx="589">
                  <c:v>2.359</c:v>
                </c:pt>
                <c:pt idx="590">
                  <c:v>3.2989999999999999</c:v>
                </c:pt>
                <c:pt idx="591">
                  <c:v>2.2989999999999999</c:v>
                </c:pt>
                <c:pt idx="592">
                  <c:v>2.1989999999999998</c:v>
                </c:pt>
                <c:pt idx="593">
                  <c:v>2.379</c:v>
                </c:pt>
                <c:pt idx="594">
                  <c:v>2.0590000000000002</c:v>
                </c:pt>
                <c:pt idx="595">
                  <c:v>2.359</c:v>
                </c:pt>
                <c:pt idx="596">
                  <c:v>2.4790000000000001</c:v>
                </c:pt>
                <c:pt idx="597">
                  <c:v>2.2389999999999999</c:v>
                </c:pt>
                <c:pt idx="598">
                  <c:v>2.4390000000000001</c:v>
                </c:pt>
                <c:pt idx="599">
                  <c:v>2.1989999999999998</c:v>
                </c:pt>
                <c:pt idx="600">
                  <c:v>2.2989999999999999</c:v>
                </c:pt>
                <c:pt idx="601">
                  <c:v>2.359</c:v>
                </c:pt>
                <c:pt idx="602">
                  <c:v>2.5990000000000002</c:v>
                </c:pt>
                <c:pt idx="603">
                  <c:v>2.2989999999999999</c:v>
                </c:pt>
                <c:pt idx="604">
                  <c:v>2.1989999999999998</c:v>
                </c:pt>
                <c:pt idx="605">
                  <c:v>2.5990000000000002</c:v>
                </c:pt>
                <c:pt idx="606">
                  <c:v>2.1989999999999998</c:v>
                </c:pt>
                <c:pt idx="607">
                  <c:v>3.0990000000000002</c:v>
                </c:pt>
                <c:pt idx="608">
                  <c:v>1.9390000000000001</c:v>
                </c:pt>
                <c:pt idx="609">
                  <c:v>2.859</c:v>
                </c:pt>
                <c:pt idx="610">
                  <c:v>2.1589999999999998</c:v>
                </c:pt>
                <c:pt idx="611">
                  <c:v>2.09</c:v>
                </c:pt>
                <c:pt idx="612">
                  <c:v>2.0590000000000002</c:v>
                </c:pt>
                <c:pt idx="613">
                  <c:v>2.0990000000000002</c:v>
                </c:pt>
                <c:pt idx="614">
                  <c:v>2.2890000000000001</c:v>
                </c:pt>
                <c:pt idx="615">
                  <c:v>2.0590000000000002</c:v>
                </c:pt>
              </c:numCache>
            </c:numRef>
          </c:yVal>
          <c:smooth val="0"/>
        </c:ser>
        <c:dLbls>
          <c:showLegendKey val="0"/>
          <c:showVal val="0"/>
          <c:showCatName val="0"/>
          <c:showSerName val="0"/>
          <c:showPercent val="0"/>
          <c:showBubbleSize val="0"/>
        </c:dLbls>
        <c:axId val="69372544"/>
        <c:axId val="69382912"/>
      </c:scatterChart>
      <c:valAx>
        <c:axId val="69372544"/>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GasBuddy price ($)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82912"/>
        <c:crosses val="autoZero"/>
        <c:crossBetween val="midCat"/>
      </c:valAx>
      <c:valAx>
        <c:axId val="69382912"/>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EIA price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725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6079058226511"/>
          <c:y val="7.5656271034328024E-2"/>
          <c:w val="0.74303817370544989"/>
          <c:h val="0.78342693701317401"/>
        </c:manualLayout>
      </c:layout>
      <c:scatterChart>
        <c:scatterStyle val="lineMarker"/>
        <c:varyColors val="0"/>
        <c:ser>
          <c:idx val="0"/>
          <c:order val="0"/>
          <c:tx>
            <c:strRef>
              <c:f>'OPIS vs EIA'!$B$1</c:f>
              <c:strCache>
                <c:ptCount val="1"/>
                <c:pt idx="0">
                  <c:v>EIA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rendlineLbl>
          </c:trendline>
          <c:xVal>
            <c:numRef>
              <c:f>'OPIS vs EIA'!$A$2:$A$743</c:f>
              <c:numCache>
                <c:formatCode>General</c:formatCode>
                <c:ptCount val="742"/>
                <c:pt idx="0">
                  <c:v>2.359</c:v>
                </c:pt>
                <c:pt idx="1">
                  <c:v>2.2490000000000001</c:v>
                </c:pt>
                <c:pt idx="2">
                  <c:v>2.2389999999999999</c:v>
                </c:pt>
                <c:pt idx="3">
                  <c:v>2.2789999999999999</c:v>
                </c:pt>
                <c:pt idx="4">
                  <c:v>2.2189999999999999</c:v>
                </c:pt>
                <c:pt idx="5">
                  <c:v>2.339</c:v>
                </c:pt>
                <c:pt idx="6">
                  <c:v>2.1589999999999998</c:v>
                </c:pt>
                <c:pt idx="7">
                  <c:v>2.2589999999999999</c:v>
                </c:pt>
                <c:pt idx="8">
                  <c:v>2.2789999999999999</c:v>
                </c:pt>
                <c:pt idx="9">
                  <c:v>2.1989999999999998</c:v>
                </c:pt>
                <c:pt idx="10">
                  <c:v>2.2989999999999999</c:v>
                </c:pt>
                <c:pt idx="11">
                  <c:v>2.4790000000000001</c:v>
                </c:pt>
                <c:pt idx="12">
                  <c:v>2.2989999999999999</c:v>
                </c:pt>
                <c:pt idx="13">
                  <c:v>2.419</c:v>
                </c:pt>
                <c:pt idx="14">
                  <c:v>2.5990000000000002</c:v>
                </c:pt>
                <c:pt idx="15">
                  <c:v>2.359</c:v>
                </c:pt>
                <c:pt idx="16">
                  <c:v>2.4590000000000001</c:v>
                </c:pt>
                <c:pt idx="17">
                  <c:v>2.4489999999999998</c:v>
                </c:pt>
                <c:pt idx="18">
                  <c:v>2.0590000000000002</c:v>
                </c:pt>
                <c:pt idx="19">
                  <c:v>2.0590000000000002</c:v>
                </c:pt>
                <c:pt idx="20">
                  <c:v>2.9990000000000001</c:v>
                </c:pt>
                <c:pt idx="21">
                  <c:v>3.2589999999999999</c:v>
                </c:pt>
                <c:pt idx="22">
                  <c:v>3.1589999999999998</c:v>
                </c:pt>
                <c:pt idx="23">
                  <c:v>2.1789999999999998</c:v>
                </c:pt>
                <c:pt idx="24">
                  <c:v>2.0990000000000002</c:v>
                </c:pt>
                <c:pt idx="25">
                  <c:v>2.899</c:v>
                </c:pt>
                <c:pt idx="26">
                  <c:v>2.2789999999999999</c:v>
                </c:pt>
                <c:pt idx="27">
                  <c:v>1.9590000000000001</c:v>
                </c:pt>
                <c:pt idx="28">
                  <c:v>2.5790000000000002</c:v>
                </c:pt>
                <c:pt idx="29">
                  <c:v>2.2989999999999999</c:v>
                </c:pt>
                <c:pt idx="30">
                  <c:v>2.0489999999999999</c:v>
                </c:pt>
                <c:pt idx="31">
                  <c:v>2.5790000000000002</c:v>
                </c:pt>
                <c:pt idx="32">
                  <c:v>2.4390000000000001</c:v>
                </c:pt>
                <c:pt idx="33">
                  <c:v>2.4590000000000001</c:v>
                </c:pt>
                <c:pt idx="34">
                  <c:v>2.2589999999999999</c:v>
                </c:pt>
                <c:pt idx="35">
                  <c:v>2.6190000000000002</c:v>
                </c:pt>
                <c:pt idx="36">
                  <c:v>2.2389999999999999</c:v>
                </c:pt>
                <c:pt idx="37">
                  <c:v>3.0190000000000001</c:v>
                </c:pt>
                <c:pt idx="38">
                  <c:v>2.1389999999999998</c:v>
                </c:pt>
                <c:pt idx="39">
                  <c:v>2.319</c:v>
                </c:pt>
                <c:pt idx="40">
                  <c:v>2.0990000000000002</c:v>
                </c:pt>
                <c:pt idx="41">
                  <c:v>2.9390000000000001</c:v>
                </c:pt>
                <c:pt idx="42">
                  <c:v>2.0990000000000002</c:v>
                </c:pt>
                <c:pt idx="43">
                  <c:v>2.629</c:v>
                </c:pt>
                <c:pt idx="44">
                  <c:v>2.2989999999999999</c:v>
                </c:pt>
                <c:pt idx="45">
                  <c:v>2.2989999999999999</c:v>
                </c:pt>
                <c:pt idx="46">
                  <c:v>2.2890000000000001</c:v>
                </c:pt>
                <c:pt idx="47">
                  <c:v>2.4990000000000001</c:v>
                </c:pt>
                <c:pt idx="48">
                  <c:v>2.1989999999999998</c:v>
                </c:pt>
                <c:pt idx="49">
                  <c:v>2.0590000000000002</c:v>
                </c:pt>
                <c:pt idx="50">
                  <c:v>1.9590000000000001</c:v>
                </c:pt>
                <c:pt idx="51">
                  <c:v>2.4590000000000001</c:v>
                </c:pt>
                <c:pt idx="52">
                  <c:v>2.0990000000000002</c:v>
                </c:pt>
                <c:pt idx="53">
                  <c:v>2.2490000000000001</c:v>
                </c:pt>
                <c:pt idx="54">
                  <c:v>2.2189999999999999</c:v>
                </c:pt>
                <c:pt idx="55">
                  <c:v>2.5990000000000002</c:v>
                </c:pt>
                <c:pt idx="56">
                  <c:v>2.0990000000000002</c:v>
                </c:pt>
                <c:pt idx="57">
                  <c:v>2.149</c:v>
                </c:pt>
                <c:pt idx="58">
                  <c:v>2.3090000000000002</c:v>
                </c:pt>
                <c:pt idx="59">
                  <c:v>2.2890000000000001</c:v>
                </c:pt>
                <c:pt idx="60">
                  <c:v>2.7589999999999999</c:v>
                </c:pt>
                <c:pt idx="61">
                  <c:v>3.0990000000000002</c:v>
                </c:pt>
                <c:pt idx="62">
                  <c:v>2.1989999999999998</c:v>
                </c:pt>
                <c:pt idx="63">
                  <c:v>2.399</c:v>
                </c:pt>
                <c:pt idx="64">
                  <c:v>2.0790000000000002</c:v>
                </c:pt>
                <c:pt idx="65">
                  <c:v>2.2589999999999999</c:v>
                </c:pt>
                <c:pt idx="66">
                  <c:v>2.2789999999999999</c:v>
                </c:pt>
                <c:pt idx="67">
                  <c:v>2.2690000000000001</c:v>
                </c:pt>
                <c:pt idx="68">
                  <c:v>2.1589999999999998</c:v>
                </c:pt>
                <c:pt idx="69">
                  <c:v>1.9990000000000001</c:v>
                </c:pt>
                <c:pt idx="70">
                  <c:v>3.129</c:v>
                </c:pt>
                <c:pt idx="71">
                  <c:v>2.6989999999999998</c:v>
                </c:pt>
                <c:pt idx="72">
                  <c:v>2.3690000000000002</c:v>
                </c:pt>
                <c:pt idx="73">
                  <c:v>2.0990000000000002</c:v>
                </c:pt>
                <c:pt idx="74">
                  <c:v>2.1589999999999998</c:v>
                </c:pt>
                <c:pt idx="75">
                  <c:v>2.169</c:v>
                </c:pt>
                <c:pt idx="76">
                  <c:v>2.2290000000000001</c:v>
                </c:pt>
                <c:pt idx="77">
                  <c:v>2.1589999999999998</c:v>
                </c:pt>
                <c:pt idx="78">
                  <c:v>2.2690000000000001</c:v>
                </c:pt>
                <c:pt idx="79">
                  <c:v>2.339</c:v>
                </c:pt>
                <c:pt idx="80">
                  <c:v>2.0990000000000002</c:v>
                </c:pt>
                <c:pt idx="81">
                  <c:v>2.2490000000000001</c:v>
                </c:pt>
                <c:pt idx="82">
                  <c:v>2.319</c:v>
                </c:pt>
                <c:pt idx="83">
                  <c:v>2.4289999999999998</c:v>
                </c:pt>
                <c:pt idx="84">
                  <c:v>2.1989999999999998</c:v>
                </c:pt>
                <c:pt idx="85">
                  <c:v>2.0790000000000002</c:v>
                </c:pt>
                <c:pt idx="86">
                  <c:v>2.2090000000000001</c:v>
                </c:pt>
                <c:pt idx="87">
                  <c:v>2.4489999999999998</c:v>
                </c:pt>
                <c:pt idx="88">
                  <c:v>2.339</c:v>
                </c:pt>
                <c:pt idx="89">
                  <c:v>2.0990000000000002</c:v>
                </c:pt>
                <c:pt idx="90">
                  <c:v>2.2189999999999999</c:v>
                </c:pt>
                <c:pt idx="91">
                  <c:v>2.5289999999999999</c:v>
                </c:pt>
                <c:pt idx="92">
                  <c:v>2.1589999999999998</c:v>
                </c:pt>
                <c:pt idx="93">
                  <c:v>2.4390000000000001</c:v>
                </c:pt>
                <c:pt idx="94">
                  <c:v>2.0790000000000002</c:v>
                </c:pt>
                <c:pt idx="95">
                  <c:v>2.2389999999999999</c:v>
                </c:pt>
                <c:pt idx="96">
                  <c:v>2.0990000000000002</c:v>
                </c:pt>
                <c:pt idx="97">
                  <c:v>2.0489999999999999</c:v>
                </c:pt>
                <c:pt idx="98">
                  <c:v>1.9490000000000001</c:v>
                </c:pt>
                <c:pt idx="99">
                  <c:v>1.9690000000000001</c:v>
                </c:pt>
                <c:pt idx="100">
                  <c:v>2.2589999999999999</c:v>
                </c:pt>
                <c:pt idx="101">
                  <c:v>2.319</c:v>
                </c:pt>
                <c:pt idx="102">
                  <c:v>2.3490000000000002</c:v>
                </c:pt>
                <c:pt idx="103">
                  <c:v>2.2989999999999999</c:v>
                </c:pt>
                <c:pt idx="104">
                  <c:v>2.2589999999999999</c:v>
                </c:pt>
                <c:pt idx="105">
                  <c:v>2.2189999999999999</c:v>
                </c:pt>
                <c:pt idx="106">
                  <c:v>2.3490000000000002</c:v>
                </c:pt>
                <c:pt idx="107">
                  <c:v>2.4990000000000001</c:v>
                </c:pt>
                <c:pt idx="108">
                  <c:v>2.3490000000000002</c:v>
                </c:pt>
                <c:pt idx="109">
                  <c:v>2.0590000000000002</c:v>
                </c:pt>
                <c:pt idx="110">
                  <c:v>2.7589999999999999</c:v>
                </c:pt>
                <c:pt idx="111">
                  <c:v>2.2189999999999999</c:v>
                </c:pt>
                <c:pt idx="112">
                  <c:v>2.399</c:v>
                </c:pt>
                <c:pt idx="113">
                  <c:v>2.1589999999999998</c:v>
                </c:pt>
                <c:pt idx="114">
                  <c:v>2.4990000000000001</c:v>
                </c:pt>
                <c:pt idx="115">
                  <c:v>2.5990000000000002</c:v>
                </c:pt>
                <c:pt idx="116">
                  <c:v>2.5990000000000002</c:v>
                </c:pt>
                <c:pt idx="117">
                  <c:v>2.5990000000000002</c:v>
                </c:pt>
                <c:pt idx="118">
                  <c:v>2.4390000000000001</c:v>
                </c:pt>
                <c:pt idx="119">
                  <c:v>2.2690000000000001</c:v>
                </c:pt>
                <c:pt idx="120">
                  <c:v>2.1989999999999998</c:v>
                </c:pt>
                <c:pt idx="121">
                  <c:v>2.2890000000000001</c:v>
                </c:pt>
                <c:pt idx="122">
                  <c:v>2.3290000000000002</c:v>
                </c:pt>
                <c:pt idx="123">
                  <c:v>2.4990000000000001</c:v>
                </c:pt>
                <c:pt idx="124">
                  <c:v>2.4289999999999998</c:v>
                </c:pt>
                <c:pt idx="125">
                  <c:v>2.4990000000000001</c:v>
                </c:pt>
                <c:pt idx="126">
                  <c:v>2.359</c:v>
                </c:pt>
                <c:pt idx="127">
                  <c:v>2.4990000000000001</c:v>
                </c:pt>
                <c:pt idx="128">
                  <c:v>2.149</c:v>
                </c:pt>
                <c:pt idx="129">
                  <c:v>2.5990000000000002</c:v>
                </c:pt>
                <c:pt idx="130">
                  <c:v>2.0790000000000002</c:v>
                </c:pt>
                <c:pt idx="131">
                  <c:v>2.399</c:v>
                </c:pt>
                <c:pt idx="132">
                  <c:v>2.2490000000000001</c:v>
                </c:pt>
                <c:pt idx="133">
                  <c:v>2.2490000000000001</c:v>
                </c:pt>
                <c:pt idx="134">
                  <c:v>2.2389999999999999</c:v>
                </c:pt>
                <c:pt idx="135">
                  <c:v>2.2290000000000001</c:v>
                </c:pt>
                <c:pt idx="136">
                  <c:v>2.9590000000000001</c:v>
                </c:pt>
                <c:pt idx="137">
                  <c:v>2.2389999999999999</c:v>
                </c:pt>
                <c:pt idx="138">
                  <c:v>2.9990000000000001</c:v>
                </c:pt>
                <c:pt idx="139">
                  <c:v>2.5990000000000002</c:v>
                </c:pt>
                <c:pt idx="140">
                  <c:v>2.6989999999999998</c:v>
                </c:pt>
                <c:pt idx="141">
                  <c:v>2.6589999999999998</c:v>
                </c:pt>
                <c:pt idx="142">
                  <c:v>2.169</c:v>
                </c:pt>
                <c:pt idx="143">
                  <c:v>2.129</c:v>
                </c:pt>
                <c:pt idx="144">
                  <c:v>2.319</c:v>
                </c:pt>
                <c:pt idx="145">
                  <c:v>2.2389999999999999</c:v>
                </c:pt>
                <c:pt idx="146">
                  <c:v>2.3290000000000002</c:v>
                </c:pt>
                <c:pt idx="147">
                  <c:v>2.4489999999999998</c:v>
                </c:pt>
                <c:pt idx="148">
                  <c:v>3.0990000000000002</c:v>
                </c:pt>
                <c:pt idx="149">
                  <c:v>2.9590000000000001</c:v>
                </c:pt>
                <c:pt idx="150">
                  <c:v>2.0590000000000002</c:v>
                </c:pt>
                <c:pt idx="151">
                  <c:v>2.5590000000000002</c:v>
                </c:pt>
                <c:pt idx="152">
                  <c:v>2.1989999999999998</c:v>
                </c:pt>
                <c:pt idx="153">
                  <c:v>2.2589999999999999</c:v>
                </c:pt>
                <c:pt idx="154">
                  <c:v>2.2989999999999999</c:v>
                </c:pt>
                <c:pt idx="155">
                  <c:v>2.2490000000000001</c:v>
                </c:pt>
                <c:pt idx="156">
                  <c:v>3.1989999999999998</c:v>
                </c:pt>
                <c:pt idx="157">
                  <c:v>3.1589999999999998</c:v>
                </c:pt>
                <c:pt idx="158">
                  <c:v>2.6989999999999998</c:v>
                </c:pt>
                <c:pt idx="159">
                  <c:v>2.2589999999999999</c:v>
                </c:pt>
                <c:pt idx="160">
                  <c:v>2.4990000000000001</c:v>
                </c:pt>
                <c:pt idx="161">
                  <c:v>2.6589999999999998</c:v>
                </c:pt>
                <c:pt idx="162">
                  <c:v>2.2589999999999999</c:v>
                </c:pt>
                <c:pt idx="163">
                  <c:v>2.359</c:v>
                </c:pt>
                <c:pt idx="164">
                  <c:v>2.9590000000000001</c:v>
                </c:pt>
                <c:pt idx="165">
                  <c:v>2.0990000000000002</c:v>
                </c:pt>
                <c:pt idx="166">
                  <c:v>2.6589999999999998</c:v>
                </c:pt>
                <c:pt idx="167">
                  <c:v>3.0790000000000002</c:v>
                </c:pt>
                <c:pt idx="168">
                  <c:v>2.2490000000000001</c:v>
                </c:pt>
                <c:pt idx="169">
                  <c:v>2.1789999999999998</c:v>
                </c:pt>
                <c:pt idx="170">
                  <c:v>2.2490000000000001</c:v>
                </c:pt>
                <c:pt idx="171">
                  <c:v>2.2189999999999999</c:v>
                </c:pt>
                <c:pt idx="172">
                  <c:v>2.2189999999999999</c:v>
                </c:pt>
                <c:pt idx="173">
                  <c:v>2.1989999999999998</c:v>
                </c:pt>
                <c:pt idx="174">
                  <c:v>2.1989999999999998</c:v>
                </c:pt>
                <c:pt idx="175">
                  <c:v>2.2490000000000001</c:v>
                </c:pt>
                <c:pt idx="176">
                  <c:v>2.1989999999999998</c:v>
                </c:pt>
                <c:pt idx="177">
                  <c:v>2.2389999999999999</c:v>
                </c:pt>
                <c:pt idx="178">
                  <c:v>2.0990000000000002</c:v>
                </c:pt>
                <c:pt idx="179">
                  <c:v>1.9990000000000001</c:v>
                </c:pt>
                <c:pt idx="180">
                  <c:v>2.0990000000000002</c:v>
                </c:pt>
                <c:pt idx="181">
                  <c:v>2.2589999999999999</c:v>
                </c:pt>
                <c:pt idx="182">
                  <c:v>2.5990000000000002</c:v>
                </c:pt>
                <c:pt idx="183">
                  <c:v>2.899</c:v>
                </c:pt>
                <c:pt idx="184">
                  <c:v>2.359</c:v>
                </c:pt>
                <c:pt idx="185">
                  <c:v>2.319</c:v>
                </c:pt>
                <c:pt idx="186">
                  <c:v>2.3490000000000002</c:v>
                </c:pt>
                <c:pt idx="187">
                  <c:v>2.3490000000000002</c:v>
                </c:pt>
                <c:pt idx="188">
                  <c:v>1.9990000000000001</c:v>
                </c:pt>
                <c:pt idx="189">
                  <c:v>2.089</c:v>
                </c:pt>
                <c:pt idx="190">
                  <c:v>2.379</c:v>
                </c:pt>
                <c:pt idx="191">
                  <c:v>2.1989999999999998</c:v>
                </c:pt>
                <c:pt idx="192">
                  <c:v>2.4590000000000001</c:v>
                </c:pt>
                <c:pt idx="193">
                  <c:v>2.4990000000000001</c:v>
                </c:pt>
                <c:pt idx="194">
                  <c:v>2.6190000000000002</c:v>
                </c:pt>
                <c:pt idx="195">
                  <c:v>2.6190000000000002</c:v>
                </c:pt>
                <c:pt idx="196">
                  <c:v>2.879</c:v>
                </c:pt>
                <c:pt idx="197">
                  <c:v>2.319</c:v>
                </c:pt>
                <c:pt idx="198">
                  <c:v>2.4590000000000001</c:v>
                </c:pt>
                <c:pt idx="199">
                  <c:v>2.089</c:v>
                </c:pt>
                <c:pt idx="200">
                  <c:v>2.5489999999999999</c:v>
                </c:pt>
                <c:pt idx="201">
                  <c:v>2.0590000000000002</c:v>
                </c:pt>
                <c:pt idx="202">
                  <c:v>3.1389999999999998</c:v>
                </c:pt>
                <c:pt idx="203">
                  <c:v>2.7989999999999999</c:v>
                </c:pt>
                <c:pt idx="204">
                  <c:v>2.129</c:v>
                </c:pt>
                <c:pt idx="205">
                  <c:v>2.899</c:v>
                </c:pt>
                <c:pt idx="206">
                  <c:v>2.4489999999999998</c:v>
                </c:pt>
                <c:pt idx="207">
                  <c:v>2.0590000000000002</c:v>
                </c:pt>
                <c:pt idx="208">
                  <c:v>2.0990000000000002</c:v>
                </c:pt>
                <c:pt idx="209">
                  <c:v>2.2589999999999999</c:v>
                </c:pt>
                <c:pt idx="210">
                  <c:v>2.2989999999999999</c:v>
                </c:pt>
                <c:pt idx="211">
                  <c:v>2.2389999999999999</c:v>
                </c:pt>
                <c:pt idx="212">
                  <c:v>2.5990000000000002</c:v>
                </c:pt>
                <c:pt idx="213">
                  <c:v>2.2989999999999999</c:v>
                </c:pt>
                <c:pt idx="214">
                  <c:v>2.1789999999999998</c:v>
                </c:pt>
                <c:pt idx="215">
                  <c:v>2.149</c:v>
                </c:pt>
                <c:pt idx="216">
                  <c:v>2.339</c:v>
                </c:pt>
                <c:pt idx="217">
                  <c:v>2.4990000000000001</c:v>
                </c:pt>
                <c:pt idx="218">
                  <c:v>2.149</c:v>
                </c:pt>
                <c:pt idx="219">
                  <c:v>1.9990000000000001</c:v>
                </c:pt>
                <c:pt idx="220">
                  <c:v>2.2090000000000001</c:v>
                </c:pt>
                <c:pt idx="221">
                  <c:v>2.0990000000000002</c:v>
                </c:pt>
                <c:pt idx="222">
                  <c:v>2.899</c:v>
                </c:pt>
                <c:pt idx="223">
                  <c:v>2.9289999999999998</c:v>
                </c:pt>
                <c:pt idx="224">
                  <c:v>2.1989999999999998</c:v>
                </c:pt>
                <c:pt idx="225">
                  <c:v>2.2389999999999999</c:v>
                </c:pt>
                <c:pt idx="226">
                  <c:v>2.169</c:v>
                </c:pt>
                <c:pt idx="227">
                  <c:v>1.9690000000000001</c:v>
                </c:pt>
                <c:pt idx="228">
                  <c:v>2.0990000000000002</c:v>
                </c:pt>
                <c:pt idx="229">
                  <c:v>2.149</c:v>
                </c:pt>
                <c:pt idx="230">
                  <c:v>2.6389999999999998</c:v>
                </c:pt>
                <c:pt idx="231">
                  <c:v>3.2989999999999999</c:v>
                </c:pt>
                <c:pt idx="232">
                  <c:v>2.899</c:v>
                </c:pt>
                <c:pt idx="233">
                  <c:v>2.4590000000000001</c:v>
                </c:pt>
                <c:pt idx="234">
                  <c:v>2.0390000000000001</c:v>
                </c:pt>
                <c:pt idx="235">
                  <c:v>2.4990000000000001</c:v>
                </c:pt>
                <c:pt idx="236">
                  <c:v>1.9390000000000001</c:v>
                </c:pt>
                <c:pt idx="237">
                  <c:v>2.419</c:v>
                </c:pt>
                <c:pt idx="238">
                  <c:v>2.9990000000000001</c:v>
                </c:pt>
                <c:pt idx="239">
                  <c:v>2.2789999999999999</c:v>
                </c:pt>
                <c:pt idx="240">
                  <c:v>2.319</c:v>
                </c:pt>
                <c:pt idx="241">
                  <c:v>2.3290000000000002</c:v>
                </c:pt>
                <c:pt idx="242">
                  <c:v>2.5190000000000001</c:v>
                </c:pt>
                <c:pt idx="243">
                  <c:v>2.2890000000000001</c:v>
                </c:pt>
                <c:pt idx="244">
                  <c:v>2.359</c:v>
                </c:pt>
                <c:pt idx="245">
                  <c:v>2.3290000000000002</c:v>
                </c:pt>
                <c:pt idx="246">
                  <c:v>2.359</c:v>
                </c:pt>
                <c:pt idx="247">
                  <c:v>2.6190000000000002</c:v>
                </c:pt>
                <c:pt idx="248">
                  <c:v>2.4990000000000001</c:v>
                </c:pt>
                <c:pt idx="249">
                  <c:v>2.399</c:v>
                </c:pt>
                <c:pt idx="250">
                  <c:v>2.3889999999999998</c:v>
                </c:pt>
                <c:pt idx="251">
                  <c:v>2.3490000000000002</c:v>
                </c:pt>
                <c:pt idx="252">
                  <c:v>2.4390000000000001</c:v>
                </c:pt>
                <c:pt idx="253">
                  <c:v>2.899</c:v>
                </c:pt>
                <c:pt idx="254">
                  <c:v>2.1589999999999998</c:v>
                </c:pt>
                <c:pt idx="255">
                  <c:v>2.2989999999999999</c:v>
                </c:pt>
                <c:pt idx="256">
                  <c:v>2.7989999999999999</c:v>
                </c:pt>
                <c:pt idx="257">
                  <c:v>2.6989999999999998</c:v>
                </c:pt>
                <c:pt idx="258">
                  <c:v>2.399</c:v>
                </c:pt>
                <c:pt idx="259">
                  <c:v>2.3690000000000002</c:v>
                </c:pt>
                <c:pt idx="260">
                  <c:v>2.1989999999999998</c:v>
                </c:pt>
                <c:pt idx="261">
                  <c:v>2.5190000000000001</c:v>
                </c:pt>
                <c:pt idx="262">
                  <c:v>2.169</c:v>
                </c:pt>
                <c:pt idx="263">
                  <c:v>2.2989999999999999</c:v>
                </c:pt>
                <c:pt idx="264">
                  <c:v>2.7490000000000001</c:v>
                </c:pt>
                <c:pt idx="265">
                  <c:v>2.5990000000000002</c:v>
                </c:pt>
                <c:pt idx="266">
                  <c:v>2.1589999999999998</c:v>
                </c:pt>
                <c:pt idx="267">
                  <c:v>2.5990000000000002</c:v>
                </c:pt>
                <c:pt idx="268">
                  <c:v>2.2989999999999999</c:v>
                </c:pt>
                <c:pt idx="269">
                  <c:v>2.2290000000000001</c:v>
                </c:pt>
                <c:pt idx="270">
                  <c:v>2.4990000000000001</c:v>
                </c:pt>
                <c:pt idx="271">
                  <c:v>2.2589999999999999</c:v>
                </c:pt>
                <c:pt idx="272">
                  <c:v>1.9990000000000001</c:v>
                </c:pt>
                <c:pt idx="273">
                  <c:v>2.4990000000000001</c:v>
                </c:pt>
                <c:pt idx="274">
                  <c:v>2.169</c:v>
                </c:pt>
                <c:pt idx="275">
                  <c:v>2.2989999999999999</c:v>
                </c:pt>
                <c:pt idx="276">
                  <c:v>2.399</c:v>
                </c:pt>
                <c:pt idx="277">
                  <c:v>2.0990000000000002</c:v>
                </c:pt>
                <c:pt idx="278">
                  <c:v>2.2989999999999999</c:v>
                </c:pt>
                <c:pt idx="279">
                  <c:v>2.4990000000000001</c:v>
                </c:pt>
                <c:pt idx="280">
                  <c:v>1.9990000000000001</c:v>
                </c:pt>
                <c:pt idx="281">
                  <c:v>2.1589999999999998</c:v>
                </c:pt>
                <c:pt idx="282">
                  <c:v>2.9590000000000001</c:v>
                </c:pt>
                <c:pt idx="283">
                  <c:v>2.2789999999999999</c:v>
                </c:pt>
                <c:pt idx="284">
                  <c:v>2.0590000000000002</c:v>
                </c:pt>
                <c:pt idx="285">
                  <c:v>2.5990000000000002</c:v>
                </c:pt>
                <c:pt idx="286">
                  <c:v>2.3490000000000002</c:v>
                </c:pt>
                <c:pt idx="287">
                  <c:v>2.169</c:v>
                </c:pt>
                <c:pt idx="288">
                  <c:v>2.2189999999999999</c:v>
                </c:pt>
                <c:pt idx="289">
                  <c:v>2.4489999999999998</c:v>
                </c:pt>
                <c:pt idx="290">
                  <c:v>2.4289999999999998</c:v>
                </c:pt>
                <c:pt idx="291">
                  <c:v>2.3889999999999998</c:v>
                </c:pt>
                <c:pt idx="292">
                  <c:v>2.2490000000000001</c:v>
                </c:pt>
                <c:pt idx="293">
                  <c:v>2.2989999999999999</c:v>
                </c:pt>
                <c:pt idx="294">
                  <c:v>2.1589999999999998</c:v>
                </c:pt>
                <c:pt idx="295">
                  <c:v>2.2490000000000001</c:v>
                </c:pt>
                <c:pt idx="296">
                  <c:v>2.2989999999999999</c:v>
                </c:pt>
                <c:pt idx="297">
                  <c:v>2.5990000000000002</c:v>
                </c:pt>
                <c:pt idx="298">
                  <c:v>1.9990000000000001</c:v>
                </c:pt>
                <c:pt idx="299">
                  <c:v>2.6589999999999998</c:v>
                </c:pt>
                <c:pt idx="300">
                  <c:v>2.2389999999999999</c:v>
                </c:pt>
                <c:pt idx="301">
                  <c:v>2.5990000000000002</c:v>
                </c:pt>
                <c:pt idx="302">
                  <c:v>2.1989999999999998</c:v>
                </c:pt>
                <c:pt idx="303">
                  <c:v>2.1789999999999998</c:v>
                </c:pt>
                <c:pt idx="304">
                  <c:v>2.319</c:v>
                </c:pt>
                <c:pt idx="305">
                  <c:v>1.9590000000000001</c:v>
                </c:pt>
                <c:pt idx="306">
                  <c:v>2.2989999999999999</c:v>
                </c:pt>
                <c:pt idx="307">
                  <c:v>2.7989999999999999</c:v>
                </c:pt>
                <c:pt idx="308">
                  <c:v>2.399</c:v>
                </c:pt>
                <c:pt idx="309">
                  <c:v>2.4590000000000001</c:v>
                </c:pt>
                <c:pt idx="310">
                  <c:v>2.4990000000000001</c:v>
                </c:pt>
                <c:pt idx="311">
                  <c:v>2.4390000000000001</c:v>
                </c:pt>
                <c:pt idx="312">
                  <c:v>2.1989999999999998</c:v>
                </c:pt>
                <c:pt idx="313">
                  <c:v>2.2389999999999999</c:v>
                </c:pt>
                <c:pt idx="314">
                  <c:v>2.4590000000000001</c:v>
                </c:pt>
                <c:pt idx="315">
                  <c:v>2.399</c:v>
                </c:pt>
                <c:pt idx="316">
                  <c:v>2.4390000000000001</c:v>
                </c:pt>
                <c:pt idx="317">
                  <c:v>2.4590000000000001</c:v>
                </c:pt>
                <c:pt idx="318">
                  <c:v>2.4990000000000001</c:v>
                </c:pt>
                <c:pt idx="319">
                  <c:v>2.4790000000000001</c:v>
                </c:pt>
                <c:pt idx="320">
                  <c:v>2.339</c:v>
                </c:pt>
                <c:pt idx="321">
                  <c:v>2.2989999999999999</c:v>
                </c:pt>
                <c:pt idx="322">
                  <c:v>2.3490000000000002</c:v>
                </c:pt>
                <c:pt idx="323">
                  <c:v>2.2490000000000001</c:v>
                </c:pt>
                <c:pt idx="324">
                  <c:v>2.3090000000000002</c:v>
                </c:pt>
                <c:pt idx="325">
                  <c:v>2.2989999999999999</c:v>
                </c:pt>
                <c:pt idx="326">
                  <c:v>2.3690000000000002</c:v>
                </c:pt>
                <c:pt idx="327">
                  <c:v>2.1989999999999998</c:v>
                </c:pt>
                <c:pt idx="328">
                  <c:v>2.1989999999999998</c:v>
                </c:pt>
                <c:pt idx="329">
                  <c:v>2.2989999999999999</c:v>
                </c:pt>
                <c:pt idx="330">
                  <c:v>2.2589999999999999</c:v>
                </c:pt>
                <c:pt idx="331">
                  <c:v>2.2989999999999999</c:v>
                </c:pt>
                <c:pt idx="332">
                  <c:v>2.2589999999999999</c:v>
                </c:pt>
                <c:pt idx="333">
                  <c:v>2.2589999999999999</c:v>
                </c:pt>
                <c:pt idx="334">
                  <c:v>2.4489999999999998</c:v>
                </c:pt>
                <c:pt idx="335">
                  <c:v>2.399</c:v>
                </c:pt>
                <c:pt idx="336">
                  <c:v>2.399</c:v>
                </c:pt>
                <c:pt idx="337">
                  <c:v>2.4390000000000001</c:v>
                </c:pt>
                <c:pt idx="338">
                  <c:v>2.1989999999999998</c:v>
                </c:pt>
                <c:pt idx="339">
                  <c:v>3.0590000000000002</c:v>
                </c:pt>
                <c:pt idx="340">
                  <c:v>2.399</c:v>
                </c:pt>
                <c:pt idx="341">
                  <c:v>2.379</c:v>
                </c:pt>
                <c:pt idx="342">
                  <c:v>2.1989999999999998</c:v>
                </c:pt>
                <c:pt idx="343">
                  <c:v>2.359</c:v>
                </c:pt>
                <c:pt idx="344">
                  <c:v>2.0990000000000002</c:v>
                </c:pt>
                <c:pt idx="345">
                  <c:v>2.2789999999999999</c:v>
                </c:pt>
                <c:pt idx="346">
                  <c:v>2.149</c:v>
                </c:pt>
                <c:pt idx="347">
                  <c:v>1.9890000000000001</c:v>
                </c:pt>
                <c:pt idx="348">
                  <c:v>2.149</c:v>
                </c:pt>
                <c:pt idx="349">
                  <c:v>2.0190000000000001</c:v>
                </c:pt>
                <c:pt idx="350">
                  <c:v>2.1589999999999998</c:v>
                </c:pt>
                <c:pt idx="351">
                  <c:v>2.5590000000000002</c:v>
                </c:pt>
                <c:pt idx="352">
                  <c:v>2.1989999999999998</c:v>
                </c:pt>
                <c:pt idx="353">
                  <c:v>2.0990000000000002</c:v>
                </c:pt>
                <c:pt idx="354">
                  <c:v>2.0590000000000002</c:v>
                </c:pt>
                <c:pt idx="355">
                  <c:v>2.399</c:v>
                </c:pt>
                <c:pt idx="356">
                  <c:v>2.1589999999999998</c:v>
                </c:pt>
                <c:pt idx="357">
                  <c:v>1.9990000000000001</c:v>
                </c:pt>
                <c:pt idx="358">
                  <c:v>2.2989999999999999</c:v>
                </c:pt>
                <c:pt idx="359">
                  <c:v>2.4990000000000001</c:v>
                </c:pt>
                <c:pt idx="360">
                  <c:v>2.149</c:v>
                </c:pt>
                <c:pt idx="361">
                  <c:v>2.379</c:v>
                </c:pt>
                <c:pt idx="362">
                  <c:v>2.7989999999999999</c:v>
                </c:pt>
                <c:pt idx="363">
                  <c:v>2.399</c:v>
                </c:pt>
                <c:pt idx="364">
                  <c:v>2.359</c:v>
                </c:pt>
                <c:pt idx="365">
                  <c:v>3.0990000000000002</c:v>
                </c:pt>
                <c:pt idx="366">
                  <c:v>2.4790000000000001</c:v>
                </c:pt>
                <c:pt idx="367">
                  <c:v>2.899</c:v>
                </c:pt>
                <c:pt idx="368">
                  <c:v>2.399</c:v>
                </c:pt>
                <c:pt idx="369">
                  <c:v>2.1589999999999998</c:v>
                </c:pt>
                <c:pt idx="370">
                  <c:v>2.339</c:v>
                </c:pt>
                <c:pt idx="371">
                  <c:v>2.089</c:v>
                </c:pt>
                <c:pt idx="372">
                  <c:v>2.2589999999999999</c:v>
                </c:pt>
                <c:pt idx="373">
                  <c:v>2.2189999999999999</c:v>
                </c:pt>
                <c:pt idx="374">
                  <c:v>2.2189999999999999</c:v>
                </c:pt>
                <c:pt idx="375">
                  <c:v>2.2189999999999999</c:v>
                </c:pt>
                <c:pt idx="376">
                  <c:v>2.2389999999999999</c:v>
                </c:pt>
                <c:pt idx="377">
                  <c:v>2.2389999999999999</c:v>
                </c:pt>
                <c:pt idx="378">
                  <c:v>2.2789999999999999</c:v>
                </c:pt>
                <c:pt idx="379">
                  <c:v>2.2989999999999999</c:v>
                </c:pt>
                <c:pt idx="380">
                  <c:v>2.2789999999999999</c:v>
                </c:pt>
                <c:pt idx="381">
                  <c:v>2.2389999999999999</c:v>
                </c:pt>
                <c:pt idx="382">
                  <c:v>2.2490000000000001</c:v>
                </c:pt>
                <c:pt idx="383">
                  <c:v>2.2989999999999999</c:v>
                </c:pt>
                <c:pt idx="384">
                  <c:v>2.4089999999999998</c:v>
                </c:pt>
                <c:pt idx="385">
                  <c:v>2.1389999999999998</c:v>
                </c:pt>
                <c:pt idx="386">
                  <c:v>2.0190000000000001</c:v>
                </c:pt>
                <c:pt idx="387">
                  <c:v>2.149</c:v>
                </c:pt>
                <c:pt idx="388">
                  <c:v>2.0790000000000002</c:v>
                </c:pt>
                <c:pt idx="389">
                  <c:v>2.0790000000000002</c:v>
                </c:pt>
                <c:pt idx="390">
                  <c:v>2.0990000000000002</c:v>
                </c:pt>
                <c:pt idx="391">
                  <c:v>2.1789999999999998</c:v>
                </c:pt>
                <c:pt idx="392">
                  <c:v>1.9990000000000001</c:v>
                </c:pt>
                <c:pt idx="393">
                  <c:v>2.1589999999999998</c:v>
                </c:pt>
                <c:pt idx="394">
                  <c:v>2.0590000000000002</c:v>
                </c:pt>
                <c:pt idx="395">
                  <c:v>2.0590000000000002</c:v>
                </c:pt>
                <c:pt idx="396">
                  <c:v>2.1589999999999998</c:v>
                </c:pt>
                <c:pt idx="397">
                  <c:v>2.0390000000000001</c:v>
                </c:pt>
                <c:pt idx="398">
                  <c:v>2.0390000000000001</c:v>
                </c:pt>
                <c:pt idx="399">
                  <c:v>2.0590000000000002</c:v>
                </c:pt>
                <c:pt idx="400">
                  <c:v>2.1589999999999998</c:v>
                </c:pt>
                <c:pt idx="401">
                  <c:v>1.9990000000000001</c:v>
                </c:pt>
                <c:pt idx="402">
                  <c:v>2.109</c:v>
                </c:pt>
                <c:pt idx="403">
                  <c:v>2.089</c:v>
                </c:pt>
                <c:pt idx="404">
                  <c:v>2.0790000000000002</c:v>
                </c:pt>
                <c:pt idx="405">
                  <c:v>1.9990000000000001</c:v>
                </c:pt>
                <c:pt idx="406">
                  <c:v>1.9990000000000001</c:v>
                </c:pt>
                <c:pt idx="407">
                  <c:v>2.6589999999999998</c:v>
                </c:pt>
                <c:pt idx="408">
                  <c:v>2.7290000000000001</c:v>
                </c:pt>
                <c:pt idx="409">
                  <c:v>2.9790000000000001</c:v>
                </c:pt>
                <c:pt idx="410">
                  <c:v>2.6589999999999998</c:v>
                </c:pt>
                <c:pt idx="411">
                  <c:v>2.0790000000000002</c:v>
                </c:pt>
                <c:pt idx="412">
                  <c:v>2.1389999999999998</c:v>
                </c:pt>
                <c:pt idx="413">
                  <c:v>2.0990000000000002</c:v>
                </c:pt>
                <c:pt idx="414">
                  <c:v>2.0990000000000002</c:v>
                </c:pt>
                <c:pt idx="415">
                  <c:v>2.2589999999999999</c:v>
                </c:pt>
                <c:pt idx="416">
                  <c:v>2.3490000000000002</c:v>
                </c:pt>
                <c:pt idx="417">
                  <c:v>2.5590000000000002</c:v>
                </c:pt>
                <c:pt idx="418">
                  <c:v>2.1989999999999998</c:v>
                </c:pt>
                <c:pt idx="419">
                  <c:v>2.3490000000000002</c:v>
                </c:pt>
                <c:pt idx="420">
                  <c:v>2.9390000000000001</c:v>
                </c:pt>
                <c:pt idx="421">
                  <c:v>2.629</c:v>
                </c:pt>
                <c:pt idx="422">
                  <c:v>2.1989999999999998</c:v>
                </c:pt>
                <c:pt idx="423">
                  <c:v>2.2789999999999999</c:v>
                </c:pt>
                <c:pt idx="424">
                  <c:v>1.9990000000000001</c:v>
                </c:pt>
                <c:pt idx="425">
                  <c:v>2.1989999999999998</c:v>
                </c:pt>
                <c:pt idx="426">
                  <c:v>2.4990000000000001</c:v>
                </c:pt>
                <c:pt idx="427">
                  <c:v>2.399</c:v>
                </c:pt>
                <c:pt idx="428">
                  <c:v>2.2989999999999999</c:v>
                </c:pt>
                <c:pt idx="429">
                  <c:v>2.9990000000000001</c:v>
                </c:pt>
                <c:pt idx="430">
                  <c:v>1.9690000000000001</c:v>
                </c:pt>
                <c:pt idx="431">
                  <c:v>2.859</c:v>
                </c:pt>
                <c:pt idx="432">
                  <c:v>2.4390000000000001</c:v>
                </c:pt>
                <c:pt idx="433">
                  <c:v>2.7989999999999999</c:v>
                </c:pt>
                <c:pt idx="434">
                  <c:v>2.0790000000000002</c:v>
                </c:pt>
                <c:pt idx="435">
                  <c:v>2.1989999999999998</c:v>
                </c:pt>
                <c:pt idx="436">
                  <c:v>2.4689999999999999</c:v>
                </c:pt>
                <c:pt idx="437">
                  <c:v>2.7989999999999999</c:v>
                </c:pt>
                <c:pt idx="438">
                  <c:v>2.399</c:v>
                </c:pt>
                <c:pt idx="439">
                  <c:v>2.9990000000000001</c:v>
                </c:pt>
                <c:pt idx="440">
                  <c:v>2.879</c:v>
                </c:pt>
                <c:pt idx="441">
                  <c:v>3.0990000000000002</c:v>
                </c:pt>
                <c:pt idx="442">
                  <c:v>2.3490000000000002</c:v>
                </c:pt>
                <c:pt idx="443">
                  <c:v>2.3490000000000002</c:v>
                </c:pt>
                <c:pt idx="444">
                  <c:v>2.2989999999999999</c:v>
                </c:pt>
                <c:pt idx="445">
                  <c:v>2.2690000000000001</c:v>
                </c:pt>
                <c:pt idx="446">
                  <c:v>2.1389999999999998</c:v>
                </c:pt>
                <c:pt idx="447">
                  <c:v>2.319</c:v>
                </c:pt>
                <c:pt idx="448">
                  <c:v>3.0590000000000002</c:v>
                </c:pt>
                <c:pt idx="449">
                  <c:v>2.7989999999999999</c:v>
                </c:pt>
                <c:pt idx="450">
                  <c:v>2.129</c:v>
                </c:pt>
                <c:pt idx="451">
                  <c:v>1.9590000000000001</c:v>
                </c:pt>
                <c:pt idx="452">
                  <c:v>2.4590000000000001</c:v>
                </c:pt>
                <c:pt idx="453">
                  <c:v>2.3490000000000002</c:v>
                </c:pt>
                <c:pt idx="454">
                  <c:v>2.379</c:v>
                </c:pt>
                <c:pt idx="455">
                  <c:v>2.399</c:v>
                </c:pt>
                <c:pt idx="456">
                  <c:v>2.4990000000000001</c:v>
                </c:pt>
                <c:pt idx="457">
                  <c:v>2.3889999999999998</c:v>
                </c:pt>
                <c:pt idx="458">
                  <c:v>2.2890000000000001</c:v>
                </c:pt>
                <c:pt idx="459">
                  <c:v>2.2690000000000001</c:v>
                </c:pt>
                <c:pt idx="460">
                  <c:v>2.379</c:v>
                </c:pt>
                <c:pt idx="461">
                  <c:v>2.4489999999999998</c:v>
                </c:pt>
                <c:pt idx="462">
                  <c:v>2.399</c:v>
                </c:pt>
                <c:pt idx="463">
                  <c:v>2.4990000000000001</c:v>
                </c:pt>
                <c:pt idx="464">
                  <c:v>2.4390000000000001</c:v>
                </c:pt>
                <c:pt idx="465">
                  <c:v>2.5289999999999999</c:v>
                </c:pt>
                <c:pt idx="466">
                  <c:v>2.4790000000000001</c:v>
                </c:pt>
                <c:pt idx="467">
                  <c:v>2.3490000000000002</c:v>
                </c:pt>
                <c:pt idx="468">
                  <c:v>2.2989999999999999</c:v>
                </c:pt>
                <c:pt idx="469">
                  <c:v>2.3290000000000002</c:v>
                </c:pt>
                <c:pt idx="470">
                  <c:v>2.399</c:v>
                </c:pt>
                <c:pt idx="471">
                  <c:v>2.379</c:v>
                </c:pt>
                <c:pt idx="472">
                  <c:v>2.359</c:v>
                </c:pt>
                <c:pt idx="473">
                  <c:v>2.339</c:v>
                </c:pt>
                <c:pt idx="474">
                  <c:v>2.339</c:v>
                </c:pt>
                <c:pt idx="475">
                  <c:v>2.149</c:v>
                </c:pt>
                <c:pt idx="476">
                  <c:v>2.2989999999999999</c:v>
                </c:pt>
                <c:pt idx="477">
                  <c:v>2.359</c:v>
                </c:pt>
                <c:pt idx="478">
                  <c:v>2.379</c:v>
                </c:pt>
                <c:pt idx="479">
                  <c:v>2.1989999999999998</c:v>
                </c:pt>
                <c:pt idx="480">
                  <c:v>1.9490000000000001</c:v>
                </c:pt>
                <c:pt idx="481">
                  <c:v>2.3490000000000002</c:v>
                </c:pt>
                <c:pt idx="482">
                  <c:v>2.1989999999999998</c:v>
                </c:pt>
                <c:pt idx="483">
                  <c:v>2.0390000000000001</c:v>
                </c:pt>
                <c:pt idx="484">
                  <c:v>2.4990000000000001</c:v>
                </c:pt>
                <c:pt idx="485">
                  <c:v>2.2989999999999999</c:v>
                </c:pt>
                <c:pt idx="486">
                  <c:v>2.319</c:v>
                </c:pt>
                <c:pt idx="487">
                  <c:v>2.0489999999999999</c:v>
                </c:pt>
                <c:pt idx="488">
                  <c:v>2.0590000000000002</c:v>
                </c:pt>
                <c:pt idx="489">
                  <c:v>2.0990000000000002</c:v>
                </c:pt>
                <c:pt idx="490">
                  <c:v>2.169</c:v>
                </c:pt>
                <c:pt idx="491">
                  <c:v>2.399</c:v>
                </c:pt>
                <c:pt idx="492">
                  <c:v>2.399</c:v>
                </c:pt>
                <c:pt idx="493">
                  <c:v>2.399</c:v>
                </c:pt>
                <c:pt idx="494">
                  <c:v>2.2989999999999999</c:v>
                </c:pt>
                <c:pt idx="495">
                  <c:v>3.0990000000000002</c:v>
                </c:pt>
                <c:pt idx="496">
                  <c:v>2.0289999999999999</c:v>
                </c:pt>
                <c:pt idx="497">
                  <c:v>2.5390000000000001</c:v>
                </c:pt>
                <c:pt idx="498">
                  <c:v>2.4990000000000001</c:v>
                </c:pt>
                <c:pt idx="499">
                  <c:v>2.1789999999999998</c:v>
                </c:pt>
                <c:pt idx="500">
                  <c:v>2.4289999999999998</c:v>
                </c:pt>
                <c:pt idx="501">
                  <c:v>2.2989999999999999</c:v>
                </c:pt>
                <c:pt idx="502">
                  <c:v>2.1589999999999998</c:v>
                </c:pt>
                <c:pt idx="503">
                  <c:v>2.1589999999999998</c:v>
                </c:pt>
                <c:pt idx="504">
                  <c:v>2.379</c:v>
                </c:pt>
                <c:pt idx="505">
                  <c:v>2.2989999999999999</c:v>
                </c:pt>
                <c:pt idx="506">
                  <c:v>2.339</c:v>
                </c:pt>
                <c:pt idx="507">
                  <c:v>2.2589999999999999</c:v>
                </c:pt>
                <c:pt idx="508">
                  <c:v>2.1989999999999998</c:v>
                </c:pt>
                <c:pt idx="509">
                  <c:v>2.0590000000000002</c:v>
                </c:pt>
                <c:pt idx="510">
                  <c:v>1.9990000000000001</c:v>
                </c:pt>
                <c:pt idx="511">
                  <c:v>2.4689999999999999</c:v>
                </c:pt>
                <c:pt idx="512">
                  <c:v>2.0990000000000002</c:v>
                </c:pt>
                <c:pt idx="513">
                  <c:v>2.2690000000000001</c:v>
                </c:pt>
                <c:pt idx="514">
                  <c:v>2.6190000000000002</c:v>
                </c:pt>
                <c:pt idx="515">
                  <c:v>2.1589999999999998</c:v>
                </c:pt>
                <c:pt idx="516">
                  <c:v>3.899</c:v>
                </c:pt>
                <c:pt idx="517">
                  <c:v>2.1589999999999998</c:v>
                </c:pt>
                <c:pt idx="518">
                  <c:v>2.149</c:v>
                </c:pt>
                <c:pt idx="519">
                  <c:v>2.9990000000000001</c:v>
                </c:pt>
                <c:pt idx="520">
                  <c:v>2.0489999999999999</c:v>
                </c:pt>
                <c:pt idx="521">
                  <c:v>2.2989999999999999</c:v>
                </c:pt>
                <c:pt idx="522">
                  <c:v>2.1890000000000001</c:v>
                </c:pt>
                <c:pt idx="523">
                  <c:v>2.7989999999999999</c:v>
                </c:pt>
                <c:pt idx="524">
                  <c:v>2.2989999999999999</c:v>
                </c:pt>
                <c:pt idx="525">
                  <c:v>2.089</c:v>
                </c:pt>
                <c:pt idx="526">
                  <c:v>2.1989999999999998</c:v>
                </c:pt>
                <c:pt idx="527">
                  <c:v>2.0790000000000002</c:v>
                </c:pt>
                <c:pt idx="528">
                  <c:v>2.0990000000000002</c:v>
                </c:pt>
                <c:pt idx="529">
                  <c:v>2.1989999999999998</c:v>
                </c:pt>
                <c:pt idx="530">
                  <c:v>2.2890000000000001</c:v>
                </c:pt>
                <c:pt idx="531">
                  <c:v>2.1190000000000002</c:v>
                </c:pt>
                <c:pt idx="532">
                  <c:v>2.2589999999999999</c:v>
                </c:pt>
                <c:pt idx="533">
                  <c:v>2.2890000000000001</c:v>
                </c:pt>
                <c:pt idx="534">
                  <c:v>2.399</c:v>
                </c:pt>
                <c:pt idx="535">
                  <c:v>2.1389999999999998</c:v>
                </c:pt>
                <c:pt idx="536">
                  <c:v>2.2589999999999999</c:v>
                </c:pt>
                <c:pt idx="537">
                  <c:v>2.2490000000000001</c:v>
                </c:pt>
                <c:pt idx="538">
                  <c:v>3.2589999999999999</c:v>
                </c:pt>
                <c:pt idx="539">
                  <c:v>2.4990000000000001</c:v>
                </c:pt>
                <c:pt idx="540">
                  <c:v>2.2690000000000001</c:v>
                </c:pt>
                <c:pt idx="541">
                  <c:v>2.8690000000000002</c:v>
                </c:pt>
                <c:pt idx="542">
                  <c:v>2.4990000000000001</c:v>
                </c:pt>
                <c:pt idx="543">
                  <c:v>2.0990000000000002</c:v>
                </c:pt>
                <c:pt idx="544">
                  <c:v>2.359</c:v>
                </c:pt>
                <c:pt idx="545">
                  <c:v>2.0489999999999999</c:v>
                </c:pt>
                <c:pt idx="546">
                  <c:v>2.1989999999999998</c:v>
                </c:pt>
                <c:pt idx="547">
                  <c:v>2.359</c:v>
                </c:pt>
                <c:pt idx="548">
                  <c:v>2.1789999999999998</c:v>
                </c:pt>
                <c:pt idx="549">
                  <c:v>2.359</c:v>
                </c:pt>
                <c:pt idx="550">
                  <c:v>2.2789999999999999</c:v>
                </c:pt>
                <c:pt idx="551">
                  <c:v>3.399</c:v>
                </c:pt>
                <c:pt idx="552">
                  <c:v>2.2789999999999999</c:v>
                </c:pt>
                <c:pt idx="553">
                  <c:v>2.1989999999999998</c:v>
                </c:pt>
                <c:pt idx="554">
                  <c:v>2.399</c:v>
                </c:pt>
                <c:pt idx="555">
                  <c:v>2.2989999999999999</c:v>
                </c:pt>
                <c:pt idx="556">
                  <c:v>2.2789999999999999</c:v>
                </c:pt>
                <c:pt idx="557">
                  <c:v>2.2490000000000001</c:v>
                </c:pt>
                <c:pt idx="558">
                  <c:v>2.2389999999999999</c:v>
                </c:pt>
                <c:pt idx="559">
                  <c:v>2.1589999999999998</c:v>
                </c:pt>
                <c:pt idx="560">
                  <c:v>2.1989999999999998</c:v>
                </c:pt>
                <c:pt idx="561">
                  <c:v>2.2189999999999999</c:v>
                </c:pt>
                <c:pt idx="562">
                  <c:v>2.919</c:v>
                </c:pt>
                <c:pt idx="563">
                  <c:v>2.1589999999999998</c:v>
                </c:pt>
                <c:pt idx="564">
                  <c:v>2.899</c:v>
                </c:pt>
                <c:pt idx="565">
                  <c:v>2.2589999999999999</c:v>
                </c:pt>
                <c:pt idx="566">
                  <c:v>2.169</c:v>
                </c:pt>
                <c:pt idx="567">
                  <c:v>2.3490000000000002</c:v>
                </c:pt>
                <c:pt idx="568">
                  <c:v>2.319</c:v>
                </c:pt>
                <c:pt idx="569">
                  <c:v>2.339</c:v>
                </c:pt>
                <c:pt idx="570">
                  <c:v>2.4990000000000001</c:v>
                </c:pt>
                <c:pt idx="571">
                  <c:v>2.359</c:v>
                </c:pt>
                <c:pt idx="572">
                  <c:v>2.9990000000000001</c:v>
                </c:pt>
                <c:pt idx="573">
                  <c:v>1.9990000000000001</c:v>
                </c:pt>
                <c:pt idx="574">
                  <c:v>1.9790000000000001</c:v>
                </c:pt>
                <c:pt idx="575">
                  <c:v>2.7589999999999999</c:v>
                </c:pt>
                <c:pt idx="576">
                  <c:v>2.2989999999999999</c:v>
                </c:pt>
                <c:pt idx="577">
                  <c:v>2.359</c:v>
                </c:pt>
                <c:pt idx="578">
                  <c:v>2.2389999999999999</c:v>
                </c:pt>
                <c:pt idx="579">
                  <c:v>2.5990000000000002</c:v>
                </c:pt>
                <c:pt idx="580">
                  <c:v>2.359</c:v>
                </c:pt>
                <c:pt idx="581">
                  <c:v>2.2989999999999999</c:v>
                </c:pt>
                <c:pt idx="582">
                  <c:v>2.4990000000000001</c:v>
                </c:pt>
                <c:pt idx="583">
                  <c:v>2.1589999999999998</c:v>
                </c:pt>
                <c:pt idx="584">
                  <c:v>3.0990000000000002</c:v>
                </c:pt>
                <c:pt idx="585">
                  <c:v>1.9990000000000001</c:v>
                </c:pt>
                <c:pt idx="586">
                  <c:v>3.0990000000000002</c:v>
                </c:pt>
                <c:pt idx="587">
                  <c:v>2.5990000000000002</c:v>
                </c:pt>
                <c:pt idx="588">
                  <c:v>2.399</c:v>
                </c:pt>
                <c:pt idx="589">
                  <c:v>2.899</c:v>
                </c:pt>
                <c:pt idx="590">
                  <c:v>2.899</c:v>
                </c:pt>
                <c:pt idx="591">
                  <c:v>2.2989999999999999</c:v>
                </c:pt>
                <c:pt idx="592">
                  <c:v>2.0790000000000002</c:v>
                </c:pt>
                <c:pt idx="593">
                  <c:v>2.2989999999999999</c:v>
                </c:pt>
                <c:pt idx="594">
                  <c:v>2.1989999999999998</c:v>
                </c:pt>
                <c:pt idx="595">
                  <c:v>3.0990000000000002</c:v>
                </c:pt>
                <c:pt idx="596">
                  <c:v>2.4590000000000001</c:v>
                </c:pt>
                <c:pt idx="597">
                  <c:v>2.359</c:v>
                </c:pt>
                <c:pt idx="598">
                  <c:v>2.0990000000000002</c:v>
                </c:pt>
                <c:pt idx="599">
                  <c:v>2.4390000000000001</c:v>
                </c:pt>
                <c:pt idx="600">
                  <c:v>2.2189999999999999</c:v>
                </c:pt>
                <c:pt idx="601">
                  <c:v>2.5590000000000002</c:v>
                </c:pt>
                <c:pt idx="602">
                  <c:v>2.5990000000000002</c:v>
                </c:pt>
                <c:pt idx="603">
                  <c:v>2.899</c:v>
                </c:pt>
                <c:pt idx="604">
                  <c:v>2.1789999999999998</c:v>
                </c:pt>
                <c:pt idx="605">
                  <c:v>2.319</c:v>
                </c:pt>
                <c:pt idx="606">
                  <c:v>2.5990000000000002</c:v>
                </c:pt>
                <c:pt idx="607">
                  <c:v>2.1989999999999998</c:v>
                </c:pt>
                <c:pt idx="608">
                  <c:v>2.399</c:v>
                </c:pt>
                <c:pt idx="609">
                  <c:v>1.9990000000000001</c:v>
                </c:pt>
                <c:pt idx="610">
                  <c:v>2.7989999999999999</c:v>
                </c:pt>
                <c:pt idx="611">
                  <c:v>3.0990000000000002</c:v>
                </c:pt>
                <c:pt idx="612">
                  <c:v>2.2290000000000001</c:v>
                </c:pt>
                <c:pt idx="613">
                  <c:v>2.4790000000000001</c:v>
                </c:pt>
                <c:pt idx="614">
                  <c:v>2.359</c:v>
                </c:pt>
                <c:pt idx="615">
                  <c:v>2.4390000000000001</c:v>
                </c:pt>
                <c:pt idx="616">
                  <c:v>2.399</c:v>
                </c:pt>
                <c:pt idx="617">
                  <c:v>2.2989999999999999</c:v>
                </c:pt>
                <c:pt idx="618">
                  <c:v>2.2589999999999999</c:v>
                </c:pt>
                <c:pt idx="619">
                  <c:v>2.5990000000000002</c:v>
                </c:pt>
                <c:pt idx="620">
                  <c:v>2.9590000000000001</c:v>
                </c:pt>
                <c:pt idx="621">
                  <c:v>2.4990000000000001</c:v>
                </c:pt>
                <c:pt idx="622">
                  <c:v>2.4990000000000001</c:v>
                </c:pt>
                <c:pt idx="623">
                  <c:v>2.2589999999999999</c:v>
                </c:pt>
                <c:pt idx="624">
                  <c:v>2.1190000000000002</c:v>
                </c:pt>
                <c:pt idx="625">
                  <c:v>3.1989999999999998</c:v>
                </c:pt>
                <c:pt idx="626">
                  <c:v>2.4990000000000001</c:v>
                </c:pt>
                <c:pt idx="627">
                  <c:v>2.6589999999999998</c:v>
                </c:pt>
                <c:pt idx="628">
                  <c:v>2.2589999999999999</c:v>
                </c:pt>
                <c:pt idx="629">
                  <c:v>2.0790000000000002</c:v>
                </c:pt>
                <c:pt idx="630">
                  <c:v>2.5990000000000002</c:v>
                </c:pt>
                <c:pt idx="631">
                  <c:v>2.1989999999999998</c:v>
                </c:pt>
                <c:pt idx="632">
                  <c:v>2.2989999999999999</c:v>
                </c:pt>
                <c:pt idx="633">
                  <c:v>2.319</c:v>
                </c:pt>
                <c:pt idx="634">
                  <c:v>2.3490000000000002</c:v>
                </c:pt>
                <c:pt idx="635">
                  <c:v>2.379</c:v>
                </c:pt>
                <c:pt idx="636">
                  <c:v>2.2490000000000001</c:v>
                </c:pt>
                <c:pt idx="637">
                  <c:v>2.149</c:v>
                </c:pt>
                <c:pt idx="638">
                  <c:v>2.2589999999999999</c:v>
                </c:pt>
                <c:pt idx="639">
                  <c:v>2.1389999999999998</c:v>
                </c:pt>
                <c:pt idx="640">
                  <c:v>2.4390000000000001</c:v>
                </c:pt>
                <c:pt idx="641">
                  <c:v>2.359</c:v>
                </c:pt>
                <c:pt idx="642">
                  <c:v>1.9990000000000001</c:v>
                </c:pt>
                <c:pt idx="643">
                  <c:v>1.9990000000000001</c:v>
                </c:pt>
                <c:pt idx="644">
                  <c:v>2.2589999999999999</c:v>
                </c:pt>
                <c:pt idx="645">
                  <c:v>2.2789999999999999</c:v>
                </c:pt>
                <c:pt idx="646">
                  <c:v>2.5590000000000002</c:v>
                </c:pt>
                <c:pt idx="647">
                  <c:v>2.2490000000000001</c:v>
                </c:pt>
                <c:pt idx="648">
                  <c:v>2.0990000000000002</c:v>
                </c:pt>
                <c:pt idx="649">
                  <c:v>3.0990000000000002</c:v>
                </c:pt>
                <c:pt idx="650">
                  <c:v>1.9690000000000001</c:v>
                </c:pt>
                <c:pt idx="651">
                  <c:v>2.1589999999999998</c:v>
                </c:pt>
                <c:pt idx="652">
                  <c:v>2.0990000000000002</c:v>
                </c:pt>
                <c:pt idx="653">
                  <c:v>2.4590000000000001</c:v>
                </c:pt>
                <c:pt idx="654">
                  <c:v>2.359</c:v>
                </c:pt>
                <c:pt idx="655">
                  <c:v>2.0990000000000002</c:v>
                </c:pt>
                <c:pt idx="656">
                  <c:v>2.6589999999999998</c:v>
                </c:pt>
                <c:pt idx="657">
                  <c:v>2.2290000000000001</c:v>
                </c:pt>
                <c:pt idx="658">
                  <c:v>2.7989999999999999</c:v>
                </c:pt>
                <c:pt idx="659">
                  <c:v>2.359</c:v>
                </c:pt>
                <c:pt idx="660">
                  <c:v>2.0990000000000002</c:v>
                </c:pt>
                <c:pt idx="661">
                  <c:v>2.4590000000000001</c:v>
                </c:pt>
                <c:pt idx="662">
                  <c:v>2.5590000000000002</c:v>
                </c:pt>
                <c:pt idx="663">
                  <c:v>2.1190000000000002</c:v>
                </c:pt>
                <c:pt idx="664">
                  <c:v>2.2690000000000001</c:v>
                </c:pt>
                <c:pt idx="665">
                  <c:v>2.359</c:v>
                </c:pt>
                <c:pt idx="666">
                  <c:v>2.4590000000000001</c:v>
                </c:pt>
                <c:pt idx="667">
                  <c:v>2.6989999999999998</c:v>
                </c:pt>
                <c:pt idx="668">
                  <c:v>2.5990000000000002</c:v>
                </c:pt>
                <c:pt idx="669">
                  <c:v>2.3490000000000002</c:v>
                </c:pt>
                <c:pt idx="670">
                  <c:v>2.399</c:v>
                </c:pt>
                <c:pt idx="671">
                  <c:v>2.0790000000000002</c:v>
                </c:pt>
                <c:pt idx="672">
                  <c:v>2.4390000000000001</c:v>
                </c:pt>
                <c:pt idx="673">
                  <c:v>2.2389999999999999</c:v>
                </c:pt>
                <c:pt idx="674">
                  <c:v>2.9990000000000001</c:v>
                </c:pt>
                <c:pt idx="675">
                  <c:v>2.4390000000000001</c:v>
                </c:pt>
                <c:pt idx="676">
                  <c:v>2.1989999999999998</c:v>
                </c:pt>
                <c:pt idx="677">
                  <c:v>2.3690000000000002</c:v>
                </c:pt>
                <c:pt idx="678">
                  <c:v>2.3690000000000002</c:v>
                </c:pt>
                <c:pt idx="679">
                  <c:v>2.0790000000000002</c:v>
                </c:pt>
                <c:pt idx="680">
                  <c:v>2.319</c:v>
                </c:pt>
                <c:pt idx="681">
                  <c:v>1.9990000000000001</c:v>
                </c:pt>
                <c:pt idx="682">
                  <c:v>2.1389999999999998</c:v>
                </c:pt>
                <c:pt idx="683">
                  <c:v>2.1989999999999998</c:v>
                </c:pt>
                <c:pt idx="684">
                  <c:v>2.1589999999999998</c:v>
                </c:pt>
                <c:pt idx="685">
                  <c:v>2.4990000000000001</c:v>
                </c:pt>
                <c:pt idx="686">
                  <c:v>2.0990000000000002</c:v>
                </c:pt>
                <c:pt idx="687">
                  <c:v>2.1989999999999998</c:v>
                </c:pt>
                <c:pt idx="688">
                  <c:v>2.5990000000000002</c:v>
                </c:pt>
                <c:pt idx="689">
                  <c:v>2.1589999999999998</c:v>
                </c:pt>
                <c:pt idx="690">
                  <c:v>2.1890000000000001</c:v>
                </c:pt>
                <c:pt idx="691">
                  <c:v>2.1389999999999998</c:v>
                </c:pt>
                <c:pt idx="692">
                  <c:v>2.1989999999999998</c:v>
                </c:pt>
                <c:pt idx="693">
                  <c:v>2.5590000000000002</c:v>
                </c:pt>
                <c:pt idx="694">
                  <c:v>2.899</c:v>
                </c:pt>
                <c:pt idx="695">
                  <c:v>2.1789999999999998</c:v>
                </c:pt>
                <c:pt idx="696">
                  <c:v>2.1989999999999998</c:v>
                </c:pt>
                <c:pt idx="697">
                  <c:v>2.359</c:v>
                </c:pt>
                <c:pt idx="698">
                  <c:v>2.2589999999999999</c:v>
                </c:pt>
                <c:pt idx="699">
                  <c:v>2.5590000000000002</c:v>
                </c:pt>
                <c:pt idx="700">
                  <c:v>2.0790000000000002</c:v>
                </c:pt>
                <c:pt idx="701">
                  <c:v>2.899</c:v>
                </c:pt>
                <c:pt idx="702">
                  <c:v>2.1589999999999998</c:v>
                </c:pt>
                <c:pt idx="703">
                  <c:v>2.2389999999999999</c:v>
                </c:pt>
                <c:pt idx="704">
                  <c:v>2.4990000000000001</c:v>
                </c:pt>
                <c:pt idx="705">
                  <c:v>2.7189999999999999</c:v>
                </c:pt>
                <c:pt idx="706">
                  <c:v>2.339</c:v>
                </c:pt>
                <c:pt idx="707">
                  <c:v>2.1989999999999998</c:v>
                </c:pt>
                <c:pt idx="708">
                  <c:v>2.359</c:v>
                </c:pt>
                <c:pt idx="709">
                  <c:v>2.2490000000000001</c:v>
                </c:pt>
                <c:pt idx="710">
                  <c:v>2.359</c:v>
                </c:pt>
                <c:pt idx="711">
                  <c:v>3.2989999999999999</c:v>
                </c:pt>
                <c:pt idx="712">
                  <c:v>2.359</c:v>
                </c:pt>
                <c:pt idx="713">
                  <c:v>2.2989999999999999</c:v>
                </c:pt>
                <c:pt idx="714">
                  <c:v>2.1989999999999998</c:v>
                </c:pt>
                <c:pt idx="715">
                  <c:v>2.379</c:v>
                </c:pt>
                <c:pt idx="716">
                  <c:v>2.1989999999999998</c:v>
                </c:pt>
                <c:pt idx="717">
                  <c:v>2.379</c:v>
                </c:pt>
                <c:pt idx="718">
                  <c:v>2.0590000000000002</c:v>
                </c:pt>
                <c:pt idx="719">
                  <c:v>2.339</c:v>
                </c:pt>
                <c:pt idx="720">
                  <c:v>2.4790000000000001</c:v>
                </c:pt>
                <c:pt idx="721">
                  <c:v>2.2290000000000001</c:v>
                </c:pt>
                <c:pt idx="722">
                  <c:v>2.2389999999999999</c:v>
                </c:pt>
                <c:pt idx="723">
                  <c:v>2.4390000000000001</c:v>
                </c:pt>
                <c:pt idx="724">
                  <c:v>2.2989999999999999</c:v>
                </c:pt>
                <c:pt idx="725">
                  <c:v>2.2389999999999999</c:v>
                </c:pt>
                <c:pt idx="726">
                  <c:v>2.359</c:v>
                </c:pt>
                <c:pt idx="727">
                  <c:v>2.5990000000000002</c:v>
                </c:pt>
                <c:pt idx="728">
                  <c:v>2.379</c:v>
                </c:pt>
                <c:pt idx="729">
                  <c:v>2.399</c:v>
                </c:pt>
                <c:pt idx="730">
                  <c:v>2.2189999999999999</c:v>
                </c:pt>
                <c:pt idx="731">
                  <c:v>2.5990000000000002</c:v>
                </c:pt>
                <c:pt idx="732">
                  <c:v>2.1989999999999998</c:v>
                </c:pt>
                <c:pt idx="733">
                  <c:v>1.9390000000000001</c:v>
                </c:pt>
                <c:pt idx="734">
                  <c:v>2.9590000000000001</c:v>
                </c:pt>
                <c:pt idx="735">
                  <c:v>2.1589999999999998</c:v>
                </c:pt>
                <c:pt idx="736">
                  <c:v>2.399</c:v>
                </c:pt>
                <c:pt idx="737">
                  <c:v>2.0990000000000002</c:v>
                </c:pt>
                <c:pt idx="738">
                  <c:v>2.0590000000000002</c:v>
                </c:pt>
                <c:pt idx="739">
                  <c:v>2.0990000000000002</c:v>
                </c:pt>
                <c:pt idx="740">
                  <c:v>2.2890000000000001</c:v>
                </c:pt>
                <c:pt idx="741">
                  <c:v>2.1989999999999998</c:v>
                </c:pt>
              </c:numCache>
            </c:numRef>
          </c:xVal>
          <c:yVal>
            <c:numRef>
              <c:f>'OPIS vs EIA'!$B$2:$B$743</c:f>
              <c:numCache>
                <c:formatCode>General</c:formatCode>
                <c:ptCount val="742"/>
                <c:pt idx="0">
                  <c:v>2.359</c:v>
                </c:pt>
                <c:pt idx="1">
                  <c:v>2.2490000000000001</c:v>
                </c:pt>
                <c:pt idx="2">
                  <c:v>2.2389999999999999</c:v>
                </c:pt>
                <c:pt idx="3">
                  <c:v>2.2989999999999999</c:v>
                </c:pt>
                <c:pt idx="4">
                  <c:v>2.2189999999999999</c:v>
                </c:pt>
                <c:pt idx="5">
                  <c:v>2.339</c:v>
                </c:pt>
                <c:pt idx="6">
                  <c:v>2.1589999999999998</c:v>
                </c:pt>
                <c:pt idx="7">
                  <c:v>2.2589999999999999</c:v>
                </c:pt>
                <c:pt idx="8">
                  <c:v>2.2789999999999999</c:v>
                </c:pt>
                <c:pt idx="9">
                  <c:v>2.1989999999999998</c:v>
                </c:pt>
                <c:pt idx="10">
                  <c:v>2.2989999999999999</c:v>
                </c:pt>
                <c:pt idx="11">
                  <c:v>2.4790000000000001</c:v>
                </c:pt>
                <c:pt idx="12">
                  <c:v>2.2989999999999999</c:v>
                </c:pt>
                <c:pt idx="13">
                  <c:v>2.419</c:v>
                </c:pt>
                <c:pt idx="14">
                  <c:v>2.5990000000000002</c:v>
                </c:pt>
                <c:pt idx="15">
                  <c:v>2.359</c:v>
                </c:pt>
                <c:pt idx="16">
                  <c:v>2.4590000000000001</c:v>
                </c:pt>
                <c:pt idx="17">
                  <c:v>2.4489999999999998</c:v>
                </c:pt>
                <c:pt idx="18">
                  <c:v>2.0590000000000002</c:v>
                </c:pt>
                <c:pt idx="19">
                  <c:v>2.0289999999999999</c:v>
                </c:pt>
                <c:pt idx="20">
                  <c:v>2.9990000000000001</c:v>
                </c:pt>
                <c:pt idx="21">
                  <c:v>3.2589999999999999</c:v>
                </c:pt>
                <c:pt idx="22">
                  <c:v>3.1589999999999998</c:v>
                </c:pt>
                <c:pt idx="23">
                  <c:v>2.1789999999999998</c:v>
                </c:pt>
                <c:pt idx="24">
                  <c:v>2.0990000000000002</c:v>
                </c:pt>
                <c:pt idx="25">
                  <c:v>2.899</c:v>
                </c:pt>
                <c:pt idx="26">
                  <c:v>2.2490000000000001</c:v>
                </c:pt>
                <c:pt idx="27">
                  <c:v>1.9790000000000001</c:v>
                </c:pt>
                <c:pt idx="28">
                  <c:v>2.5590000000000002</c:v>
                </c:pt>
                <c:pt idx="29">
                  <c:v>2.2989999999999999</c:v>
                </c:pt>
                <c:pt idx="30">
                  <c:v>2.04</c:v>
                </c:pt>
                <c:pt idx="31">
                  <c:v>2.4990000000000001</c:v>
                </c:pt>
                <c:pt idx="32">
                  <c:v>2.4590000000000001</c:v>
                </c:pt>
                <c:pt idx="33">
                  <c:v>2.4590000000000001</c:v>
                </c:pt>
                <c:pt idx="34">
                  <c:v>2.2589999999999999</c:v>
                </c:pt>
                <c:pt idx="35">
                  <c:v>2.6190000000000002</c:v>
                </c:pt>
                <c:pt idx="36">
                  <c:v>2.2389999999999999</c:v>
                </c:pt>
                <c:pt idx="37">
                  <c:v>3.0190000000000001</c:v>
                </c:pt>
                <c:pt idx="38">
                  <c:v>2.1389999999999998</c:v>
                </c:pt>
                <c:pt idx="39">
                  <c:v>2.319</c:v>
                </c:pt>
                <c:pt idx="40">
                  <c:v>2.0990000000000002</c:v>
                </c:pt>
                <c:pt idx="41">
                  <c:v>2.9390000000000001</c:v>
                </c:pt>
                <c:pt idx="42">
                  <c:v>2.0990000000000002</c:v>
                </c:pt>
                <c:pt idx="43">
                  <c:v>2.5790000000000002</c:v>
                </c:pt>
                <c:pt idx="44">
                  <c:v>2.2989999999999999</c:v>
                </c:pt>
                <c:pt idx="45">
                  <c:v>2.2989999999999999</c:v>
                </c:pt>
                <c:pt idx="46">
                  <c:v>2.2389999999999999</c:v>
                </c:pt>
                <c:pt idx="47">
                  <c:v>2.399</c:v>
                </c:pt>
                <c:pt idx="48">
                  <c:v>2.2490000000000001</c:v>
                </c:pt>
                <c:pt idx="49">
                  <c:v>2.0590000000000002</c:v>
                </c:pt>
                <c:pt idx="50">
                  <c:v>1.9590000000000001</c:v>
                </c:pt>
                <c:pt idx="51">
                  <c:v>2.4590000000000001</c:v>
                </c:pt>
                <c:pt idx="52">
                  <c:v>2.1989999999999998</c:v>
                </c:pt>
                <c:pt idx="53">
                  <c:v>2.2490000000000001</c:v>
                </c:pt>
                <c:pt idx="54">
                  <c:v>2.2189999999999999</c:v>
                </c:pt>
                <c:pt idx="55">
                  <c:v>2.4990000000000001</c:v>
                </c:pt>
                <c:pt idx="56">
                  <c:v>2.09</c:v>
                </c:pt>
                <c:pt idx="57">
                  <c:v>2.2850000000000001</c:v>
                </c:pt>
                <c:pt idx="58">
                  <c:v>2.3090000000000002</c:v>
                </c:pt>
                <c:pt idx="59">
                  <c:v>2.3090000000000002</c:v>
                </c:pt>
                <c:pt idx="60">
                  <c:v>2.75</c:v>
                </c:pt>
                <c:pt idx="61">
                  <c:v>3.09</c:v>
                </c:pt>
                <c:pt idx="62">
                  <c:v>2.2400000000000002</c:v>
                </c:pt>
                <c:pt idx="63">
                  <c:v>2.399</c:v>
                </c:pt>
                <c:pt idx="64">
                  <c:v>2.0790000000000002</c:v>
                </c:pt>
                <c:pt idx="65">
                  <c:v>2.2589999999999999</c:v>
                </c:pt>
                <c:pt idx="66">
                  <c:v>2.2789999999999999</c:v>
                </c:pt>
                <c:pt idx="67">
                  <c:v>2.2890000000000001</c:v>
                </c:pt>
                <c:pt idx="68">
                  <c:v>2.1589999999999998</c:v>
                </c:pt>
                <c:pt idx="69">
                  <c:v>1.99</c:v>
                </c:pt>
                <c:pt idx="70">
                  <c:v>3.129</c:v>
                </c:pt>
                <c:pt idx="71">
                  <c:v>2.7389999999999999</c:v>
                </c:pt>
                <c:pt idx="72">
                  <c:v>2.359</c:v>
                </c:pt>
                <c:pt idx="73">
                  <c:v>2.2290000000000001</c:v>
                </c:pt>
                <c:pt idx="74">
                  <c:v>2.1589999999999998</c:v>
                </c:pt>
                <c:pt idx="75">
                  <c:v>2.169</c:v>
                </c:pt>
                <c:pt idx="76">
                  <c:v>2.169</c:v>
                </c:pt>
                <c:pt idx="77">
                  <c:v>2.1589999999999998</c:v>
                </c:pt>
                <c:pt idx="78">
                  <c:v>2.2690000000000001</c:v>
                </c:pt>
                <c:pt idx="79">
                  <c:v>2.339</c:v>
                </c:pt>
                <c:pt idx="80">
                  <c:v>2.0489999999999999</c:v>
                </c:pt>
                <c:pt idx="81">
                  <c:v>2.2989999999999999</c:v>
                </c:pt>
                <c:pt idx="82">
                  <c:v>2.319</c:v>
                </c:pt>
                <c:pt idx="83">
                  <c:v>2.4289999999999998</c:v>
                </c:pt>
                <c:pt idx="84">
                  <c:v>2.1989999999999998</c:v>
                </c:pt>
                <c:pt idx="85">
                  <c:v>2.0790000000000002</c:v>
                </c:pt>
                <c:pt idx="86">
                  <c:v>2.2090000000000001</c:v>
                </c:pt>
                <c:pt idx="87">
                  <c:v>2.4900000000000002</c:v>
                </c:pt>
                <c:pt idx="88">
                  <c:v>2.37</c:v>
                </c:pt>
                <c:pt idx="89">
                  <c:v>2.0990000000000002</c:v>
                </c:pt>
                <c:pt idx="90">
                  <c:v>2.2189999999999999</c:v>
                </c:pt>
                <c:pt idx="91">
                  <c:v>2.5289999999999999</c:v>
                </c:pt>
                <c:pt idx="92">
                  <c:v>2.1589999999999998</c:v>
                </c:pt>
                <c:pt idx="93">
                  <c:v>2.4390000000000001</c:v>
                </c:pt>
                <c:pt idx="94">
                  <c:v>2.0790000000000002</c:v>
                </c:pt>
                <c:pt idx="95">
                  <c:v>2.23</c:v>
                </c:pt>
                <c:pt idx="96">
                  <c:v>1.94</c:v>
                </c:pt>
                <c:pt idx="97">
                  <c:v>2.04</c:v>
                </c:pt>
                <c:pt idx="98">
                  <c:v>1.94</c:v>
                </c:pt>
                <c:pt idx="99">
                  <c:v>1.95</c:v>
                </c:pt>
                <c:pt idx="100">
                  <c:v>2.2589999999999999</c:v>
                </c:pt>
                <c:pt idx="101">
                  <c:v>2.1989999999999998</c:v>
                </c:pt>
                <c:pt idx="102">
                  <c:v>2.34</c:v>
                </c:pt>
                <c:pt idx="103">
                  <c:v>2.29</c:v>
                </c:pt>
                <c:pt idx="104">
                  <c:v>2.2589999999999999</c:v>
                </c:pt>
                <c:pt idx="105">
                  <c:v>2.2189999999999999</c:v>
                </c:pt>
                <c:pt idx="106">
                  <c:v>2.3490000000000002</c:v>
                </c:pt>
                <c:pt idx="107">
                  <c:v>2.4990000000000001</c:v>
                </c:pt>
                <c:pt idx="108">
                  <c:v>2.3490000000000002</c:v>
                </c:pt>
                <c:pt idx="109">
                  <c:v>2.0590000000000002</c:v>
                </c:pt>
                <c:pt idx="110">
                  <c:v>2.6589999999999998</c:v>
                </c:pt>
                <c:pt idx="111">
                  <c:v>2.21</c:v>
                </c:pt>
                <c:pt idx="112">
                  <c:v>2.399</c:v>
                </c:pt>
                <c:pt idx="113">
                  <c:v>2.1589999999999998</c:v>
                </c:pt>
                <c:pt idx="114">
                  <c:v>2.4990000000000001</c:v>
                </c:pt>
                <c:pt idx="115">
                  <c:v>2.5990000000000002</c:v>
                </c:pt>
                <c:pt idx="116">
                  <c:v>2.5990000000000002</c:v>
                </c:pt>
                <c:pt idx="117">
                  <c:v>2.5990000000000002</c:v>
                </c:pt>
                <c:pt idx="118">
                  <c:v>2.4590000000000001</c:v>
                </c:pt>
                <c:pt idx="119">
                  <c:v>2.2789999999999999</c:v>
                </c:pt>
                <c:pt idx="120">
                  <c:v>2.1389999999999998</c:v>
                </c:pt>
                <c:pt idx="121">
                  <c:v>2.2890000000000001</c:v>
                </c:pt>
                <c:pt idx="122">
                  <c:v>2.3290000000000002</c:v>
                </c:pt>
                <c:pt idx="123">
                  <c:v>2.4590000000000001</c:v>
                </c:pt>
                <c:pt idx="124">
                  <c:v>2.4289999999999998</c:v>
                </c:pt>
                <c:pt idx="125">
                  <c:v>2.4900000000000002</c:v>
                </c:pt>
                <c:pt idx="126">
                  <c:v>2.29</c:v>
                </c:pt>
                <c:pt idx="127">
                  <c:v>2.4590000000000001</c:v>
                </c:pt>
                <c:pt idx="128">
                  <c:v>2.149</c:v>
                </c:pt>
                <c:pt idx="129">
                  <c:v>2.5990000000000002</c:v>
                </c:pt>
                <c:pt idx="130">
                  <c:v>2.0790000000000002</c:v>
                </c:pt>
                <c:pt idx="131">
                  <c:v>2.399</c:v>
                </c:pt>
                <c:pt idx="132">
                  <c:v>2.2490000000000001</c:v>
                </c:pt>
                <c:pt idx="133">
                  <c:v>2.2490000000000001</c:v>
                </c:pt>
                <c:pt idx="134">
                  <c:v>2.2389999999999999</c:v>
                </c:pt>
                <c:pt idx="135">
                  <c:v>2.2290000000000001</c:v>
                </c:pt>
                <c:pt idx="136">
                  <c:v>2.9329999999999998</c:v>
                </c:pt>
                <c:pt idx="137">
                  <c:v>2.2490000000000001</c:v>
                </c:pt>
                <c:pt idx="138">
                  <c:v>2.9990000000000001</c:v>
                </c:pt>
                <c:pt idx="139">
                  <c:v>2.5990000000000002</c:v>
                </c:pt>
                <c:pt idx="140">
                  <c:v>2.6589999999999998</c:v>
                </c:pt>
                <c:pt idx="141">
                  <c:v>2.6589999999999998</c:v>
                </c:pt>
                <c:pt idx="142">
                  <c:v>2.169</c:v>
                </c:pt>
                <c:pt idx="143">
                  <c:v>2.129</c:v>
                </c:pt>
                <c:pt idx="144">
                  <c:v>2.319</c:v>
                </c:pt>
                <c:pt idx="145">
                  <c:v>2.2389999999999999</c:v>
                </c:pt>
                <c:pt idx="146">
                  <c:v>2.3290000000000002</c:v>
                </c:pt>
                <c:pt idx="147">
                  <c:v>2.3490000000000002</c:v>
                </c:pt>
                <c:pt idx="148">
                  <c:v>3.0990000000000002</c:v>
                </c:pt>
                <c:pt idx="149">
                  <c:v>2.9590000000000001</c:v>
                </c:pt>
                <c:pt idx="150">
                  <c:v>2.0590000000000002</c:v>
                </c:pt>
                <c:pt idx="151">
                  <c:v>2.5590000000000002</c:v>
                </c:pt>
                <c:pt idx="152">
                  <c:v>2.1989999999999998</c:v>
                </c:pt>
                <c:pt idx="153">
                  <c:v>2.129</c:v>
                </c:pt>
                <c:pt idx="154">
                  <c:v>2.2989999999999999</c:v>
                </c:pt>
                <c:pt idx="155">
                  <c:v>2.1989999999999998</c:v>
                </c:pt>
                <c:pt idx="156">
                  <c:v>3.0790000000000002</c:v>
                </c:pt>
                <c:pt idx="157">
                  <c:v>3.1589999999999998</c:v>
                </c:pt>
                <c:pt idx="158">
                  <c:v>2.6989999999999998</c:v>
                </c:pt>
                <c:pt idx="159">
                  <c:v>2.319</c:v>
                </c:pt>
                <c:pt idx="160">
                  <c:v>2.4990000000000001</c:v>
                </c:pt>
                <c:pt idx="161">
                  <c:v>2.3290000000000002</c:v>
                </c:pt>
                <c:pt idx="162">
                  <c:v>2.2589999999999999</c:v>
                </c:pt>
                <c:pt idx="163">
                  <c:v>2.359</c:v>
                </c:pt>
                <c:pt idx="164">
                  <c:v>2.899</c:v>
                </c:pt>
                <c:pt idx="165">
                  <c:v>2.09</c:v>
                </c:pt>
                <c:pt idx="166">
                  <c:v>2.6589999999999998</c:v>
                </c:pt>
                <c:pt idx="167">
                  <c:v>3.0790000000000002</c:v>
                </c:pt>
                <c:pt idx="168">
                  <c:v>2.2400000000000002</c:v>
                </c:pt>
                <c:pt idx="169">
                  <c:v>2.17</c:v>
                </c:pt>
                <c:pt idx="170">
                  <c:v>2.2400000000000002</c:v>
                </c:pt>
                <c:pt idx="171">
                  <c:v>2.21</c:v>
                </c:pt>
                <c:pt idx="172">
                  <c:v>2.21</c:v>
                </c:pt>
                <c:pt idx="173">
                  <c:v>2.19</c:v>
                </c:pt>
                <c:pt idx="174">
                  <c:v>2.19</c:v>
                </c:pt>
                <c:pt idx="175">
                  <c:v>2.2400000000000002</c:v>
                </c:pt>
                <c:pt idx="176">
                  <c:v>2.19</c:v>
                </c:pt>
                <c:pt idx="177">
                  <c:v>2.23</c:v>
                </c:pt>
                <c:pt idx="178">
                  <c:v>2.09</c:v>
                </c:pt>
                <c:pt idx="179">
                  <c:v>1.99</c:v>
                </c:pt>
                <c:pt idx="180">
                  <c:v>2.09</c:v>
                </c:pt>
                <c:pt idx="181">
                  <c:v>2.2589999999999999</c:v>
                </c:pt>
                <c:pt idx="182">
                  <c:v>2.5990000000000002</c:v>
                </c:pt>
                <c:pt idx="183">
                  <c:v>2.899</c:v>
                </c:pt>
                <c:pt idx="184">
                  <c:v>2.359</c:v>
                </c:pt>
                <c:pt idx="185">
                  <c:v>2.3180000000000001</c:v>
                </c:pt>
                <c:pt idx="186">
                  <c:v>2.3490000000000002</c:v>
                </c:pt>
                <c:pt idx="187">
                  <c:v>2.3490000000000002</c:v>
                </c:pt>
                <c:pt idx="188">
                  <c:v>1.99</c:v>
                </c:pt>
                <c:pt idx="189">
                  <c:v>2.089</c:v>
                </c:pt>
                <c:pt idx="190">
                  <c:v>2.359</c:v>
                </c:pt>
                <c:pt idx="191">
                  <c:v>2.1989999999999998</c:v>
                </c:pt>
                <c:pt idx="192">
                  <c:v>2.399</c:v>
                </c:pt>
                <c:pt idx="193">
                  <c:v>2.4990000000000001</c:v>
                </c:pt>
                <c:pt idx="194">
                  <c:v>2.6190000000000002</c:v>
                </c:pt>
                <c:pt idx="195">
                  <c:v>2.6190000000000002</c:v>
                </c:pt>
                <c:pt idx="196">
                  <c:v>2.879</c:v>
                </c:pt>
                <c:pt idx="197">
                  <c:v>2.319</c:v>
                </c:pt>
                <c:pt idx="198">
                  <c:v>2.4590000000000001</c:v>
                </c:pt>
                <c:pt idx="199">
                  <c:v>2.089</c:v>
                </c:pt>
                <c:pt idx="200">
                  <c:v>2.1989999999999998</c:v>
                </c:pt>
                <c:pt idx="201">
                  <c:v>2.0590000000000002</c:v>
                </c:pt>
                <c:pt idx="202">
                  <c:v>3.1389999999999998</c:v>
                </c:pt>
                <c:pt idx="203">
                  <c:v>2.7090000000000001</c:v>
                </c:pt>
                <c:pt idx="204">
                  <c:v>2.129</c:v>
                </c:pt>
                <c:pt idx="205">
                  <c:v>2.7989999999999999</c:v>
                </c:pt>
                <c:pt idx="206">
                  <c:v>2.149</c:v>
                </c:pt>
                <c:pt idx="207">
                  <c:v>2.0590000000000002</c:v>
                </c:pt>
                <c:pt idx="208">
                  <c:v>2.0990000000000002</c:v>
                </c:pt>
                <c:pt idx="209">
                  <c:v>2.2589999999999999</c:v>
                </c:pt>
                <c:pt idx="210">
                  <c:v>2.2989999999999999</c:v>
                </c:pt>
                <c:pt idx="211">
                  <c:v>2.1989999999999998</c:v>
                </c:pt>
                <c:pt idx="212">
                  <c:v>2.6190000000000002</c:v>
                </c:pt>
                <c:pt idx="213">
                  <c:v>2.2989999999999999</c:v>
                </c:pt>
                <c:pt idx="214">
                  <c:v>2.1789999999999998</c:v>
                </c:pt>
                <c:pt idx="215">
                  <c:v>2.149</c:v>
                </c:pt>
                <c:pt idx="216">
                  <c:v>2.359</c:v>
                </c:pt>
                <c:pt idx="217">
                  <c:v>2.4990000000000001</c:v>
                </c:pt>
                <c:pt idx="218">
                  <c:v>2.149</c:v>
                </c:pt>
                <c:pt idx="219">
                  <c:v>1.9990000000000001</c:v>
                </c:pt>
                <c:pt idx="220">
                  <c:v>2.2090000000000001</c:v>
                </c:pt>
                <c:pt idx="221">
                  <c:v>2.0990000000000002</c:v>
                </c:pt>
                <c:pt idx="222">
                  <c:v>2.9990000000000001</c:v>
                </c:pt>
                <c:pt idx="223">
                  <c:v>2.9289999999999998</c:v>
                </c:pt>
                <c:pt idx="224">
                  <c:v>2.1989999999999998</c:v>
                </c:pt>
                <c:pt idx="225">
                  <c:v>2.2290000000000001</c:v>
                </c:pt>
                <c:pt idx="226">
                  <c:v>2.169</c:v>
                </c:pt>
                <c:pt idx="227">
                  <c:v>1.9690000000000001</c:v>
                </c:pt>
                <c:pt idx="228">
                  <c:v>2.0990000000000002</c:v>
                </c:pt>
                <c:pt idx="229">
                  <c:v>2.1989999999999998</c:v>
                </c:pt>
                <c:pt idx="230">
                  <c:v>2.6389999999999998</c:v>
                </c:pt>
                <c:pt idx="231">
                  <c:v>3.1989999999999998</c:v>
                </c:pt>
                <c:pt idx="232">
                  <c:v>2.899</c:v>
                </c:pt>
                <c:pt idx="233">
                  <c:v>2.4590000000000001</c:v>
                </c:pt>
                <c:pt idx="234">
                  <c:v>2.1589999999999998</c:v>
                </c:pt>
                <c:pt idx="235">
                  <c:v>2.4990000000000001</c:v>
                </c:pt>
                <c:pt idx="236">
                  <c:v>1.9390000000000001</c:v>
                </c:pt>
                <c:pt idx="237">
                  <c:v>2.419</c:v>
                </c:pt>
                <c:pt idx="238">
                  <c:v>2.9990000000000001</c:v>
                </c:pt>
                <c:pt idx="239">
                  <c:v>2.2789999999999999</c:v>
                </c:pt>
                <c:pt idx="240">
                  <c:v>2.319</c:v>
                </c:pt>
                <c:pt idx="241">
                  <c:v>2.3290000000000002</c:v>
                </c:pt>
                <c:pt idx="242">
                  <c:v>2.5190000000000001</c:v>
                </c:pt>
                <c:pt idx="243">
                  <c:v>2.2890000000000001</c:v>
                </c:pt>
                <c:pt idx="244">
                  <c:v>2.359</c:v>
                </c:pt>
                <c:pt idx="245">
                  <c:v>2.3290000000000002</c:v>
                </c:pt>
                <c:pt idx="246">
                  <c:v>2.359</c:v>
                </c:pt>
                <c:pt idx="247">
                  <c:v>2.6190000000000002</c:v>
                </c:pt>
                <c:pt idx="248">
                  <c:v>2.4990000000000001</c:v>
                </c:pt>
                <c:pt idx="249">
                  <c:v>2.399</c:v>
                </c:pt>
                <c:pt idx="250">
                  <c:v>2.3889999999999998</c:v>
                </c:pt>
                <c:pt idx="251">
                  <c:v>2.3490000000000002</c:v>
                </c:pt>
                <c:pt idx="252">
                  <c:v>2.4390000000000001</c:v>
                </c:pt>
                <c:pt idx="253">
                  <c:v>2.7989999999999999</c:v>
                </c:pt>
                <c:pt idx="254">
                  <c:v>2.1589999999999998</c:v>
                </c:pt>
                <c:pt idx="255">
                  <c:v>2.2989999999999999</c:v>
                </c:pt>
                <c:pt idx="256">
                  <c:v>2.7989999999999999</c:v>
                </c:pt>
                <c:pt idx="257">
                  <c:v>2.6989999999999998</c:v>
                </c:pt>
                <c:pt idx="258">
                  <c:v>2.399</c:v>
                </c:pt>
                <c:pt idx="259">
                  <c:v>2.3690000000000002</c:v>
                </c:pt>
                <c:pt idx="260">
                  <c:v>2.1989999999999998</c:v>
                </c:pt>
                <c:pt idx="261">
                  <c:v>2.3969999999999998</c:v>
                </c:pt>
                <c:pt idx="262">
                  <c:v>2.129</c:v>
                </c:pt>
                <c:pt idx="263">
                  <c:v>2.2389999999999999</c:v>
                </c:pt>
                <c:pt idx="264">
                  <c:v>2.75</c:v>
                </c:pt>
                <c:pt idx="265">
                  <c:v>2.4990000000000001</c:v>
                </c:pt>
                <c:pt idx="266">
                  <c:v>2.2189999999999999</c:v>
                </c:pt>
                <c:pt idx="267">
                  <c:v>2.5590000000000002</c:v>
                </c:pt>
                <c:pt idx="268">
                  <c:v>2.2490000000000001</c:v>
                </c:pt>
                <c:pt idx="269">
                  <c:v>2.2290000000000001</c:v>
                </c:pt>
                <c:pt idx="270">
                  <c:v>2.4990000000000001</c:v>
                </c:pt>
                <c:pt idx="271">
                  <c:v>2.2589999999999999</c:v>
                </c:pt>
                <c:pt idx="272">
                  <c:v>1.9990000000000001</c:v>
                </c:pt>
                <c:pt idx="273">
                  <c:v>2.4990000000000001</c:v>
                </c:pt>
                <c:pt idx="274">
                  <c:v>2.169</c:v>
                </c:pt>
                <c:pt idx="275">
                  <c:v>2.2989999999999999</c:v>
                </c:pt>
                <c:pt idx="276">
                  <c:v>2.399</c:v>
                </c:pt>
                <c:pt idx="277">
                  <c:v>2.0990000000000002</c:v>
                </c:pt>
                <c:pt idx="278">
                  <c:v>2.2989999999999999</c:v>
                </c:pt>
                <c:pt idx="279">
                  <c:v>2.4990000000000001</c:v>
                </c:pt>
                <c:pt idx="280">
                  <c:v>1.9390000000000001</c:v>
                </c:pt>
                <c:pt idx="281">
                  <c:v>2.1589999999999998</c:v>
                </c:pt>
                <c:pt idx="282">
                  <c:v>2.9590000000000001</c:v>
                </c:pt>
                <c:pt idx="283">
                  <c:v>2.2890000000000001</c:v>
                </c:pt>
                <c:pt idx="284">
                  <c:v>2.032</c:v>
                </c:pt>
                <c:pt idx="285">
                  <c:v>2.5990000000000002</c:v>
                </c:pt>
                <c:pt idx="286">
                  <c:v>2.149</c:v>
                </c:pt>
                <c:pt idx="287">
                  <c:v>2.169</c:v>
                </c:pt>
                <c:pt idx="288">
                  <c:v>2.2189999999999999</c:v>
                </c:pt>
                <c:pt idx="289">
                  <c:v>2.4790000000000001</c:v>
                </c:pt>
                <c:pt idx="290">
                  <c:v>2.4289999999999998</c:v>
                </c:pt>
                <c:pt idx="291">
                  <c:v>2.3889999999999998</c:v>
                </c:pt>
                <c:pt idx="292">
                  <c:v>2.2490000000000001</c:v>
                </c:pt>
                <c:pt idx="293">
                  <c:v>2.2989999999999999</c:v>
                </c:pt>
                <c:pt idx="294">
                  <c:v>2.1589999999999998</c:v>
                </c:pt>
                <c:pt idx="295">
                  <c:v>2.2490000000000001</c:v>
                </c:pt>
                <c:pt idx="296">
                  <c:v>2.2290000000000001</c:v>
                </c:pt>
                <c:pt idx="297">
                  <c:v>2.5990000000000002</c:v>
                </c:pt>
                <c:pt idx="298">
                  <c:v>1.99</c:v>
                </c:pt>
                <c:pt idx="299">
                  <c:v>2.6589999999999998</c:v>
                </c:pt>
                <c:pt idx="300">
                  <c:v>2.2389999999999999</c:v>
                </c:pt>
                <c:pt idx="301">
                  <c:v>2.5990000000000002</c:v>
                </c:pt>
                <c:pt idx="302">
                  <c:v>2.0990000000000002</c:v>
                </c:pt>
                <c:pt idx="303">
                  <c:v>2.1389999999999998</c:v>
                </c:pt>
                <c:pt idx="304">
                  <c:v>2.31</c:v>
                </c:pt>
                <c:pt idx="305">
                  <c:v>1.9590000000000001</c:v>
                </c:pt>
                <c:pt idx="306">
                  <c:v>2.2989999999999999</c:v>
                </c:pt>
                <c:pt idx="307">
                  <c:v>2.6989999999999998</c:v>
                </c:pt>
                <c:pt idx="308">
                  <c:v>2.399</c:v>
                </c:pt>
                <c:pt idx="309">
                  <c:v>2.4990000000000001</c:v>
                </c:pt>
                <c:pt idx="310">
                  <c:v>2.4990000000000001</c:v>
                </c:pt>
                <c:pt idx="311">
                  <c:v>2.4390000000000001</c:v>
                </c:pt>
                <c:pt idx="312">
                  <c:v>2.1989999999999998</c:v>
                </c:pt>
                <c:pt idx="313">
                  <c:v>2.2389999999999999</c:v>
                </c:pt>
                <c:pt idx="314">
                  <c:v>2.4590000000000001</c:v>
                </c:pt>
                <c:pt idx="315">
                  <c:v>2.399</c:v>
                </c:pt>
                <c:pt idx="316">
                  <c:v>2.4790000000000001</c:v>
                </c:pt>
                <c:pt idx="317">
                  <c:v>2.4590000000000001</c:v>
                </c:pt>
                <c:pt idx="318">
                  <c:v>2.4990000000000001</c:v>
                </c:pt>
                <c:pt idx="319">
                  <c:v>2.4790000000000001</c:v>
                </c:pt>
                <c:pt idx="320">
                  <c:v>2.339</c:v>
                </c:pt>
                <c:pt idx="321">
                  <c:v>2.2989999999999999</c:v>
                </c:pt>
                <c:pt idx="322">
                  <c:v>2.3490000000000002</c:v>
                </c:pt>
                <c:pt idx="323">
                  <c:v>2.3090000000000002</c:v>
                </c:pt>
                <c:pt idx="324">
                  <c:v>2.3490000000000002</c:v>
                </c:pt>
                <c:pt idx="325">
                  <c:v>2.2989999999999999</c:v>
                </c:pt>
                <c:pt idx="326">
                  <c:v>2.3690000000000002</c:v>
                </c:pt>
                <c:pt idx="327">
                  <c:v>2.1989999999999998</c:v>
                </c:pt>
                <c:pt idx="328">
                  <c:v>2.1989999999999998</c:v>
                </c:pt>
                <c:pt idx="329">
                  <c:v>2.2989999999999999</c:v>
                </c:pt>
                <c:pt idx="330">
                  <c:v>2.2589999999999999</c:v>
                </c:pt>
                <c:pt idx="331">
                  <c:v>2.2989999999999999</c:v>
                </c:pt>
                <c:pt idx="332">
                  <c:v>1.9990000000000001</c:v>
                </c:pt>
                <c:pt idx="333">
                  <c:v>2.2589999999999999</c:v>
                </c:pt>
                <c:pt idx="334">
                  <c:v>2.4089999999999998</c:v>
                </c:pt>
                <c:pt idx="335">
                  <c:v>2.399</c:v>
                </c:pt>
                <c:pt idx="336">
                  <c:v>2.399</c:v>
                </c:pt>
                <c:pt idx="337">
                  <c:v>2.4390000000000001</c:v>
                </c:pt>
                <c:pt idx="338">
                  <c:v>2.1989999999999998</c:v>
                </c:pt>
                <c:pt idx="339">
                  <c:v>3.0590000000000002</c:v>
                </c:pt>
                <c:pt idx="340">
                  <c:v>2.399</c:v>
                </c:pt>
                <c:pt idx="341">
                  <c:v>2.379</c:v>
                </c:pt>
                <c:pt idx="342">
                  <c:v>2.1989999999999998</c:v>
                </c:pt>
                <c:pt idx="343">
                  <c:v>2.359</c:v>
                </c:pt>
                <c:pt idx="344">
                  <c:v>2.0990000000000002</c:v>
                </c:pt>
                <c:pt idx="345">
                  <c:v>2.2789999999999999</c:v>
                </c:pt>
                <c:pt idx="346">
                  <c:v>2.14</c:v>
                </c:pt>
                <c:pt idx="347">
                  <c:v>1.98</c:v>
                </c:pt>
                <c:pt idx="348">
                  <c:v>2.14</c:v>
                </c:pt>
                <c:pt idx="349">
                  <c:v>2.0299999999999998</c:v>
                </c:pt>
                <c:pt idx="350">
                  <c:v>2.15</c:v>
                </c:pt>
                <c:pt idx="351">
                  <c:v>2.4990000000000001</c:v>
                </c:pt>
                <c:pt idx="352">
                  <c:v>2.1989999999999998</c:v>
                </c:pt>
                <c:pt idx="353">
                  <c:v>2.0990000000000002</c:v>
                </c:pt>
                <c:pt idx="354">
                  <c:v>1.9990000000000001</c:v>
                </c:pt>
                <c:pt idx="355">
                  <c:v>2.399</c:v>
                </c:pt>
                <c:pt idx="356">
                  <c:v>2.1589999999999998</c:v>
                </c:pt>
                <c:pt idx="357">
                  <c:v>1.9990000000000001</c:v>
                </c:pt>
                <c:pt idx="358">
                  <c:v>2.2989999999999999</c:v>
                </c:pt>
                <c:pt idx="359">
                  <c:v>2.4990000000000001</c:v>
                </c:pt>
                <c:pt idx="360">
                  <c:v>2.149</c:v>
                </c:pt>
                <c:pt idx="361">
                  <c:v>2.379</c:v>
                </c:pt>
                <c:pt idx="362">
                  <c:v>2.7989999999999999</c:v>
                </c:pt>
                <c:pt idx="363">
                  <c:v>2.399</c:v>
                </c:pt>
                <c:pt idx="364">
                  <c:v>2.359</c:v>
                </c:pt>
                <c:pt idx="365">
                  <c:v>2.9990000000000001</c:v>
                </c:pt>
                <c:pt idx="366">
                  <c:v>2.4790000000000001</c:v>
                </c:pt>
                <c:pt idx="367">
                  <c:v>2.7989999999999999</c:v>
                </c:pt>
                <c:pt idx="368">
                  <c:v>2.399</c:v>
                </c:pt>
                <c:pt idx="369">
                  <c:v>2.1589999999999998</c:v>
                </c:pt>
                <c:pt idx="370">
                  <c:v>2.2989999999999999</c:v>
                </c:pt>
                <c:pt idx="371">
                  <c:v>2.089</c:v>
                </c:pt>
                <c:pt idx="372">
                  <c:v>2.2589999999999999</c:v>
                </c:pt>
                <c:pt idx="373">
                  <c:v>2.2189999999999999</c:v>
                </c:pt>
                <c:pt idx="374">
                  <c:v>2.2189999999999999</c:v>
                </c:pt>
                <c:pt idx="375">
                  <c:v>2.2189999999999999</c:v>
                </c:pt>
                <c:pt idx="376">
                  <c:v>2.2389999999999999</c:v>
                </c:pt>
                <c:pt idx="377">
                  <c:v>2.2389999999999999</c:v>
                </c:pt>
                <c:pt idx="378">
                  <c:v>2.2789999999999999</c:v>
                </c:pt>
                <c:pt idx="379">
                  <c:v>2.2989999999999999</c:v>
                </c:pt>
                <c:pt idx="380">
                  <c:v>2.2789999999999999</c:v>
                </c:pt>
                <c:pt idx="381">
                  <c:v>2.2389999999999999</c:v>
                </c:pt>
                <c:pt idx="382">
                  <c:v>2.2789999999999999</c:v>
                </c:pt>
                <c:pt idx="383">
                  <c:v>2.2989999999999999</c:v>
                </c:pt>
                <c:pt idx="384">
                  <c:v>2.4289999999999998</c:v>
                </c:pt>
                <c:pt idx="385">
                  <c:v>2.1389999999999998</c:v>
                </c:pt>
                <c:pt idx="386">
                  <c:v>2.0190000000000001</c:v>
                </c:pt>
                <c:pt idx="387">
                  <c:v>2.149</c:v>
                </c:pt>
                <c:pt idx="388">
                  <c:v>2.0790000000000002</c:v>
                </c:pt>
                <c:pt idx="389">
                  <c:v>2.0790000000000002</c:v>
                </c:pt>
                <c:pt idx="390">
                  <c:v>2.0990000000000002</c:v>
                </c:pt>
                <c:pt idx="391">
                  <c:v>2.1789999999999998</c:v>
                </c:pt>
                <c:pt idx="392">
                  <c:v>1.9990000000000001</c:v>
                </c:pt>
                <c:pt idx="393">
                  <c:v>2.1589999999999998</c:v>
                </c:pt>
                <c:pt idx="394">
                  <c:v>2.1589999999999998</c:v>
                </c:pt>
                <c:pt idx="395">
                  <c:v>2.1589999999999998</c:v>
                </c:pt>
                <c:pt idx="396">
                  <c:v>2.1589999999999998</c:v>
                </c:pt>
                <c:pt idx="397">
                  <c:v>2.1589999999999998</c:v>
                </c:pt>
                <c:pt idx="398">
                  <c:v>2.1589999999999998</c:v>
                </c:pt>
                <c:pt idx="399">
                  <c:v>2.1589999999999998</c:v>
                </c:pt>
                <c:pt idx="400">
                  <c:v>2.1589999999999998</c:v>
                </c:pt>
                <c:pt idx="401">
                  <c:v>2.0990000000000002</c:v>
                </c:pt>
                <c:pt idx="402">
                  <c:v>2.169</c:v>
                </c:pt>
                <c:pt idx="403">
                  <c:v>2.089</c:v>
                </c:pt>
                <c:pt idx="404">
                  <c:v>2.1589999999999998</c:v>
                </c:pt>
                <c:pt idx="405">
                  <c:v>2.0590000000000002</c:v>
                </c:pt>
                <c:pt idx="406">
                  <c:v>2.1589999999999998</c:v>
                </c:pt>
                <c:pt idx="407">
                  <c:v>2.6589999999999998</c:v>
                </c:pt>
                <c:pt idx="408">
                  <c:v>2.7290000000000001</c:v>
                </c:pt>
                <c:pt idx="409">
                  <c:v>2.9790000000000001</c:v>
                </c:pt>
                <c:pt idx="410">
                  <c:v>2.6589999999999998</c:v>
                </c:pt>
                <c:pt idx="411">
                  <c:v>2.0990000000000002</c:v>
                </c:pt>
                <c:pt idx="412">
                  <c:v>2.1389999999999998</c:v>
                </c:pt>
                <c:pt idx="413">
                  <c:v>2.0990000000000002</c:v>
                </c:pt>
                <c:pt idx="414">
                  <c:v>2.0990000000000002</c:v>
                </c:pt>
                <c:pt idx="415">
                  <c:v>2.2589999999999999</c:v>
                </c:pt>
                <c:pt idx="416">
                  <c:v>2.3490000000000002</c:v>
                </c:pt>
                <c:pt idx="417">
                  <c:v>2.5590000000000002</c:v>
                </c:pt>
                <c:pt idx="418">
                  <c:v>2.1389999999999998</c:v>
                </c:pt>
                <c:pt idx="419">
                  <c:v>2.2989999999999999</c:v>
                </c:pt>
                <c:pt idx="420">
                  <c:v>2.9390000000000001</c:v>
                </c:pt>
                <c:pt idx="421">
                  <c:v>2.629</c:v>
                </c:pt>
                <c:pt idx="422">
                  <c:v>2.1589999999999998</c:v>
                </c:pt>
                <c:pt idx="423">
                  <c:v>2.2789999999999999</c:v>
                </c:pt>
                <c:pt idx="424">
                  <c:v>1.9990000000000001</c:v>
                </c:pt>
                <c:pt idx="425">
                  <c:v>2.1989999999999998</c:v>
                </c:pt>
                <c:pt idx="426">
                  <c:v>2.4990000000000001</c:v>
                </c:pt>
                <c:pt idx="427">
                  <c:v>2.379</c:v>
                </c:pt>
                <c:pt idx="428">
                  <c:v>2.359</c:v>
                </c:pt>
                <c:pt idx="429">
                  <c:v>2.899</c:v>
                </c:pt>
                <c:pt idx="430">
                  <c:v>1.9690000000000001</c:v>
                </c:pt>
                <c:pt idx="431">
                  <c:v>2.7589999999999999</c:v>
                </c:pt>
                <c:pt idx="432">
                  <c:v>2.4390000000000001</c:v>
                </c:pt>
                <c:pt idx="433">
                  <c:v>2.7989999999999999</c:v>
                </c:pt>
                <c:pt idx="434">
                  <c:v>2.0790000000000002</c:v>
                </c:pt>
                <c:pt idx="435">
                  <c:v>2.1589999999999998</c:v>
                </c:pt>
                <c:pt idx="436">
                  <c:v>2.4689999999999999</c:v>
                </c:pt>
                <c:pt idx="437">
                  <c:v>2.6989999999999998</c:v>
                </c:pt>
                <c:pt idx="438">
                  <c:v>2.419</c:v>
                </c:pt>
                <c:pt idx="439">
                  <c:v>2.9990000000000001</c:v>
                </c:pt>
                <c:pt idx="440">
                  <c:v>2.879</c:v>
                </c:pt>
                <c:pt idx="441">
                  <c:v>3.0990000000000002</c:v>
                </c:pt>
                <c:pt idx="442">
                  <c:v>2.3490000000000002</c:v>
                </c:pt>
                <c:pt idx="443">
                  <c:v>2.3490000000000002</c:v>
                </c:pt>
                <c:pt idx="444">
                  <c:v>2.2989999999999999</c:v>
                </c:pt>
                <c:pt idx="445">
                  <c:v>2.2690000000000001</c:v>
                </c:pt>
                <c:pt idx="446">
                  <c:v>2.1389999999999998</c:v>
                </c:pt>
                <c:pt idx="447">
                  <c:v>2.319</c:v>
                </c:pt>
                <c:pt idx="448">
                  <c:v>3.0790000000000002</c:v>
                </c:pt>
                <c:pt idx="449">
                  <c:v>2.7989999999999999</c:v>
                </c:pt>
                <c:pt idx="450">
                  <c:v>2.0790000000000002</c:v>
                </c:pt>
                <c:pt idx="451">
                  <c:v>1.929</c:v>
                </c:pt>
                <c:pt idx="452">
                  <c:v>2.4590000000000001</c:v>
                </c:pt>
                <c:pt idx="453">
                  <c:v>2.3490000000000002</c:v>
                </c:pt>
                <c:pt idx="454">
                  <c:v>2.379</c:v>
                </c:pt>
                <c:pt idx="455">
                  <c:v>2.399</c:v>
                </c:pt>
                <c:pt idx="456">
                  <c:v>2.4990000000000001</c:v>
                </c:pt>
                <c:pt idx="457">
                  <c:v>2.3889999999999998</c:v>
                </c:pt>
                <c:pt idx="458">
                  <c:v>2.2890000000000001</c:v>
                </c:pt>
                <c:pt idx="459">
                  <c:v>2.4390000000000001</c:v>
                </c:pt>
                <c:pt idx="460">
                  <c:v>2.379</c:v>
                </c:pt>
                <c:pt idx="461">
                  <c:v>2.4489999999999998</c:v>
                </c:pt>
                <c:pt idx="462">
                  <c:v>2.399</c:v>
                </c:pt>
                <c:pt idx="463">
                  <c:v>2.4990000000000001</c:v>
                </c:pt>
                <c:pt idx="464">
                  <c:v>2.4390000000000001</c:v>
                </c:pt>
                <c:pt idx="465">
                  <c:v>2.5289999999999999</c:v>
                </c:pt>
                <c:pt idx="466">
                  <c:v>2.4790000000000001</c:v>
                </c:pt>
                <c:pt idx="467">
                  <c:v>2.3490000000000002</c:v>
                </c:pt>
                <c:pt idx="468">
                  <c:v>2.2989999999999999</c:v>
                </c:pt>
                <c:pt idx="469">
                  <c:v>2.3290000000000002</c:v>
                </c:pt>
                <c:pt idx="470">
                  <c:v>2.399</c:v>
                </c:pt>
                <c:pt idx="471">
                  <c:v>2.379</c:v>
                </c:pt>
                <c:pt idx="472">
                  <c:v>2.359</c:v>
                </c:pt>
                <c:pt idx="473">
                  <c:v>2.359</c:v>
                </c:pt>
                <c:pt idx="474">
                  <c:v>2.339</c:v>
                </c:pt>
                <c:pt idx="475">
                  <c:v>2.1789999999999998</c:v>
                </c:pt>
                <c:pt idx="476">
                  <c:v>2.2989999999999999</c:v>
                </c:pt>
                <c:pt idx="477">
                  <c:v>2.359</c:v>
                </c:pt>
                <c:pt idx="478">
                  <c:v>2.379</c:v>
                </c:pt>
                <c:pt idx="479">
                  <c:v>2.1989999999999998</c:v>
                </c:pt>
                <c:pt idx="480">
                  <c:v>1.9490000000000001</c:v>
                </c:pt>
                <c:pt idx="481">
                  <c:v>2.2989999999999999</c:v>
                </c:pt>
                <c:pt idx="482">
                  <c:v>2.1989999999999998</c:v>
                </c:pt>
                <c:pt idx="483">
                  <c:v>2.0299999999999998</c:v>
                </c:pt>
                <c:pt idx="484">
                  <c:v>2.4990000000000001</c:v>
                </c:pt>
                <c:pt idx="485">
                  <c:v>2.2989999999999999</c:v>
                </c:pt>
                <c:pt idx="486">
                  <c:v>2.319</c:v>
                </c:pt>
                <c:pt idx="487">
                  <c:v>2.0489999999999999</c:v>
                </c:pt>
                <c:pt idx="488">
                  <c:v>2.0590000000000002</c:v>
                </c:pt>
                <c:pt idx="489">
                  <c:v>2.0990000000000002</c:v>
                </c:pt>
                <c:pt idx="490">
                  <c:v>2.169</c:v>
                </c:pt>
                <c:pt idx="491">
                  <c:v>2.399</c:v>
                </c:pt>
                <c:pt idx="492">
                  <c:v>2.399</c:v>
                </c:pt>
                <c:pt idx="493">
                  <c:v>2.399</c:v>
                </c:pt>
                <c:pt idx="494">
                  <c:v>2.2989999999999999</c:v>
                </c:pt>
                <c:pt idx="495">
                  <c:v>3.0990000000000002</c:v>
                </c:pt>
                <c:pt idx="496">
                  <c:v>2.0289999999999999</c:v>
                </c:pt>
                <c:pt idx="497">
                  <c:v>2.4590000000000001</c:v>
                </c:pt>
                <c:pt idx="498">
                  <c:v>2.4990000000000001</c:v>
                </c:pt>
                <c:pt idx="499">
                  <c:v>2.1789999999999998</c:v>
                </c:pt>
                <c:pt idx="500">
                  <c:v>2.379</c:v>
                </c:pt>
                <c:pt idx="501">
                  <c:v>2.3490000000000002</c:v>
                </c:pt>
                <c:pt idx="502">
                  <c:v>2.1589999999999998</c:v>
                </c:pt>
                <c:pt idx="503">
                  <c:v>2.1589999999999998</c:v>
                </c:pt>
                <c:pt idx="504">
                  <c:v>2.2789999999999999</c:v>
                </c:pt>
                <c:pt idx="505">
                  <c:v>2.29</c:v>
                </c:pt>
                <c:pt idx="506">
                  <c:v>2.2389999999999999</c:v>
                </c:pt>
                <c:pt idx="507">
                  <c:v>2.3130000000000002</c:v>
                </c:pt>
                <c:pt idx="508">
                  <c:v>2.1989999999999998</c:v>
                </c:pt>
                <c:pt idx="509">
                  <c:v>2.1789999999999998</c:v>
                </c:pt>
                <c:pt idx="510">
                  <c:v>1.9990000000000001</c:v>
                </c:pt>
                <c:pt idx="511">
                  <c:v>2.3690000000000002</c:v>
                </c:pt>
                <c:pt idx="512">
                  <c:v>2.09</c:v>
                </c:pt>
                <c:pt idx="513">
                  <c:v>2.2690000000000001</c:v>
                </c:pt>
                <c:pt idx="514">
                  <c:v>2.6190000000000002</c:v>
                </c:pt>
                <c:pt idx="515">
                  <c:v>2.1589999999999998</c:v>
                </c:pt>
                <c:pt idx="516">
                  <c:v>3.899</c:v>
                </c:pt>
                <c:pt idx="517">
                  <c:v>2.0790000000000002</c:v>
                </c:pt>
                <c:pt idx="518">
                  <c:v>2.149</c:v>
                </c:pt>
                <c:pt idx="519">
                  <c:v>2.899</c:v>
                </c:pt>
                <c:pt idx="520">
                  <c:v>1.9990000000000001</c:v>
                </c:pt>
                <c:pt idx="521">
                  <c:v>2.2989999999999999</c:v>
                </c:pt>
                <c:pt idx="522">
                  <c:v>2.1890000000000001</c:v>
                </c:pt>
                <c:pt idx="523">
                  <c:v>2.7490000000000001</c:v>
                </c:pt>
                <c:pt idx="524">
                  <c:v>2.2989999999999999</c:v>
                </c:pt>
                <c:pt idx="525">
                  <c:v>2.089</c:v>
                </c:pt>
                <c:pt idx="526">
                  <c:v>2.1989999999999998</c:v>
                </c:pt>
                <c:pt idx="527">
                  <c:v>2.0699999999999998</c:v>
                </c:pt>
                <c:pt idx="528">
                  <c:v>2.0990000000000002</c:v>
                </c:pt>
                <c:pt idx="529">
                  <c:v>2.1989999999999998</c:v>
                </c:pt>
                <c:pt idx="530">
                  <c:v>2.2389999999999999</c:v>
                </c:pt>
                <c:pt idx="531">
                  <c:v>2.1190000000000002</c:v>
                </c:pt>
                <c:pt idx="532">
                  <c:v>2.2589999999999999</c:v>
                </c:pt>
                <c:pt idx="533">
                  <c:v>2.2890000000000001</c:v>
                </c:pt>
                <c:pt idx="534">
                  <c:v>2.399</c:v>
                </c:pt>
                <c:pt idx="535">
                  <c:v>2.1389999999999998</c:v>
                </c:pt>
                <c:pt idx="536">
                  <c:v>2.2589999999999999</c:v>
                </c:pt>
                <c:pt idx="537">
                  <c:v>2.2690000000000001</c:v>
                </c:pt>
                <c:pt idx="538">
                  <c:v>3.2589999999999999</c:v>
                </c:pt>
                <c:pt idx="539">
                  <c:v>2.4990000000000001</c:v>
                </c:pt>
                <c:pt idx="540">
                  <c:v>2.2690000000000001</c:v>
                </c:pt>
                <c:pt idx="541">
                  <c:v>2.86</c:v>
                </c:pt>
                <c:pt idx="542">
                  <c:v>2.399</c:v>
                </c:pt>
                <c:pt idx="543">
                  <c:v>2.0990000000000002</c:v>
                </c:pt>
                <c:pt idx="544">
                  <c:v>2.359</c:v>
                </c:pt>
                <c:pt idx="545">
                  <c:v>2.1589999999999998</c:v>
                </c:pt>
                <c:pt idx="546">
                  <c:v>2.1989999999999998</c:v>
                </c:pt>
                <c:pt idx="547">
                  <c:v>2.359</c:v>
                </c:pt>
                <c:pt idx="548">
                  <c:v>2.1789999999999998</c:v>
                </c:pt>
                <c:pt idx="549">
                  <c:v>2.359</c:v>
                </c:pt>
                <c:pt idx="550">
                  <c:v>2.2789999999999999</c:v>
                </c:pt>
                <c:pt idx="551">
                  <c:v>3.399</c:v>
                </c:pt>
                <c:pt idx="552">
                  <c:v>2.2789999999999999</c:v>
                </c:pt>
                <c:pt idx="553">
                  <c:v>2.1989999999999998</c:v>
                </c:pt>
                <c:pt idx="554">
                  <c:v>2.399</c:v>
                </c:pt>
                <c:pt idx="555">
                  <c:v>2.2989999999999999</c:v>
                </c:pt>
                <c:pt idx="556">
                  <c:v>2.2789999999999999</c:v>
                </c:pt>
                <c:pt idx="557">
                  <c:v>2.2490000000000001</c:v>
                </c:pt>
                <c:pt idx="558">
                  <c:v>2.2389999999999999</c:v>
                </c:pt>
                <c:pt idx="559">
                  <c:v>2.1589999999999998</c:v>
                </c:pt>
                <c:pt idx="560">
                  <c:v>2.1989999999999998</c:v>
                </c:pt>
                <c:pt idx="561">
                  <c:v>2.2189999999999999</c:v>
                </c:pt>
                <c:pt idx="562">
                  <c:v>2.9590000000000001</c:v>
                </c:pt>
                <c:pt idx="563">
                  <c:v>2.1589999999999998</c:v>
                </c:pt>
                <c:pt idx="564">
                  <c:v>2.899</c:v>
                </c:pt>
                <c:pt idx="565">
                  <c:v>2.2389999999999999</c:v>
                </c:pt>
                <c:pt idx="566">
                  <c:v>2.1989999999999998</c:v>
                </c:pt>
                <c:pt idx="567">
                  <c:v>2.37</c:v>
                </c:pt>
                <c:pt idx="568">
                  <c:v>2.319</c:v>
                </c:pt>
                <c:pt idx="569">
                  <c:v>2.339</c:v>
                </c:pt>
                <c:pt idx="570">
                  <c:v>2.39</c:v>
                </c:pt>
                <c:pt idx="571">
                  <c:v>2.359</c:v>
                </c:pt>
                <c:pt idx="572">
                  <c:v>2.93</c:v>
                </c:pt>
                <c:pt idx="573">
                  <c:v>1.9990000000000001</c:v>
                </c:pt>
                <c:pt idx="574">
                  <c:v>1.9790000000000001</c:v>
                </c:pt>
                <c:pt idx="575">
                  <c:v>2.7589999999999999</c:v>
                </c:pt>
                <c:pt idx="576">
                  <c:v>2.2989999999999999</c:v>
                </c:pt>
                <c:pt idx="577">
                  <c:v>2.359</c:v>
                </c:pt>
                <c:pt idx="578">
                  <c:v>2.2389999999999999</c:v>
                </c:pt>
                <c:pt idx="579">
                  <c:v>2.5990000000000002</c:v>
                </c:pt>
                <c:pt idx="580">
                  <c:v>2.359</c:v>
                </c:pt>
                <c:pt idx="581">
                  <c:v>2.2989999999999999</c:v>
                </c:pt>
                <c:pt idx="582">
                  <c:v>2.359</c:v>
                </c:pt>
                <c:pt idx="583">
                  <c:v>2.1589999999999998</c:v>
                </c:pt>
                <c:pt idx="584">
                  <c:v>3.0990000000000002</c:v>
                </c:pt>
                <c:pt idx="585">
                  <c:v>1.9990000000000001</c:v>
                </c:pt>
                <c:pt idx="586">
                  <c:v>2.9990000000000001</c:v>
                </c:pt>
                <c:pt idx="587">
                  <c:v>2.5390000000000001</c:v>
                </c:pt>
                <c:pt idx="588">
                  <c:v>2.399</c:v>
                </c:pt>
                <c:pt idx="589">
                  <c:v>2.87</c:v>
                </c:pt>
                <c:pt idx="590">
                  <c:v>2.899</c:v>
                </c:pt>
                <c:pt idx="591">
                  <c:v>2.2989999999999999</c:v>
                </c:pt>
                <c:pt idx="592">
                  <c:v>2.0790000000000002</c:v>
                </c:pt>
                <c:pt idx="593">
                  <c:v>2.2989999999999999</c:v>
                </c:pt>
                <c:pt idx="594">
                  <c:v>2.2989999999999999</c:v>
                </c:pt>
                <c:pt idx="595">
                  <c:v>3.0990000000000002</c:v>
                </c:pt>
                <c:pt idx="596">
                  <c:v>2.4590000000000001</c:v>
                </c:pt>
                <c:pt idx="597">
                  <c:v>2.359</c:v>
                </c:pt>
                <c:pt idx="598">
                  <c:v>2.04</c:v>
                </c:pt>
                <c:pt idx="599">
                  <c:v>2.4390000000000001</c:v>
                </c:pt>
                <c:pt idx="600">
                  <c:v>2.2189999999999999</c:v>
                </c:pt>
                <c:pt idx="601">
                  <c:v>2.5590000000000002</c:v>
                </c:pt>
                <c:pt idx="602">
                  <c:v>2.5990000000000002</c:v>
                </c:pt>
                <c:pt idx="603">
                  <c:v>2.899</c:v>
                </c:pt>
                <c:pt idx="604">
                  <c:v>2.1890000000000001</c:v>
                </c:pt>
                <c:pt idx="605">
                  <c:v>2.319</c:v>
                </c:pt>
                <c:pt idx="606">
                  <c:v>2.6589999999999998</c:v>
                </c:pt>
                <c:pt idx="607">
                  <c:v>2.1989999999999998</c:v>
                </c:pt>
                <c:pt idx="608">
                  <c:v>2.399</c:v>
                </c:pt>
                <c:pt idx="609">
                  <c:v>1.9990000000000001</c:v>
                </c:pt>
                <c:pt idx="610">
                  <c:v>2.7989999999999999</c:v>
                </c:pt>
                <c:pt idx="611">
                  <c:v>3.0990000000000002</c:v>
                </c:pt>
                <c:pt idx="612">
                  <c:v>2.2290000000000001</c:v>
                </c:pt>
                <c:pt idx="613">
                  <c:v>2.4790000000000001</c:v>
                </c:pt>
                <c:pt idx="614">
                  <c:v>2.35</c:v>
                </c:pt>
                <c:pt idx="615">
                  <c:v>2.4300000000000002</c:v>
                </c:pt>
                <c:pt idx="616">
                  <c:v>2.39</c:v>
                </c:pt>
                <c:pt idx="617">
                  <c:v>2.29</c:v>
                </c:pt>
                <c:pt idx="618">
                  <c:v>2.2589999999999999</c:v>
                </c:pt>
                <c:pt idx="619">
                  <c:v>2.5990000000000002</c:v>
                </c:pt>
                <c:pt idx="620">
                  <c:v>2.9590000000000001</c:v>
                </c:pt>
                <c:pt idx="621">
                  <c:v>2.4990000000000001</c:v>
                </c:pt>
                <c:pt idx="622">
                  <c:v>2.4990000000000001</c:v>
                </c:pt>
                <c:pt idx="623">
                  <c:v>2.2589999999999999</c:v>
                </c:pt>
                <c:pt idx="624">
                  <c:v>2.1190000000000002</c:v>
                </c:pt>
                <c:pt idx="625">
                  <c:v>3.0990000000000002</c:v>
                </c:pt>
                <c:pt idx="626">
                  <c:v>2.4990000000000001</c:v>
                </c:pt>
                <c:pt idx="627">
                  <c:v>2.5499999999999998</c:v>
                </c:pt>
                <c:pt idx="628">
                  <c:v>2.2589999999999999</c:v>
                </c:pt>
                <c:pt idx="629">
                  <c:v>2.0790000000000002</c:v>
                </c:pt>
                <c:pt idx="630">
                  <c:v>2.4990000000000001</c:v>
                </c:pt>
                <c:pt idx="631">
                  <c:v>2.2789999999999999</c:v>
                </c:pt>
                <c:pt idx="632">
                  <c:v>2.2989999999999999</c:v>
                </c:pt>
                <c:pt idx="633">
                  <c:v>2.319</c:v>
                </c:pt>
                <c:pt idx="634">
                  <c:v>2.3490000000000002</c:v>
                </c:pt>
                <c:pt idx="635">
                  <c:v>2.379</c:v>
                </c:pt>
                <c:pt idx="636">
                  <c:v>2.2490000000000001</c:v>
                </c:pt>
                <c:pt idx="637">
                  <c:v>2.149</c:v>
                </c:pt>
                <c:pt idx="638">
                  <c:v>2.2589999999999999</c:v>
                </c:pt>
                <c:pt idx="639">
                  <c:v>2.1389999999999998</c:v>
                </c:pt>
                <c:pt idx="640">
                  <c:v>2.4289999999999998</c:v>
                </c:pt>
                <c:pt idx="641">
                  <c:v>2.2789999999999999</c:v>
                </c:pt>
                <c:pt idx="642">
                  <c:v>1.9990000000000001</c:v>
                </c:pt>
                <c:pt idx="643">
                  <c:v>1.9990000000000001</c:v>
                </c:pt>
                <c:pt idx="644">
                  <c:v>2.2589999999999999</c:v>
                </c:pt>
                <c:pt idx="645">
                  <c:v>2.2789999999999999</c:v>
                </c:pt>
                <c:pt idx="646">
                  <c:v>2.5990000000000002</c:v>
                </c:pt>
                <c:pt idx="647">
                  <c:v>2.2490000000000001</c:v>
                </c:pt>
                <c:pt idx="648">
                  <c:v>2.0990000000000002</c:v>
                </c:pt>
                <c:pt idx="649">
                  <c:v>2.9990000000000001</c:v>
                </c:pt>
                <c:pt idx="650">
                  <c:v>1.9690000000000001</c:v>
                </c:pt>
                <c:pt idx="651">
                  <c:v>2.1589999999999998</c:v>
                </c:pt>
                <c:pt idx="652">
                  <c:v>2.0990000000000002</c:v>
                </c:pt>
                <c:pt idx="653">
                  <c:v>2.4590000000000001</c:v>
                </c:pt>
                <c:pt idx="654">
                  <c:v>2.35</c:v>
                </c:pt>
                <c:pt idx="655">
                  <c:v>2.0990000000000002</c:v>
                </c:pt>
                <c:pt idx="656">
                  <c:v>2.5990000000000002</c:v>
                </c:pt>
                <c:pt idx="657">
                  <c:v>2.1989999999999998</c:v>
                </c:pt>
                <c:pt idx="658">
                  <c:v>2.7989999999999999</c:v>
                </c:pt>
                <c:pt idx="659">
                  <c:v>2.359</c:v>
                </c:pt>
                <c:pt idx="660">
                  <c:v>2.0990000000000002</c:v>
                </c:pt>
                <c:pt idx="661">
                  <c:v>2.4590000000000001</c:v>
                </c:pt>
                <c:pt idx="662">
                  <c:v>2.5590000000000002</c:v>
                </c:pt>
                <c:pt idx="663">
                  <c:v>2.1190000000000002</c:v>
                </c:pt>
                <c:pt idx="664">
                  <c:v>2.2690000000000001</c:v>
                </c:pt>
                <c:pt idx="665">
                  <c:v>2.359</c:v>
                </c:pt>
                <c:pt idx="666">
                  <c:v>2.4590000000000001</c:v>
                </c:pt>
                <c:pt idx="667">
                  <c:v>2.6989999999999998</c:v>
                </c:pt>
                <c:pt idx="668">
                  <c:v>2.5990000000000002</c:v>
                </c:pt>
                <c:pt idx="669">
                  <c:v>2.3490000000000002</c:v>
                </c:pt>
                <c:pt idx="670">
                  <c:v>2.399</c:v>
                </c:pt>
                <c:pt idx="671">
                  <c:v>2.0790000000000002</c:v>
                </c:pt>
                <c:pt idx="672">
                  <c:v>2.4489999999999998</c:v>
                </c:pt>
                <c:pt idx="673">
                  <c:v>2.2389999999999999</c:v>
                </c:pt>
                <c:pt idx="674">
                  <c:v>2.9990000000000001</c:v>
                </c:pt>
                <c:pt idx="675">
                  <c:v>2.4390000000000001</c:v>
                </c:pt>
                <c:pt idx="676">
                  <c:v>2.1890000000000001</c:v>
                </c:pt>
                <c:pt idx="677">
                  <c:v>2.3690000000000002</c:v>
                </c:pt>
                <c:pt idx="678">
                  <c:v>2.3690000000000002</c:v>
                </c:pt>
                <c:pt idx="679">
                  <c:v>2.0790000000000002</c:v>
                </c:pt>
                <c:pt idx="680">
                  <c:v>2.31</c:v>
                </c:pt>
                <c:pt idx="681">
                  <c:v>1.9990000000000001</c:v>
                </c:pt>
                <c:pt idx="682">
                  <c:v>2.1389999999999998</c:v>
                </c:pt>
                <c:pt idx="683">
                  <c:v>2.1989999999999998</c:v>
                </c:pt>
                <c:pt idx="684">
                  <c:v>2.1589999999999998</c:v>
                </c:pt>
                <c:pt idx="685">
                  <c:v>2.476</c:v>
                </c:pt>
                <c:pt idx="686">
                  <c:v>2.0990000000000002</c:v>
                </c:pt>
                <c:pt idx="687">
                  <c:v>2.19</c:v>
                </c:pt>
                <c:pt idx="688">
                  <c:v>2.5990000000000002</c:v>
                </c:pt>
                <c:pt idx="689">
                  <c:v>2.1589999999999998</c:v>
                </c:pt>
                <c:pt idx="690">
                  <c:v>2.1890000000000001</c:v>
                </c:pt>
                <c:pt idx="691">
                  <c:v>2.1389999999999998</c:v>
                </c:pt>
                <c:pt idx="692">
                  <c:v>2.1989999999999998</c:v>
                </c:pt>
                <c:pt idx="693">
                  <c:v>2.5990000000000002</c:v>
                </c:pt>
                <c:pt idx="694">
                  <c:v>2.899</c:v>
                </c:pt>
                <c:pt idx="695">
                  <c:v>2.1789999999999998</c:v>
                </c:pt>
                <c:pt idx="696">
                  <c:v>2.1989999999999998</c:v>
                </c:pt>
                <c:pt idx="697">
                  <c:v>2.359</c:v>
                </c:pt>
                <c:pt idx="698">
                  <c:v>2.2589999999999999</c:v>
                </c:pt>
                <c:pt idx="699">
                  <c:v>2.4590000000000001</c:v>
                </c:pt>
                <c:pt idx="700">
                  <c:v>2.0699999999999998</c:v>
                </c:pt>
                <c:pt idx="701">
                  <c:v>2.899</c:v>
                </c:pt>
                <c:pt idx="702">
                  <c:v>2.1589999999999998</c:v>
                </c:pt>
                <c:pt idx="703">
                  <c:v>2.2389999999999999</c:v>
                </c:pt>
                <c:pt idx="704">
                  <c:v>2.4990000000000001</c:v>
                </c:pt>
                <c:pt idx="705">
                  <c:v>2.5990000000000002</c:v>
                </c:pt>
                <c:pt idx="706">
                  <c:v>2.339</c:v>
                </c:pt>
                <c:pt idx="707">
                  <c:v>2.1989999999999998</c:v>
                </c:pt>
                <c:pt idx="708">
                  <c:v>2.2989999999999999</c:v>
                </c:pt>
                <c:pt idx="709">
                  <c:v>2.2490000000000001</c:v>
                </c:pt>
                <c:pt idx="710">
                  <c:v>2.359</c:v>
                </c:pt>
                <c:pt idx="711">
                  <c:v>3.2989999999999999</c:v>
                </c:pt>
                <c:pt idx="712">
                  <c:v>2.359</c:v>
                </c:pt>
                <c:pt idx="713">
                  <c:v>2.2989999999999999</c:v>
                </c:pt>
                <c:pt idx="714">
                  <c:v>2.1989999999999998</c:v>
                </c:pt>
                <c:pt idx="715">
                  <c:v>2.379</c:v>
                </c:pt>
                <c:pt idx="716">
                  <c:v>2.1989999999999998</c:v>
                </c:pt>
                <c:pt idx="717">
                  <c:v>2.379</c:v>
                </c:pt>
                <c:pt idx="718">
                  <c:v>2.0590000000000002</c:v>
                </c:pt>
                <c:pt idx="719">
                  <c:v>2.359</c:v>
                </c:pt>
                <c:pt idx="720">
                  <c:v>2.4790000000000001</c:v>
                </c:pt>
                <c:pt idx="721">
                  <c:v>2.2290000000000001</c:v>
                </c:pt>
                <c:pt idx="722">
                  <c:v>2.2389999999999999</c:v>
                </c:pt>
                <c:pt idx="723">
                  <c:v>2.4390000000000001</c:v>
                </c:pt>
                <c:pt idx="724">
                  <c:v>2.1989999999999998</c:v>
                </c:pt>
                <c:pt idx="725">
                  <c:v>2.2989999999999999</c:v>
                </c:pt>
                <c:pt idx="726">
                  <c:v>2.359</c:v>
                </c:pt>
                <c:pt idx="727">
                  <c:v>2.5990000000000002</c:v>
                </c:pt>
                <c:pt idx="728">
                  <c:v>2.2989999999999999</c:v>
                </c:pt>
                <c:pt idx="729">
                  <c:v>2.399</c:v>
                </c:pt>
                <c:pt idx="730">
                  <c:v>2.1989999999999998</c:v>
                </c:pt>
                <c:pt idx="731">
                  <c:v>2.5990000000000002</c:v>
                </c:pt>
                <c:pt idx="732">
                  <c:v>2.1989999999999998</c:v>
                </c:pt>
                <c:pt idx="733">
                  <c:v>1.9390000000000001</c:v>
                </c:pt>
                <c:pt idx="734">
                  <c:v>2.859</c:v>
                </c:pt>
                <c:pt idx="735">
                  <c:v>2.1589999999999998</c:v>
                </c:pt>
                <c:pt idx="736">
                  <c:v>2.4300000000000002</c:v>
                </c:pt>
                <c:pt idx="737">
                  <c:v>2.09</c:v>
                </c:pt>
                <c:pt idx="738">
                  <c:v>2.0590000000000002</c:v>
                </c:pt>
                <c:pt idx="739">
                  <c:v>2.0990000000000002</c:v>
                </c:pt>
                <c:pt idx="740">
                  <c:v>2.2890000000000001</c:v>
                </c:pt>
                <c:pt idx="741">
                  <c:v>2.0590000000000002</c:v>
                </c:pt>
              </c:numCache>
            </c:numRef>
          </c:yVal>
          <c:smooth val="0"/>
        </c:ser>
        <c:dLbls>
          <c:showLegendKey val="0"/>
          <c:showVal val="0"/>
          <c:showCatName val="0"/>
          <c:showSerName val="0"/>
          <c:showPercent val="0"/>
          <c:showBubbleSize val="0"/>
        </c:dLbls>
        <c:axId val="69424256"/>
        <c:axId val="69426176"/>
      </c:scatterChart>
      <c:valAx>
        <c:axId val="69424256"/>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OPIS price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26176"/>
        <c:crosses val="autoZero"/>
        <c:crossBetween val="midCat"/>
      </c:valAx>
      <c:valAx>
        <c:axId val="69426176"/>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EIA price</a:t>
                </a:r>
                <a:r>
                  <a:rPr lang="en-US" baseline="0"/>
                  <a:t> ($)</a:t>
                </a:r>
                <a:endParaRPr lang="en-US"/>
              </a:p>
            </c:rich>
          </c:tx>
          <c:layout>
            <c:manualLayout>
              <c:xMode val="edge"/>
              <c:yMode val="edge"/>
              <c:x val="0"/>
              <c:y val="0.41982654905404043"/>
            </c:manualLayout>
          </c:layout>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24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'OPIS vs EIA vs GB'!$R$2</c:f>
              <c:strCache>
                <c:ptCount val="1"/>
                <c:pt idx="0">
                  <c:v>GasBuddy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'OPIS vs EIA vs GB'!$R$11:$R$13</c:f>
                <c:numCache>
                  <c:formatCode>General</c:formatCode>
                  <c:ptCount val="3"/>
                  <c:pt idx="0">
                    <c:v>2.1786223892410105E-2</c:v>
                  </c:pt>
                  <c:pt idx="1">
                    <c:v>2.5057019437591557E-2</c:v>
                  </c:pt>
                  <c:pt idx="2">
                    <c:v>2.4227742931703242E-2</c:v>
                  </c:pt>
                </c:numCache>
              </c:numRef>
            </c:plus>
            <c:minus>
              <c:numRef>
                <c:f>'OPIS vs EIA vs GB'!$R$11:$R$13</c:f>
                <c:numCache>
                  <c:formatCode>General</c:formatCode>
                  <c:ptCount val="3"/>
                  <c:pt idx="0">
                    <c:v>2.1786223892410105E-2</c:v>
                  </c:pt>
                  <c:pt idx="1">
                    <c:v>2.5057019437591557E-2</c:v>
                  </c:pt>
                  <c:pt idx="2">
                    <c:v>2.4227742931703242E-2</c:v>
                  </c:pt>
                </c:numCache>
              </c:numRef>
            </c:minus>
            <c:spPr>
              <a:noFill/>
              <a:ln w="9525" cap="flat" cmpd="sng" algn="ctr">
                <a:solidFill>
                  <a:schemeClr val="tx1">
                    <a:lumMod val="65000"/>
                    <a:lumOff val="35000"/>
                  </a:schemeClr>
                </a:solidFill>
                <a:round/>
              </a:ln>
              <a:effectLst/>
            </c:spPr>
          </c:errBars>
          <c:cat>
            <c:strRef>
              <c:f>'OPIS vs EIA vs GB'!$Q$3:$Q$5</c:f>
              <c:strCache>
                <c:ptCount val="3"/>
                <c:pt idx="0">
                  <c:v>Regular </c:v>
                </c:pt>
                <c:pt idx="1">
                  <c:v>Midgrade</c:v>
                </c:pt>
                <c:pt idx="2">
                  <c:v>Premium</c:v>
                </c:pt>
              </c:strCache>
            </c:strRef>
          </c:cat>
          <c:val>
            <c:numRef>
              <c:f>'OPIS vs EIA vs GB'!$R$3:$R$5</c:f>
              <c:numCache>
                <c:formatCode>0.000</c:formatCode>
                <c:ptCount val="3"/>
                <c:pt idx="0">
                  <c:v>2.3474673202614356</c:v>
                </c:pt>
                <c:pt idx="1">
                  <c:v>2.6080459770114972</c:v>
                </c:pt>
                <c:pt idx="2">
                  <c:v>2.8487356321839075</c:v>
                </c:pt>
              </c:numCache>
            </c:numRef>
          </c:val>
        </c:ser>
        <c:ser>
          <c:idx val="1"/>
          <c:order val="1"/>
          <c:tx>
            <c:strRef>
              <c:f>'OPIS vs EIA vs GB'!$S$2</c:f>
              <c:strCache>
                <c:ptCount val="1"/>
                <c:pt idx="0">
                  <c:v>OPIS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'OPIS vs EIA vs GB'!$S$11:$S$13</c:f>
                <c:numCache>
                  <c:formatCode>General</c:formatCode>
                  <c:ptCount val="3"/>
                  <c:pt idx="0">
                    <c:v>2.2370176357036593E-2</c:v>
                  </c:pt>
                  <c:pt idx="1">
                    <c:v>2.5738455308688138E-2</c:v>
                  </c:pt>
                  <c:pt idx="2">
                    <c:v>2.4870278783097142E-2</c:v>
                  </c:pt>
                </c:numCache>
              </c:numRef>
            </c:plus>
            <c:minus>
              <c:numRef>
                <c:f>'OPIS vs EIA vs GB'!$S$11:$S$13</c:f>
                <c:numCache>
                  <c:formatCode>General</c:formatCode>
                  <c:ptCount val="3"/>
                  <c:pt idx="0">
                    <c:v>2.2370176357036593E-2</c:v>
                  </c:pt>
                  <c:pt idx="1">
                    <c:v>2.5738455308688138E-2</c:v>
                  </c:pt>
                  <c:pt idx="2">
                    <c:v>2.4870278783097142E-2</c:v>
                  </c:pt>
                </c:numCache>
              </c:numRef>
            </c:minus>
            <c:spPr>
              <a:noFill/>
              <a:ln w="9525" cap="flat" cmpd="sng" algn="ctr">
                <a:solidFill>
                  <a:schemeClr val="tx1">
                    <a:lumMod val="65000"/>
                    <a:lumOff val="35000"/>
                  </a:schemeClr>
                </a:solidFill>
                <a:round/>
              </a:ln>
              <a:effectLst/>
            </c:spPr>
          </c:errBars>
          <c:cat>
            <c:strRef>
              <c:f>'OPIS vs EIA vs GB'!$Q$3:$Q$5</c:f>
              <c:strCache>
                <c:ptCount val="3"/>
                <c:pt idx="0">
                  <c:v>Regular </c:v>
                </c:pt>
                <c:pt idx="1">
                  <c:v>Midgrade</c:v>
                </c:pt>
                <c:pt idx="2">
                  <c:v>Premium</c:v>
                </c:pt>
              </c:strCache>
            </c:strRef>
          </c:cat>
          <c:val>
            <c:numRef>
              <c:f>'OPIS vs EIA vs GB'!$S$3:$S$5</c:f>
              <c:numCache>
                <c:formatCode>0.000</c:formatCode>
                <c:ptCount val="3"/>
                <c:pt idx="0">
                  <c:v>2.3612058823529396</c:v>
                </c:pt>
                <c:pt idx="1">
                  <c:v>2.6238965517241395</c:v>
                </c:pt>
                <c:pt idx="2">
                  <c:v>2.863528735632185</c:v>
                </c:pt>
              </c:numCache>
            </c:numRef>
          </c:val>
        </c:ser>
        <c:ser>
          <c:idx val="2"/>
          <c:order val="2"/>
          <c:tx>
            <c:strRef>
              <c:f>'OPIS vs EIA vs GB'!$T$2</c:f>
              <c:strCache>
                <c:ptCount val="1"/>
                <c:pt idx="0">
                  <c:v>EIA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'OPIS vs EIA vs GB'!$T$11:$T$13</c:f>
                <c:numCache>
                  <c:formatCode>General</c:formatCode>
                  <c:ptCount val="3"/>
                  <c:pt idx="0">
                    <c:v>2.1804464630561585E-2</c:v>
                  </c:pt>
                  <c:pt idx="1">
                    <c:v>2.4990616770739712E-2</c:v>
                  </c:pt>
                  <c:pt idx="2">
                    <c:v>2.4189721448582186E-2</c:v>
                  </c:pt>
                </c:numCache>
              </c:numRef>
            </c:plus>
            <c:minus>
              <c:numRef>
                <c:f>'OPIS vs EIA vs GB'!$T$11:$T$13</c:f>
                <c:numCache>
                  <c:formatCode>General</c:formatCode>
                  <c:ptCount val="3"/>
                  <c:pt idx="0">
                    <c:v>2.1804464630561585E-2</c:v>
                  </c:pt>
                  <c:pt idx="1">
                    <c:v>2.4990616770739712E-2</c:v>
                  </c:pt>
                  <c:pt idx="2">
                    <c:v>2.4189721448582186E-2</c:v>
                  </c:pt>
                </c:numCache>
              </c:numRef>
            </c:minus>
            <c:spPr>
              <a:noFill/>
              <a:ln w="9525" cap="flat" cmpd="sng" algn="ctr">
                <a:solidFill>
                  <a:schemeClr val="tx1">
                    <a:lumMod val="65000"/>
                    <a:lumOff val="35000"/>
                  </a:schemeClr>
                </a:solidFill>
                <a:round/>
              </a:ln>
              <a:effectLst/>
            </c:spPr>
          </c:errBars>
          <c:cat>
            <c:strRef>
              <c:f>'OPIS vs EIA vs GB'!$Q$3:$Q$5</c:f>
              <c:strCache>
                <c:ptCount val="3"/>
                <c:pt idx="0">
                  <c:v>Regular </c:v>
                </c:pt>
                <c:pt idx="1">
                  <c:v>Midgrade</c:v>
                </c:pt>
                <c:pt idx="2">
                  <c:v>Premium</c:v>
                </c:pt>
              </c:strCache>
            </c:strRef>
          </c:cat>
          <c:val>
            <c:numRef>
              <c:f>'OPIS vs EIA vs GB'!$T$3:$T$5</c:f>
              <c:numCache>
                <c:formatCode>0.000</c:formatCode>
                <c:ptCount val="3"/>
                <c:pt idx="0">
                  <c:v>2.3554509803921553</c:v>
                </c:pt>
                <c:pt idx="1">
                  <c:v>2.6235402298850587</c:v>
                </c:pt>
                <c:pt idx="2">
                  <c:v>2.8674643678160923</c:v>
                </c:pt>
              </c:numCache>
            </c:numRef>
          </c:val>
        </c:ser>
        <c:dLbls>
          <c:showLegendKey val="0"/>
          <c:showVal val="0"/>
          <c:showCatName val="0"/>
          <c:showSerName val="0"/>
          <c:showPercent val="0"/>
          <c:showBubbleSize val="0"/>
        </c:dLbls>
        <c:gapWidth val="292"/>
        <c:overlap val="-27"/>
        <c:axId val="70519424"/>
        <c:axId val="70545792"/>
      </c:barChart>
      <c:catAx>
        <c:axId val="705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45792"/>
        <c:crosses val="autoZero"/>
        <c:auto val="1"/>
        <c:lblAlgn val="ctr"/>
        <c:lblOffset val="100"/>
        <c:noMultiLvlLbl val="0"/>
      </c:catAx>
      <c:valAx>
        <c:axId val="7054579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1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NYC_2!$A$2</c:f>
              <c:strCache>
                <c:ptCount val="1"/>
                <c:pt idx="0">
                  <c:v>OPIS (Census)</c:v>
                </c:pt>
              </c:strCache>
            </c:strRef>
          </c:tx>
          <c:spPr>
            <a:ln>
              <a:solidFill>
                <a:schemeClr val="accent1"/>
              </a:solidFill>
            </a:ln>
          </c:spPr>
          <c:marker>
            <c:symbol val="none"/>
          </c:marker>
          <c:cat>
            <c:numRef>
              <c:f>NYC_2!$B$1:$M$1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NYC_2!$B$2:$M$2</c:f>
              <c:numCache>
                <c:formatCode>0.000</c:formatCode>
                <c:ptCount val="12"/>
                <c:pt idx="0">
                  <c:v>2.4817629402032733</c:v>
                </c:pt>
                <c:pt idx="1">
                  <c:v>2.4908982571832463</c:v>
                </c:pt>
                <c:pt idx="2">
                  <c:v>2.5068415584415566</c:v>
                </c:pt>
                <c:pt idx="3">
                  <c:v>2.5038983321910107</c:v>
                </c:pt>
                <c:pt idx="4">
                  <c:v>2.4723114355231379</c:v>
                </c:pt>
                <c:pt idx="5">
                  <c:v>2.4578971716729008</c:v>
                </c:pt>
                <c:pt idx="6">
                  <c:v>2.4354696870212638</c:v>
                </c:pt>
                <c:pt idx="7">
                  <c:v>2.4180645089780817</c:v>
                </c:pt>
                <c:pt idx="8">
                  <c:v>2.419385544815488</c:v>
                </c:pt>
                <c:pt idx="9">
                  <c:v>2.4191032513181328</c:v>
                </c:pt>
                <c:pt idx="10">
                  <c:v>2.4490533689126481</c:v>
                </c:pt>
                <c:pt idx="11">
                  <c:v>2.4708575574905325</c:v>
                </c:pt>
              </c:numCache>
            </c:numRef>
          </c:val>
          <c:smooth val="0"/>
        </c:ser>
        <c:ser>
          <c:idx val="1"/>
          <c:order val="1"/>
          <c:tx>
            <c:strRef>
              <c:f>NYC_2!$A$3</c:f>
              <c:strCache>
                <c:ptCount val="1"/>
                <c:pt idx="0">
                  <c:v>EIA (Matched Sample)</c:v>
                </c:pt>
              </c:strCache>
            </c:strRef>
          </c:tx>
          <c:spPr>
            <a:ln>
              <a:solidFill>
                <a:schemeClr val="accent2"/>
              </a:solidFill>
            </a:ln>
          </c:spPr>
          <c:marker>
            <c:symbol val="none"/>
          </c:marker>
          <c:cat>
            <c:numRef>
              <c:f>NYC_2!$B$1:$M$1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NYC_2!$B$3:$M$3</c:f>
              <c:numCache>
                <c:formatCode>0.000</c:formatCode>
                <c:ptCount val="12"/>
                <c:pt idx="0">
                  <c:v>2.4401000000000002</c:v>
                </c:pt>
                <c:pt idx="1">
                  <c:v>2.4348000000000005</c:v>
                </c:pt>
                <c:pt idx="2">
                  <c:v>2.4584999999999999</c:v>
                </c:pt>
                <c:pt idx="3">
                  <c:v>2.4530999999999996</c:v>
                </c:pt>
                <c:pt idx="4">
                  <c:v>2.4438</c:v>
                </c:pt>
                <c:pt idx="5">
                  <c:v>2.4134666666666669</c:v>
                </c:pt>
                <c:pt idx="6">
                  <c:v>2.3863000000000003</c:v>
                </c:pt>
                <c:pt idx="7">
                  <c:v>2.3684333333333343</c:v>
                </c:pt>
                <c:pt idx="8">
                  <c:v>2.374633333333334</c:v>
                </c:pt>
                <c:pt idx="9">
                  <c:v>2.3724666666666669</c:v>
                </c:pt>
                <c:pt idx="10">
                  <c:v>2.4014333333333338</c:v>
                </c:pt>
                <c:pt idx="11">
                  <c:v>2.4174482758620695</c:v>
                </c:pt>
              </c:numCache>
            </c:numRef>
          </c:val>
          <c:smooth val="0"/>
        </c:ser>
        <c:ser>
          <c:idx val="2"/>
          <c:order val="2"/>
          <c:tx>
            <c:strRef>
              <c:f>NYC_2!$A$4</c:f>
              <c:strCache>
                <c:ptCount val="1"/>
                <c:pt idx="0">
                  <c:v>OPIS (Matched Sample to EIA)</c:v>
                </c:pt>
              </c:strCache>
            </c:strRef>
          </c:tx>
          <c:spPr>
            <a:ln>
              <a:solidFill>
                <a:schemeClr val="accent3"/>
              </a:solidFill>
            </a:ln>
          </c:spPr>
          <c:marker>
            <c:symbol val="none"/>
          </c:marker>
          <c:cat>
            <c:numRef>
              <c:f>NYC_2!$B$1:$M$1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NYC_2!$B$4:$M$4</c:f>
              <c:numCache>
                <c:formatCode>0.000</c:formatCode>
                <c:ptCount val="12"/>
                <c:pt idx="0">
                  <c:v>2.4373333333333336</c:v>
                </c:pt>
                <c:pt idx="1">
                  <c:v>2.4307391304347825</c:v>
                </c:pt>
                <c:pt idx="2">
                  <c:v>2.480428571428571</c:v>
                </c:pt>
                <c:pt idx="3">
                  <c:v>2.4786296296296295</c:v>
                </c:pt>
                <c:pt idx="4">
                  <c:v>2.4606666666666666</c:v>
                </c:pt>
                <c:pt idx="5">
                  <c:v>2.4504814814814813</c:v>
                </c:pt>
                <c:pt idx="6">
                  <c:v>2.411142857142857</c:v>
                </c:pt>
                <c:pt idx="7">
                  <c:v>2.3978888888888887</c:v>
                </c:pt>
                <c:pt idx="8">
                  <c:v>2.4059230769230768</c:v>
                </c:pt>
                <c:pt idx="9">
                  <c:v>2.3820769230769234</c:v>
                </c:pt>
                <c:pt idx="10">
                  <c:v>2.4234444444444447</c:v>
                </c:pt>
                <c:pt idx="11">
                  <c:v>2.4356666666666666</c:v>
                </c:pt>
              </c:numCache>
            </c:numRef>
          </c:val>
          <c:smooth val="0"/>
        </c:ser>
        <c:ser>
          <c:idx val="3"/>
          <c:order val="3"/>
          <c:tx>
            <c:strRef>
              <c:f>NYC_2!$A$5</c:f>
              <c:strCache>
                <c:ptCount val="1"/>
                <c:pt idx="0">
                  <c:v>AAA</c:v>
                </c:pt>
              </c:strCache>
            </c:strRef>
          </c:tx>
          <c:spPr>
            <a:ln>
              <a:solidFill>
                <a:schemeClr val="accent4"/>
              </a:solidFill>
            </a:ln>
          </c:spPr>
          <c:marker>
            <c:symbol val="none"/>
          </c:marker>
          <c:cat>
            <c:numRef>
              <c:f>NYC_2!$B$1:$M$1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NYC_2!$B$5:$M$5</c:f>
              <c:numCache>
                <c:formatCode>0.000</c:formatCode>
                <c:ptCount val="12"/>
                <c:pt idx="0">
                  <c:v>2.63</c:v>
                </c:pt>
                <c:pt idx="1">
                  <c:v>2.6360000000000001</c:v>
                </c:pt>
                <c:pt idx="2">
                  <c:v>2.641</c:v>
                </c:pt>
                <c:pt idx="3">
                  <c:v>2.641</c:v>
                </c:pt>
                <c:pt idx="4">
                  <c:v>2.6269999999999998</c:v>
                </c:pt>
                <c:pt idx="5">
                  <c:v>2.61</c:v>
                </c:pt>
                <c:pt idx="6">
                  <c:v>2.593</c:v>
                </c:pt>
                <c:pt idx="7">
                  <c:v>2.58</c:v>
                </c:pt>
                <c:pt idx="8">
                  <c:v>2.5760000000000001</c:v>
                </c:pt>
                <c:pt idx="9">
                  <c:v>2.5720000000000001</c:v>
                </c:pt>
                <c:pt idx="10">
                  <c:v>2.581</c:v>
                </c:pt>
                <c:pt idx="11">
                  <c:v>2.5979999999999999</c:v>
                </c:pt>
              </c:numCache>
            </c:numRef>
          </c:val>
          <c:smooth val="0"/>
        </c:ser>
        <c:dLbls>
          <c:showLegendKey val="0"/>
          <c:showVal val="0"/>
          <c:showCatName val="0"/>
          <c:showSerName val="0"/>
          <c:showPercent val="0"/>
          <c:showBubbleSize val="0"/>
        </c:dLbls>
        <c:marker val="1"/>
        <c:smooth val="0"/>
        <c:axId val="69163648"/>
        <c:axId val="69165440"/>
      </c:lineChart>
      <c:dateAx>
        <c:axId val="69163648"/>
        <c:scaling>
          <c:orientation val="minMax"/>
        </c:scaling>
        <c:delete val="0"/>
        <c:axPos val="b"/>
        <c:numFmt formatCode="m/d/yyyy" sourceLinked="1"/>
        <c:majorTickMark val="out"/>
        <c:minorTickMark val="none"/>
        <c:tickLblPos val="nextTo"/>
        <c:spPr>
          <a:ln w="12700">
            <a:solidFill>
              <a:schemeClr val="tx1"/>
            </a:solidFill>
          </a:ln>
        </c:spPr>
        <c:txPr>
          <a:bodyPr/>
          <a:lstStyle/>
          <a:p>
            <a:pPr>
              <a:defRPr sz="900"/>
            </a:pPr>
            <a:endParaRPr lang="en-US"/>
          </a:p>
        </c:txPr>
        <c:crossAx val="69165440"/>
        <c:crosses val="autoZero"/>
        <c:auto val="1"/>
        <c:lblOffset val="100"/>
        <c:baseTimeUnit val="days"/>
        <c:majorUnit val="7"/>
        <c:majorTimeUnit val="days"/>
      </c:dateAx>
      <c:valAx>
        <c:axId val="69165440"/>
        <c:scaling>
          <c:orientation val="minMax"/>
        </c:scaling>
        <c:delete val="0"/>
        <c:axPos val="l"/>
        <c:majorGridlines>
          <c:spPr>
            <a:ln>
              <a:solidFill>
                <a:schemeClr val="bg1">
                  <a:lumMod val="65000"/>
                </a:schemeClr>
              </a:solidFill>
            </a:ln>
          </c:spPr>
        </c:majorGridlines>
        <c:title>
          <c:tx>
            <c:rich>
              <a:bodyPr/>
              <a:lstStyle/>
              <a:p>
                <a:pPr>
                  <a:defRPr sz="900" b="0"/>
                </a:pPr>
                <a:r>
                  <a:rPr lang="en-US" sz="900" b="0"/>
                  <a:t>Price ($)</a:t>
                </a:r>
              </a:p>
            </c:rich>
          </c:tx>
          <c:overlay val="0"/>
        </c:title>
        <c:numFmt formatCode="0.00" sourceLinked="0"/>
        <c:majorTickMark val="out"/>
        <c:minorTickMark val="none"/>
        <c:tickLblPos val="nextTo"/>
        <c:spPr>
          <a:ln>
            <a:noFill/>
          </a:ln>
        </c:spPr>
        <c:txPr>
          <a:bodyPr/>
          <a:lstStyle/>
          <a:p>
            <a:pPr>
              <a:defRPr sz="900"/>
            </a:pPr>
            <a:endParaRPr lang="en-US"/>
          </a:p>
        </c:txPr>
        <c:crossAx val="69163648"/>
        <c:crosses val="autoZero"/>
        <c:crossBetween val="between"/>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sz="14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CHIC_2!$A$2</c:f>
              <c:strCache>
                <c:ptCount val="1"/>
                <c:pt idx="0">
                  <c:v>OPIS (Census)</c:v>
                </c:pt>
              </c:strCache>
            </c:strRef>
          </c:tx>
          <c:spPr>
            <a:ln>
              <a:solidFill>
                <a:schemeClr val="accent1"/>
              </a:solidFill>
            </a:ln>
          </c:spPr>
          <c:marker>
            <c:symbol val="none"/>
          </c:marker>
          <c:cat>
            <c:numRef>
              <c:f>CHIC_2!$B$1:$M$1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CHIC_2!$B$2:$M$2</c:f>
              <c:numCache>
                <c:formatCode>0.000</c:formatCode>
                <c:ptCount val="12"/>
                <c:pt idx="0">
                  <c:v>2.5045400540053917</c:v>
                </c:pt>
                <c:pt idx="1">
                  <c:v>2.5410153985507651</c:v>
                </c:pt>
                <c:pt idx="2">
                  <c:v>2.552131639722869</c:v>
                </c:pt>
                <c:pt idx="3">
                  <c:v>2.4962578203834513</c:v>
                </c:pt>
                <c:pt idx="4">
                  <c:v>2.4096483565961235</c:v>
                </c:pt>
                <c:pt idx="5">
                  <c:v>2.4360301418439727</c:v>
                </c:pt>
                <c:pt idx="6">
                  <c:v>2.378717314487607</c:v>
                </c:pt>
                <c:pt idx="7">
                  <c:v>2.4160840707964399</c:v>
                </c:pt>
                <c:pt idx="8">
                  <c:v>2.4731430469441973</c:v>
                </c:pt>
                <c:pt idx="9">
                  <c:v>2.4078429016466427</c:v>
                </c:pt>
                <c:pt idx="10">
                  <c:v>2.4178284703801807</c:v>
                </c:pt>
                <c:pt idx="11">
                  <c:v>2.4890044385264085</c:v>
                </c:pt>
              </c:numCache>
            </c:numRef>
          </c:val>
          <c:smooth val="0"/>
        </c:ser>
        <c:ser>
          <c:idx val="1"/>
          <c:order val="1"/>
          <c:tx>
            <c:strRef>
              <c:f>CHIC_2!$A$3</c:f>
              <c:strCache>
                <c:ptCount val="1"/>
                <c:pt idx="0">
                  <c:v>EIA (Matched Sample)</c:v>
                </c:pt>
              </c:strCache>
            </c:strRef>
          </c:tx>
          <c:spPr>
            <a:ln>
              <a:solidFill>
                <a:schemeClr val="accent2"/>
              </a:solidFill>
            </a:ln>
          </c:spPr>
          <c:marker>
            <c:symbol val="none"/>
          </c:marker>
          <c:cat>
            <c:numRef>
              <c:f>CHIC_2!$B$1:$M$1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CHIC_2!$B$3:$M$3</c:f>
              <c:numCache>
                <c:formatCode>0.000</c:formatCode>
                <c:ptCount val="12"/>
                <c:pt idx="0">
                  <c:v>2.5247837837837843</c:v>
                </c:pt>
                <c:pt idx="1">
                  <c:v>2.5614054054054058</c:v>
                </c:pt>
                <c:pt idx="2">
                  <c:v>2.5625945945945952</c:v>
                </c:pt>
                <c:pt idx="3">
                  <c:v>2.5152162162162157</c:v>
                </c:pt>
                <c:pt idx="4">
                  <c:v>2.4317297297297293</c:v>
                </c:pt>
                <c:pt idx="5">
                  <c:v>2.433945945945946</c:v>
                </c:pt>
                <c:pt idx="6">
                  <c:v>2.3504054054054055</c:v>
                </c:pt>
                <c:pt idx="7">
                  <c:v>2.4028378378378381</c:v>
                </c:pt>
                <c:pt idx="8">
                  <c:v>2.4766216216216224</c:v>
                </c:pt>
                <c:pt idx="9">
                  <c:v>2.3898648648648648</c:v>
                </c:pt>
                <c:pt idx="10">
                  <c:v>2.389297297297297</c:v>
                </c:pt>
                <c:pt idx="11">
                  <c:v>2.4827837837837836</c:v>
                </c:pt>
              </c:numCache>
            </c:numRef>
          </c:val>
          <c:smooth val="0"/>
        </c:ser>
        <c:ser>
          <c:idx val="2"/>
          <c:order val="2"/>
          <c:tx>
            <c:strRef>
              <c:f>CHIC_2!$A$4</c:f>
              <c:strCache>
                <c:ptCount val="1"/>
                <c:pt idx="0">
                  <c:v>OPIS (Matched Sample to EIA)</c:v>
                </c:pt>
              </c:strCache>
            </c:strRef>
          </c:tx>
          <c:spPr>
            <a:ln>
              <a:solidFill>
                <a:schemeClr val="accent3"/>
              </a:solidFill>
            </a:ln>
          </c:spPr>
          <c:marker>
            <c:symbol val="none"/>
          </c:marker>
          <c:cat>
            <c:numRef>
              <c:f>CHIC_2!$B$1:$M$1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CHIC_2!$B$4:$M$4</c:f>
              <c:numCache>
                <c:formatCode>0.000</c:formatCode>
                <c:ptCount val="12"/>
                <c:pt idx="0">
                  <c:v>2.5120555555555564</c:v>
                </c:pt>
                <c:pt idx="1">
                  <c:v>2.5444545454545455</c:v>
                </c:pt>
                <c:pt idx="2">
                  <c:v>2.5427142857142861</c:v>
                </c:pt>
                <c:pt idx="3">
                  <c:v>2.4506666666666663</c:v>
                </c:pt>
                <c:pt idx="4">
                  <c:v>2.3592777777777774</c:v>
                </c:pt>
                <c:pt idx="5">
                  <c:v>2.4353888888888893</c:v>
                </c:pt>
                <c:pt idx="6">
                  <c:v>2.3530540540540543</c:v>
                </c:pt>
                <c:pt idx="7">
                  <c:v>2.4060270270270268</c:v>
                </c:pt>
                <c:pt idx="8">
                  <c:v>2.4838648648648651</c:v>
                </c:pt>
                <c:pt idx="9">
                  <c:v>2.3873783783783784</c:v>
                </c:pt>
                <c:pt idx="10">
                  <c:v>2.3839999999999999</c:v>
                </c:pt>
                <c:pt idx="11">
                  <c:v>2.4706666666666672</c:v>
                </c:pt>
              </c:numCache>
            </c:numRef>
          </c:val>
          <c:smooth val="0"/>
        </c:ser>
        <c:ser>
          <c:idx val="3"/>
          <c:order val="3"/>
          <c:tx>
            <c:strRef>
              <c:f>CHIC_2!$A$5</c:f>
              <c:strCache>
                <c:ptCount val="1"/>
                <c:pt idx="0">
                  <c:v>AAA (Chicago Metro)</c:v>
                </c:pt>
              </c:strCache>
            </c:strRef>
          </c:tx>
          <c:spPr>
            <a:ln>
              <a:solidFill>
                <a:schemeClr val="accent4"/>
              </a:solidFill>
            </a:ln>
          </c:spPr>
          <c:marker>
            <c:symbol val="none"/>
          </c:marker>
          <c:cat>
            <c:numRef>
              <c:f>CHIC_2!$B$1:$M$1</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CHIC_2!$B$5:$M$5</c:f>
              <c:numCache>
                <c:formatCode>0.000</c:formatCode>
                <c:ptCount val="12"/>
                <c:pt idx="0">
                  <c:v>2.5299999999999998</c:v>
                </c:pt>
                <c:pt idx="1">
                  <c:v>2.5979999999999999</c:v>
                </c:pt>
                <c:pt idx="2">
                  <c:v>2.5659999999999998</c:v>
                </c:pt>
                <c:pt idx="3">
                  <c:v>2.5089999999999999</c:v>
                </c:pt>
                <c:pt idx="4">
                  <c:v>2.4329999999999998</c:v>
                </c:pt>
                <c:pt idx="5">
                  <c:v>2.468</c:v>
                </c:pt>
                <c:pt idx="6">
                  <c:v>2.4</c:v>
                </c:pt>
                <c:pt idx="7">
                  <c:v>2.44</c:v>
                </c:pt>
                <c:pt idx="8">
                  <c:v>2.4870000000000001</c:v>
                </c:pt>
                <c:pt idx="9">
                  <c:v>2.4380000000000002</c:v>
                </c:pt>
                <c:pt idx="10">
                  <c:v>2.4260000000000002</c:v>
                </c:pt>
                <c:pt idx="11">
                  <c:v>2.4980000000000002</c:v>
                </c:pt>
              </c:numCache>
            </c:numRef>
          </c:val>
          <c:smooth val="0"/>
        </c:ser>
        <c:dLbls>
          <c:showLegendKey val="0"/>
          <c:showVal val="0"/>
          <c:showCatName val="0"/>
          <c:showSerName val="0"/>
          <c:showPercent val="0"/>
          <c:showBubbleSize val="0"/>
        </c:dLbls>
        <c:marker val="1"/>
        <c:smooth val="0"/>
        <c:axId val="69282048"/>
        <c:axId val="69287936"/>
      </c:lineChart>
      <c:dateAx>
        <c:axId val="69282048"/>
        <c:scaling>
          <c:orientation val="minMax"/>
        </c:scaling>
        <c:delete val="0"/>
        <c:axPos val="b"/>
        <c:numFmt formatCode="m/d/yyyy" sourceLinked="1"/>
        <c:majorTickMark val="none"/>
        <c:minorTickMark val="none"/>
        <c:tickLblPos val="nextTo"/>
        <c:spPr>
          <a:ln w="12700">
            <a:solidFill>
              <a:schemeClr val="tx1"/>
            </a:solidFill>
          </a:ln>
        </c:spPr>
        <c:txPr>
          <a:bodyPr/>
          <a:lstStyle/>
          <a:p>
            <a:pPr>
              <a:defRPr sz="900"/>
            </a:pPr>
            <a:endParaRPr lang="en-US"/>
          </a:p>
        </c:txPr>
        <c:crossAx val="69287936"/>
        <c:crosses val="autoZero"/>
        <c:auto val="1"/>
        <c:lblOffset val="100"/>
        <c:baseTimeUnit val="days"/>
        <c:majorUnit val="7"/>
        <c:majorTimeUnit val="days"/>
      </c:dateAx>
      <c:valAx>
        <c:axId val="69287936"/>
        <c:scaling>
          <c:orientation val="minMax"/>
        </c:scaling>
        <c:delete val="0"/>
        <c:axPos val="l"/>
        <c:majorGridlines>
          <c:spPr>
            <a:ln>
              <a:solidFill>
                <a:schemeClr val="bg1">
                  <a:lumMod val="65000"/>
                </a:schemeClr>
              </a:solidFill>
            </a:ln>
          </c:spPr>
        </c:majorGridlines>
        <c:numFmt formatCode="0.00" sourceLinked="0"/>
        <c:majorTickMark val="none"/>
        <c:minorTickMark val="none"/>
        <c:tickLblPos val="nextTo"/>
        <c:spPr>
          <a:ln>
            <a:noFill/>
          </a:ln>
        </c:spPr>
        <c:txPr>
          <a:bodyPr/>
          <a:lstStyle/>
          <a:p>
            <a:pPr>
              <a:defRPr sz="900"/>
            </a:pPr>
            <a:endParaRPr lang="en-US"/>
          </a:p>
        </c:txPr>
        <c:crossAx val="69282048"/>
        <c:crosses val="autoZero"/>
        <c:crossBetween val="between"/>
      </c:valAx>
    </c:plotArea>
    <c:legend>
      <c:legendPos val="b"/>
      <c:layout>
        <c:manualLayout>
          <c:xMode val="edge"/>
          <c:yMode val="edge"/>
          <c:x val="2.6644121407900921E-2"/>
          <c:y val="0.83533564750911449"/>
          <c:w val="0.93175449222693318"/>
          <c:h val="0.13752117221492982"/>
        </c:manualLayout>
      </c:layout>
      <c:overlay val="0"/>
      <c:txPr>
        <a:bodyPr/>
        <a:lstStyle/>
        <a:p>
          <a:pPr>
            <a:defRPr sz="900"/>
          </a:pPr>
          <a:endParaRPr lang="en-US"/>
        </a:p>
      </c:txPr>
    </c:legend>
    <c:plotVisOnly val="1"/>
    <c:dispBlanksAs val="gap"/>
    <c:showDLblsOverMax val="0"/>
  </c:chart>
  <c:spPr>
    <a:ln>
      <a:noFill/>
    </a:ln>
  </c:spPr>
  <c:txPr>
    <a:bodyPr/>
    <a:lstStyle/>
    <a:p>
      <a:pPr>
        <a:defRPr sz="14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EIA_AGG1!$F$1</c:f>
              <c:strCache>
                <c:ptCount val="1"/>
                <c:pt idx="0">
                  <c:v>Midgrade - Regular</c:v>
                </c:pt>
              </c:strCache>
            </c:strRef>
          </c:tx>
          <c:spPr>
            <a:ln w="28575" cap="rnd">
              <a:solidFill>
                <a:schemeClr val="accent1"/>
              </a:solidFill>
              <a:round/>
            </a:ln>
            <a:effectLst/>
          </c:spPr>
          <c:marker>
            <c:symbol val="none"/>
          </c:marker>
          <c:cat>
            <c:numRef>
              <c:f>EIA_AGG1!$B$2:$B$425</c:f>
              <c:numCache>
                <c:formatCode>[$-409]ddmmmyyyy</c:formatCode>
                <c:ptCount val="424"/>
                <c:pt idx="0">
                  <c:v>39818</c:v>
                </c:pt>
                <c:pt idx="1">
                  <c:v>39825</c:v>
                </c:pt>
                <c:pt idx="2">
                  <c:v>39832</c:v>
                </c:pt>
                <c:pt idx="3">
                  <c:v>39839</c:v>
                </c:pt>
                <c:pt idx="4">
                  <c:v>39846</c:v>
                </c:pt>
                <c:pt idx="5">
                  <c:v>39853</c:v>
                </c:pt>
                <c:pt idx="6">
                  <c:v>39860</c:v>
                </c:pt>
                <c:pt idx="7">
                  <c:v>39867</c:v>
                </c:pt>
                <c:pt idx="8">
                  <c:v>39874</c:v>
                </c:pt>
                <c:pt idx="9">
                  <c:v>39881</c:v>
                </c:pt>
                <c:pt idx="10">
                  <c:v>39888</c:v>
                </c:pt>
                <c:pt idx="11">
                  <c:v>39895</c:v>
                </c:pt>
                <c:pt idx="12">
                  <c:v>39902</c:v>
                </c:pt>
                <c:pt idx="13">
                  <c:v>39909</c:v>
                </c:pt>
                <c:pt idx="14">
                  <c:v>39916</c:v>
                </c:pt>
                <c:pt idx="15">
                  <c:v>39923</c:v>
                </c:pt>
                <c:pt idx="16">
                  <c:v>39930</c:v>
                </c:pt>
                <c:pt idx="17">
                  <c:v>39937</c:v>
                </c:pt>
                <c:pt idx="18">
                  <c:v>39944</c:v>
                </c:pt>
                <c:pt idx="19">
                  <c:v>39951</c:v>
                </c:pt>
                <c:pt idx="20">
                  <c:v>39958</c:v>
                </c:pt>
                <c:pt idx="21">
                  <c:v>39965</c:v>
                </c:pt>
                <c:pt idx="22">
                  <c:v>39972</c:v>
                </c:pt>
                <c:pt idx="23">
                  <c:v>39979</c:v>
                </c:pt>
                <c:pt idx="24">
                  <c:v>39986</c:v>
                </c:pt>
                <c:pt idx="25">
                  <c:v>39993</c:v>
                </c:pt>
                <c:pt idx="26">
                  <c:v>40000</c:v>
                </c:pt>
                <c:pt idx="27">
                  <c:v>40007</c:v>
                </c:pt>
                <c:pt idx="28">
                  <c:v>40014</c:v>
                </c:pt>
                <c:pt idx="29">
                  <c:v>40021</c:v>
                </c:pt>
                <c:pt idx="30">
                  <c:v>40028</c:v>
                </c:pt>
                <c:pt idx="31">
                  <c:v>40035</c:v>
                </c:pt>
                <c:pt idx="32">
                  <c:v>40042</c:v>
                </c:pt>
                <c:pt idx="33">
                  <c:v>40049</c:v>
                </c:pt>
                <c:pt idx="34">
                  <c:v>40056</c:v>
                </c:pt>
                <c:pt idx="35">
                  <c:v>40063</c:v>
                </c:pt>
                <c:pt idx="36">
                  <c:v>40070</c:v>
                </c:pt>
                <c:pt idx="37">
                  <c:v>40077</c:v>
                </c:pt>
                <c:pt idx="38">
                  <c:v>40084</c:v>
                </c:pt>
                <c:pt idx="39">
                  <c:v>40091</c:v>
                </c:pt>
                <c:pt idx="40">
                  <c:v>40098</c:v>
                </c:pt>
                <c:pt idx="41">
                  <c:v>40105</c:v>
                </c:pt>
                <c:pt idx="42">
                  <c:v>40112</c:v>
                </c:pt>
                <c:pt idx="43">
                  <c:v>40119</c:v>
                </c:pt>
                <c:pt idx="44">
                  <c:v>40126</c:v>
                </c:pt>
                <c:pt idx="45">
                  <c:v>40133</c:v>
                </c:pt>
                <c:pt idx="46">
                  <c:v>40140</c:v>
                </c:pt>
                <c:pt idx="47">
                  <c:v>40147</c:v>
                </c:pt>
                <c:pt idx="48">
                  <c:v>40154</c:v>
                </c:pt>
                <c:pt idx="49">
                  <c:v>40161</c:v>
                </c:pt>
                <c:pt idx="50">
                  <c:v>40168</c:v>
                </c:pt>
                <c:pt idx="51">
                  <c:v>40175</c:v>
                </c:pt>
                <c:pt idx="52">
                  <c:v>40182</c:v>
                </c:pt>
                <c:pt idx="53">
                  <c:v>40189</c:v>
                </c:pt>
                <c:pt idx="54">
                  <c:v>40196</c:v>
                </c:pt>
                <c:pt idx="55">
                  <c:v>40203</c:v>
                </c:pt>
                <c:pt idx="56">
                  <c:v>40210</c:v>
                </c:pt>
                <c:pt idx="57">
                  <c:v>40217</c:v>
                </c:pt>
                <c:pt idx="58">
                  <c:v>40224</c:v>
                </c:pt>
                <c:pt idx="59">
                  <c:v>40231</c:v>
                </c:pt>
                <c:pt idx="60">
                  <c:v>40238</c:v>
                </c:pt>
                <c:pt idx="61">
                  <c:v>40245</c:v>
                </c:pt>
                <c:pt idx="62">
                  <c:v>40252</c:v>
                </c:pt>
                <c:pt idx="63">
                  <c:v>40259</c:v>
                </c:pt>
                <c:pt idx="64">
                  <c:v>40266</c:v>
                </c:pt>
                <c:pt idx="65">
                  <c:v>40273</c:v>
                </c:pt>
                <c:pt idx="66">
                  <c:v>40280</c:v>
                </c:pt>
                <c:pt idx="67">
                  <c:v>40287</c:v>
                </c:pt>
                <c:pt idx="68">
                  <c:v>40294</c:v>
                </c:pt>
                <c:pt idx="69">
                  <c:v>40301</c:v>
                </c:pt>
                <c:pt idx="70">
                  <c:v>40308</c:v>
                </c:pt>
                <c:pt idx="71">
                  <c:v>40315</c:v>
                </c:pt>
                <c:pt idx="72">
                  <c:v>40322</c:v>
                </c:pt>
                <c:pt idx="73">
                  <c:v>40329</c:v>
                </c:pt>
                <c:pt idx="74">
                  <c:v>40336</c:v>
                </c:pt>
                <c:pt idx="75">
                  <c:v>40343</c:v>
                </c:pt>
                <c:pt idx="76">
                  <c:v>40350</c:v>
                </c:pt>
                <c:pt idx="77">
                  <c:v>40357</c:v>
                </c:pt>
                <c:pt idx="78">
                  <c:v>40364</c:v>
                </c:pt>
                <c:pt idx="79">
                  <c:v>40371</c:v>
                </c:pt>
                <c:pt idx="80">
                  <c:v>40378</c:v>
                </c:pt>
                <c:pt idx="81">
                  <c:v>40385</c:v>
                </c:pt>
                <c:pt idx="82">
                  <c:v>40392</c:v>
                </c:pt>
                <c:pt idx="83">
                  <c:v>40399</c:v>
                </c:pt>
                <c:pt idx="84">
                  <c:v>40406</c:v>
                </c:pt>
                <c:pt idx="85">
                  <c:v>40413</c:v>
                </c:pt>
                <c:pt idx="86">
                  <c:v>40420</c:v>
                </c:pt>
                <c:pt idx="87">
                  <c:v>40427</c:v>
                </c:pt>
                <c:pt idx="88">
                  <c:v>40434</c:v>
                </c:pt>
                <c:pt idx="89">
                  <c:v>40441</c:v>
                </c:pt>
                <c:pt idx="90">
                  <c:v>40448</c:v>
                </c:pt>
                <c:pt idx="91">
                  <c:v>40455</c:v>
                </c:pt>
                <c:pt idx="92">
                  <c:v>40462</c:v>
                </c:pt>
                <c:pt idx="93">
                  <c:v>40469</c:v>
                </c:pt>
                <c:pt idx="94">
                  <c:v>40476</c:v>
                </c:pt>
                <c:pt idx="95">
                  <c:v>40483</c:v>
                </c:pt>
                <c:pt idx="96">
                  <c:v>40490</c:v>
                </c:pt>
                <c:pt idx="97">
                  <c:v>40497</c:v>
                </c:pt>
                <c:pt idx="98">
                  <c:v>40504</c:v>
                </c:pt>
                <c:pt idx="99">
                  <c:v>40511</c:v>
                </c:pt>
                <c:pt idx="100">
                  <c:v>40518</c:v>
                </c:pt>
                <c:pt idx="101">
                  <c:v>40525</c:v>
                </c:pt>
                <c:pt idx="102">
                  <c:v>40532</c:v>
                </c:pt>
                <c:pt idx="103">
                  <c:v>40539</c:v>
                </c:pt>
                <c:pt idx="104">
                  <c:v>40546</c:v>
                </c:pt>
                <c:pt idx="105">
                  <c:v>40553</c:v>
                </c:pt>
                <c:pt idx="106">
                  <c:v>40560</c:v>
                </c:pt>
                <c:pt idx="107">
                  <c:v>40567</c:v>
                </c:pt>
                <c:pt idx="108">
                  <c:v>40574</c:v>
                </c:pt>
                <c:pt idx="109">
                  <c:v>40581</c:v>
                </c:pt>
                <c:pt idx="110">
                  <c:v>40588</c:v>
                </c:pt>
                <c:pt idx="111">
                  <c:v>40595</c:v>
                </c:pt>
                <c:pt idx="112">
                  <c:v>40602</c:v>
                </c:pt>
                <c:pt idx="113">
                  <c:v>40609</c:v>
                </c:pt>
                <c:pt idx="114">
                  <c:v>40616</c:v>
                </c:pt>
                <c:pt idx="115">
                  <c:v>40623</c:v>
                </c:pt>
                <c:pt idx="116">
                  <c:v>40630</c:v>
                </c:pt>
                <c:pt idx="117">
                  <c:v>40637</c:v>
                </c:pt>
                <c:pt idx="118">
                  <c:v>40644</c:v>
                </c:pt>
                <c:pt idx="119">
                  <c:v>40651</c:v>
                </c:pt>
                <c:pt idx="120">
                  <c:v>40658</c:v>
                </c:pt>
                <c:pt idx="121">
                  <c:v>40665</c:v>
                </c:pt>
                <c:pt idx="122">
                  <c:v>40672</c:v>
                </c:pt>
                <c:pt idx="123">
                  <c:v>40679</c:v>
                </c:pt>
                <c:pt idx="124">
                  <c:v>40686</c:v>
                </c:pt>
                <c:pt idx="125">
                  <c:v>40693</c:v>
                </c:pt>
                <c:pt idx="126">
                  <c:v>40700</c:v>
                </c:pt>
                <c:pt idx="127">
                  <c:v>40707</c:v>
                </c:pt>
                <c:pt idx="128">
                  <c:v>40714</c:v>
                </c:pt>
                <c:pt idx="129">
                  <c:v>40721</c:v>
                </c:pt>
                <c:pt idx="130">
                  <c:v>40728</c:v>
                </c:pt>
                <c:pt idx="131">
                  <c:v>40735</c:v>
                </c:pt>
                <c:pt idx="132">
                  <c:v>40742</c:v>
                </c:pt>
                <c:pt idx="133">
                  <c:v>40749</c:v>
                </c:pt>
                <c:pt idx="134">
                  <c:v>40756</c:v>
                </c:pt>
                <c:pt idx="135">
                  <c:v>40763</c:v>
                </c:pt>
                <c:pt idx="136">
                  <c:v>40770</c:v>
                </c:pt>
                <c:pt idx="137">
                  <c:v>40777</c:v>
                </c:pt>
                <c:pt idx="138">
                  <c:v>40784</c:v>
                </c:pt>
                <c:pt idx="139">
                  <c:v>40791</c:v>
                </c:pt>
                <c:pt idx="140">
                  <c:v>40798</c:v>
                </c:pt>
                <c:pt idx="141">
                  <c:v>40805</c:v>
                </c:pt>
                <c:pt idx="142">
                  <c:v>40812</c:v>
                </c:pt>
                <c:pt idx="143">
                  <c:v>40819</c:v>
                </c:pt>
                <c:pt idx="144">
                  <c:v>40826</c:v>
                </c:pt>
                <c:pt idx="145">
                  <c:v>40833</c:v>
                </c:pt>
                <c:pt idx="146">
                  <c:v>40840</c:v>
                </c:pt>
                <c:pt idx="147">
                  <c:v>40847</c:v>
                </c:pt>
                <c:pt idx="148">
                  <c:v>40854</c:v>
                </c:pt>
                <c:pt idx="149">
                  <c:v>40861</c:v>
                </c:pt>
                <c:pt idx="150">
                  <c:v>40868</c:v>
                </c:pt>
                <c:pt idx="151">
                  <c:v>40875</c:v>
                </c:pt>
                <c:pt idx="152">
                  <c:v>40882</c:v>
                </c:pt>
                <c:pt idx="153">
                  <c:v>40889</c:v>
                </c:pt>
                <c:pt idx="154">
                  <c:v>40896</c:v>
                </c:pt>
                <c:pt idx="155">
                  <c:v>40903</c:v>
                </c:pt>
                <c:pt idx="156">
                  <c:v>40910</c:v>
                </c:pt>
                <c:pt idx="157">
                  <c:v>40917</c:v>
                </c:pt>
                <c:pt idx="158">
                  <c:v>40924</c:v>
                </c:pt>
                <c:pt idx="159">
                  <c:v>40931</c:v>
                </c:pt>
                <c:pt idx="160">
                  <c:v>40938</c:v>
                </c:pt>
                <c:pt idx="161">
                  <c:v>40945</c:v>
                </c:pt>
                <c:pt idx="162">
                  <c:v>40952</c:v>
                </c:pt>
                <c:pt idx="163">
                  <c:v>40959</c:v>
                </c:pt>
                <c:pt idx="164">
                  <c:v>40966</c:v>
                </c:pt>
                <c:pt idx="165">
                  <c:v>40973</c:v>
                </c:pt>
                <c:pt idx="166">
                  <c:v>40980</c:v>
                </c:pt>
                <c:pt idx="167">
                  <c:v>40987</c:v>
                </c:pt>
                <c:pt idx="168">
                  <c:v>40994</c:v>
                </c:pt>
                <c:pt idx="169">
                  <c:v>41001</c:v>
                </c:pt>
                <c:pt idx="170">
                  <c:v>41008</c:v>
                </c:pt>
                <c:pt idx="171">
                  <c:v>41015</c:v>
                </c:pt>
                <c:pt idx="172">
                  <c:v>41022</c:v>
                </c:pt>
                <c:pt idx="173">
                  <c:v>41029</c:v>
                </c:pt>
                <c:pt idx="174">
                  <c:v>41036</c:v>
                </c:pt>
                <c:pt idx="175">
                  <c:v>41043</c:v>
                </c:pt>
                <c:pt idx="176">
                  <c:v>41050</c:v>
                </c:pt>
                <c:pt idx="177">
                  <c:v>41057</c:v>
                </c:pt>
                <c:pt idx="178">
                  <c:v>41064</c:v>
                </c:pt>
                <c:pt idx="179">
                  <c:v>41071</c:v>
                </c:pt>
                <c:pt idx="180">
                  <c:v>41078</c:v>
                </c:pt>
                <c:pt idx="181">
                  <c:v>41085</c:v>
                </c:pt>
                <c:pt idx="182">
                  <c:v>41092</c:v>
                </c:pt>
                <c:pt idx="183">
                  <c:v>41099</c:v>
                </c:pt>
                <c:pt idx="184">
                  <c:v>41106</c:v>
                </c:pt>
                <c:pt idx="185">
                  <c:v>41113</c:v>
                </c:pt>
                <c:pt idx="186">
                  <c:v>41120</c:v>
                </c:pt>
                <c:pt idx="187">
                  <c:v>41127</c:v>
                </c:pt>
                <c:pt idx="188">
                  <c:v>41134</c:v>
                </c:pt>
                <c:pt idx="189">
                  <c:v>41141</c:v>
                </c:pt>
                <c:pt idx="190">
                  <c:v>41148</c:v>
                </c:pt>
                <c:pt idx="191">
                  <c:v>41155</c:v>
                </c:pt>
                <c:pt idx="192">
                  <c:v>41162</c:v>
                </c:pt>
                <c:pt idx="193">
                  <c:v>41169</c:v>
                </c:pt>
                <c:pt idx="194">
                  <c:v>41176</c:v>
                </c:pt>
                <c:pt idx="195">
                  <c:v>41183</c:v>
                </c:pt>
                <c:pt idx="196">
                  <c:v>41190</c:v>
                </c:pt>
                <c:pt idx="197">
                  <c:v>41197</c:v>
                </c:pt>
                <c:pt idx="198">
                  <c:v>41204</c:v>
                </c:pt>
                <c:pt idx="199">
                  <c:v>41211</c:v>
                </c:pt>
                <c:pt idx="200">
                  <c:v>41218</c:v>
                </c:pt>
                <c:pt idx="201">
                  <c:v>41225</c:v>
                </c:pt>
                <c:pt idx="202">
                  <c:v>41232</c:v>
                </c:pt>
                <c:pt idx="203">
                  <c:v>41239</c:v>
                </c:pt>
                <c:pt idx="204">
                  <c:v>41246</c:v>
                </c:pt>
                <c:pt idx="205">
                  <c:v>41253</c:v>
                </c:pt>
                <c:pt idx="206">
                  <c:v>41260</c:v>
                </c:pt>
                <c:pt idx="207">
                  <c:v>41267</c:v>
                </c:pt>
                <c:pt idx="208">
                  <c:v>41274</c:v>
                </c:pt>
                <c:pt idx="209">
                  <c:v>41281</c:v>
                </c:pt>
                <c:pt idx="210">
                  <c:v>41288</c:v>
                </c:pt>
                <c:pt idx="211">
                  <c:v>41295</c:v>
                </c:pt>
                <c:pt idx="212">
                  <c:v>41302</c:v>
                </c:pt>
                <c:pt idx="213">
                  <c:v>41309</c:v>
                </c:pt>
                <c:pt idx="214">
                  <c:v>41316</c:v>
                </c:pt>
                <c:pt idx="215">
                  <c:v>41323</c:v>
                </c:pt>
                <c:pt idx="216">
                  <c:v>41330</c:v>
                </c:pt>
                <c:pt idx="217">
                  <c:v>41337</c:v>
                </c:pt>
                <c:pt idx="218">
                  <c:v>41344</c:v>
                </c:pt>
                <c:pt idx="219">
                  <c:v>41351</c:v>
                </c:pt>
                <c:pt idx="220">
                  <c:v>41358</c:v>
                </c:pt>
                <c:pt idx="221">
                  <c:v>41365</c:v>
                </c:pt>
                <c:pt idx="222">
                  <c:v>41372</c:v>
                </c:pt>
                <c:pt idx="223">
                  <c:v>41379</c:v>
                </c:pt>
                <c:pt idx="224">
                  <c:v>41386</c:v>
                </c:pt>
                <c:pt idx="225">
                  <c:v>41393</c:v>
                </c:pt>
                <c:pt idx="226">
                  <c:v>41400</c:v>
                </c:pt>
                <c:pt idx="227">
                  <c:v>41407</c:v>
                </c:pt>
                <c:pt idx="228">
                  <c:v>41414</c:v>
                </c:pt>
                <c:pt idx="229">
                  <c:v>41421</c:v>
                </c:pt>
                <c:pt idx="230">
                  <c:v>41428</c:v>
                </c:pt>
                <c:pt idx="231">
                  <c:v>41435</c:v>
                </c:pt>
                <c:pt idx="232">
                  <c:v>41442</c:v>
                </c:pt>
                <c:pt idx="233">
                  <c:v>41449</c:v>
                </c:pt>
                <c:pt idx="234">
                  <c:v>41456</c:v>
                </c:pt>
                <c:pt idx="235">
                  <c:v>41463</c:v>
                </c:pt>
                <c:pt idx="236">
                  <c:v>41470</c:v>
                </c:pt>
                <c:pt idx="237">
                  <c:v>41477</c:v>
                </c:pt>
                <c:pt idx="238">
                  <c:v>41484</c:v>
                </c:pt>
                <c:pt idx="239">
                  <c:v>41491</c:v>
                </c:pt>
                <c:pt idx="240">
                  <c:v>41498</c:v>
                </c:pt>
                <c:pt idx="241">
                  <c:v>41505</c:v>
                </c:pt>
                <c:pt idx="242">
                  <c:v>41512</c:v>
                </c:pt>
                <c:pt idx="243">
                  <c:v>41519</c:v>
                </c:pt>
                <c:pt idx="244">
                  <c:v>41526</c:v>
                </c:pt>
                <c:pt idx="245">
                  <c:v>41533</c:v>
                </c:pt>
                <c:pt idx="246">
                  <c:v>41540</c:v>
                </c:pt>
                <c:pt idx="247">
                  <c:v>41547</c:v>
                </c:pt>
                <c:pt idx="248">
                  <c:v>41554</c:v>
                </c:pt>
                <c:pt idx="249">
                  <c:v>41561</c:v>
                </c:pt>
                <c:pt idx="250">
                  <c:v>41568</c:v>
                </c:pt>
                <c:pt idx="251">
                  <c:v>41575</c:v>
                </c:pt>
                <c:pt idx="252">
                  <c:v>41582</c:v>
                </c:pt>
                <c:pt idx="253">
                  <c:v>41589</c:v>
                </c:pt>
                <c:pt idx="254">
                  <c:v>41596</c:v>
                </c:pt>
                <c:pt idx="255">
                  <c:v>41603</c:v>
                </c:pt>
                <c:pt idx="256">
                  <c:v>41610</c:v>
                </c:pt>
                <c:pt idx="257">
                  <c:v>41617</c:v>
                </c:pt>
                <c:pt idx="258">
                  <c:v>41624</c:v>
                </c:pt>
                <c:pt idx="259">
                  <c:v>41631</c:v>
                </c:pt>
                <c:pt idx="260">
                  <c:v>41638</c:v>
                </c:pt>
                <c:pt idx="261">
                  <c:v>41645</c:v>
                </c:pt>
                <c:pt idx="262">
                  <c:v>41652</c:v>
                </c:pt>
                <c:pt idx="263">
                  <c:v>41659</c:v>
                </c:pt>
                <c:pt idx="264">
                  <c:v>41666</c:v>
                </c:pt>
                <c:pt idx="265">
                  <c:v>41673</c:v>
                </c:pt>
                <c:pt idx="266">
                  <c:v>41680</c:v>
                </c:pt>
                <c:pt idx="267">
                  <c:v>41687</c:v>
                </c:pt>
                <c:pt idx="268">
                  <c:v>41694</c:v>
                </c:pt>
                <c:pt idx="269">
                  <c:v>41701</c:v>
                </c:pt>
                <c:pt idx="270">
                  <c:v>41708</c:v>
                </c:pt>
                <c:pt idx="271">
                  <c:v>41715</c:v>
                </c:pt>
                <c:pt idx="272">
                  <c:v>41722</c:v>
                </c:pt>
                <c:pt idx="273">
                  <c:v>41729</c:v>
                </c:pt>
                <c:pt idx="274">
                  <c:v>41736</c:v>
                </c:pt>
                <c:pt idx="275">
                  <c:v>41743</c:v>
                </c:pt>
                <c:pt idx="276">
                  <c:v>41750</c:v>
                </c:pt>
                <c:pt idx="277">
                  <c:v>41757</c:v>
                </c:pt>
                <c:pt idx="278">
                  <c:v>41764</c:v>
                </c:pt>
                <c:pt idx="279">
                  <c:v>41771</c:v>
                </c:pt>
                <c:pt idx="280">
                  <c:v>41778</c:v>
                </c:pt>
                <c:pt idx="281">
                  <c:v>41785</c:v>
                </c:pt>
                <c:pt idx="282">
                  <c:v>41792</c:v>
                </c:pt>
                <c:pt idx="283">
                  <c:v>41799</c:v>
                </c:pt>
                <c:pt idx="284">
                  <c:v>41806</c:v>
                </c:pt>
                <c:pt idx="285">
                  <c:v>41813</c:v>
                </c:pt>
                <c:pt idx="286">
                  <c:v>41820</c:v>
                </c:pt>
                <c:pt idx="287">
                  <c:v>41827</c:v>
                </c:pt>
                <c:pt idx="288">
                  <c:v>41834</c:v>
                </c:pt>
                <c:pt idx="289">
                  <c:v>41841</c:v>
                </c:pt>
                <c:pt idx="290">
                  <c:v>41848</c:v>
                </c:pt>
                <c:pt idx="291">
                  <c:v>41855</c:v>
                </c:pt>
                <c:pt idx="292">
                  <c:v>41862</c:v>
                </c:pt>
                <c:pt idx="293">
                  <c:v>41869</c:v>
                </c:pt>
                <c:pt idx="294">
                  <c:v>41876</c:v>
                </c:pt>
                <c:pt idx="295">
                  <c:v>41883</c:v>
                </c:pt>
                <c:pt idx="296">
                  <c:v>41890</c:v>
                </c:pt>
                <c:pt idx="297">
                  <c:v>41897</c:v>
                </c:pt>
                <c:pt idx="298">
                  <c:v>41904</c:v>
                </c:pt>
                <c:pt idx="299">
                  <c:v>41911</c:v>
                </c:pt>
                <c:pt idx="300">
                  <c:v>41918</c:v>
                </c:pt>
                <c:pt idx="301">
                  <c:v>41925</c:v>
                </c:pt>
                <c:pt idx="302">
                  <c:v>41932</c:v>
                </c:pt>
                <c:pt idx="303">
                  <c:v>41939</c:v>
                </c:pt>
                <c:pt idx="304">
                  <c:v>41946</c:v>
                </c:pt>
                <c:pt idx="305">
                  <c:v>41953</c:v>
                </c:pt>
                <c:pt idx="306">
                  <c:v>41960</c:v>
                </c:pt>
                <c:pt idx="307">
                  <c:v>41967</c:v>
                </c:pt>
                <c:pt idx="308">
                  <c:v>41974</c:v>
                </c:pt>
                <c:pt idx="309">
                  <c:v>41981</c:v>
                </c:pt>
                <c:pt idx="310">
                  <c:v>41988</c:v>
                </c:pt>
                <c:pt idx="311">
                  <c:v>41995</c:v>
                </c:pt>
                <c:pt idx="312">
                  <c:v>42002</c:v>
                </c:pt>
                <c:pt idx="313">
                  <c:v>42009</c:v>
                </c:pt>
                <c:pt idx="314">
                  <c:v>42016</c:v>
                </c:pt>
                <c:pt idx="315">
                  <c:v>42023</c:v>
                </c:pt>
                <c:pt idx="316">
                  <c:v>42030</c:v>
                </c:pt>
                <c:pt idx="317">
                  <c:v>42037</c:v>
                </c:pt>
                <c:pt idx="318">
                  <c:v>42044</c:v>
                </c:pt>
                <c:pt idx="319">
                  <c:v>42051</c:v>
                </c:pt>
                <c:pt idx="320">
                  <c:v>42058</c:v>
                </c:pt>
                <c:pt idx="321">
                  <c:v>42065</c:v>
                </c:pt>
                <c:pt idx="322">
                  <c:v>42072</c:v>
                </c:pt>
                <c:pt idx="323">
                  <c:v>42079</c:v>
                </c:pt>
                <c:pt idx="324">
                  <c:v>42086</c:v>
                </c:pt>
                <c:pt idx="325">
                  <c:v>42093</c:v>
                </c:pt>
                <c:pt idx="326">
                  <c:v>42100</c:v>
                </c:pt>
                <c:pt idx="327">
                  <c:v>42107</c:v>
                </c:pt>
                <c:pt idx="328">
                  <c:v>42114</c:v>
                </c:pt>
                <c:pt idx="329">
                  <c:v>42121</c:v>
                </c:pt>
                <c:pt idx="330">
                  <c:v>42128</c:v>
                </c:pt>
                <c:pt idx="331">
                  <c:v>42135</c:v>
                </c:pt>
                <c:pt idx="332">
                  <c:v>42142</c:v>
                </c:pt>
                <c:pt idx="333">
                  <c:v>42149</c:v>
                </c:pt>
                <c:pt idx="334">
                  <c:v>42156</c:v>
                </c:pt>
                <c:pt idx="335">
                  <c:v>42163</c:v>
                </c:pt>
                <c:pt idx="336">
                  <c:v>42170</c:v>
                </c:pt>
                <c:pt idx="337">
                  <c:v>42177</c:v>
                </c:pt>
                <c:pt idx="338">
                  <c:v>42184</c:v>
                </c:pt>
                <c:pt idx="339">
                  <c:v>42191</c:v>
                </c:pt>
                <c:pt idx="340">
                  <c:v>42198</c:v>
                </c:pt>
                <c:pt idx="341">
                  <c:v>42205</c:v>
                </c:pt>
                <c:pt idx="342">
                  <c:v>42212</c:v>
                </c:pt>
                <c:pt idx="343">
                  <c:v>42219</c:v>
                </c:pt>
                <c:pt idx="344">
                  <c:v>42226</c:v>
                </c:pt>
                <c:pt idx="345">
                  <c:v>42233</c:v>
                </c:pt>
                <c:pt idx="346">
                  <c:v>42240</c:v>
                </c:pt>
                <c:pt idx="347">
                  <c:v>42247</c:v>
                </c:pt>
                <c:pt idx="348">
                  <c:v>42254</c:v>
                </c:pt>
                <c:pt idx="349">
                  <c:v>42261</c:v>
                </c:pt>
                <c:pt idx="350">
                  <c:v>42268</c:v>
                </c:pt>
                <c:pt idx="351">
                  <c:v>42275</c:v>
                </c:pt>
                <c:pt idx="352">
                  <c:v>42282</c:v>
                </c:pt>
                <c:pt idx="353">
                  <c:v>42289</c:v>
                </c:pt>
                <c:pt idx="354">
                  <c:v>42296</c:v>
                </c:pt>
                <c:pt idx="355">
                  <c:v>42303</c:v>
                </c:pt>
                <c:pt idx="356">
                  <c:v>42310</c:v>
                </c:pt>
                <c:pt idx="357">
                  <c:v>42317</c:v>
                </c:pt>
                <c:pt idx="358">
                  <c:v>42324</c:v>
                </c:pt>
                <c:pt idx="359">
                  <c:v>42331</c:v>
                </c:pt>
                <c:pt idx="360">
                  <c:v>42338</c:v>
                </c:pt>
                <c:pt idx="361">
                  <c:v>42345</c:v>
                </c:pt>
                <c:pt idx="362">
                  <c:v>42352</c:v>
                </c:pt>
                <c:pt idx="363">
                  <c:v>42359</c:v>
                </c:pt>
                <c:pt idx="364">
                  <c:v>42366</c:v>
                </c:pt>
                <c:pt idx="365">
                  <c:v>42373</c:v>
                </c:pt>
                <c:pt idx="366">
                  <c:v>42380</c:v>
                </c:pt>
                <c:pt idx="367">
                  <c:v>42387</c:v>
                </c:pt>
                <c:pt idx="368">
                  <c:v>42394</c:v>
                </c:pt>
                <c:pt idx="369">
                  <c:v>42401</c:v>
                </c:pt>
                <c:pt idx="370">
                  <c:v>42408</c:v>
                </c:pt>
                <c:pt idx="371">
                  <c:v>42415</c:v>
                </c:pt>
                <c:pt idx="372">
                  <c:v>42422</c:v>
                </c:pt>
                <c:pt idx="373">
                  <c:v>42429</c:v>
                </c:pt>
                <c:pt idx="374">
                  <c:v>42436</c:v>
                </c:pt>
                <c:pt idx="375">
                  <c:v>42443</c:v>
                </c:pt>
                <c:pt idx="376">
                  <c:v>42450</c:v>
                </c:pt>
                <c:pt idx="377">
                  <c:v>42457</c:v>
                </c:pt>
                <c:pt idx="378">
                  <c:v>42464</c:v>
                </c:pt>
                <c:pt idx="379">
                  <c:v>42471</c:v>
                </c:pt>
                <c:pt idx="380">
                  <c:v>42478</c:v>
                </c:pt>
                <c:pt idx="381">
                  <c:v>42485</c:v>
                </c:pt>
                <c:pt idx="382">
                  <c:v>42492</c:v>
                </c:pt>
                <c:pt idx="383">
                  <c:v>42499</c:v>
                </c:pt>
                <c:pt idx="384">
                  <c:v>42506</c:v>
                </c:pt>
                <c:pt idx="385">
                  <c:v>42513</c:v>
                </c:pt>
                <c:pt idx="386">
                  <c:v>42520</c:v>
                </c:pt>
                <c:pt idx="387">
                  <c:v>42527</c:v>
                </c:pt>
                <c:pt idx="388">
                  <c:v>42534</c:v>
                </c:pt>
                <c:pt idx="389">
                  <c:v>42541</c:v>
                </c:pt>
                <c:pt idx="390">
                  <c:v>42548</c:v>
                </c:pt>
                <c:pt idx="391">
                  <c:v>42555</c:v>
                </c:pt>
                <c:pt idx="392">
                  <c:v>42562</c:v>
                </c:pt>
                <c:pt idx="393">
                  <c:v>42569</c:v>
                </c:pt>
                <c:pt idx="394">
                  <c:v>42576</c:v>
                </c:pt>
                <c:pt idx="395">
                  <c:v>42583</c:v>
                </c:pt>
                <c:pt idx="396">
                  <c:v>42590</c:v>
                </c:pt>
                <c:pt idx="397">
                  <c:v>42597</c:v>
                </c:pt>
                <c:pt idx="398">
                  <c:v>42604</c:v>
                </c:pt>
                <c:pt idx="399">
                  <c:v>42611</c:v>
                </c:pt>
                <c:pt idx="400">
                  <c:v>42618</c:v>
                </c:pt>
                <c:pt idx="401">
                  <c:v>42625</c:v>
                </c:pt>
                <c:pt idx="402">
                  <c:v>42632</c:v>
                </c:pt>
                <c:pt idx="403">
                  <c:v>42639</c:v>
                </c:pt>
                <c:pt idx="404">
                  <c:v>42646</c:v>
                </c:pt>
                <c:pt idx="405">
                  <c:v>42653</c:v>
                </c:pt>
                <c:pt idx="406">
                  <c:v>42660</c:v>
                </c:pt>
                <c:pt idx="407">
                  <c:v>42667</c:v>
                </c:pt>
                <c:pt idx="408">
                  <c:v>42674</c:v>
                </c:pt>
                <c:pt idx="409">
                  <c:v>42681</c:v>
                </c:pt>
                <c:pt idx="410">
                  <c:v>42688</c:v>
                </c:pt>
                <c:pt idx="411">
                  <c:v>42695</c:v>
                </c:pt>
                <c:pt idx="412">
                  <c:v>42702</c:v>
                </c:pt>
                <c:pt idx="413">
                  <c:v>42709</c:v>
                </c:pt>
                <c:pt idx="414">
                  <c:v>42716</c:v>
                </c:pt>
                <c:pt idx="415">
                  <c:v>42723</c:v>
                </c:pt>
                <c:pt idx="416">
                  <c:v>42730</c:v>
                </c:pt>
                <c:pt idx="417">
                  <c:v>42737</c:v>
                </c:pt>
                <c:pt idx="418">
                  <c:v>42744</c:v>
                </c:pt>
                <c:pt idx="419">
                  <c:v>42751</c:v>
                </c:pt>
                <c:pt idx="420">
                  <c:v>42758</c:v>
                </c:pt>
                <c:pt idx="421">
                  <c:v>42765</c:v>
                </c:pt>
                <c:pt idx="422">
                  <c:v>42772</c:v>
                </c:pt>
                <c:pt idx="423">
                  <c:v>42779</c:v>
                </c:pt>
              </c:numCache>
            </c:numRef>
          </c:cat>
          <c:val>
            <c:numRef>
              <c:f>EIA_AGG1!$F$11450:$F$11873</c:f>
              <c:numCache>
                <c:formatCode>General</c:formatCode>
                <c:ptCount val="424"/>
                <c:pt idx="0">
                  <c:v>0.1160000000000001</c:v>
                </c:pt>
                <c:pt idx="1">
                  <c:v>0.11599999999999988</c:v>
                </c:pt>
                <c:pt idx="2">
                  <c:v>0.1140000000000001</c:v>
                </c:pt>
                <c:pt idx="3">
                  <c:v>0.11599999999999988</c:v>
                </c:pt>
                <c:pt idx="4">
                  <c:v>0.11500000000000021</c:v>
                </c:pt>
                <c:pt idx="5">
                  <c:v>0.1180000000000001</c:v>
                </c:pt>
                <c:pt idx="6">
                  <c:v>0.11900000000000022</c:v>
                </c:pt>
                <c:pt idx="7">
                  <c:v>0.123</c:v>
                </c:pt>
                <c:pt idx="8">
                  <c:v>0.123</c:v>
                </c:pt>
                <c:pt idx="9">
                  <c:v>0.1180000000000001</c:v>
                </c:pt>
                <c:pt idx="10">
                  <c:v>0.12399999999999989</c:v>
                </c:pt>
                <c:pt idx="11">
                  <c:v>0.11700000000000021</c:v>
                </c:pt>
                <c:pt idx="12">
                  <c:v>0.11699999999999999</c:v>
                </c:pt>
                <c:pt idx="13">
                  <c:v>0.121</c:v>
                </c:pt>
                <c:pt idx="14">
                  <c:v>0.121</c:v>
                </c:pt>
                <c:pt idx="15">
                  <c:v>0.12199999999999989</c:v>
                </c:pt>
                <c:pt idx="16">
                  <c:v>0.12199999999999989</c:v>
                </c:pt>
                <c:pt idx="17">
                  <c:v>0.11699999999999999</c:v>
                </c:pt>
                <c:pt idx="18">
                  <c:v>0.11199999999999966</c:v>
                </c:pt>
                <c:pt idx="19">
                  <c:v>0.11499999999999977</c:v>
                </c:pt>
                <c:pt idx="20">
                  <c:v>0.1120000000000001</c:v>
                </c:pt>
                <c:pt idx="21">
                  <c:v>0.10599999999999987</c:v>
                </c:pt>
                <c:pt idx="22">
                  <c:v>0.10699999999999976</c:v>
                </c:pt>
                <c:pt idx="23">
                  <c:v>0.11199999999999966</c:v>
                </c:pt>
                <c:pt idx="24">
                  <c:v>0.11699999999999999</c:v>
                </c:pt>
                <c:pt idx="25">
                  <c:v>0.121</c:v>
                </c:pt>
                <c:pt idx="26">
                  <c:v>0.12400000000000011</c:v>
                </c:pt>
                <c:pt idx="27">
                  <c:v>0.12800000000000011</c:v>
                </c:pt>
                <c:pt idx="28">
                  <c:v>0.12800000000000011</c:v>
                </c:pt>
                <c:pt idx="29">
                  <c:v>0.12199999999999989</c:v>
                </c:pt>
                <c:pt idx="30">
                  <c:v>0.11900000000000022</c:v>
                </c:pt>
                <c:pt idx="31">
                  <c:v>0.12000000000000011</c:v>
                </c:pt>
                <c:pt idx="32">
                  <c:v>0.12400000000000011</c:v>
                </c:pt>
                <c:pt idx="33">
                  <c:v>0.12299999999999978</c:v>
                </c:pt>
                <c:pt idx="34">
                  <c:v>0.12599999999999989</c:v>
                </c:pt>
                <c:pt idx="35">
                  <c:v>0.12299999999999978</c:v>
                </c:pt>
                <c:pt idx="36">
                  <c:v>0.12700000000000022</c:v>
                </c:pt>
                <c:pt idx="37">
                  <c:v>0.12800000000000011</c:v>
                </c:pt>
                <c:pt idx="38">
                  <c:v>0.13199999999999967</c:v>
                </c:pt>
                <c:pt idx="39">
                  <c:v>0.13200000000000012</c:v>
                </c:pt>
                <c:pt idx="40">
                  <c:v>0.125</c:v>
                </c:pt>
                <c:pt idx="41">
                  <c:v>0.12000000000000011</c:v>
                </c:pt>
                <c:pt idx="42">
                  <c:v>0.11799999999999988</c:v>
                </c:pt>
                <c:pt idx="43">
                  <c:v>0.11799999999999988</c:v>
                </c:pt>
                <c:pt idx="44">
                  <c:v>0.121</c:v>
                </c:pt>
                <c:pt idx="45">
                  <c:v>0.12599999999999989</c:v>
                </c:pt>
                <c:pt idx="46">
                  <c:v>0.125</c:v>
                </c:pt>
                <c:pt idx="47">
                  <c:v>0.125</c:v>
                </c:pt>
                <c:pt idx="48">
                  <c:v>0.12700000000000022</c:v>
                </c:pt>
                <c:pt idx="49">
                  <c:v>0.12799999999999967</c:v>
                </c:pt>
                <c:pt idx="50">
                  <c:v>0.12800000000000011</c:v>
                </c:pt>
                <c:pt idx="51">
                  <c:v>0.12399999999999967</c:v>
                </c:pt>
                <c:pt idx="52">
                  <c:v>0.11899999999999977</c:v>
                </c:pt>
                <c:pt idx="53">
                  <c:v>0.11800000000000033</c:v>
                </c:pt>
                <c:pt idx="54">
                  <c:v>0.12200000000000033</c:v>
                </c:pt>
                <c:pt idx="55">
                  <c:v>0.12699999999999978</c:v>
                </c:pt>
                <c:pt idx="56">
                  <c:v>0.12599999999999989</c:v>
                </c:pt>
                <c:pt idx="57">
                  <c:v>0.12599999999999989</c:v>
                </c:pt>
                <c:pt idx="58">
                  <c:v>0.12999999999999989</c:v>
                </c:pt>
                <c:pt idx="59">
                  <c:v>0.12300000000000022</c:v>
                </c:pt>
                <c:pt idx="60">
                  <c:v>0.125</c:v>
                </c:pt>
                <c:pt idx="61">
                  <c:v>0.12000000000000011</c:v>
                </c:pt>
                <c:pt idx="62">
                  <c:v>0.12000000000000011</c:v>
                </c:pt>
                <c:pt idx="63">
                  <c:v>0.11699999999999999</c:v>
                </c:pt>
                <c:pt idx="64">
                  <c:v>0.12000000000000011</c:v>
                </c:pt>
                <c:pt idx="65">
                  <c:v>0.11399999999999988</c:v>
                </c:pt>
                <c:pt idx="66">
                  <c:v>0.11399999999999988</c:v>
                </c:pt>
                <c:pt idx="67">
                  <c:v>0.11400000000000032</c:v>
                </c:pt>
                <c:pt idx="68">
                  <c:v>0.11699999999999999</c:v>
                </c:pt>
                <c:pt idx="69">
                  <c:v>0.11299999999999999</c:v>
                </c:pt>
                <c:pt idx="70">
                  <c:v>0.11800000000000033</c:v>
                </c:pt>
                <c:pt idx="71">
                  <c:v>0.121</c:v>
                </c:pt>
                <c:pt idx="72">
                  <c:v>0.12800000000000011</c:v>
                </c:pt>
                <c:pt idx="73">
                  <c:v>0.12699999999999978</c:v>
                </c:pt>
                <c:pt idx="74">
                  <c:v>0.12400000000000011</c:v>
                </c:pt>
                <c:pt idx="75">
                  <c:v>0.12400000000000011</c:v>
                </c:pt>
                <c:pt idx="76">
                  <c:v>0.11800000000000033</c:v>
                </c:pt>
                <c:pt idx="77">
                  <c:v>0.1160000000000001</c:v>
                </c:pt>
                <c:pt idx="78">
                  <c:v>0.12000000000000011</c:v>
                </c:pt>
                <c:pt idx="79">
                  <c:v>0.12000000000000011</c:v>
                </c:pt>
                <c:pt idx="80">
                  <c:v>0.121</c:v>
                </c:pt>
                <c:pt idx="81">
                  <c:v>0.11799999999999988</c:v>
                </c:pt>
                <c:pt idx="82">
                  <c:v>0.121</c:v>
                </c:pt>
                <c:pt idx="83">
                  <c:v>0.12000000000000011</c:v>
                </c:pt>
                <c:pt idx="84">
                  <c:v>0.12400000000000011</c:v>
                </c:pt>
                <c:pt idx="85">
                  <c:v>0.12699999999999978</c:v>
                </c:pt>
                <c:pt idx="86">
                  <c:v>0.12400000000000011</c:v>
                </c:pt>
                <c:pt idx="87">
                  <c:v>0.121</c:v>
                </c:pt>
                <c:pt idx="88">
                  <c:v>0.11499999999999977</c:v>
                </c:pt>
                <c:pt idx="89">
                  <c:v>0.121</c:v>
                </c:pt>
                <c:pt idx="90">
                  <c:v>0.12400000000000011</c:v>
                </c:pt>
                <c:pt idx="91">
                  <c:v>0.11799999999999988</c:v>
                </c:pt>
                <c:pt idx="92">
                  <c:v>0.11500000000000021</c:v>
                </c:pt>
                <c:pt idx="93">
                  <c:v>0.11899999999999977</c:v>
                </c:pt>
                <c:pt idx="94">
                  <c:v>0.121</c:v>
                </c:pt>
                <c:pt idx="95">
                  <c:v>0.12299999999999978</c:v>
                </c:pt>
                <c:pt idx="96">
                  <c:v>0.11399999999999988</c:v>
                </c:pt>
                <c:pt idx="97">
                  <c:v>0.11500000000000021</c:v>
                </c:pt>
                <c:pt idx="98">
                  <c:v>0.12300000000000022</c:v>
                </c:pt>
                <c:pt idx="99">
                  <c:v>0.12600000000000033</c:v>
                </c:pt>
                <c:pt idx="100">
                  <c:v>0.121</c:v>
                </c:pt>
                <c:pt idx="101">
                  <c:v>0.121</c:v>
                </c:pt>
                <c:pt idx="102">
                  <c:v>0.12199999999999989</c:v>
                </c:pt>
                <c:pt idx="103">
                  <c:v>0.11899999999999977</c:v>
                </c:pt>
                <c:pt idx="104">
                  <c:v>0.11800000000000033</c:v>
                </c:pt>
                <c:pt idx="105">
                  <c:v>0.11500000000000021</c:v>
                </c:pt>
                <c:pt idx="106">
                  <c:v>0.11799999999999988</c:v>
                </c:pt>
                <c:pt idx="107">
                  <c:v>0.11699999999999999</c:v>
                </c:pt>
                <c:pt idx="108">
                  <c:v>0.12000000000000011</c:v>
                </c:pt>
                <c:pt idx="109">
                  <c:v>0.11899999999999977</c:v>
                </c:pt>
                <c:pt idx="110">
                  <c:v>0.11899999999999977</c:v>
                </c:pt>
                <c:pt idx="111">
                  <c:v>0.12199999999999989</c:v>
                </c:pt>
                <c:pt idx="112">
                  <c:v>0.1160000000000001</c:v>
                </c:pt>
                <c:pt idx="113">
                  <c:v>0.1160000000000001</c:v>
                </c:pt>
                <c:pt idx="114">
                  <c:v>0.12299999999999978</c:v>
                </c:pt>
                <c:pt idx="115">
                  <c:v>0.12400000000000011</c:v>
                </c:pt>
                <c:pt idx="116">
                  <c:v>0.12199999999999989</c:v>
                </c:pt>
                <c:pt idx="117">
                  <c:v>0.11699999999999999</c:v>
                </c:pt>
                <c:pt idx="118">
                  <c:v>0.1160000000000001</c:v>
                </c:pt>
                <c:pt idx="119">
                  <c:v>0.1160000000000001</c:v>
                </c:pt>
                <c:pt idx="120">
                  <c:v>0.11500000000000021</c:v>
                </c:pt>
                <c:pt idx="121">
                  <c:v>0.1120000000000001</c:v>
                </c:pt>
                <c:pt idx="122">
                  <c:v>0.11600000000000055</c:v>
                </c:pt>
                <c:pt idx="123">
                  <c:v>0.11899999999999977</c:v>
                </c:pt>
                <c:pt idx="124">
                  <c:v>0.12599999999999989</c:v>
                </c:pt>
                <c:pt idx="125">
                  <c:v>0.12000000000000011</c:v>
                </c:pt>
                <c:pt idx="126">
                  <c:v>0.10999999999999988</c:v>
                </c:pt>
                <c:pt idx="127">
                  <c:v>0.1160000000000001</c:v>
                </c:pt>
                <c:pt idx="128">
                  <c:v>0.12399999999999967</c:v>
                </c:pt>
                <c:pt idx="129">
                  <c:v>0.12600000000000033</c:v>
                </c:pt>
                <c:pt idx="130">
                  <c:v>0.11999999999999966</c:v>
                </c:pt>
                <c:pt idx="131">
                  <c:v>0.11499999999999977</c:v>
                </c:pt>
                <c:pt idx="132">
                  <c:v>0.11399999999999988</c:v>
                </c:pt>
                <c:pt idx="133">
                  <c:v>0.12000000000000011</c:v>
                </c:pt>
                <c:pt idx="134">
                  <c:v>0.11800000000000033</c:v>
                </c:pt>
                <c:pt idx="135">
                  <c:v>0.12000000000000011</c:v>
                </c:pt>
                <c:pt idx="136">
                  <c:v>0.12400000000000011</c:v>
                </c:pt>
                <c:pt idx="137">
                  <c:v>0.12199999999999989</c:v>
                </c:pt>
                <c:pt idx="138">
                  <c:v>0.11900000000000022</c:v>
                </c:pt>
                <c:pt idx="139">
                  <c:v>0.11699999999999999</c:v>
                </c:pt>
                <c:pt idx="140">
                  <c:v>0.11899999999999977</c:v>
                </c:pt>
                <c:pt idx="141">
                  <c:v>0.12599999999999989</c:v>
                </c:pt>
                <c:pt idx="142">
                  <c:v>0.13300000000000001</c:v>
                </c:pt>
                <c:pt idx="143">
                  <c:v>0.13600000000000012</c:v>
                </c:pt>
                <c:pt idx="144">
                  <c:v>0.13400000000000034</c:v>
                </c:pt>
                <c:pt idx="145">
                  <c:v>0.12800000000000011</c:v>
                </c:pt>
                <c:pt idx="146">
                  <c:v>0.13199999999999967</c:v>
                </c:pt>
                <c:pt idx="147">
                  <c:v>0.13500000000000023</c:v>
                </c:pt>
                <c:pt idx="148">
                  <c:v>0.1339999999999999</c:v>
                </c:pt>
                <c:pt idx="149">
                  <c:v>0.13500000000000023</c:v>
                </c:pt>
                <c:pt idx="150">
                  <c:v>0.13500000000000023</c:v>
                </c:pt>
                <c:pt idx="151">
                  <c:v>0.14000000000000012</c:v>
                </c:pt>
                <c:pt idx="152">
                  <c:v>0.13600000000000012</c:v>
                </c:pt>
                <c:pt idx="153">
                  <c:v>0.13499999999999979</c:v>
                </c:pt>
                <c:pt idx="154">
                  <c:v>0.13899999999999979</c:v>
                </c:pt>
                <c:pt idx="155">
                  <c:v>0.12999999999999989</c:v>
                </c:pt>
                <c:pt idx="156">
                  <c:v>0.12999999999999989</c:v>
                </c:pt>
                <c:pt idx="157">
                  <c:v>0.12999999999999989</c:v>
                </c:pt>
                <c:pt idx="158">
                  <c:v>0.13099999999999978</c:v>
                </c:pt>
                <c:pt idx="159">
                  <c:v>0.13300000000000001</c:v>
                </c:pt>
                <c:pt idx="160">
                  <c:v>0.1339999999999999</c:v>
                </c:pt>
                <c:pt idx="161">
                  <c:v>0.13199999999999967</c:v>
                </c:pt>
                <c:pt idx="162">
                  <c:v>0.13599999999999968</c:v>
                </c:pt>
                <c:pt idx="163">
                  <c:v>0.1379999999999999</c:v>
                </c:pt>
                <c:pt idx="164">
                  <c:v>0.1339999999999999</c:v>
                </c:pt>
                <c:pt idx="165">
                  <c:v>0.12699999999999978</c:v>
                </c:pt>
                <c:pt idx="166">
                  <c:v>0.125</c:v>
                </c:pt>
                <c:pt idx="167">
                  <c:v>0.12599999999999989</c:v>
                </c:pt>
                <c:pt idx="168">
                  <c:v>0.12399999999999967</c:v>
                </c:pt>
                <c:pt idx="169">
                  <c:v>0.12199999999999989</c:v>
                </c:pt>
                <c:pt idx="170">
                  <c:v>0.12800000000000011</c:v>
                </c:pt>
                <c:pt idx="171">
                  <c:v>0.12499999999999956</c:v>
                </c:pt>
                <c:pt idx="172">
                  <c:v>0.129</c:v>
                </c:pt>
                <c:pt idx="173">
                  <c:v>0.13200000000000012</c:v>
                </c:pt>
                <c:pt idx="174">
                  <c:v>0.13300000000000001</c:v>
                </c:pt>
                <c:pt idx="175">
                  <c:v>0.14100000000000001</c:v>
                </c:pt>
                <c:pt idx="176">
                  <c:v>0.13500000000000023</c:v>
                </c:pt>
                <c:pt idx="177">
                  <c:v>0.13500000000000023</c:v>
                </c:pt>
                <c:pt idx="178">
                  <c:v>0.13700000000000001</c:v>
                </c:pt>
                <c:pt idx="179">
                  <c:v>0.13099999999999978</c:v>
                </c:pt>
                <c:pt idx="180">
                  <c:v>0.12800000000000011</c:v>
                </c:pt>
                <c:pt idx="181">
                  <c:v>0.13100000000000023</c:v>
                </c:pt>
                <c:pt idx="182">
                  <c:v>0.13300000000000001</c:v>
                </c:pt>
                <c:pt idx="183">
                  <c:v>0.12800000000000011</c:v>
                </c:pt>
                <c:pt idx="184">
                  <c:v>0.12400000000000011</c:v>
                </c:pt>
                <c:pt idx="185">
                  <c:v>0.13199999999999967</c:v>
                </c:pt>
                <c:pt idx="186">
                  <c:v>0.13099999999999978</c:v>
                </c:pt>
                <c:pt idx="187">
                  <c:v>0.12199999999999989</c:v>
                </c:pt>
                <c:pt idx="188">
                  <c:v>0.12599999999999989</c:v>
                </c:pt>
                <c:pt idx="189">
                  <c:v>0.12999999999999989</c:v>
                </c:pt>
                <c:pt idx="190">
                  <c:v>0.13300000000000001</c:v>
                </c:pt>
                <c:pt idx="191">
                  <c:v>0.13200000000000012</c:v>
                </c:pt>
                <c:pt idx="192">
                  <c:v>0.1339999999999999</c:v>
                </c:pt>
                <c:pt idx="193">
                  <c:v>0.13499999999999979</c:v>
                </c:pt>
                <c:pt idx="194">
                  <c:v>0.14000000000000012</c:v>
                </c:pt>
                <c:pt idx="195">
                  <c:v>0.14000000000000012</c:v>
                </c:pt>
                <c:pt idx="196">
                  <c:v>0.15199999999999969</c:v>
                </c:pt>
                <c:pt idx="197">
                  <c:v>0.15700000000000003</c:v>
                </c:pt>
                <c:pt idx="198">
                  <c:v>0.16300000000000026</c:v>
                </c:pt>
                <c:pt idx="199">
                  <c:v>0.16500000000000004</c:v>
                </c:pt>
                <c:pt idx="200">
                  <c:v>0.16000000000000014</c:v>
                </c:pt>
                <c:pt idx="201">
                  <c:v>0.15600000000000014</c:v>
                </c:pt>
                <c:pt idx="202">
                  <c:v>0.15000000000000036</c:v>
                </c:pt>
                <c:pt idx="203">
                  <c:v>0.14800000000000013</c:v>
                </c:pt>
                <c:pt idx="204">
                  <c:v>0.15399999999999991</c:v>
                </c:pt>
                <c:pt idx="205">
                  <c:v>0.1549999999999998</c:v>
                </c:pt>
                <c:pt idx="206">
                  <c:v>0.1549999999999998</c:v>
                </c:pt>
                <c:pt idx="207">
                  <c:v>0.15799999999999992</c:v>
                </c:pt>
                <c:pt idx="208">
                  <c:v>0.15700000000000003</c:v>
                </c:pt>
                <c:pt idx="209">
                  <c:v>0.16400000000000015</c:v>
                </c:pt>
                <c:pt idx="210">
                  <c:v>0.16400000000000015</c:v>
                </c:pt>
                <c:pt idx="211">
                  <c:v>0.15799999999999992</c:v>
                </c:pt>
                <c:pt idx="212">
                  <c:v>0.1549999999999998</c:v>
                </c:pt>
                <c:pt idx="213">
                  <c:v>0.14500000000000002</c:v>
                </c:pt>
                <c:pt idx="214">
                  <c:v>0.14499999999999957</c:v>
                </c:pt>
                <c:pt idx="215">
                  <c:v>0.14400000000000013</c:v>
                </c:pt>
                <c:pt idx="216">
                  <c:v>0.15000000000000036</c:v>
                </c:pt>
                <c:pt idx="217">
                  <c:v>0.15100000000000025</c:v>
                </c:pt>
                <c:pt idx="218">
                  <c:v>0.15500000000000025</c:v>
                </c:pt>
                <c:pt idx="219">
                  <c:v>0.15399999999999991</c:v>
                </c:pt>
                <c:pt idx="220">
                  <c:v>0.14799999999999969</c:v>
                </c:pt>
                <c:pt idx="221">
                  <c:v>0.15300000000000002</c:v>
                </c:pt>
                <c:pt idx="222">
                  <c:v>0.15300000000000002</c:v>
                </c:pt>
                <c:pt idx="223">
                  <c:v>0.15800000000000036</c:v>
                </c:pt>
                <c:pt idx="224">
                  <c:v>0.1509999999999998</c:v>
                </c:pt>
                <c:pt idx="225">
                  <c:v>0.14800000000000013</c:v>
                </c:pt>
                <c:pt idx="226">
                  <c:v>0.14300000000000024</c:v>
                </c:pt>
                <c:pt idx="227">
                  <c:v>0.13599999999999968</c:v>
                </c:pt>
                <c:pt idx="228">
                  <c:v>0.12800000000000011</c:v>
                </c:pt>
                <c:pt idx="229">
                  <c:v>0.1339999999999999</c:v>
                </c:pt>
                <c:pt idx="230">
                  <c:v>0.12700000000000022</c:v>
                </c:pt>
                <c:pt idx="231">
                  <c:v>0.12800000000000011</c:v>
                </c:pt>
                <c:pt idx="232">
                  <c:v>0.1379999999999999</c:v>
                </c:pt>
                <c:pt idx="233">
                  <c:v>0.15600000000000014</c:v>
                </c:pt>
                <c:pt idx="234">
                  <c:v>0.16400000000000015</c:v>
                </c:pt>
                <c:pt idx="235">
                  <c:v>0.16199999999999992</c:v>
                </c:pt>
                <c:pt idx="236">
                  <c:v>0.14700000000000024</c:v>
                </c:pt>
                <c:pt idx="237">
                  <c:v>0.14900000000000002</c:v>
                </c:pt>
                <c:pt idx="238">
                  <c:v>0.15500000000000025</c:v>
                </c:pt>
                <c:pt idx="239">
                  <c:v>0.14900000000000002</c:v>
                </c:pt>
                <c:pt idx="240">
                  <c:v>0.15799999999999992</c:v>
                </c:pt>
                <c:pt idx="241">
                  <c:v>0.15700000000000003</c:v>
                </c:pt>
                <c:pt idx="242">
                  <c:v>0.1549999999999998</c:v>
                </c:pt>
                <c:pt idx="243">
                  <c:v>0.15199999999999969</c:v>
                </c:pt>
                <c:pt idx="244">
                  <c:v>0.15399999999999991</c:v>
                </c:pt>
                <c:pt idx="245">
                  <c:v>0.16199999999999992</c:v>
                </c:pt>
                <c:pt idx="246">
                  <c:v>0.16100000000000003</c:v>
                </c:pt>
                <c:pt idx="247">
                  <c:v>0.17100000000000026</c:v>
                </c:pt>
                <c:pt idx="248">
                  <c:v>0.16800000000000015</c:v>
                </c:pt>
                <c:pt idx="249">
                  <c:v>0.17300000000000004</c:v>
                </c:pt>
                <c:pt idx="250">
                  <c:v>0.17100000000000026</c:v>
                </c:pt>
                <c:pt idx="251">
                  <c:v>0.18100000000000005</c:v>
                </c:pt>
                <c:pt idx="252">
                  <c:v>0.17599999999999971</c:v>
                </c:pt>
                <c:pt idx="253">
                  <c:v>0.18599999999999994</c:v>
                </c:pt>
                <c:pt idx="254">
                  <c:v>0.18199999999999994</c:v>
                </c:pt>
                <c:pt idx="255">
                  <c:v>0.17700000000000005</c:v>
                </c:pt>
                <c:pt idx="256">
                  <c:v>0.18500000000000005</c:v>
                </c:pt>
                <c:pt idx="257">
                  <c:v>0.18399999999999972</c:v>
                </c:pt>
                <c:pt idx="258">
                  <c:v>0.18400000000000016</c:v>
                </c:pt>
                <c:pt idx="259">
                  <c:v>0.18000000000000016</c:v>
                </c:pt>
                <c:pt idx="260">
                  <c:v>0.17200000000000015</c:v>
                </c:pt>
                <c:pt idx="261">
                  <c:v>0.18100000000000005</c:v>
                </c:pt>
                <c:pt idx="262">
                  <c:v>0.17799999999999994</c:v>
                </c:pt>
                <c:pt idx="263">
                  <c:v>0.18100000000000005</c:v>
                </c:pt>
                <c:pt idx="264">
                  <c:v>0.17900000000000027</c:v>
                </c:pt>
                <c:pt idx="265">
                  <c:v>0.18300000000000027</c:v>
                </c:pt>
                <c:pt idx="266">
                  <c:v>0.17799999999999994</c:v>
                </c:pt>
                <c:pt idx="267">
                  <c:v>0.17500000000000027</c:v>
                </c:pt>
                <c:pt idx="268">
                  <c:v>0.17100000000000026</c:v>
                </c:pt>
                <c:pt idx="269">
                  <c:v>0.16900000000000004</c:v>
                </c:pt>
                <c:pt idx="270">
                  <c:v>0.16199999999999992</c:v>
                </c:pt>
                <c:pt idx="271">
                  <c:v>0.16299999999999981</c:v>
                </c:pt>
                <c:pt idx="272">
                  <c:v>0.16700000000000026</c:v>
                </c:pt>
                <c:pt idx="273">
                  <c:v>0.1639999999999997</c:v>
                </c:pt>
                <c:pt idx="274">
                  <c:v>0.17300000000000004</c:v>
                </c:pt>
                <c:pt idx="275">
                  <c:v>0.17200000000000015</c:v>
                </c:pt>
                <c:pt idx="276">
                  <c:v>0.17400000000000038</c:v>
                </c:pt>
                <c:pt idx="277">
                  <c:v>0.17499999999999982</c:v>
                </c:pt>
                <c:pt idx="278">
                  <c:v>0.17999999999999972</c:v>
                </c:pt>
                <c:pt idx="279">
                  <c:v>0.18199999999999994</c:v>
                </c:pt>
                <c:pt idx="280">
                  <c:v>0.17899999999999983</c:v>
                </c:pt>
                <c:pt idx="281">
                  <c:v>0.17600000000000016</c:v>
                </c:pt>
                <c:pt idx="282">
                  <c:v>0.17200000000000015</c:v>
                </c:pt>
                <c:pt idx="283">
                  <c:v>0.16999999999999993</c:v>
                </c:pt>
                <c:pt idx="284">
                  <c:v>0.16700000000000026</c:v>
                </c:pt>
                <c:pt idx="285">
                  <c:v>0.16900000000000004</c:v>
                </c:pt>
                <c:pt idx="286">
                  <c:v>0.16799999999999971</c:v>
                </c:pt>
                <c:pt idx="287">
                  <c:v>0.17100000000000026</c:v>
                </c:pt>
                <c:pt idx="288">
                  <c:v>0.17600000000000016</c:v>
                </c:pt>
                <c:pt idx="289">
                  <c:v>0.18000000000000016</c:v>
                </c:pt>
                <c:pt idx="290">
                  <c:v>0.18399999999999972</c:v>
                </c:pt>
                <c:pt idx="291">
                  <c:v>0.18599999999999994</c:v>
                </c:pt>
                <c:pt idx="292">
                  <c:v>0.17900000000000027</c:v>
                </c:pt>
                <c:pt idx="293">
                  <c:v>0.18100000000000005</c:v>
                </c:pt>
                <c:pt idx="294">
                  <c:v>0.18099999999999961</c:v>
                </c:pt>
                <c:pt idx="295">
                  <c:v>0.17899999999999983</c:v>
                </c:pt>
                <c:pt idx="296">
                  <c:v>0.17500000000000027</c:v>
                </c:pt>
                <c:pt idx="297">
                  <c:v>0.17700000000000005</c:v>
                </c:pt>
                <c:pt idx="298">
                  <c:v>0.18299999999999983</c:v>
                </c:pt>
                <c:pt idx="299">
                  <c:v>0.18299999999999983</c:v>
                </c:pt>
                <c:pt idx="300">
                  <c:v>0.19300000000000006</c:v>
                </c:pt>
                <c:pt idx="301">
                  <c:v>0.19900000000000029</c:v>
                </c:pt>
                <c:pt idx="302">
                  <c:v>0.19899999999999984</c:v>
                </c:pt>
                <c:pt idx="303">
                  <c:v>0.19200000000000017</c:v>
                </c:pt>
                <c:pt idx="304">
                  <c:v>0.19399999999999995</c:v>
                </c:pt>
                <c:pt idx="305">
                  <c:v>0.19300000000000006</c:v>
                </c:pt>
                <c:pt idx="306">
                  <c:v>0.19399999999999995</c:v>
                </c:pt>
                <c:pt idx="307">
                  <c:v>0.19799999999999995</c:v>
                </c:pt>
                <c:pt idx="308">
                  <c:v>0.20000000000000018</c:v>
                </c:pt>
                <c:pt idx="309">
                  <c:v>0.20300000000000029</c:v>
                </c:pt>
                <c:pt idx="310">
                  <c:v>0.20900000000000007</c:v>
                </c:pt>
                <c:pt idx="311">
                  <c:v>0.21600000000000019</c:v>
                </c:pt>
                <c:pt idx="312">
                  <c:v>0.21799999999999997</c:v>
                </c:pt>
                <c:pt idx="313">
                  <c:v>0.22299999999999986</c:v>
                </c:pt>
                <c:pt idx="314">
                  <c:v>0.21900000000000031</c:v>
                </c:pt>
                <c:pt idx="315">
                  <c:v>0.2110000000000003</c:v>
                </c:pt>
                <c:pt idx="316">
                  <c:v>0.20599999999999996</c:v>
                </c:pt>
                <c:pt idx="317">
                  <c:v>0.19999999999999973</c:v>
                </c:pt>
                <c:pt idx="318">
                  <c:v>0.19700000000000006</c:v>
                </c:pt>
                <c:pt idx="319">
                  <c:v>0.19300000000000006</c:v>
                </c:pt>
                <c:pt idx="320">
                  <c:v>0.19399999999999995</c:v>
                </c:pt>
                <c:pt idx="321">
                  <c:v>0.19799999999999995</c:v>
                </c:pt>
                <c:pt idx="322">
                  <c:v>0.19899999999999984</c:v>
                </c:pt>
                <c:pt idx="323">
                  <c:v>0.19900000000000029</c:v>
                </c:pt>
                <c:pt idx="324">
                  <c:v>0.19300000000000006</c:v>
                </c:pt>
                <c:pt idx="325">
                  <c:v>0.20100000000000007</c:v>
                </c:pt>
                <c:pt idx="326">
                  <c:v>0.20400000000000018</c:v>
                </c:pt>
                <c:pt idx="327">
                  <c:v>0.20800000000000018</c:v>
                </c:pt>
                <c:pt idx="328">
                  <c:v>0.20100000000000007</c:v>
                </c:pt>
                <c:pt idx="329">
                  <c:v>0.20700000000000029</c:v>
                </c:pt>
                <c:pt idx="330">
                  <c:v>0.20599999999999996</c:v>
                </c:pt>
                <c:pt idx="331">
                  <c:v>0.20900000000000007</c:v>
                </c:pt>
                <c:pt idx="332">
                  <c:v>0.20499999999999963</c:v>
                </c:pt>
                <c:pt idx="333">
                  <c:v>0.20100000000000007</c:v>
                </c:pt>
                <c:pt idx="334">
                  <c:v>0.1980000000000004</c:v>
                </c:pt>
                <c:pt idx="335">
                  <c:v>0.19700000000000006</c:v>
                </c:pt>
                <c:pt idx="336">
                  <c:v>0.18999999999999995</c:v>
                </c:pt>
                <c:pt idx="337">
                  <c:v>0.19399999999999995</c:v>
                </c:pt>
                <c:pt idx="338">
                  <c:v>0.19599999999999973</c:v>
                </c:pt>
                <c:pt idx="339">
                  <c:v>0.19700000000000006</c:v>
                </c:pt>
                <c:pt idx="340">
                  <c:v>0.20999999999999996</c:v>
                </c:pt>
                <c:pt idx="341">
                  <c:v>0.20999999999999996</c:v>
                </c:pt>
                <c:pt idx="342">
                  <c:v>0.21499999999999986</c:v>
                </c:pt>
                <c:pt idx="343">
                  <c:v>0.21999999999999975</c:v>
                </c:pt>
                <c:pt idx="344">
                  <c:v>0.22100000000000009</c:v>
                </c:pt>
                <c:pt idx="345">
                  <c:v>0.21099999999999985</c:v>
                </c:pt>
                <c:pt idx="346">
                  <c:v>0.21700000000000008</c:v>
                </c:pt>
                <c:pt idx="347">
                  <c:v>0.2240000000000002</c:v>
                </c:pt>
                <c:pt idx="348">
                  <c:v>0.22500000000000009</c:v>
                </c:pt>
                <c:pt idx="349">
                  <c:v>0.22999999999999998</c:v>
                </c:pt>
                <c:pt idx="350">
                  <c:v>0.23399999999999999</c:v>
                </c:pt>
                <c:pt idx="351">
                  <c:v>0.22900000000000009</c:v>
                </c:pt>
                <c:pt idx="352">
                  <c:v>0.22699999999999987</c:v>
                </c:pt>
                <c:pt idx="353">
                  <c:v>0.22399999999999975</c:v>
                </c:pt>
                <c:pt idx="354">
                  <c:v>0.22799999999999976</c:v>
                </c:pt>
                <c:pt idx="355">
                  <c:v>0.23199999999999976</c:v>
                </c:pt>
                <c:pt idx="356">
                  <c:v>0.23099999999999987</c:v>
                </c:pt>
                <c:pt idx="357">
                  <c:v>0.2330000000000001</c:v>
                </c:pt>
                <c:pt idx="358">
                  <c:v>0.24199999999999999</c:v>
                </c:pt>
                <c:pt idx="359">
                  <c:v>0.24400000000000022</c:v>
                </c:pt>
                <c:pt idx="360">
                  <c:v>0.24899999999999967</c:v>
                </c:pt>
                <c:pt idx="361">
                  <c:v>0.25</c:v>
                </c:pt>
                <c:pt idx="362">
                  <c:v>0.25</c:v>
                </c:pt>
                <c:pt idx="363">
                  <c:v>0.254</c:v>
                </c:pt>
                <c:pt idx="364">
                  <c:v>0.25600000000000023</c:v>
                </c:pt>
                <c:pt idx="365">
                  <c:v>0.25700000000000012</c:v>
                </c:pt>
                <c:pt idx="366">
                  <c:v>0.25700000000000012</c:v>
                </c:pt>
                <c:pt idx="367">
                  <c:v>0.25800000000000023</c:v>
                </c:pt>
                <c:pt idx="368">
                  <c:v>0.26199999999999979</c:v>
                </c:pt>
                <c:pt idx="369">
                  <c:v>0.2629999999999999</c:v>
                </c:pt>
                <c:pt idx="370">
                  <c:v>0.26600000000000001</c:v>
                </c:pt>
                <c:pt idx="371">
                  <c:v>0.26</c:v>
                </c:pt>
                <c:pt idx="372">
                  <c:v>0.25300000000000011</c:v>
                </c:pt>
                <c:pt idx="373">
                  <c:v>0.246</c:v>
                </c:pt>
                <c:pt idx="374">
                  <c:v>0.24</c:v>
                </c:pt>
                <c:pt idx="375">
                  <c:v>0.2390000000000001</c:v>
                </c:pt>
                <c:pt idx="376">
                  <c:v>0.2410000000000001</c:v>
                </c:pt>
                <c:pt idx="377">
                  <c:v>0.24400000000000022</c:v>
                </c:pt>
                <c:pt idx="378">
                  <c:v>0.23999999999999977</c:v>
                </c:pt>
                <c:pt idx="379">
                  <c:v>0.246</c:v>
                </c:pt>
                <c:pt idx="380">
                  <c:v>0.2410000000000001</c:v>
                </c:pt>
                <c:pt idx="381">
                  <c:v>0.24299999999999988</c:v>
                </c:pt>
                <c:pt idx="382">
                  <c:v>0.24199999999999999</c:v>
                </c:pt>
                <c:pt idx="383">
                  <c:v>0.24899999999999967</c:v>
                </c:pt>
                <c:pt idx="384">
                  <c:v>0.24299999999999988</c:v>
                </c:pt>
                <c:pt idx="385">
                  <c:v>0.2410000000000001</c:v>
                </c:pt>
                <c:pt idx="386">
                  <c:v>0.23499999999999988</c:v>
                </c:pt>
                <c:pt idx="387">
                  <c:v>0.23500000000000032</c:v>
                </c:pt>
                <c:pt idx="388">
                  <c:v>0.2330000000000001</c:v>
                </c:pt>
                <c:pt idx="389">
                  <c:v>0.23899999999999988</c:v>
                </c:pt>
                <c:pt idx="390">
                  <c:v>0.24099999999999966</c:v>
                </c:pt>
                <c:pt idx="391">
                  <c:v>0.246</c:v>
                </c:pt>
                <c:pt idx="392">
                  <c:v>0.24799999999999978</c:v>
                </c:pt>
                <c:pt idx="393">
                  <c:v>0.24900000000000011</c:v>
                </c:pt>
                <c:pt idx="394">
                  <c:v>0.25200000000000022</c:v>
                </c:pt>
                <c:pt idx="395">
                  <c:v>0.254</c:v>
                </c:pt>
                <c:pt idx="396">
                  <c:v>0.24800000000000022</c:v>
                </c:pt>
                <c:pt idx="397">
                  <c:v>0.25199999999999978</c:v>
                </c:pt>
                <c:pt idx="398">
                  <c:v>0.24799999999999978</c:v>
                </c:pt>
                <c:pt idx="399">
                  <c:v>0.24399999999999977</c:v>
                </c:pt>
                <c:pt idx="400">
                  <c:v>0.24500000000000011</c:v>
                </c:pt>
                <c:pt idx="401">
                  <c:v>0.25200000000000022</c:v>
                </c:pt>
                <c:pt idx="402">
                  <c:v>0.25599999999999978</c:v>
                </c:pt>
                <c:pt idx="403">
                  <c:v>0.25999999999999979</c:v>
                </c:pt>
                <c:pt idx="404">
                  <c:v>0.26099999999999968</c:v>
                </c:pt>
                <c:pt idx="405">
                  <c:v>0.25700000000000012</c:v>
                </c:pt>
                <c:pt idx="406">
                  <c:v>0.2589999999999999</c:v>
                </c:pt>
                <c:pt idx="407">
                  <c:v>0.2589999999999999</c:v>
                </c:pt>
                <c:pt idx="408">
                  <c:v>0.2629999999999999</c:v>
                </c:pt>
                <c:pt idx="409">
                  <c:v>0.26500000000000012</c:v>
                </c:pt>
                <c:pt idx="410">
                  <c:v>0.27099999999999991</c:v>
                </c:pt>
                <c:pt idx="411">
                  <c:v>0.26800000000000024</c:v>
                </c:pt>
                <c:pt idx="412">
                  <c:v>0.26900000000000013</c:v>
                </c:pt>
                <c:pt idx="413">
                  <c:v>0.2629999999999999</c:v>
                </c:pt>
                <c:pt idx="414">
                  <c:v>0.25800000000000001</c:v>
                </c:pt>
                <c:pt idx="415">
                  <c:v>0.25800000000000001</c:v>
                </c:pt>
                <c:pt idx="416">
                  <c:v>0.25199999999999978</c:v>
                </c:pt>
                <c:pt idx="417">
                  <c:v>0.24500000000000011</c:v>
                </c:pt>
                <c:pt idx="418">
                  <c:v>0.24800000000000022</c:v>
                </c:pt>
                <c:pt idx="419">
                  <c:v>0.24900000000000011</c:v>
                </c:pt>
                <c:pt idx="420">
                  <c:v>0.25199999999999978</c:v>
                </c:pt>
                <c:pt idx="421">
                  <c:v>0.25700000000000012</c:v>
                </c:pt>
                <c:pt idx="422">
                  <c:v>0.2589999999999999</c:v>
                </c:pt>
                <c:pt idx="423">
                  <c:v>0.2589999999999999</c:v>
                </c:pt>
              </c:numCache>
            </c:numRef>
          </c:val>
          <c:smooth val="0"/>
        </c:ser>
        <c:ser>
          <c:idx val="1"/>
          <c:order val="1"/>
          <c:tx>
            <c:strRef>
              <c:f>EIA_AGG1!$G$1</c:f>
              <c:strCache>
                <c:ptCount val="1"/>
                <c:pt idx="0">
                  <c:v>Premium - Regular</c:v>
                </c:pt>
              </c:strCache>
            </c:strRef>
          </c:tx>
          <c:spPr>
            <a:ln w="28575" cap="rnd">
              <a:solidFill>
                <a:schemeClr val="accent2"/>
              </a:solidFill>
              <a:round/>
            </a:ln>
            <a:effectLst/>
          </c:spPr>
          <c:marker>
            <c:symbol val="none"/>
          </c:marker>
          <c:cat>
            <c:numRef>
              <c:f>EIA_AGG1!$B$2:$B$425</c:f>
              <c:numCache>
                <c:formatCode>[$-409]ddmmmyyyy</c:formatCode>
                <c:ptCount val="424"/>
                <c:pt idx="0">
                  <c:v>39818</c:v>
                </c:pt>
                <c:pt idx="1">
                  <c:v>39825</c:v>
                </c:pt>
                <c:pt idx="2">
                  <c:v>39832</c:v>
                </c:pt>
                <c:pt idx="3">
                  <c:v>39839</c:v>
                </c:pt>
                <c:pt idx="4">
                  <c:v>39846</c:v>
                </c:pt>
                <c:pt idx="5">
                  <c:v>39853</c:v>
                </c:pt>
                <c:pt idx="6">
                  <c:v>39860</c:v>
                </c:pt>
                <c:pt idx="7">
                  <c:v>39867</c:v>
                </c:pt>
                <c:pt idx="8">
                  <c:v>39874</c:v>
                </c:pt>
                <c:pt idx="9">
                  <c:v>39881</c:v>
                </c:pt>
                <c:pt idx="10">
                  <c:v>39888</c:v>
                </c:pt>
                <c:pt idx="11">
                  <c:v>39895</c:v>
                </c:pt>
                <c:pt idx="12">
                  <c:v>39902</c:v>
                </c:pt>
                <c:pt idx="13">
                  <c:v>39909</c:v>
                </c:pt>
                <c:pt idx="14">
                  <c:v>39916</c:v>
                </c:pt>
                <c:pt idx="15">
                  <c:v>39923</c:v>
                </c:pt>
                <c:pt idx="16">
                  <c:v>39930</c:v>
                </c:pt>
                <c:pt idx="17">
                  <c:v>39937</c:v>
                </c:pt>
                <c:pt idx="18">
                  <c:v>39944</c:v>
                </c:pt>
                <c:pt idx="19">
                  <c:v>39951</c:v>
                </c:pt>
                <c:pt idx="20">
                  <c:v>39958</c:v>
                </c:pt>
                <c:pt idx="21">
                  <c:v>39965</c:v>
                </c:pt>
                <c:pt idx="22">
                  <c:v>39972</c:v>
                </c:pt>
                <c:pt idx="23">
                  <c:v>39979</c:v>
                </c:pt>
                <c:pt idx="24">
                  <c:v>39986</c:v>
                </c:pt>
                <c:pt idx="25">
                  <c:v>39993</c:v>
                </c:pt>
                <c:pt idx="26">
                  <c:v>40000</c:v>
                </c:pt>
                <c:pt idx="27">
                  <c:v>40007</c:v>
                </c:pt>
                <c:pt idx="28">
                  <c:v>40014</c:v>
                </c:pt>
                <c:pt idx="29">
                  <c:v>40021</c:v>
                </c:pt>
                <c:pt idx="30">
                  <c:v>40028</c:v>
                </c:pt>
                <c:pt idx="31">
                  <c:v>40035</c:v>
                </c:pt>
                <c:pt idx="32">
                  <c:v>40042</c:v>
                </c:pt>
                <c:pt idx="33">
                  <c:v>40049</c:v>
                </c:pt>
                <c:pt idx="34">
                  <c:v>40056</c:v>
                </c:pt>
                <c:pt idx="35">
                  <c:v>40063</c:v>
                </c:pt>
                <c:pt idx="36">
                  <c:v>40070</c:v>
                </c:pt>
                <c:pt idx="37">
                  <c:v>40077</c:v>
                </c:pt>
                <c:pt idx="38">
                  <c:v>40084</c:v>
                </c:pt>
                <c:pt idx="39">
                  <c:v>40091</c:v>
                </c:pt>
                <c:pt idx="40">
                  <c:v>40098</c:v>
                </c:pt>
                <c:pt idx="41">
                  <c:v>40105</c:v>
                </c:pt>
                <c:pt idx="42">
                  <c:v>40112</c:v>
                </c:pt>
                <c:pt idx="43">
                  <c:v>40119</c:v>
                </c:pt>
                <c:pt idx="44">
                  <c:v>40126</c:v>
                </c:pt>
                <c:pt idx="45">
                  <c:v>40133</c:v>
                </c:pt>
                <c:pt idx="46">
                  <c:v>40140</c:v>
                </c:pt>
                <c:pt idx="47">
                  <c:v>40147</c:v>
                </c:pt>
                <c:pt idx="48">
                  <c:v>40154</c:v>
                </c:pt>
                <c:pt idx="49">
                  <c:v>40161</c:v>
                </c:pt>
                <c:pt idx="50">
                  <c:v>40168</c:v>
                </c:pt>
                <c:pt idx="51">
                  <c:v>40175</c:v>
                </c:pt>
                <c:pt idx="52">
                  <c:v>40182</c:v>
                </c:pt>
                <c:pt idx="53">
                  <c:v>40189</c:v>
                </c:pt>
                <c:pt idx="54">
                  <c:v>40196</c:v>
                </c:pt>
                <c:pt idx="55">
                  <c:v>40203</c:v>
                </c:pt>
                <c:pt idx="56">
                  <c:v>40210</c:v>
                </c:pt>
                <c:pt idx="57">
                  <c:v>40217</c:v>
                </c:pt>
                <c:pt idx="58">
                  <c:v>40224</c:v>
                </c:pt>
                <c:pt idx="59">
                  <c:v>40231</c:v>
                </c:pt>
                <c:pt idx="60">
                  <c:v>40238</c:v>
                </c:pt>
                <c:pt idx="61">
                  <c:v>40245</c:v>
                </c:pt>
                <c:pt idx="62">
                  <c:v>40252</c:v>
                </c:pt>
                <c:pt idx="63">
                  <c:v>40259</c:v>
                </c:pt>
                <c:pt idx="64">
                  <c:v>40266</c:v>
                </c:pt>
                <c:pt idx="65">
                  <c:v>40273</c:v>
                </c:pt>
                <c:pt idx="66">
                  <c:v>40280</c:v>
                </c:pt>
                <c:pt idx="67">
                  <c:v>40287</c:v>
                </c:pt>
                <c:pt idx="68">
                  <c:v>40294</c:v>
                </c:pt>
                <c:pt idx="69">
                  <c:v>40301</c:v>
                </c:pt>
                <c:pt idx="70">
                  <c:v>40308</c:v>
                </c:pt>
                <c:pt idx="71">
                  <c:v>40315</c:v>
                </c:pt>
                <c:pt idx="72">
                  <c:v>40322</c:v>
                </c:pt>
                <c:pt idx="73">
                  <c:v>40329</c:v>
                </c:pt>
                <c:pt idx="74">
                  <c:v>40336</c:v>
                </c:pt>
                <c:pt idx="75">
                  <c:v>40343</c:v>
                </c:pt>
                <c:pt idx="76">
                  <c:v>40350</c:v>
                </c:pt>
                <c:pt idx="77">
                  <c:v>40357</c:v>
                </c:pt>
                <c:pt idx="78">
                  <c:v>40364</c:v>
                </c:pt>
                <c:pt idx="79">
                  <c:v>40371</c:v>
                </c:pt>
                <c:pt idx="80">
                  <c:v>40378</c:v>
                </c:pt>
                <c:pt idx="81">
                  <c:v>40385</c:v>
                </c:pt>
                <c:pt idx="82">
                  <c:v>40392</c:v>
                </c:pt>
                <c:pt idx="83">
                  <c:v>40399</c:v>
                </c:pt>
                <c:pt idx="84">
                  <c:v>40406</c:v>
                </c:pt>
                <c:pt idx="85">
                  <c:v>40413</c:v>
                </c:pt>
                <c:pt idx="86">
                  <c:v>40420</c:v>
                </c:pt>
                <c:pt idx="87">
                  <c:v>40427</c:v>
                </c:pt>
                <c:pt idx="88">
                  <c:v>40434</c:v>
                </c:pt>
                <c:pt idx="89">
                  <c:v>40441</c:v>
                </c:pt>
                <c:pt idx="90">
                  <c:v>40448</c:v>
                </c:pt>
                <c:pt idx="91">
                  <c:v>40455</c:v>
                </c:pt>
                <c:pt idx="92">
                  <c:v>40462</c:v>
                </c:pt>
                <c:pt idx="93">
                  <c:v>40469</c:v>
                </c:pt>
                <c:pt idx="94">
                  <c:v>40476</c:v>
                </c:pt>
                <c:pt idx="95">
                  <c:v>40483</c:v>
                </c:pt>
                <c:pt idx="96">
                  <c:v>40490</c:v>
                </c:pt>
                <c:pt idx="97">
                  <c:v>40497</c:v>
                </c:pt>
                <c:pt idx="98">
                  <c:v>40504</c:v>
                </c:pt>
                <c:pt idx="99">
                  <c:v>40511</c:v>
                </c:pt>
                <c:pt idx="100">
                  <c:v>40518</c:v>
                </c:pt>
                <c:pt idx="101">
                  <c:v>40525</c:v>
                </c:pt>
                <c:pt idx="102">
                  <c:v>40532</c:v>
                </c:pt>
                <c:pt idx="103">
                  <c:v>40539</c:v>
                </c:pt>
                <c:pt idx="104">
                  <c:v>40546</c:v>
                </c:pt>
                <c:pt idx="105">
                  <c:v>40553</c:v>
                </c:pt>
                <c:pt idx="106">
                  <c:v>40560</c:v>
                </c:pt>
                <c:pt idx="107">
                  <c:v>40567</c:v>
                </c:pt>
                <c:pt idx="108">
                  <c:v>40574</c:v>
                </c:pt>
                <c:pt idx="109">
                  <c:v>40581</c:v>
                </c:pt>
                <c:pt idx="110">
                  <c:v>40588</c:v>
                </c:pt>
                <c:pt idx="111">
                  <c:v>40595</c:v>
                </c:pt>
                <c:pt idx="112">
                  <c:v>40602</c:v>
                </c:pt>
                <c:pt idx="113">
                  <c:v>40609</c:v>
                </c:pt>
                <c:pt idx="114">
                  <c:v>40616</c:v>
                </c:pt>
                <c:pt idx="115">
                  <c:v>40623</c:v>
                </c:pt>
                <c:pt idx="116">
                  <c:v>40630</c:v>
                </c:pt>
                <c:pt idx="117">
                  <c:v>40637</c:v>
                </c:pt>
                <c:pt idx="118">
                  <c:v>40644</c:v>
                </c:pt>
                <c:pt idx="119">
                  <c:v>40651</c:v>
                </c:pt>
                <c:pt idx="120">
                  <c:v>40658</c:v>
                </c:pt>
                <c:pt idx="121">
                  <c:v>40665</c:v>
                </c:pt>
                <c:pt idx="122">
                  <c:v>40672</c:v>
                </c:pt>
                <c:pt idx="123">
                  <c:v>40679</c:v>
                </c:pt>
                <c:pt idx="124">
                  <c:v>40686</c:v>
                </c:pt>
                <c:pt idx="125">
                  <c:v>40693</c:v>
                </c:pt>
                <c:pt idx="126">
                  <c:v>40700</c:v>
                </c:pt>
                <c:pt idx="127">
                  <c:v>40707</c:v>
                </c:pt>
                <c:pt idx="128">
                  <c:v>40714</c:v>
                </c:pt>
                <c:pt idx="129">
                  <c:v>40721</c:v>
                </c:pt>
                <c:pt idx="130">
                  <c:v>40728</c:v>
                </c:pt>
                <c:pt idx="131">
                  <c:v>40735</c:v>
                </c:pt>
                <c:pt idx="132">
                  <c:v>40742</c:v>
                </c:pt>
                <c:pt idx="133">
                  <c:v>40749</c:v>
                </c:pt>
                <c:pt idx="134">
                  <c:v>40756</c:v>
                </c:pt>
                <c:pt idx="135">
                  <c:v>40763</c:v>
                </c:pt>
                <c:pt idx="136">
                  <c:v>40770</c:v>
                </c:pt>
                <c:pt idx="137">
                  <c:v>40777</c:v>
                </c:pt>
                <c:pt idx="138">
                  <c:v>40784</c:v>
                </c:pt>
                <c:pt idx="139">
                  <c:v>40791</c:v>
                </c:pt>
                <c:pt idx="140">
                  <c:v>40798</c:v>
                </c:pt>
                <c:pt idx="141">
                  <c:v>40805</c:v>
                </c:pt>
                <c:pt idx="142">
                  <c:v>40812</c:v>
                </c:pt>
                <c:pt idx="143">
                  <c:v>40819</c:v>
                </c:pt>
                <c:pt idx="144">
                  <c:v>40826</c:v>
                </c:pt>
                <c:pt idx="145">
                  <c:v>40833</c:v>
                </c:pt>
                <c:pt idx="146">
                  <c:v>40840</c:v>
                </c:pt>
                <c:pt idx="147">
                  <c:v>40847</c:v>
                </c:pt>
                <c:pt idx="148">
                  <c:v>40854</c:v>
                </c:pt>
                <c:pt idx="149">
                  <c:v>40861</c:v>
                </c:pt>
                <c:pt idx="150">
                  <c:v>40868</c:v>
                </c:pt>
                <c:pt idx="151">
                  <c:v>40875</c:v>
                </c:pt>
                <c:pt idx="152">
                  <c:v>40882</c:v>
                </c:pt>
                <c:pt idx="153">
                  <c:v>40889</c:v>
                </c:pt>
                <c:pt idx="154">
                  <c:v>40896</c:v>
                </c:pt>
                <c:pt idx="155">
                  <c:v>40903</c:v>
                </c:pt>
                <c:pt idx="156">
                  <c:v>40910</c:v>
                </c:pt>
                <c:pt idx="157">
                  <c:v>40917</c:v>
                </c:pt>
                <c:pt idx="158">
                  <c:v>40924</c:v>
                </c:pt>
                <c:pt idx="159">
                  <c:v>40931</c:v>
                </c:pt>
                <c:pt idx="160">
                  <c:v>40938</c:v>
                </c:pt>
                <c:pt idx="161">
                  <c:v>40945</c:v>
                </c:pt>
                <c:pt idx="162">
                  <c:v>40952</c:v>
                </c:pt>
                <c:pt idx="163">
                  <c:v>40959</c:v>
                </c:pt>
                <c:pt idx="164">
                  <c:v>40966</c:v>
                </c:pt>
                <c:pt idx="165">
                  <c:v>40973</c:v>
                </c:pt>
                <c:pt idx="166">
                  <c:v>40980</c:v>
                </c:pt>
                <c:pt idx="167">
                  <c:v>40987</c:v>
                </c:pt>
                <c:pt idx="168">
                  <c:v>40994</c:v>
                </c:pt>
                <c:pt idx="169">
                  <c:v>41001</c:v>
                </c:pt>
                <c:pt idx="170">
                  <c:v>41008</c:v>
                </c:pt>
                <c:pt idx="171">
                  <c:v>41015</c:v>
                </c:pt>
                <c:pt idx="172">
                  <c:v>41022</c:v>
                </c:pt>
                <c:pt idx="173">
                  <c:v>41029</c:v>
                </c:pt>
                <c:pt idx="174">
                  <c:v>41036</c:v>
                </c:pt>
                <c:pt idx="175">
                  <c:v>41043</c:v>
                </c:pt>
                <c:pt idx="176">
                  <c:v>41050</c:v>
                </c:pt>
                <c:pt idx="177">
                  <c:v>41057</c:v>
                </c:pt>
                <c:pt idx="178">
                  <c:v>41064</c:v>
                </c:pt>
                <c:pt idx="179">
                  <c:v>41071</c:v>
                </c:pt>
                <c:pt idx="180">
                  <c:v>41078</c:v>
                </c:pt>
                <c:pt idx="181">
                  <c:v>41085</c:v>
                </c:pt>
                <c:pt idx="182">
                  <c:v>41092</c:v>
                </c:pt>
                <c:pt idx="183">
                  <c:v>41099</c:v>
                </c:pt>
                <c:pt idx="184">
                  <c:v>41106</c:v>
                </c:pt>
                <c:pt idx="185">
                  <c:v>41113</c:v>
                </c:pt>
                <c:pt idx="186">
                  <c:v>41120</c:v>
                </c:pt>
                <c:pt idx="187">
                  <c:v>41127</c:v>
                </c:pt>
                <c:pt idx="188">
                  <c:v>41134</c:v>
                </c:pt>
                <c:pt idx="189">
                  <c:v>41141</c:v>
                </c:pt>
                <c:pt idx="190">
                  <c:v>41148</c:v>
                </c:pt>
                <c:pt idx="191">
                  <c:v>41155</c:v>
                </c:pt>
                <c:pt idx="192">
                  <c:v>41162</c:v>
                </c:pt>
                <c:pt idx="193">
                  <c:v>41169</c:v>
                </c:pt>
                <c:pt idx="194">
                  <c:v>41176</c:v>
                </c:pt>
                <c:pt idx="195">
                  <c:v>41183</c:v>
                </c:pt>
                <c:pt idx="196">
                  <c:v>41190</c:v>
                </c:pt>
                <c:pt idx="197">
                  <c:v>41197</c:v>
                </c:pt>
                <c:pt idx="198">
                  <c:v>41204</c:v>
                </c:pt>
                <c:pt idx="199">
                  <c:v>41211</c:v>
                </c:pt>
                <c:pt idx="200">
                  <c:v>41218</c:v>
                </c:pt>
                <c:pt idx="201">
                  <c:v>41225</c:v>
                </c:pt>
                <c:pt idx="202">
                  <c:v>41232</c:v>
                </c:pt>
                <c:pt idx="203">
                  <c:v>41239</c:v>
                </c:pt>
                <c:pt idx="204">
                  <c:v>41246</c:v>
                </c:pt>
                <c:pt idx="205">
                  <c:v>41253</c:v>
                </c:pt>
                <c:pt idx="206">
                  <c:v>41260</c:v>
                </c:pt>
                <c:pt idx="207">
                  <c:v>41267</c:v>
                </c:pt>
                <c:pt idx="208">
                  <c:v>41274</c:v>
                </c:pt>
                <c:pt idx="209">
                  <c:v>41281</c:v>
                </c:pt>
                <c:pt idx="210">
                  <c:v>41288</c:v>
                </c:pt>
                <c:pt idx="211">
                  <c:v>41295</c:v>
                </c:pt>
                <c:pt idx="212">
                  <c:v>41302</c:v>
                </c:pt>
                <c:pt idx="213">
                  <c:v>41309</c:v>
                </c:pt>
                <c:pt idx="214">
                  <c:v>41316</c:v>
                </c:pt>
                <c:pt idx="215">
                  <c:v>41323</c:v>
                </c:pt>
                <c:pt idx="216">
                  <c:v>41330</c:v>
                </c:pt>
                <c:pt idx="217">
                  <c:v>41337</c:v>
                </c:pt>
                <c:pt idx="218">
                  <c:v>41344</c:v>
                </c:pt>
                <c:pt idx="219">
                  <c:v>41351</c:v>
                </c:pt>
                <c:pt idx="220">
                  <c:v>41358</c:v>
                </c:pt>
                <c:pt idx="221">
                  <c:v>41365</c:v>
                </c:pt>
                <c:pt idx="222">
                  <c:v>41372</c:v>
                </c:pt>
                <c:pt idx="223">
                  <c:v>41379</c:v>
                </c:pt>
                <c:pt idx="224">
                  <c:v>41386</c:v>
                </c:pt>
                <c:pt idx="225">
                  <c:v>41393</c:v>
                </c:pt>
                <c:pt idx="226">
                  <c:v>41400</c:v>
                </c:pt>
                <c:pt idx="227">
                  <c:v>41407</c:v>
                </c:pt>
                <c:pt idx="228">
                  <c:v>41414</c:v>
                </c:pt>
                <c:pt idx="229">
                  <c:v>41421</c:v>
                </c:pt>
                <c:pt idx="230">
                  <c:v>41428</c:v>
                </c:pt>
                <c:pt idx="231">
                  <c:v>41435</c:v>
                </c:pt>
                <c:pt idx="232">
                  <c:v>41442</c:v>
                </c:pt>
                <c:pt idx="233">
                  <c:v>41449</c:v>
                </c:pt>
                <c:pt idx="234">
                  <c:v>41456</c:v>
                </c:pt>
                <c:pt idx="235">
                  <c:v>41463</c:v>
                </c:pt>
                <c:pt idx="236">
                  <c:v>41470</c:v>
                </c:pt>
                <c:pt idx="237">
                  <c:v>41477</c:v>
                </c:pt>
                <c:pt idx="238">
                  <c:v>41484</c:v>
                </c:pt>
                <c:pt idx="239">
                  <c:v>41491</c:v>
                </c:pt>
                <c:pt idx="240">
                  <c:v>41498</c:v>
                </c:pt>
                <c:pt idx="241">
                  <c:v>41505</c:v>
                </c:pt>
                <c:pt idx="242">
                  <c:v>41512</c:v>
                </c:pt>
                <c:pt idx="243">
                  <c:v>41519</c:v>
                </c:pt>
                <c:pt idx="244">
                  <c:v>41526</c:v>
                </c:pt>
                <c:pt idx="245">
                  <c:v>41533</c:v>
                </c:pt>
                <c:pt idx="246">
                  <c:v>41540</c:v>
                </c:pt>
                <c:pt idx="247">
                  <c:v>41547</c:v>
                </c:pt>
                <c:pt idx="248">
                  <c:v>41554</c:v>
                </c:pt>
                <c:pt idx="249">
                  <c:v>41561</c:v>
                </c:pt>
                <c:pt idx="250">
                  <c:v>41568</c:v>
                </c:pt>
                <c:pt idx="251">
                  <c:v>41575</c:v>
                </c:pt>
                <c:pt idx="252">
                  <c:v>41582</c:v>
                </c:pt>
                <c:pt idx="253">
                  <c:v>41589</c:v>
                </c:pt>
                <c:pt idx="254">
                  <c:v>41596</c:v>
                </c:pt>
                <c:pt idx="255">
                  <c:v>41603</c:v>
                </c:pt>
                <c:pt idx="256">
                  <c:v>41610</c:v>
                </c:pt>
                <c:pt idx="257">
                  <c:v>41617</c:v>
                </c:pt>
                <c:pt idx="258">
                  <c:v>41624</c:v>
                </c:pt>
                <c:pt idx="259">
                  <c:v>41631</c:v>
                </c:pt>
                <c:pt idx="260">
                  <c:v>41638</c:v>
                </c:pt>
                <c:pt idx="261">
                  <c:v>41645</c:v>
                </c:pt>
                <c:pt idx="262">
                  <c:v>41652</c:v>
                </c:pt>
                <c:pt idx="263">
                  <c:v>41659</c:v>
                </c:pt>
                <c:pt idx="264">
                  <c:v>41666</c:v>
                </c:pt>
                <c:pt idx="265">
                  <c:v>41673</c:v>
                </c:pt>
                <c:pt idx="266">
                  <c:v>41680</c:v>
                </c:pt>
                <c:pt idx="267">
                  <c:v>41687</c:v>
                </c:pt>
                <c:pt idx="268">
                  <c:v>41694</c:v>
                </c:pt>
                <c:pt idx="269">
                  <c:v>41701</c:v>
                </c:pt>
                <c:pt idx="270">
                  <c:v>41708</c:v>
                </c:pt>
                <c:pt idx="271">
                  <c:v>41715</c:v>
                </c:pt>
                <c:pt idx="272">
                  <c:v>41722</c:v>
                </c:pt>
                <c:pt idx="273">
                  <c:v>41729</c:v>
                </c:pt>
                <c:pt idx="274">
                  <c:v>41736</c:v>
                </c:pt>
                <c:pt idx="275">
                  <c:v>41743</c:v>
                </c:pt>
                <c:pt idx="276">
                  <c:v>41750</c:v>
                </c:pt>
                <c:pt idx="277">
                  <c:v>41757</c:v>
                </c:pt>
                <c:pt idx="278">
                  <c:v>41764</c:v>
                </c:pt>
                <c:pt idx="279">
                  <c:v>41771</c:v>
                </c:pt>
                <c:pt idx="280">
                  <c:v>41778</c:v>
                </c:pt>
                <c:pt idx="281">
                  <c:v>41785</c:v>
                </c:pt>
                <c:pt idx="282">
                  <c:v>41792</c:v>
                </c:pt>
                <c:pt idx="283">
                  <c:v>41799</c:v>
                </c:pt>
                <c:pt idx="284">
                  <c:v>41806</c:v>
                </c:pt>
                <c:pt idx="285">
                  <c:v>41813</c:v>
                </c:pt>
                <c:pt idx="286">
                  <c:v>41820</c:v>
                </c:pt>
                <c:pt idx="287">
                  <c:v>41827</c:v>
                </c:pt>
                <c:pt idx="288">
                  <c:v>41834</c:v>
                </c:pt>
                <c:pt idx="289">
                  <c:v>41841</c:v>
                </c:pt>
                <c:pt idx="290">
                  <c:v>41848</c:v>
                </c:pt>
                <c:pt idx="291">
                  <c:v>41855</c:v>
                </c:pt>
                <c:pt idx="292">
                  <c:v>41862</c:v>
                </c:pt>
                <c:pt idx="293">
                  <c:v>41869</c:v>
                </c:pt>
                <c:pt idx="294">
                  <c:v>41876</c:v>
                </c:pt>
                <c:pt idx="295">
                  <c:v>41883</c:v>
                </c:pt>
                <c:pt idx="296">
                  <c:v>41890</c:v>
                </c:pt>
                <c:pt idx="297">
                  <c:v>41897</c:v>
                </c:pt>
                <c:pt idx="298">
                  <c:v>41904</c:v>
                </c:pt>
                <c:pt idx="299">
                  <c:v>41911</c:v>
                </c:pt>
                <c:pt idx="300">
                  <c:v>41918</c:v>
                </c:pt>
                <c:pt idx="301">
                  <c:v>41925</c:v>
                </c:pt>
                <c:pt idx="302">
                  <c:v>41932</c:v>
                </c:pt>
                <c:pt idx="303">
                  <c:v>41939</c:v>
                </c:pt>
                <c:pt idx="304">
                  <c:v>41946</c:v>
                </c:pt>
                <c:pt idx="305">
                  <c:v>41953</c:v>
                </c:pt>
                <c:pt idx="306">
                  <c:v>41960</c:v>
                </c:pt>
                <c:pt idx="307">
                  <c:v>41967</c:v>
                </c:pt>
                <c:pt idx="308">
                  <c:v>41974</c:v>
                </c:pt>
                <c:pt idx="309">
                  <c:v>41981</c:v>
                </c:pt>
                <c:pt idx="310">
                  <c:v>41988</c:v>
                </c:pt>
                <c:pt idx="311">
                  <c:v>41995</c:v>
                </c:pt>
                <c:pt idx="312">
                  <c:v>42002</c:v>
                </c:pt>
                <c:pt idx="313">
                  <c:v>42009</c:v>
                </c:pt>
                <c:pt idx="314">
                  <c:v>42016</c:v>
                </c:pt>
                <c:pt idx="315">
                  <c:v>42023</c:v>
                </c:pt>
                <c:pt idx="316">
                  <c:v>42030</c:v>
                </c:pt>
                <c:pt idx="317">
                  <c:v>42037</c:v>
                </c:pt>
                <c:pt idx="318">
                  <c:v>42044</c:v>
                </c:pt>
                <c:pt idx="319">
                  <c:v>42051</c:v>
                </c:pt>
                <c:pt idx="320">
                  <c:v>42058</c:v>
                </c:pt>
                <c:pt idx="321">
                  <c:v>42065</c:v>
                </c:pt>
                <c:pt idx="322">
                  <c:v>42072</c:v>
                </c:pt>
                <c:pt idx="323">
                  <c:v>42079</c:v>
                </c:pt>
                <c:pt idx="324">
                  <c:v>42086</c:v>
                </c:pt>
                <c:pt idx="325">
                  <c:v>42093</c:v>
                </c:pt>
                <c:pt idx="326">
                  <c:v>42100</c:v>
                </c:pt>
                <c:pt idx="327">
                  <c:v>42107</c:v>
                </c:pt>
                <c:pt idx="328">
                  <c:v>42114</c:v>
                </c:pt>
                <c:pt idx="329">
                  <c:v>42121</c:v>
                </c:pt>
                <c:pt idx="330">
                  <c:v>42128</c:v>
                </c:pt>
                <c:pt idx="331">
                  <c:v>42135</c:v>
                </c:pt>
                <c:pt idx="332">
                  <c:v>42142</c:v>
                </c:pt>
                <c:pt idx="333">
                  <c:v>42149</c:v>
                </c:pt>
                <c:pt idx="334">
                  <c:v>42156</c:v>
                </c:pt>
                <c:pt idx="335">
                  <c:v>42163</c:v>
                </c:pt>
                <c:pt idx="336">
                  <c:v>42170</c:v>
                </c:pt>
                <c:pt idx="337">
                  <c:v>42177</c:v>
                </c:pt>
                <c:pt idx="338">
                  <c:v>42184</c:v>
                </c:pt>
                <c:pt idx="339">
                  <c:v>42191</c:v>
                </c:pt>
                <c:pt idx="340">
                  <c:v>42198</c:v>
                </c:pt>
                <c:pt idx="341">
                  <c:v>42205</c:v>
                </c:pt>
                <c:pt idx="342">
                  <c:v>42212</c:v>
                </c:pt>
                <c:pt idx="343">
                  <c:v>42219</c:v>
                </c:pt>
                <c:pt idx="344">
                  <c:v>42226</c:v>
                </c:pt>
                <c:pt idx="345">
                  <c:v>42233</c:v>
                </c:pt>
                <c:pt idx="346">
                  <c:v>42240</c:v>
                </c:pt>
                <c:pt idx="347">
                  <c:v>42247</c:v>
                </c:pt>
                <c:pt idx="348">
                  <c:v>42254</c:v>
                </c:pt>
                <c:pt idx="349">
                  <c:v>42261</c:v>
                </c:pt>
                <c:pt idx="350">
                  <c:v>42268</c:v>
                </c:pt>
                <c:pt idx="351">
                  <c:v>42275</c:v>
                </c:pt>
                <c:pt idx="352">
                  <c:v>42282</c:v>
                </c:pt>
                <c:pt idx="353">
                  <c:v>42289</c:v>
                </c:pt>
                <c:pt idx="354">
                  <c:v>42296</c:v>
                </c:pt>
                <c:pt idx="355">
                  <c:v>42303</c:v>
                </c:pt>
                <c:pt idx="356">
                  <c:v>42310</c:v>
                </c:pt>
                <c:pt idx="357">
                  <c:v>42317</c:v>
                </c:pt>
                <c:pt idx="358">
                  <c:v>42324</c:v>
                </c:pt>
                <c:pt idx="359">
                  <c:v>42331</c:v>
                </c:pt>
                <c:pt idx="360">
                  <c:v>42338</c:v>
                </c:pt>
                <c:pt idx="361">
                  <c:v>42345</c:v>
                </c:pt>
                <c:pt idx="362">
                  <c:v>42352</c:v>
                </c:pt>
                <c:pt idx="363">
                  <c:v>42359</c:v>
                </c:pt>
                <c:pt idx="364">
                  <c:v>42366</c:v>
                </c:pt>
                <c:pt idx="365">
                  <c:v>42373</c:v>
                </c:pt>
                <c:pt idx="366">
                  <c:v>42380</c:v>
                </c:pt>
                <c:pt idx="367">
                  <c:v>42387</c:v>
                </c:pt>
                <c:pt idx="368">
                  <c:v>42394</c:v>
                </c:pt>
                <c:pt idx="369">
                  <c:v>42401</c:v>
                </c:pt>
                <c:pt idx="370">
                  <c:v>42408</c:v>
                </c:pt>
                <c:pt idx="371">
                  <c:v>42415</c:v>
                </c:pt>
                <c:pt idx="372">
                  <c:v>42422</c:v>
                </c:pt>
                <c:pt idx="373">
                  <c:v>42429</c:v>
                </c:pt>
                <c:pt idx="374">
                  <c:v>42436</c:v>
                </c:pt>
                <c:pt idx="375">
                  <c:v>42443</c:v>
                </c:pt>
                <c:pt idx="376">
                  <c:v>42450</c:v>
                </c:pt>
                <c:pt idx="377">
                  <c:v>42457</c:v>
                </c:pt>
                <c:pt idx="378">
                  <c:v>42464</c:v>
                </c:pt>
                <c:pt idx="379">
                  <c:v>42471</c:v>
                </c:pt>
                <c:pt idx="380">
                  <c:v>42478</c:v>
                </c:pt>
                <c:pt idx="381">
                  <c:v>42485</c:v>
                </c:pt>
                <c:pt idx="382">
                  <c:v>42492</c:v>
                </c:pt>
                <c:pt idx="383">
                  <c:v>42499</c:v>
                </c:pt>
                <c:pt idx="384">
                  <c:v>42506</c:v>
                </c:pt>
                <c:pt idx="385">
                  <c:v>42513</c:v>
                </c:pt>
                <c:pt idx="386">
                  <c:v>42520</c:v>
                </c:pt>
                <c:pt idx="387">
                  <c:v>42527</c:v>
                </c:pt>
                <c:pt idx="388">
                  <c:v>42534</c:v>
                </c:pt>
                <c:pt idx="389">
                  <c:v>42541</c:v>
                </c:pt>
                <c:pt idx="390">
                  <c:v>42548</c:v>
                </c:pt>
                <c:pt idx="391">
                  <c:v>42555</c:v>
                </c:pt>
                <c:pt idx="392">
                  <c:v>42562</c:v>
                </c:pt>
                <c:pt idx="393">
                  <c:v>42569</c:v>
                </c:pt>
                <c:pt idx="394">
                  <c:v>42576</c:v>
                </c:pt>
                <c:pt idx="395">
                  <c:v>42583</c:v>
                </c:pt>
                <c:pt idx="396">
                  <c:v>42590</c:v>
                </c:pt>
                <c:pt idx="397">
                  <c:v>42597</c:v>
                </c:pt>
                <c:pt idx="398">
                  <c:v>42604</c:v>
                </c:pt>
                <c:pt idx="399">
                  <c:v>42611</c:v>
                </c:pt>
                <c:pt idx="400">
                  <c:v>42618</c:v>
                </c:pt>
                <c:pt idx="401">
                  <c:v>42625</c:v>
                </c:pt>
                <c:pt idx="402">
                  <c:v>42632</c:v>
                </c:pt>
                <c:pt idx="403">
                  <c:v>42639</c:v>
                </c:pt>
                <c:pt idx="404">
                  <c:v>42646</c:v>
                </c:pt>
                <c:pt idx="405">
                  <c:v>42653</c:v>
                </c:pt>
                <c:pt idx="406">
                  <c:v>42660</c:v>
                </c:pt>
                <c:pt idx="407">
                  <c:v>42667</c:v>
                </c:pt>
                <c:pt idx="408">
                  <c:v>42674</c:v>
                </c:pt>
                <c:pt idx="409">
                  <c:v>42681</c:v>
                </c:pt>
                <c:pt idx="410">
                  <c:v>42688</c:v>
                </c:pt>
                <c:pt idx="411">
                  <c:v>42695</c:v>
                </c:pt>
                <c:pt idx="412">
                  <c:v>42702</c:v>
                </c:pt>
                <c:pt idx="413">
                  <c:v>42709</c:v>
                </c:pt>
                <c:pt idx="414">
                  <c:v>42716</c:v>
                </c:pt>
                <c:pt idx="415">
                  <c:v>42723</c:v>
                </c:pt>
                <c:pt idx="416">
                  <c:v>42730</c:v>
                </c:pt>
                <c:pt idx="417">
                  <c:v>42737</c:v>
                </c:pt>
                <c:pt idx="418">
                  <c:v>42744</c:v>
                </c:pt>
                <c:pt idx="419">
                  <c:v>42751</c:v>
                </c:pt>
                <c:pt idx="420">
                  <c:v>42758</c:v>
                </c:pt>
                <c:pt idx="421">
                  <c:v>42765</c:v>
                </c:pt>
                <c:pt idx="422">
                  <c:v>42772</c:v>
                </c:pt>
                <c:pt idx="423">
                  <c:v>42779</c:v>
                </c:pt>
              </c:numCache>
            </c:numRef>
          </c:cat>
          <c:val>
            <c:numRef>
              <c:f>EIA_AGG1!$G$11450:$G$11873</c:f>
              <c:numCache>
                <c:formatCode>General</c:formatCode>
                <c:ptCount val="424"/>
                <c:pt idx="0">
                  <c:v>0.23799999999999999</c:v>
                </c:pt>
                <c:pt idx="1">
                  <c:v>0.23100000000000009</c:v>
                </c:pt>
                <c:pt idx="2">
                  <c:v>0.22999999999999998</c:v>
                </c:pt>
                <c:pt idx="3">
                  <c:v>0.23199999999999976</c:v>
                </c:pt>
                <c:pt idx="4">
                  <c:v>0.23399999999999999</c:v>
                </c:pt>
                <c:pt idx="5">
                  <c:v>0.2350000000000001</c:v>
                </c:pt>
                <c:pt idx="6">
                  <c:v>0.23399999999999999</c:v>
                </c:pt>
                <c:pt idx="7">
                  <c:v>0.24399999999999999</c:v>
                </c:pt>
                <c:pt idx="8">
                  <c:v>0.24</c:v>
                </c:pt>
                <c:pt idx="9">
                  <c:v>0.23399999999999976</c:v>
                </c:pt>
                <c:pt idx="10">
                  <c:v>0.24099999999999988</c:v>
                </c:pt>
                <c:pt idx="11">
                  <c:v>0.23100000000000009</c:v>
                </c:pt>
                <c:pt idx="12">
                  <c:v>0.22900000000000009</c:v>
                </c:pt>
                <c:pt idx="13">
                  <c:v>0.23399999999999999</c:v>
                </c:pt>
                <c:pt idx="14">
                  <c:v>0.23299999999999965</c:v>
                </c:pt>
                <c:pt idx="15">
                  <c:v>0.23499999999999988</c:v>
                </c:pt>
                <c:pt idx="16">
                  <c:v>0.23600000000000021</c:v>
                </c:pt>
                <c:pt idx="17">
                  <c:v>0.22999999999999998</c:v>
                </c:pt>
                <c:pt idx="18">
                  <c:v>0.22699999999999987</c:v>
                </c:pt>
                <c:pt idx="19">
                  <c:v>0.23099999999999987</c:v>
                </c:pt>
                <c:pt idx="20">
                  <c:v>0.22599999999999998</c:v>
                </c:pt>
                <c:pt idx="21">
                  <c:v>0.21700000000000008</c:v>
                </c:pt>
                <c:pt idx="22">
                  <c:v>0.21899999999999986</c:v>
                </c:pt>
                <c:pt idx="23">
                  <c:v>0.22399999999999975</c:v>
                </c:pt>
                <c:pt idx="24">
                  <c:v>0.2330000000000001</c:v>
                </c:pt>
                <c:pt idx="25">
                  <c:v>0.2410000000000001</c:v>
                </c:pt>
                <c:pt idx="26">
                  <c:v>0.24299999999999988</c:v>
                </c:pt>
                <c:pt idx="27">
                  <c:v>0.25099999999999989</c:v>
                </c:pt>
                <c:pt idx="28">
                  <c:v>0.25099999999999989</c:v>
                </c:pt>
                <c:pt idx="29">
                  <c:v>0.2410000000000001</c:v>
                </c:pt>
                <c:pt idx="30">
                  <c:v>0.23600000000000021</c:v>
                </c:pt>
                <c:pt idx="31">
                  <c:v>0.23600000000000021</c:v>
                </c:pt>
                <c:pt idx="32">
                  <c:v>0.23999999999999977</c:v>
                </c:pt>
                <c:pt idx="33">
                  <c:v>0.2410000000000001</c:v>
                </c:pt>
                <c:pt idx="34">
                  <c:v>0.24400000000000022</c:v>
                </c:pt>
                <c:pt idx="35">
                  <c:v>0.24299999999999988</c:v>
                </c:pt>
                <c:pt idx="36">
                  <c:v>0.2410000000000001</c:v>
                </c:pt>
                <c:pt idx="37">
                  <c:v>0.2410000000000001</c:v>
                </c:pt>
                <c:pt idx="38">
                  <c:v>0.24199999999999999</c:v>
                </c:pt>
                <c:pt idx="39">
                  <c:v>0.24299999999999988</c:v>
                </c:pt>
                <c:pt idx="40">
                  <c:v>0.23799999999999999</c:v>
                </c:pt>
                <c:pt idx="41">
                  <c:v>0.2330000000000001</c:v>
                </c:pt>
                <c:pt idx="42">
                  <c:v>0.23499999999999988</c:v>
                </c:pt>
                <c:pt idx="43">
                  <c:v>0.23600000000000021</c:v>
                </c:pt>
                <c:pt idx="44">
                  <c:v>0.24199999999999999</c:v>
                </c:pt>
                <c:pt idx="45">
                  <c:v>0.24799999999999978</c:v>
                </c:pt>
                <c:pt idx="46">
                  <c:v>0.24400000000000022</c:v>
                </c:pt>
                <c:pt idx="47">
                  <c:v>0.246</c:v>
                </c:pt>
                <c:pt idx="48">
                  <c:v>0.24800000000000022</c:v>
                </c:pt>
                <c:pt idx="49">
                  <c:v>0.25</c:v>
                </c:pt>
                <c:pt idx="50">
                  <c:v>0.25</c:v>
                </c:pt>
                <c:pt idx="51">
                  <c:v>0.246</c:v>
                </c:pt>
                <c:pt idx="52">
                  <c:v>0.23999999999999977</c:v>
                </c:pt>
                <c:pt idx="53">
                  <c:v>0.2370000000000001</c:v>
                </c:pt>
                <c:pt idx="54">
                  <c:v>0.24400000000000022</c:v>
                </c:pt>
                <c:pt idx="55">
                  <c:v>0.24799999999999978</c:v>
                </c:pt>
                <c:pt idx="56">
                  <c:v>0.25</c:v>
                </c:pt>
                <c:pt idx="57">
                  <c:v>0.24799999999999978</c:v>
                </c:pt>
                <c:pt idx="58">
                  <c:v>0.254</c:v>
                </c:pt>
                <c:pt idx="59">
                  <c:v>0.24400000000000022</c:v>
                </c:pt>
                <c:pt idx="60">
                  <c:v>0.2410000000000001</c:v>
                </c:pt>
                <c:pt idx="61">
                  <c:v>0.2370000000000001</c:v>
                </c:pt>
                <c:pt idx="62">
                  <c:v>0.23600000000000021</c:v>
                </c:pt>
                <c:pt idx="63">
                  <c:v>0.23099999999999987</c:v>
                </c:pt>
                <c:pt idx="64">
                  <c:v>0.23599999999999977</c:v>
                </c:pt>
                <c:pt idx="65">
                  <c:v>0.22999999999999998</c:v>
                </c:pt>
                <c:pt idx="66">
                  <c:v>0.22999999999999998</c:v>
                </c:pt>
                <c:pt idx="67">
                  <c:v>0.23100000000000032</c:v>
                </c:pt>
                <c:pt idx="68">
                  <c:v>0.23399999999999999</c:v>
                </c:pt>
                <c:pt idx="69">
                  <c:v>0.23299999999999965</c:v>
                </c:pt>
                <c:pt idx="70">
                  <c:v>0.2370000000000001</c:v>
                </c:pt>
                <c:pt idx="71">
                  <c:v>0.24300000000000033</c:v>
                </c:pt>
                <c:pt idx="72">
                  <c:v>0.25099999999999989</c:v>
                </c:pt>
                <c:pt idx="73">
                  <c:v>0.25199999999999978</c:v>
                </c:pt>
                <c:pt idx="74">
                  <c:v>0.24699999999999989</c:v>
                </c:pt>
                <c:pt idx="75">
                  <c:v>0.246</c:v>
                </c:pt>
                <c:pt idx="76">
                  <c:v>0.2370000000000001</c:v>
                </c:pt>
                <c:pt idx="77">
                  <c:v>0.23499999999999988</c:v>
                </c:pt>
                <c:pt idx="78">
                  <c:v>0.23799999999999999</c:v>
                </c:pt>
                <c:pt idx="79">
                  <c:v>0.23799999999999999</c:v>
                </c:pt>
                <c:pt idx="80">
                  <c:v>0.23600000000000021</c:v>
                </c:pt>
                <c:pt idx="81">
                  <c:v>0.2330000000000001</c:v>
                </c:pt>
                <c:pt idx="82">
                  <c:v>0.23799999999999999</c:v>
                </c:pt>
                <c:pt idx="83">
                  <c:v>0.2330000000000001</c:v>
                </c:pt>
                <c:pt idx="84">
                  <c:v>0.2370000000000001</c:v>
                </c:pt>
                <c:pt idx="85">
                  <c:v>0.24099999999999966</c:v>
                </c:pt>
                <c:pt idx="86">
                  <c:v>0.24000000000000021</c:v>
                </c:pt>
                <c:pt idx="87">
                  <c:v>0.23499999999999988</c:v>
                </c:pt>
                <c:pt idx="88">
                  <c:v>0.22900000000000009</c:v>
                </c:pt>
                <c:pt idx="89">
                  <c:v>0.23100000000000032</c:v>
                </c:pt>
                <c:pt idx="90">
                  <c:v>0.23799999999999999</c:v>
                </c:pt>
                <c:pt idx="91">
                  <c:v>0.23399999999999999</c:v>
                </c:pt>
                <c:pt idx="92">
                  <c:v>0.23399999999999999</c:v>
                </c:pt>
                <c:pt idx="93">
                  <c:v>0.2370000000000001</c:v>
                </c:pt>
                <c:pt idx="94">
                  <c:v>0.24099999999999966</c:v>
                </c:pt>
                <c:pt idx="95">
                  <c:v>0.24500000000000011</c:v>
                </c:pt>
                <c:pt idx="96">
                  <c:v>0.23699999999999966</c:v>
                </c:pt>
                <c:pt idx="97">
                  <c:v>0.23799999999999999</c:v>
                </c:pt>
                <c:pt idx="98">
                  <c:v>0.24800000000000022</c:v>
                </c:pt>
                <c:pt idx="99">
                  <c:v>0.25200000000000022</c:v>
                </c:pt>
                <c:pt idx="100">
                  <c:v>0.24899999999999967</c:v>
                </c:pt>
                <c:pt idx="101">
                  <c:v>0.24699999999999989</c:v>
                </c:pt>
                <c:pt idx="102">
                  <c:v>0.24899999999999967</c:v>
                </c:pt>
                <c:pt idx="103">
                  <c:v>0.24399999999999977</c:v>
                </c:pt>
                <c:pt idx="104">
                  <c:v>0.24400000000000022</c:v>
                </c:pt>
                <c:pt idx="105">
                  <c:v>0.2410000000000001</c:v>
                </c:pt>
                <c:pt idx="106">
                  <c:v>0.24299999999999988</c:v>
                </c:pt>
                <c:pt idx="107">
                  <c:v>0.24300000000000033</c:v>
                </c:pt>
                <c:pt idx="108">
                  <c:v>0.24400000000000022</c:v>
                </c:pt>
                <c:pt idx="109">
                  <c:v>0.23899999999999988</c:v>
                </c:pt>
                <c:pt idx="110">
                  <c:v>0.24199999999999999</c:v>
                </c:pt>
                <c:pt idx="111">
                  <c:v>0.23899999999999988</c:v>
                </c:pt>
                <c:pt idx="112">
                  <c:v>0.2370000000000001</c:v>
                </c:pt>
                <c:pt idx="113">
                  <c:v>0.23799999999999999</c:v>
                </c:pt>
                <c:pt idx="114">
                  <c:v>0.24199999999999999</c:v>
                </c:pt>
                <c:pt idx="115">
                  <c:v>0.24400000000000022</c:v>
                </c:pt>
                <c:pt idx="116">
                  <c:v>0.23999999999999977</c:v>
                </c:pt>
                <c:pt idx="117">
                  <c:v>0.23699999999999966</c:v>
                </c:pt>
                <c:pt idx="118">
                  <c:v>0.23600000000000021</c:v>
                </c:pt>
                <c:pt idx="119">
                  <c:v>0.23600000000000021</c:v>
                </c:pt>
                <c:pt idx="120">
                  <c:v>0.23799999999999999</c:v>
                </c:pt>
                <c:pt idx="121">
                  <c:v>0.23500000000000032</c:v>
                </c:pt>
                <c:pt idx="122">
                  <c:v>0.24100000000000055</c:v>
                </c:pt>
                <c:pt idx="123">
                  <c:v>0.24399999999999977</c:v>
                </c:pt>
                <c:pt idx="124">
                  <c:v>0.25099999999999945</c:v>
                </c:pt>
                <c:pt idx="125">
                  <c:v>0.24700000000000033</c:v>
                </c:pt>
                <c:pt idx="126">
                  <c:v>0.23899999999999944</c:v>
                </c:pt>
                <c:pt idx="127">
                  <c:v>0.24500000000000011</c:v>
                </c:pt>
                <c:pt idx="128">
                  <c:v>0.25199999999999978</c:v>
                </c:pt>
                <c:pt idx="129">
                  <c:v>0.25900000000000034</c:v>
                </c:pt>
                <c:pt idx="130">
                  <c:v>0.25</c:v>
                </c:pt>
                <c:pt idx="131">
                  <c:v>0.24799999999999978</c:v>
                </c:pt>
                <c:pt idx="132">
                  <c:v>0.25</c:v>
                </c:pt>
                <c:pt idx="133">
                  <c:v>0.25200000000000022</c:v>
                </c:pt>
                <c:pt idx="134">
                  <c:v>0.25200000000000022</c:v>
                </c:pt>
                <c:pt idx="135">
                  <c:v>0.25300000000000011</c:v>
                </c:pt>
                <c:pt idx="136">
                  <c:v>0.26100000000000012</c:v>
                </c:pt>
                <c:pt idx="137">
                  <c:v>0.25800000000000001</c:v>
                </c:pt>
                <c:pt idx="138">
                  <c:v>0.24700000000000033</c:v>
                </c:pt>
                <c:pt idx="139">
                  <c:v>0.24000000000000021</c:v>
                </c:pt>
                <c:pt idx="140">
                  <c:v>0.24299999999999988</c:v>
                </c:pt>
                <c:pt idx="141">
                  <c:v>0.25200000000000022</c:v>
                </c:pt>
                <c:pt idx="142">
                  <c:v>0.26100000000000012</c:v>
                </c:pt>
                <c:pt idx="143">
                  <c:v>0.26500000000000012</c:v>
                </c:pt>
                <c:pt idx="144">
                  <c:v>0.26200000000000001</c:v>
                </c:pt>
                <c:pt idx="145">
                  <c:v>0.254</c:v>
                </c:pt>
                <c:pt idx="146">
                  <c:v>0.2589999999999999</c:v>
                </c:pt>
                <c:pt idx="147">
                  <c:v>0.26100000000000012</c:v>
                </c:pt>
                <c:pt idx="148">
                  <c:v>0.2589999999999999</c:v>
                </c:pt>
                <c:pt idx="149">
                  <c:v>0.26100000000000012</c:v>
                </c:pt>
                <c:pt idx="150">
                  <c:v>0.26600000000000001</c:v>
                </c:pt>
                <c:pt idx="151">
                  <c:v>0.27400000000000002</c:v>
                </c:pt>
                <c:pt idx="152">
                  <c:v>0.27</c:v>
                </c:pt>
                <c:pt idx="153">
                  <c:v>0.26799999999999979</c:v>
                </c:pt>
                <c:pt idx="154">
                  <c:v>0.27499999999999991</c:v>
                </c:pt>
                <c:pt idx="155">
                  <c:v>0.26600000000000001</c:v>
                </c:pt>
                <c:pt idx="156">
                  <c:v>0.26800000000000024</c:v>
                </c:pt>
                <c:pt idx="157">
                  <c:v>0.2669999999999999</c:v>
                </c:pt>
                <c:pt idx="158">
                  <c:v>0.26900000000000013</c:v>
                </c:pt>
                <c:pt idx="159">
                  <c:v>0.27500000000000036</c:v>
                </c:pt>
                <c:pt idx="160">
                  <c:v>0.27700000000000014</c:v>
                </c:pt>
                <c:pt idx="161">
                  <c:v>0.27399999999999958</c:v>
                </c:pt>
                <c:pt idx="162">
                  <c:v>0.27499999999999991</c:v>
                </c:pt>
                <c:pt idx="163">
                  <c:v>0.27400000000000002</c:v>
                </c:pt>
                <c:pt idx="164">
                  <c:v>0.26200000000000001</c:v>
                </c:pt>
                <c:pt idx="165">
                  <c:v>0.25</c:v>
                </c:pt>
                <c:pt idx="166">
                  <c:v>0.24799999999999978</c:v>
                </c:pt>
                <c:pt idx="167">
                  <c:v>0.25</c:v>
                </c:pt>
                <c:pt idx="168">
                  <c:v>0.25</c:v>
                </c:pt>
                <c:pt idx="169">
                  <c:v>0.25199999999999978</c:v>
                </c:pt>
                <c:pt idx="170">
                  <c:v>0.26199999999999957</c:v>
                </c:pt>
                <c:pt idx="171">
                  <c:v>0.26099999999999968</c:v>
                </c:pt>
                <c:pt idx="172">
                  <c:v>0.26600000000000001</c:v>
                </c:pt>
                <c:pt idx="173">
                  <c:v>0.26700000000000035</c:v>
                </c:pt>
                <c:pt idx="174">
                  <c:v>0.26400000000000023</c:v>
                </c:pt>
                <c:pt idx="175">
                  <c:v>0.26599999999999957</c:v>
                </c:pt>
                <c:pt idx="176">
                  <c:v>0.26000000000000023</c:v>
                </c:pt>
                <c:pt idx="177">
                  <c:v>0.2589999999999999</c:v>
                </c:pt>
                <c:pt idx="178">
                  <c:v>0.25800000000000001</c:v>
                </c:pt>
                <c:pt idx="179">
                  <c:v>0.25700000000000012</c:v>
                </c:pt>
                <c:pt idx="180">
                  <c:v>0.24699999999999989</c:v>
                </c:pt>
                <c:pt idx="181">
                  <c:v>0.25600000000000023</c:v>
                </c:pt>
                <c:pt idx="182">
                  <c:v>0.26200000000000001</c:v>
                </c:pt>
                <c:pt idx="183">
                  <c:v>0.2629999999999999</c:v>
                </c:pt>
                <c:pt idx="184">
                  <c:v>0.2629999999999999</c:v>
                </c:pt>
                <c:pt idx="185">
                  <c:v>0.27099999999999991</c:v>
                </c:pt>
                <c:pt idx="186">
                  <c:v>0.27099999999999991</c:v>
                </c:pt>
                <c:pt idx="187">
                  <c:v>0.26200000000000001</c:v>
                </c:pt>
                <c:pt idx="188">
                  <c:v>0.26399999999999979</c:v>
                </c:pt>
                <c:pt idx="189">
                  <c:v>0.27</c:v>
                </c:pt>
                <c:pt idx="190">
                  <c:v>0.27500000000000036</c:v>
                </c:pt>
                <c:pt idx="191">
                  <c:v>0.26799999999999979</c:v>
                </c:pt>
                <c:pt idx="192">
                  <c:v>0.2719999999999998</c:v>
                </c:pt>
                <c:pt idx="193">
                  <c:v>0.2759999999999998</c:v>
                </c:pt>
                <c:pt idx="194">
                  <c:v>0.28400000000000025</c:v>
                </c:pt>
                <c:pt idx="195">
                  <c:v>0.28299999999999992</c:v>
                </c:pt>
                <c:pt idx="196">
                  <c:v>0.28299999999999992</c:v>
                </c:pt>
                <c:pt idx="197">
                  <c:v>0.29400000000000048</c:v>
                </c:pt>
                <c:pt idx="198">
                  <c:v>0.30500000000000016</c:v>
                </c:pt>
                <c:pt idx="199">
                  <c:v>0.31000000000000005</c:v>
                </c:pt>
                <c:pt idx="200">
                  <c:v>0.31599999999999984</c:v>
                </c:pt>
                <c:pt idx="201">
                  <c:v>0.31200000000000028</c:v>
                </c:pt>
                <c:pt idx="202">
                  <c:v>0.31100000000000039</c:v>
                </c:pt>
                <c:pt idx="203">
                  <c:v>0.30900000000000016</c:v>
                </c:pt>
                <c:pt idx="204">
                  <c:v>0.31299999999999972</c:v>
                </c:pt>
                <c:pt idx="205">
                  <c:v>0.31499999999999995</c:v>
                </c:pt>
                <c:pt idx="206">
                  <c:v>0.31700000000000017</c:v>
                </c:pt>
                <c:pt idx="207">
                  <c:v>0.31899999999999995</c:v>
                </c:pt>
                <c:pt idx="208">
                  <c:v>0.31899999999999995</c:v>
                </c:pt>
                <c:pt idx="209">
                  <c:v>0.33199999999999985</c:v>
                </c:pt>
                <c:pt idx="210">
                  <c:v>0.33400000000000007</c:v>
                </c:pt>
                <c:pt idx="211">
                  <c:v>0.32100000000000017</c:v>
                </c:pt>
                <c:pt idx="212">
                  <c:v>0.31599999999999984</c:v>
                </c:pt>
                <c:pt idx="213">
                  <c:v>0.30300000000000038</c:v>
                </c:pt>
                <c:pt idx="214">
                  <c:v>0.29899999999999993</c:v>
                </c:pt>
                <c:pt idx="215">
                  <c:v>0.29499999999999993</c:v>
                </c:pt>
                <c:pt idx="216">
                  <c:v>0.29999999999999982</c:v>
                </c:pt>
                <c:pt idx="217">
                  <c:v>0.30200000000000005</c:v>
                </c:pt>
                <c:pt idx="218">
                  <c:v>0.30799999999999983</c:v>
                </c:pt>
                <c:pt idx="219">
                  <c:v>0.30599999999999961</c:v>
                </c:pt>
                <c:pt idx="220">
                  <c:v>0.30099999999999971</c:v>
                </c:pt>
                <c:pt idx="221">
                  <c:v>0.30799999999999983</c:v>
                </c:pt>
                <c:pt idx="222">
                  <c:v>0.30799999999999983</c:v>
                </c:pt>
                <c:pt idx="223">
                  <c:v>0.31000000000000005</c:v>
                </c:pt>
                <c:pt idx="224">
                  <c:v>0.29999999999999982</c:v>
                </c:pt>
                <c:pt idx="225">
                  <c:v>0.30200000000000005</c:v>
                </c:pt>
                <c:pt idx="226">
                  <c:v>0.29200000000000026</c:v>
                </c:pt>
                <c:pt idx="227">
                  <c:v>0.2799999999999998</c:v>
                </c:pt>
                <c:pt idx="228">
                  <c:v>0.25300000000000011</c:v>
                </c:pt>
                <c:pt idx="229">
                  <c:v>0.2669999999999999</c:v>
                </c:pt>
                <c:pt idx="230">
                  <c:v>0.2669999999999999</c:v>
                </c:pt>
                <c:pt idx="231">
                  <c:v>0.27400000000000002</c:v>
                </c:pt>
                <c:pt idx="232">
                  <c:v>0.28600000000000003</c:v>
                </c:pt>
                <c:pt idx="233">
                  <c:v>0.30299999999999994</c:v>
                </c:pt>
                <c:pt idx="234">
                  <c:v>0.31700000000000017</c:v>
                </c:pt>
                <c:pt idx="235">
                  <c:v>0.31800000000000006</c:v>
                </c:pt>
                <c:pt idx="236">
                  <c:v>0.30400000000000027</c:v>
                </c:pt>
                <c:pt idx="237">
                  <c:v>0.31099999999999994</c:v>
                </c:pt>
                <c:pt idx="238">
                  <c:v>0.31700000000000017</c:v>
                </c:pt>
                <c:pt idx="239">
                  <c:v>0.31499999999999995</c:v>
                </c:pt>
                <c:pt idx="240">
                  <c:v>0.32500000000000018</c:v>
                </c:pt>
                <c:pt idx="241">
                  <c:v>0.32400000000000029</c:v>
                </c:pt>
                <c:pt idx="242">
                  <c:v>0.32299999999999995</c:v>
                </c:pt>
                <c:pt idx="243">
                  <c:v>0.31400000000000006</c:v>
                </c:pt>
                <c:pt idx="244">
                  <c:v>0.31899999999999995</c:v>
                </c:pt>
                <c:pt idx="245">
                  <c:v>0.32299999999999995</c:v>
                </c:pt>
                <c:pt idx="246">
                  <c:v>0.32399999999999984</c:v>
                </c:pt>
                <c:pt idx="247">
                  <c:v>0.33300000000000018</c:v>
                </c:pt>
                <c:pt idx="248">
                  <c:v>0.33400000000000007</c:v>
                </c:pt>
                <c:pt idx="249">
                  <c:v>0.33999999999999986</c:v>
                </c:pt>
                <c:pt idx="250">
                  <c:v>0.3360000000000003</c:v>
                </c:pt>
                <c:pt idx="251">
                  <c:v>0.35000000000000009</c:v>
                </c:pt>
                <c:pt idx="252">
                  <c:v>0.34899999999999975</c:v>
                </c:pt>
                <c:pt idx="253">
                  <c:v>0.3580000000000001</c:v>
                </c:pt>
                <c:pt idx="254">
                  <c:v>0.35400000000000009</c:v>
                </c:pt>
                <c:pt idx="255">
                  <c:v>0.35599999999999987</c:v>
                </c:pt>
                <c:pt idx="256">
                  <c:v>0.36299999999999999</c:v>
                </c:pt>
                <c:pt idx="257">
                  <c:v>0.36299999999999999</c:v>
                </c:pt>
                <c:pt idx="258">
                  <c:v>0.3660000000000001</c:v>
                </c:pt>
                <c:pt idx="259">
                  <c:v>0.36100000000000021</c:v>
                </c:pt>
                <c:pt idx="260">
                  <c:v>0.35099999999999998</c:v>
                </c:pt>
                <c:pt idx="261">
                  <c:v>0.3580000000000001</c:v>
                </c:pt>
                <c:pt idx="262">
                  <c:v>0.35599999999999987</c:v>
                </c:pt>
                <c:pt idx="263">
                  <c:v>0.36100000000000021</c:v>
                </c:pt>
                <c:pt idx="264">
                  <c:v>0.35899999999999999</c:v>
                </c:pt>
                <c:pt idx="265">
                  <c:v>0.35899999999999999</c:v>
                </c:pt>
                <c:pt idx="266">
                  <c:v>0.35499999999999998</c:v>
                </c:pt>
                <c:pt idx="267">
                  <c:v>0.34800000000000031</c:v>
                </c:pt>
                <c:pt idx="268">
                  <c:v>0.33899999999999997</c:v>
                </c:pt>
                <c:pt idx="269">
                  <c:v>0.33299999999999974</c:v>
                </c:pt>
                <c:pt idx="270">
                  <c:v>0.32299999999999995</c:v>
                </c:pt>
                <c:pt idx="271">
                  <c:v>0.32399999999999984</c:v>
                </c:pt>
                <c:pt idx="272">
                  <c:v>0.32699999999999996</c:v>
                </c:pt>
                <c:pt idx="273">
                  <c:v>0.32499999999999973</c:v>
                </c:pt>
                <c:pt idx="274">
                  <c:v>0.33199999999999985</c:v>
                </c:pt>
                <c:pt idx="275">
                  <c:v>0.32500000000000018</c:v>
                </c:pt>
                <c:pt idx="276">
                  <c:v>0.33100000000000041</c:v>
                </c:pt>
                <c:pt idx="277">
                  <c:v>0.33399999999999963</c:v>
                </c:pt>
                <c:pt idx="278">
                  <c:v>0.34299999999999997</c:v>
                </c:pt>
                <c:pt idx="279">
                  <c:v>0.34699999999999953</c:v>
                </c:pt>
                <c:pt idx="280">
                  <c:v>0.34600000000000009</c:v>
                </c:pt>
                <c:pt idx="281">
                  <c:v>0.3400000000000003</c:v>
                </c:pt>
                <c:pt idx="282">
                  <c:v>0.33400000000000007</c:v>
                </c:pt>
                <c:pt idx="283">
                  <c:v>0.33400000000000007</c:v>
                </c:pt>
                <c:pt idx="284">
                  <c:v>0.33000000000000007</c:v>
                </c:pt>
                <c:pt idx="285">
                  <c:v>0.33199999999999941</c:v>
                </c:pt>
                <c:pt idx="286">
                  <c:v>0.33199999999999941</c:v>
                </c:pt>
                <c:pt idx="287">
                  <c:v>0.33699999999999974</c:v>
                </c:pt>
                <c:pt idx="288">
                  <c:v>0.34300000000000042</c:v>
                </c:pt>
                <c:pt idx="289">
                  <c:v>0.3450000000000002</c:v>
                </c:pt>
                <c:pt idx="290">
                  <c:v>0.34899999999999975</c:v>
                </c:pt>
                <c:pt idx="291">
                  <c:v>0.35099999999999998</c:v>
                </c:pt>
                <c:pt idx="292">
                  <c:v>0.3450000000000002</c:v>
                </c:pt>
                <c:pt idx="293">
                  <c:v>0.34399999999999986</c:v>
                </c:pt>
                <c:pt idx="294">
                  <c:v>0.34599999999999964</c:v>
                </c:pt>
                <c:pt idx="295">
                  <c:v>0.34399999999999986</c:v>
                </c:pt>
                <c:pt idx="296">
                  <c:v>0.34400000000000031</c:v>
                </c:pt>
                <c:pt idx="297">
                  <c:v>0.34600000000000009</c:v>
                </c:pt>
                <c:pt idx="298">
                  <c:v>0.35399999999999965</c:v>
                </c:pt>
                <c:pt idx="299">
                  <c:v>0.35599999999999987</c:v>
                </c:pt>
                <c:pt idx="300">
                  <c:v>0.36799999999999988</c:v>
                </c:pt>
                <c:pt idx="301">
                  <c:v>0.37400000000000011</c:v>
                </c:pt>
                <c:pt idx="302">
                  <c:v>0.379</c:v>
                </c:pt>
                <c:pt idx="303">
                  <c:v>0.36899999999999977</c:v>
                </c:pt>
                <c:pt idx="304">
                  <c:v>0.37600000000000033</c:v>
                </c:pt>
                <c:pt idx="305">
                  <c:v>0.37400000000000011</c:v>
                </c:pt>
                <c:pt idx="306">
                  <c:v>0.37599999999999989</c:v>
                </c:pt>
                <c:pt idx="307">
                  <c:v>0.3839999999999999</c:v>
                </c:pt>
                <c:pt idx="308">
                  <c:v>0.38600000000000012</c:v>
                </c:pt>
                <c:pt idx="309">
                  <c:v>0.39300000000000024</c:v>
                </c:pt>
                <c:pt idx="310">
                  <c:v>0.39700000000000024</c:v>
                </c:pt>
                <c:pt idx="311">
                  <c:v>0.41000000000000014</c:v>
                </c:pt>
                <c:pt idx="312">
                  <c:v>0.41400000000000015</c:v>
                </c:pt>
                <c:pt idx="313">
                  <c:v>0.41699999999999982</c:v>
                </c:pt>
                <c:pt idx="314">
                  <c:v>0.41400000000000015</c:v>
                </c:pt>
                <c:pt idx="315">
                  <c:v>0.40700000000000003</c:v>
                </c:pt>
                <c:pt idx="316">
                  <c:v>0.39999999999999991</c:v>
                </c:pt>
                <c:pt idx="317">
                  <c:v>0.38600000000000012</c:v>
                </c:pt>
                <c:pt idx="318">
                  <c:v>0.37700000000000022</c:v>
                </c:pt>
                <c:pt idx="319">
                  <c:v>0.37699999999999978</c:v>
                </c:pt>
                <c:pt idx="320">
                  <c:v>0.37200000000000033</c:v>
                </c:pt>
                <c:pt idx="321">
                  <c:v>0.36400000000000032</c:v>
                </c:pt>
                <c:pt idx="322">
                  <c:v>0.3660000000000001</c:v>
                </c:pt>
                <c:pt idx="323">
                  <c:v>0.371</c:v>
                </c:pt>
                <c:pt idx="324">
                  <c:v>0.36000000000000032</c:v>
                </c:pt>
                <c:pt idx="325">
                  <c:v>0.3660000000000001</c:v>
                </c:pt>
                <c:pt idx="326">
                  <c:v>0.37600000000000033</c:v>
                </c:pt>
                <c:pt idx="327">
                  <c:v>0.37800000000000011</c:v>
                </c:pt>
                <c:pt idx="328">
                  <c:v>0.37200000000000033</c:v>
                </c:pt>
                <c:pt idx="329">
                  <c:v>0.37700000000000022</c:v>
                </c:pt>
                <c:pt idx="330">
                  <c:v>0.37199999999999989</c:v>
                </c:pt>
                <c:pt idx="331">
                  <c:v>0.37200000000000033</c:v>
                </c:pt>
                <c:pt idx="332">
                  <c:v>0.36499999999999977</c:v>
                </c:pt>
                <c:pt idx="333">
                  <c:v>0.3660000000000001</c:v>
                </c:pt>
                <c:pt idx="334">
                  <c:v>0.36299999999999999</c:v>
                </c:pt>
                <c:pt idx="335">
                  <c:v>0.37000000000000011</c:v>
                </c:pt>
                <c:pt idx="336">
                  <c:v>0.36699999999999999</c:v>
                </c:pt>
                <c:pt idx="337">
                  <c:v>0.37000000000000011</c:v>
                </c:pt>
                <c:pt idx="338">
                  <c:v>0.37399999999999967</c:v>
                </c:pt>
                <c:pt idx="339">
                  <c:v>0.375</c:v>
                </c:pt>
                <c:pt idx="340">
                  <c:v>0.379</c:v>
                </c:pt>
                <c:pt idx="341">
                  <c:v>0.37699999999999978</c:v>
                </c:pt>
                <c:pt idx="342">
                  <c:v>0.3839999999999999</c:v>
                </c:pt>
                <c:pt idx="343">
                  <c:v>0.39400000000000013</c:v>
                </c:pt>
                <c:pt idx="344">
                  <c:v>0.4009999999999998</c:v>
                </c:pt>
                <c:pt idx="345">
                  <c:v>0.37999999999999989</c:v>
                </c:pt>
                <c:pt idx="346">
                  <c:v>0.39000000000000012</c:v>
                </c:pt>
                <c:pt idx="347">
                  <c:v>0.40600000000000014</c:v>
                </c:pt>
                <c:pt idx="348">
                  <c:v>0.41600000000000037</c:v>
                </c:pt>
                <c:pt idx="349">
                  <c:v>0.42600000000000016</c:v>
                </c:pt>
                <c:pt idx="350">
                  <c:v>0.43199999999999994</c:v>
                </c:pt>
                <c:pt idx="351">
                  <c:v>0.42600000000000016</c:v>
                </c:pt>
                <c:pt idx="352">
                  <c:v>0.43000000000000016</c:v>
                </c:pt>
                <c:pt idx="353">
                  <c:v>0.41999999999999993</c:v>
                </c:pt>
                <c:pt idx="354">
                  <c:v>0.42799999999999994</c:v>
                </c:pt>
                <c:pt idx="355">
                  <c:v>0.43499999999999961</c:v>
                </c:pt>
                <c:pt idx="356">
                  <c:v>0.43599999999999994</c:v>
                </c:pt>
                <c:pt idx="357">
                  <c:v>0.44300000000000006</c:v>
                </c:pt>
                <c:pt idx="358">
                  <c:v>0.45500000000000007</c:v>
                </c:pt>
                <c:pt idx="359">
                  <c:v>0.46200000000000019</c:v>
                </c:pt>
                <c:pt idx="360">
                  <c:v>0.46999999999999975</c:v>
                </c:pt>
                <c:pt idx="361">
                  <c:v>0.4700000000000002</c:v>
                </c:pt>
                <c:pt idx="362">
                  <c:v>0.47199999999999998</c:v>
                </c:pt>
                <c:pt idx="363">
                  <c:v>0.47300000000000031</c:v>
                </c:pt>
                <c:pt idx="364">
                  <c:v>0.47199999999999998</c:v>
                </c:pt>
                <c:pt idx="365">
                  <c:v>0.4700000000000002</c:v>
                </c:pt>
                <c:pt idx="366">
                  <c:v>0.47299999999999986</c:v>
                </c:pt>
                <c:pt idx="367">
                  <c:v>0.4760000000000002</c:v>
                </c:pt>
                <c:pt idx="368">
                  <c:v>0.48100000000000009</c:v>
                </c:pt>
                <c:pt idx="369">
                  <c:v>0.48499999999999988</c:v>
                </c:pt>
                <c:pt idx="370">
                  <c:v>0.48799999999999999</c:v>
                </c:pt>
                <c:pt idx="371">
                  <c:v>0.4850000000000001</c:v>
                </c:pt>
                <c:pt idx="372">
                  <c:v>0.47500000000000009</c:v>
                </c:pt>
                <c:pt idx="373">
                  <c:v>0.4610000000000003</c:v>
                </c:pt>
                <c:pt idx="374">
                  <c:v>0.45300000000000007</c:v>
                </c:pt>
                <c:pt idx="375">
                  <c:v>0.44799999999999973</c:v>
                </c:pt>
                <c:pt idx="376">
                  <c:v>0.45399999999999974</c:v>
                </c:pt>
                <c:pt idx="377">
                  <c:v>0.45500000000000007</c:v>
                </c:pt>
                <c:pt idx="378">
                  <c:v>0.44899999999999984</c:v>
                </c:pt>
                <c:pt idx="379">
                  <c:v>0.45800000000000018</c:v>
                </c:pt>
                <c:pt idx="380">
                  <c:v>0.45299999999999985</c:v>
                </c:pt>
                <c:pt idx="381">
                  <c:v>0.45400000000000018</c:v>
                </c:pt>
                <c:pt idx="382">
                  <c:v>0.45299999999999985</c:v>
                </c:pt>
                <c:pt idx="383">
                  <c:v>0.46299999999999963</c:v>
                </c:pt>
                <c:pt idx="384">
                  <c:v>0.45800000000000018</c:v>
                </c:pt>
                <c:pt idx="385">
                  <c:v>0.45599999999999996</c:v>
                </c:pt>
                <c:pt idx="386">
                  <c:v>0.44899999999999984</c:v>
                </c:pt>
                <c:pt idx="387">
                  <c:v>0.44900000000000029</c:v>
                </c:pt>
                <c:pt idx="388">
                  <c:v>0.44300000000000006</c:v>
                </c:pt>
                <c:pt idx="389">
                  <c:v>0.45199999999999996</c:v>
                </c:pt>
                <c:pt idx="390">
                  <c:v>0.45599999999999996</c:v>
                </c:pt>
                <c:pt idx="391">
                  <c:v>0.46399999999999997</c:v>
                </c:pt>
                <c:pt idx="392">
                  <c:v>0.46799999999999997</c:v>
                </c:pt>
                <c:pt idx="393">
                  <c:v>0.47100000000000009</c:v>
                </c:pt>
                <c:pt idx="394">
                  <c:v>0.4740000000000002</c:v>
                </c:pt>
                <c:pt idx="395">
                  <c:v>0.47599999999999998</c:v>
                </c:pt>
                <c:pt idx="396">
                  <c:v>0.47100000000000009</c:v>
                </c:pt>
                <c:pt idx="397">
                  <c:v>0.47299999999999986</c:v>
                </c:pt>
                <c:pt idx="398">
                  <c:v>0.47100000000000009</c:v>
                </c:pt>
                <c:pt idx="399">
                  <c:v>0.46399999999999997</c:v>
                </c:pt>
                <c:pt idx="400">
                  <c:v>0.47500000000000009</c:v>
                </c:pt>
                <c:pt idx="401">
                  <c:v>0.4780000000000002</c:v>
                </c:pt>
                <c:pt idx="402">
                  <c:v>0.48099999999999987</c:v>
                </c:pt>
                <c:pt idx="403">
                  <c:v>0.48399999999999999</c:v>
                </c:pt>
                <c:pt idx="404">
                  <c:v>0.48099999999999987</c:v>
                </c:pt>
                <c:pt idx="405">
                  <c:v>0.48200000000000021</c:v>
                </c:pt>
                <c:pt idx="406">
                  <c:v>0.48499999999999988</c:v>
                </c:pt>
                <c:pt idx="407">
                  <c:v>0.4870000000000001</c:v>
                </c:pt>
                <c:pt idx="408">
                  <c:v>0.48899999999999988</c:v>
                </c:pt>
                <c:pt idx="409">
                  <c:v>0.49900000000000011</c:v>
                </c:pt>
                <c:pt idx="410">
                  <c:v>0.50699999999999967</c:v>
                </c:pt>
                <c:pt idx="411">
                  <c:v>0.50500000000000034</c:v>
                </c:pt>
                <c:pt idx="412">
                  <c:v>0.50300000000000011</c:v>
                </c:pt>
                <c:pt idx="413">
                  <c:v>0.50199999999999978</c:v>
                </c:pt>
                <c:pt idx="414">
                  <c:v>0.496</c:v>
                </c:pt>
                <c:pt idx="415">
                  <c:v>0.49700000000000033</c:v>
                </c:pt>
                <c:pt idx="416">
                  <c:v>0.48999999999999977</c:v>
                </c:pt>
                <c:pt idx="417">
                  <c:v>0.48800000000000043</c:v>
                </c:pt>
                <c:pt idx="418">
                  <c:v>0.48600000000000021</c:v>
                </c:pt>
                <c:pt idx="419">
                  <c:v>0.4870000000000001</c:v>
                </c:pt>
                <c:pt idx="420">
                  <c:v>0.4910000000000001</c:v>
                </c:pt>
                <c:pt idx="421">
                  <c:v>0.49900000000000011</c:v>
                </c:pt>
                <c:pt idx="422">
                  <c:v>0.49699999999999989</c:v>
                </c:pt>
                <c:pt idx="423">
                  <c:v>0.49400000000000022</c:v>
                </c:pt>
              </c:numCache>
            </c:numRef>
          </c:val>
          <c:smooth val="0"/>
        </c:ser>
        <c:dLbls>
          <c:showLegendKey val="0"/>
          <c:showVal val="0"/>
          <c:showCatName val="0"/>
          <c:showSerName val="0"/>
          <c:showPercent val="0"/>
          <c:showBubbleSize val="0"/>
        </c:dLbls>
        <c:marker val="1"/>
        <c:smooth val="0"/>
        <c:axId val="69309184"/>
        <c:axId val="69311104"/>
      </c:lineChart>
      <c:dateAx>
        <c:axId val="69309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409]dd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1104"/>
        <c:crosses val="autoZero"/>
        <c:auto val="1"/>
        <c:lblOffset val="100"/>
        <c:baseTimeUnit val="days"/>
      </c:dateAx>
      <c:valAx>
        <c:axId val="6931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Price Difference ($) </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9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EIA_AGG1!$C$11450:$C$11873</c:f>
              <c:numCache>
                <c:formatCode>General</c:formatCode>
                <c:ptCount val="424"/>
                <c:pt idx="0">
                  <c:v>1.6839999999999999</c:v>
                </c:pt>
                <c:pt idx="1">
                  <c:v>1.784</c:v>
                </c:pt>
                <c:pt idx="2">
                  <c:v>1.847</c:v>
                </c:pt>
                <c:pt idx="3">
                  <c:v>1.8380000000000001</c:v>
                </c:pt>
                <c:pt idx="4">
                  <c:v>1.8919999999999999</c:v>
                </c:pt>
                <c:pt idx="5">
                  <c:v>1.9259999999999999</c:v>
                </c:pt>
                <c:pt idx="6">
                  <c:v>1.964</c:v>
                </c:pt>
                <c:pt idx="7">
                  <c:v>1.909</c:v>
                </c:pt>
                <c:pt idx="8">
                  <c:v>1.9339999999999999</c:v>
                </c:pt>
                <c:pt idx="9">
                  <c:v>1.9410000000000001</c:v>
                </c:pt>
                <c:pt idx="10">
                  <c:v>1.91</c:v>
                </c:pt>
                <c:pt idx="11">
                  <c:v>1.962</c:v>
                </c:pt>
                <c:pt idx="12">
                  <c:v>2.0459999999999998</c:v>
                </c:pt>
                <c:pt idx="13">
                  <c:v>2.0369999999999999</c:v>
                </c:pt>
                <c:pt idx="14">
                  <c:v>2.0510000000000002</c:v>
                </c:pt>
                <c:pt idx="15">
                  <c:v>2.0590000000000002</c:v>
                </c:pt>
                <c:pt idx="16">
                  <c:v>2.0489999999999999</c:v>
                </c:pt>
                <c:pt idx="17">
                  <c:v>2.0779999999999998</c:v>
                </c:pt>
                <c:pt idx="18">
                  <c:v>2.2400000000000002</c:v>
                </c:pt>
                <c:pt idx="19">
                  <c:v>2.3090000000000002</c:v>
                </c:pt>
                <c:pt idx="20">
                  <c:v>2.4350000000000001</c:v>
                </c:pt>
                <c:pt idx="21">
                  <c:v>2.524</c:v>
                </c:pt>
                <c:pt idx="22">
                  <c:v>2.6240000000000001</c:v>
                </c:pt>
                <c:pt idx="23">
                  <c:v>2.6720000000000002</c:v>
                </c:pt>
                <c:pt idx="24">
                  <c:v>2.6909999999999998</c:v>
                </c:pt>
                <c:pt idx="25">
                  <c:v>2.6419999999999999</c:v>
                </c:pt>
                <c:pt idx="26">
                  <c:v>2.6120000000000001</c:v>
                </c:pt>
                <c:pt idx="27">
                  <c:v>2.528</c:v>
                </c:pt>
                <c:pt idx="28">
                  <c:v>2.4630000000000001</c:v>
                </c:pt>
                <c:pt idx="29">
                  <c:v>2.5030000000000001</c:v>
                </c:pt>
                <c:pt idx="30">
                  <c:v>2.5569999999999999</c:v>
                </c:pt>
                <c:pt idx="31">
                  <c:v>2.6469999999999998</c:v>
                </c:pt>
                <c:pt idx="32">
                  <c:v>2.637</c:v>
                </c:pt>
                <c:pt idx="33">
                  <c:v>2.6280000000000001</c:v>
                </c:pt>
                <c:pt idx="34">
                  <c:v>2.613</c:v>
                </c:pt>
                <c:pt idx="35">
                  <c:v>2.5880000000000001</c:v>
                </c:pt>
                <c:pt idx="36">
                  <c:v>2.577</c:v>
                </c:pt>
                <c:pt idx="37">
                  <c:v>2.552</c:v>
                </c:pt>
                <c:pt idx="38">
                  <c:v>2.4990000000000001</c:v>
                </c:pt>
                <c:pt idx="39">
                  <c:v>2.468</c:v>
                </c:pt>
                <c:pt idx="40">
                  <c:v>2.4889999999999999</c:v>
                </c:pt>
                <c:pt idx="41">
                  <c:v>2.5739999999999998</c:v>
                </c:pt>
                <c:pt idx="42">
                  <c:v>2.6739999999999999</c:v>
                </c:pt>
                <c:pt idx="43">
                  <c:v>2.694</c:v>
                </c:pt>
                <c:pt idx="44">
                  <c:v>2.6659999999999999</c:v>
                </c:pt>
                <c:pt idx="45">
                  <c:v>2.629</c:v>
                </c:pt>
                <c:pt idx="46">
                  <c:v>2.6389999999999998</c:v>
                </c:pt>
                <c:pt idx="47">
                  <c:v>2.629</c:v>
                </c:pt>
                <c:pt idx="48">
                  <c:v>2.6339999999999999</c:v>
                </c:pt>
                <c:pt idx="49">
                  <c:v>2.5990000000000002</c:v>
                </c:pt>
                <c:pt idx="50">
                  <c:v>2.589</c:v>
                </c:pt>
                <c:pt idx="51">
                  <c:v>2.6070000000000002</c:v>
                </c:pt>
                <c:pt idx="52">
                  <c:v>2.665</c:v>
                </c:pt>
                <c:pt idx="53">
                  <c:v>2.7509999999999999</c:v>
                </c:pt>
                <c:pt idx="54">
                  <c:v>2.7389999999999999</c:v>
                </c:pt>
                <c:pt idx="55">
                  <c:v>2.7050000000000001</c:v>
                </c:pt>
                <c:pt idx="56">
                  <c:v>2.661</c:v>
                </c:pt>
                <c:pt idx="57">
                  <c:v>2.6520000000000001</c:v>
                </c:pt>
                <c:pt idx="58">
                  <c:v>2.6080000000000001</c:v>
                </c:pt>
                <c:pt idx="59">
                  <c:v>2.6549999999999998</c:v>
                </c:pt>
                <c:pt idx="60">
                  <c:v>2.702</c:v>
                </c:pt>
                <c:pt idx="61">
                  <c:v>2.7509999999999999</c:v>
                </c:pt>
                <c:pt idx="62">
                  <c:v>2.7879999999999998</c:v>
                </c:pt>
                <c:pt idx="63">
                  <c:v>2.819</c:v>
                </c:pt>
                <c:pt idx="64">
                  <c:v>2.798</c:v>
                </c:pt>
                <c:pt idx="65">
                  <c:v>2.8260000000000001</c:v>
                </c:pt>
                <c:pt idx="66">
                  <c:v>2.8580000000000001</c:v>
                </c:pt>
                <c:pt idx="67">
                  <c:v>2.86</c:v>
                </c:pt>
                <c:pt idx="68">
                  <c:v>2.8490000000000002</c:v>
                </c:pt>
                <c:pt idx="69">
                  <c:v>2.8980000000000001</c:v>
                </c:pt>
                <c:pt idx="70">
                  <c:v>2.9049999999999998</c:v>
                </c:pt>
                <c:pt idx="71">
                  <c:v>2.8639999999999999</c:v>
                </c:pt>
                <c:pt idx="72">
                  <c:v>2.786</c:v>
                </c:pt>
                <c:pt idx="73">
                  <c:v>2.7280000000000002</c:v>
                </c:pt>
                <c:pt idx="74">
                  <c:v>2.7250000000000001</c:v>
                </c:pt>
                <c:pt idx="75">
                  <c:v>2.7010000000000001</c:v>
                </c:pt>
                <c:pt idx="76">
                  <c:v>2.7429999999999999</c:v>
                </c:pt>
                <c:pt idx="77">
                  <c:v>2.7570000000000001</c:v>
                </c:pt>
                <c:pt idx="78">
                  <c:v>2.726</c:v>
                </c:pt>
                <c:pt idx="79">
                  <c:v>2.718</c:v>
                </c:pt>
                <c:pt idx="80">
                  <c:v>2.722</c:v>
                </c:pt>
                <c:pt idx="81">
                  <c:v>2.7490000000000001</c:v>
                </c:pt>
                <c:pt idx="82">
                  <c:v>2.7349999999999999</c:v>
                </c:pt>
                <c:pt idx="83">
                  <c:v>2.7829999999999999</c:v>
                </c:pt>
                <c:pt idx="84">
                  <c:v>2.7450000000000001</c:v>
                </c:pt>
                <c:pt idx="85">
                  <c:v>2.7040000000000002</c:v>
                </c:pt>
                <c:pt idx="86">
                  <c:v>2.6819999999999999</c:v>
                </c:pt>
                <c:pt idx="87">
                  <c:v>2.6819999999999999</c:v>
                </c:pt>
                <c:pt idx="88">
                  <c:v>2.7210000000000001</c:v>
                </c:pt>
                <c:pt idx="89">
                  <c:v>2.7229999999999999</c:v>
                </c:pt>
                <c:pt idx="90">
                  <c:v>2.694</c:v>
                </c:pt>
                <c:pt idx="91">
                  <c:v>2.7320000000000002</c:v>
                </c:pt>
                <c:pt idx="92">
                  <c:v>2.819</c:v>
                </c:pt>
                <c:pt idx="93">
                  <c:v>2.8340000000000001</c:v>
                </c:pt>
                <c:pt idx="94">
                  <c:v>2.8170000000000002</c:v>
                </c:pt>
                <c:pt idx="95">
                  <c:v>2.806</c:v>
                </c:pt>
                <c:pt idx="96">
                  <c:v>2.8650000000000002</c:v>
                </c:pt>
                <c:pt idx="97">
                  <c:v>2.8919999999999999</c:v>
                </c:pt>
                <c:pt idx="98">
                  <c:v>2.8759999999999999</c:v>
                </c:pt>
                <c:pt idx="99">
                  <c:v>2.8559999999999999</c:v>
                </c:pt>
                <c:pt idx="100">
                  <c:v>2.9580000000000002</c:v>
                </c:pt>
                <c:pt idx="101">
                  <c:v>2.98</c:v>
                </c:pt>
                <c:pt idx="102">
                  <c:v>2.9820000000000002</c:v>
                </c:pt>
                <c:pt idx="103">
                  <c:v>3.052</c:v>
                </c:pt>
                <c:pt idx="104">
                  <c:v>3.07</c:v>
                </c:pt>
                <c:pt idx="105">
                  <c:v>3.089</c:v>
                </c:pt>
                <c:pt idx="106">
                  <c:v>3.1040000000000001</c:v>
                </c:pt>
                <c:pt idx="107">
                  <c:v>3.11</c:v>
                </c:pt>
                <c:pt idx="108">
                  <c:v>3.101</c:v>
                </c:pt>
                <c:pt idx="109">
                  <c:v>3.1320000000000001</c:v>
                </c:pt>
                <c:pt idx="110">
                  <c:v>3.14</c:v>
                </c:pt>
                <c:pt idx="111">
                  <c:v>3.1890000000000001</c:v>
                </c:pt>
                <c:pt idx="112">
                  <c:v>3.383</c:v>
                </c:pt>
                <c:pt idx="113">
                  <c:v>3.52</c:v>
                </c:pt>
                <c:pt idx="114">
                  <c:v>3.5670000000000002</c:v>
                </c:pt>
                <c:pt idx="115">
                  <c:v>3.5619999999999998</c:v>
                </c:pt>
                <c:pt idx="116">
                  <c:v>3.5960000000000001</c:v>
                </c:pt>
                <c:pt idx="117">
                  <c:v>3.6840000000000002</c:v>
                </c:pt>
                <c:pt idx="118">
                  <c:v>3.7909999999999999</c:v>
                </c:pt>
                <c:pt idx="119">
                  <c:v>3.8439999999999999</c:v>
                </c:pt>
                <c:pt idx="120">
                  <c:v>3.879</c:v>
                </c:pt>
                <c:pt idx="121">
                  <c:v>3.9630000000000001</c:v>
                </c:pt>
                <c:pt idx="122">
                  <c:v>3.9649999999999999</c:v>
                </c:pt>
                <c:pt idx="123">
                  <c:v>3.96</c:v>
                </c:pt>
                <c:pt idx="124">
                  <c:v>3.8490000000000002</c:v>
                </c:pt>
                <c:pt idx="125">
                  <c:v>3.794</c:v>
                </c:pt>
                <c:pt idx="126">
                  <c:v>3.7810000000000001</c:v>
                </c:pt>
                <c:pt idx="127">
                  <c:v>3.7130000000000001</c:v>
                </c:pt>
                <c:pt idx="128">
                  <c:v>3.6520000000000001</c:v>
                </c:pt>
                <c:pt idx="129">
                  <c:v>3.5739999999999998</c:v>
                </c:pt>
                <c:pt idx="130">
                  <c:v>3.5790000000000002</c:v>
                </c:pt>
                <c:pt idx="131">
                  <c:v>3.641</c:v>
                </c:pt>
                <c:pt idx="132">
                  <c:v>3.6819999999999999</c:v>
                </c:pt>
                <c:pt idx="133">
                  <c:v>3.6989999999999998</c:v>
                </c:pt>
                <c:pt idx="134">
                  <c:v>3.7109999999999999</c:v>
                </c:pt>
                <c:pt idx="135">
                  <c:v>3.6739999999999999</c:v>
                </c:pt>
                <c:pt idx="136">
                  <c:v>3.6040000000000001</c:v>
                </c:pt>
                <c:pt idx="137">
                  <c:v>3.581</c:v>
                </c:pt>
                <c:pt idx="138">
                  <c:v>3.6269999999999998</c:v>
                </c:pt>
                <c:pt idx="139">
                  <c:v>3.6739999999999999</c:v>
                </c:pt>
                <c:pt idx="140">
                  <c:v>3.661</c:v>
                </c:pt>
                <c:pt idx="141">
                  <c:v>3.601</c:v>
                </c:pt>
                <c:pt idx="142">
                  <c:v>3.5089999999999999</c:v>
                </c:pt>
                <c:pt idx="143">
                  <c:v>3.4329999999999998</c:v>
                </c:pt>
                <c:pt idx="144">
                  <c:v>3.4169999999999998</c:v>
                </c:pt>
                <c:pt idx="145">
                  <c:v>3.476</c:v>
                </c:pt>
                <c:pt idx="146">
                  <c:v>3.4620000000000002</c:v>
                </c:pt>
                <c:pt idx="147">
                  <c:v>3.452</c:v>
                </c:pt>
                <c:pt idx="148">
                  <c:v>3.4239999999999999</c:v>
                </c:pt>
                <c:pt idx="149">
                  <c:v>3.4359999999999999</c:v>
                </c:pt>
                <c:pt idx="150">
                  <c:v>3.3679999999999999</c:v>
                </c:pt>
                <c:pt idx="151">
                  <c:v>3.3069999999999999</c:v>
                </c:pt>
                <c:pt idx="152">
                  <c:v>3.29</c:v>
                </c:pt>
                <c:pt idx="153">
                  <c:v>3.286</c:v>
                </c:pt>
                <c:pt idx="154">
                  <c:v>3.2290000000000001</c:v>
                </c:pt>
                <c:pt idx="155">
                  <c:v>3.258</c:v>
                </c:pt>
                <c:pt idx="156">
                  <c:v>3.2989999999999999</c:v>
                </c:pt>
                <c:pt idx="157">
                  <c:v>3.3820000000000001</c:v>
                </c:pt>
                <c:pt idx="158">
                  <c:v>3.391</c:v>
                </c:pt>
                <c:pt idx="159">
                  <c:v>3.3889999999999998</c:v>
                </c:pt>
                <c:pt idx="160">
                  <c:v>3.4390000000000001</c:v>
                </c:pt>
                <c:pt idx="161">
                  <c:v>3.4820000000000002</c:v>
                </c:pt>
                <c:pt idx="162">
                  <c:v>3.5230000000000001</c:v>
                </c:pt>
                <c:pt idx="163">
                  <c:v>3.5910000000000002</c:v>
                </c:pt>
                <c:pt idx="164">
                  <c:v>3.7210000000000001</c:v>
                </c:pt>
                <c:pt idx="165">
                  <c:v>3.7930000000000001</c:v>
                </c:pt>
                <c:pt idx="166">
                  <c:v>3.8290000000000002</c:v>
                </c:pt>
                <c:pt idx="167">
                  <c:v>3.867</c:v>
                </c:pt>
                <c:pt idx="168">
                  <c:v>3.9180000000000001</c:v>
                </c:pt>
                <c:pt idx="169">
                  <c:v>3.9409999999999998</c:v>
                </c:pt>
                <c:pt idx="170">
                  <c:v>3.9390000000000001</c:v>
                </c:pt>
                <c:pt idx="171">
                  <c:v>3.9220000000000002</c:v>
                </c:pt>
                <c:pt idx="172">
                  <c:v>3.87</c:v>
                </c:pt>
                <c:pt idx="173">
                  <c:v>3.83</c:v>
                </c:pt>
                <c:pt idx="174">
                  <c:v>3.79</c:v>
                </c:pt>
                <c:pt idx="175">
                  <c:v>3.754</c:v>
                </c:pt>
                <c:pt idx="176">
                  <c:v>3.7149999999999999</c:v>
                </c:pt>
                <c:pt idx="177">
                  <c:v>3.67</c:v>
                </c:pt>
                <c:pt idx="178">
                  <c:v>3.613</c:v>
                </c:pt>
                <c:pt idx="179">
                  <c:v>3.5720000000000001</c:v>
                </c:pt>
                <c:pt idx="180">
                  <c:v>3.5329999999999999</c:v>
                </c:pt>
                <c:pt idx="181">
                  <c:v>3.4369999999999998</c:v>
                </c:pt>
                <c:pt idx="182">
                  <c:v>3.3559999999999999</c:v>
                </c:pt>
                <c:pt idx="183">
                  <c:v>3.411</c:v>
                </c:pt>
                <c:pt idx="184">
                  <c:v>3.427</c:v>
                </c:pt>
                <c:pt idx="185">
                  <c:v>3.4940000000000002</c:v>
                </c:pt>
                <c:pt idx="186">
                  <c:v>3.508</c:v>
                </c:pt>
                <c:pt idx="187">
                  <c:v>3.645</c:v>
                </c:pt>
                <c:pt idx="188">
                  <c:v>3.7210000000000001</c:v>
                </c:pt>
                <c:pt idx="189">
                  <c:v>3.7440000000000002</c:v>
                </c:pt>
                <c:pt idx="190">
                  <c:v>3.7759999999999998</c:v>
                </c:pt>
                <c:pt idx="191">
                  <c:v>3.843</c:v>
                </c:pt>
                <c:pt idx="192">
                  <c:v>3.847</c:v>
                </c:pt>
                <c:pt idx="193">
                  <c:v>3.8780000000000001</c:v>
                </c:pt>
                <c:pt idx="194">
                  <c:v>3.8260000000000001</c:v>
                </c:pt>
                <c:pt idx="195">
                  <c:v>3.8039999999999998</c:v>
                </c:pt>
                <c:pt idx="196">
                  <c:v>3.85</c:v>
                </c:pt>
                <c:pt idx="197">
                  <c:v>3.819</c:v>
                </c:pt>
                <c:pt idx="198">
                  <c:v>3.6869999999999998</c:v>
                </c:pt>
                <c:pt idx="199">
                  <c:v>3.5680000000000001</c:v>
                </c:pt>
                <c:pt idx="200">
                  <c:v>3.492</c:v>
                </c:pt>
                <c:pt idx="201">
                  <c:v>3.4489999999999998</c:v>
                </c:pt>
                <c:pt idx="202">
                  <c:v>3.4289999999999998</c:v>
                </c:pt>
                <c:pt idx="203">
                  <c:v>3.4369999999999998</c:v>
                </c:pt>
                <c:pt idx="204">
                  <c:v>3.3940000000000001</c:v>
                </c:pt>
                <c:pt idx="205">
                  <c:v>3.3490000000000002</c:v>
                </c:pt>
                <c:pt idx="206">
                  <c:v>3.254</c:v>
                </c:pt>
                <c:pt idx="207">
                  <c:v>3.2570000000000001</c:v>
                </c:pt>
                <c:pt idx="208">
                  <c:v>3.298</c:v>
                </c:pt>
                <c:pt idx="209">
                  <c:v>3.2989999999999999</c:v>
                </c:pt>
                <c:pt idx="210">
                  <c:v>3.3029999999999999</c:v>
                </c:pt>
                <c:pt idx="211">
                  <c:v>3.3149999999999999</c:v>
                </c:pt>
                <c:pt idx="212">
                  <c:v>3.3570000000000002</c:v>
                </c:pt>
                <c:pt idx="213">
                  <c:v>3.5379999999999998</c:v>
                </c:pt>
                <c:pt idx="214">
                  <c:v>3.6110000000000002</c:v>
                </c:pt>
                <c:pt idx="215">
                  <c:v>3.7469999999999999</c:v>
                </c:pt>
                <c:pt idx="216">
                  <c:v>3.7839999999999998</c:v>
                </c:pt>
                <c:pt idx="217">
                  <c:v>3.7589999999999999</c:v>
                </c:pt>
                <c:pt idx="218">
                  <c:v>3.71</c:v>
                </c:pt>
                <c:pt idx="219">
                  <c:v>3.6960000000000002</c:v>
                </c:pt>
                <c:pt idx="220">
                  <c:v>3.68</c:v>
                </c:pt>
                <c:pt idx="221">
                  <c:v>3.645</c:v>
                </c:pt>
                <c:pt idx="222">
                  <c:v>3.6080000000000001</c:v>
                </c:pt>
                <c:pt idx="223">
                  <c:v>3.5419999999999998</c:v>
                </c:pt>
                <c:pt idx="224">
                  <c:v>3.536</c:v>
                </c:pt>
                <c:pt idx="225">
                  <c:v>3.52</c:v>
                </c:pt>
                <c:pt idx="226">
                  <c:v>3.5379999999999998</c:v>
                </c:pt>
                <c:pt idx="227">
                  <c:v>3.6030000000000002</c:v>
                </c:pt>
                <c:pt idx="228">
                  <c:v>3.673</c:v>
                </c:pt>
                <c:pt idx="229">
                  <c:v>3.645</c:v>
                </c:pt>
                <c:pt idx="230">
                  <c:v>3.6459999999999999</c:v>
                </c:pt>
                <c:pt idx="231">
                  <c:v>3.6549999999999998</c:v>
                </c:pt>
                <c:pt idx="232">
                  <c:v>3.6259999999999999</c:v>
                </c:pt>
                <c:pt idx="233">
                  <c:v>3.577</c:v>
                </c:pt>
                <c:pt idx="234">
                  <c:v>3.496</c:v>
                </c:pt>
                <c:pt idx="235">
                  <c:v>3.492</c:v>
                </c:pt>
                <c:pt idx="236">
                  <c:v>3.6389999999999998</c:v>
                </c:pt>
                <c:pt idx="237">
                  <c:v>3.6819999999999999</c:v>
                </c:pt>
                <c:pt idx="238">
                  <c:v>3.6459999999999999</c:v>
                </c:pt>
                <c:pt idx="239">
                  <c:v>3.6320000000000001</c:v>
                </c:pt>
                <c:pt idx="240">
                  <c:v>3.5609999999999999</c:v>
                </c:pt>
                <c:pt idx="241">
                  <c:v>3.55</c:v>
                </c:pt>
                <c:pt idx="242">
                  <c:v>3.552</c:v>
                </c:pt>
                <c:pt idx="243">
                  <c:v>3.6080000000000001</c:v>
                </c:pt>
                <c:pt idx="244">
                  <c:v>3.5870000000000002</c:v>
                </c:pt>
                <c:pt idx="245">
                  <c:v>3.5470000000000002</c:v>
                </c:pt>
                <c:pt idx="246">
                  <c:v>3.4950000000000001</c:v>
                </c:pt>
                <c:pt idx="247">
                  <c:v>3.4249999999999998</c:v>
                </c:pt>
                <c:pt idx="248">
                  <c:v>3.367</c:v>
                </c:pt>
                <c:pt idx="249">
                  <c:v>3.3540000000000001</c:v>
                </c:pt>
                <c:pt idx="250">
                  <c:v>3.36</c:v>
                </c:pt>
                <c:pt idx="251">
                  <c:v>3.294</c:v>
                </c:pt>
                <c:pt idx="252">
                  <c:v>3.2650000000000001</c:v>
                </c:pt>
                <c:pt idx="253">
                  <c:v>3.194</c:v>
                </c:pt>
                <c:pt idx="254">
                  <c:v>3.2189999999999999</c:v>
                </c:pt>
                <c:pt idx="255">
                  <c:v>3.2930000000000001</c:v>
                </c:pt>
                <c:pt idx="256">
                  <c:v>3.2719999999999998</c:v>
                </c:pt>
                <c:pt idx="257">
                  <c:v>3.2690000000000001</c:v>
                </c:pt>
                <c:pt idx="258">
                  <c:v>3.2389999999999999</c:v>
                </c:pt>
                <c:pt idx="259">
                  <c:v>3.2709999999999999</c:v>
                </c:pt>
                <c:pt idx="260">
                  <c:v>3.331</c:v>
                </c:pt>
                <c:pt idx="261">
                  <c:v>3.3319999999999999</c:v>
                </c:pt>
                <c:pt idx="262">
                  <c:v>3.327</c:v>
                </c:pt>
                <c:pt idx="263">
                  <c:v>3.2959999999999998</c:v>
                </c:pt>
                <c:pt idx="264">
                  <c:v>3.2949999999999999</c:v>
                </c:pt>
                <c:pt idx="265">
                  <c:v>3.2919999999999998</c:v>
                </c:pt>
                <c:pt idx="266">
                  <c:v>3.3090000000000002</c:v>
                </c:pt>
                <c:pt idx="267">
                  <c:v>3.38</c:v>
                </c:pt>
                <c:pt idx="268">
                  <c:v>3.444</c:v>
                </c:pt>
                <c:pt idx="269">
                  <c:v>3.4790000000000001</c:v>
                </c:pt>
                <c:pt idx="270">
                  <c:v>3.512</c:v>
                </c:pt>
                <c:pt idx="271">
                  <c:v>3.5470000000000002</c:v>
                </c:pt>
                <c:pt idx="272">
                  <c:v>3.5489999999999999</c:v>
                </c:pt>
                <c:pt idx="273">
                  <c:v>3.5790000000000002</c:v>
                </c:pt>
                <c:pt idx="274">
                  <c:v>3.5960000000000001</c:v>
                </c:pt>
                <c:pt idx="275">
                  <c:v>3.6509999999999998</c:v>
                </c:pt>
                <c:pt idx="276">
                  <c:v>3.6829999999999998</c:v>
                </c:pt>
                <c:pt idx="277">
                  <c:v>3.7130000000000001</c:v>
                </c:pt>
                <c:pt idx="278">
                  <c:v>3.6840000000000002</c:v>
                </c:pt>
                <c:pt idx="279">
                  <c:v>3.6680000000000001</c:v>
                </c:pt>
                <c:pt idx="280">
                  <c:v>3.665</c:v>
                </c:pt>
                <c:pt idx="281">
                  <c:v>3.6739999999999999</c:v>
                </c:pt>
                <c:pt idx="282">
                  <c:v>3.69</c:v>
                </c:pt>
                <c:pt idx="283">
                  <c:v>3.6739999999999999</c:v>
                </c:pt>
                <c:pt idx="284">
                  <c:v>3.6859999999999999</c:v>
                </c:pt>
                <c:pt idx="285">
                  <c:v>3.7040000000000002</c:v>
                </c:pt>
                <c:pt idx="286">
                  <c:v>3.7040000000000002</c:v>
                </c:pt>
                <c:pt idx="287">
                  <c:v>3.6779999999999999</c:v>
                </c:pt>
                <c:pt idx="288">
                  <c:v>3.6349999999999998</c:v>
                </c:pt>
                <c:pt idx="289">
                  <c:v>3.593</c:v>
                </c:pt>
                <c:pt idx="290">
                  <c:v>3.5390000000000001</c:v>
                </c:pt>
                <c:pt idx="291">
                  <c:v>3.5150000000000001</c:v>
                </c:pt>
                <c:pt idx="292">
                  <c:v>3.5049999999999999</c:v>
                </c:pt>
                <c:pt idx="293">
                  <c:v>3.472</c:v>
                </c:pt>
                <c:pt idx="294">
                  <c:v>3.4540000000000002</c:v>
                </c:pt>
                <c:pt idx="295">
                  <c:v>3.4590000000000001</c:v>
                </c:pt>
                <c:pt idx="296">
                  <c:v>3.4569999999999999</c:v>
                </c:pt>
                <c:pt idx="297">
                  <c:v>3.4079999999999999</c:v>
                </c:pt>
                <c:pt idx="298">
                  <c:v>3.3530000000000002</c:v>
                </c:pt>
                <c:pt idx="299">
                  <c:v>3.3540000000000001</c:v>
                </c:pt>
                <c:pt idx="300">
                  <c:v>3.2989999999999999</c:v>
                </c:pt>
                <c:pt idx="301">
                  <c:v>3.2069999999999999</c:v>
                </c:pt>
                <c:pt idx="302">
                  <c:v>3.12</c:v>
                </c:pt>
                <c:pt idx="303">
                  <c:v>3.056</c:v>
                </c:pt>
                <c:pt idx="304">
                  <c:v>2.9929999999999999</c:v>
                </c:pt>
                <c:pt idx="305">
                  <c:v>2.9409999999999998</c:v>
                </c:pt>
                <c:pt idx="306">
                  <c:v>2.8940000000000001</c:v>
                </c:pt>
                <c:pt idx="307">
                  <c:v>2.8210000000000002</c:v>
                </c:pt>
                <c:pt idx="308">
                  <c:v>2.778</c:v>
                </c:pt>
                <c:pt idx="309">
                  <c:v>2.6789999999999998</c:v>
                </c:pt>
                <c:pt idx="310">
                  <c:v>2.5539999999999998</c:v>
                </c:pt>
                <c:pt idx="311">
                  <c:v>2.403</c:v>
                </c:pt>
                <c:pt idx="312">
                  <c:v>2.2989999999999999</c:v>
                </c:pt>
                <c:pt idx="313">
                  <c:v>2.214</c:v>
                </c:pt>
                <c:pt idx="314">
                  <c:v>2.1389999999999998</c:v>
                </c:pt>
                <c:pt idx="315">
                  <c:v>2.0659999999999998</c:v>
                </c:pt>
                <c:pt idx="316">
                  <c:v>2.044</c:v>
                </c:pt>
                <c:pt idx="317">
                  <c:v>2.0680000000000001</c:v>
                </c:pt>
                <c:pt idx="318">
                  <c:v>2.1909999999999998</c:v>
                </c:pt>
                <c:pt idx="319">
                  <c:v>2.274</c:v>
                </c:pt>
                <c:pt idx="320">
                  <c:v>2.3319999999999999</c:v>
                </c:pt>
                <c:pt idx="321">
                  <c:v>2.4729999999999999</c:v>
                </c:pt>
                <c:pt idx="322">
                  <c:v>2.4870000000000001</c:v>
                </c:pt>
                <c:pt idx="323">
                  <c:v>2.4529999999999998</c:v>
                </c:pt>
                <c:pt idx="324">
                  <c:v>2.4569999999999999</c:v>
                </c:pt>
                <c:pt idx="325">
                  <c:v>2.448</c:v>
                </c:pt>
                <c:pt idx="326">
                  <c:v>2.4129999999999998</c:v>
                </c:pt>
                <c:pt idx="327">
                  <c:v>2.4079999999999999</c:v>
                </c:pt>
                <c:pt idx="328">
                  <c:v>2.4849999999999999</c:v>
                </c:pt>
                <c:pt idx="329">
                  <c:v>2.57</c:v>
                </c:pt>
                <c:pt idx="330">
                  <c:v>2.6640000000000001</c:v>
                </c:pt>
                <c:pt idx="331">
                  <c:v>2.6909999999999998</c:v>
                </c:pt>
                <c:pt idx="332">
                  <c:v>2.7440000000000002</c:v>
                </c:pt>
                <c:pt idx="333">
                  <c:v>2.774</c:v>
                </c:pt>
                <c:pt idx="334">
                  <c:v>2.78</c:v>
                </c:pt>
                <c:pt idx="335">
                  <c:v>2.78</c:v>
                </c:pt>
                <c:pt idx="336">
                  <c:v>2.835</c:v>
                </c:pt>
                <c:pt idx="337">
                  <c:v>2.8119999999999998</c:v>
                </c:pt>
                <c:pt idx="338">
                  <c:v>2.8010000000000002</c:v>
                </c:pt>
                <c:pt idx="339">
                  <c:v>2.7930000000000001</c:v>
                </c:pt>
                <c:pt idx="340">
                  <c:v>2.8340000000000001</c:v>
                </c:pt>
                <c:pt idx="341">
                  <c:v>2.802</c:v>
                </c:pt>
                <c:pt idx="342">
                  <c:v>2.7450000000000001</c:v>
                </c:pt>
                <c:pt idx="343">
                  <c:v>2.6890000000000001</c:v>
                </c:pt>
                <c:pt idx="344">
                  <c:v>2.629</c:v>
                </c:pt>
                <c:pt idx="345">
                  <c:v>2.7160000000000002</c:v>
                </c:pt>
                <c:pt idx="346">
                  <c:v>2.637</c:v>
                </c:pt>
                <c:pt idx="347">
                  <c:v>2.5099999999999998</c:v>
                </c:pt>
                <c:pt idx="348">
                  <c:v>2.4369999999999998</c:v>
                </c:pt>
                <c:pt idx="349">
                  <c:v>2.375</c:v>
                </c:pt>
                <c:pt idx="350">
                  <c:v>2.327</c:v>
                </c:pt>
                <c:pt idx="351">
                  <c:v>2.3220000000000001</c:v>
                </c:pt>
                <c:pt idx="352">
                  <c:v>2.3180000000000001</c:v>
                </c:pt>
                <c:pt idx="353">
                  <c:v>2.3370000000000002</c:v>
                </c:pt>
                <c:pt idx="354">
                  <c:v>2.2770000000000001</c:v>
                </c:pt>
                <c:pt idx="355">
                  <c:v>2.2280000000000002</c:v>
                </c:pt>
                <c:pt idx="356">
                  <c:v>2.2240000000000002</c:v>
                </c:pt>
                <c:pt idx="357">
                  <c:v>2.2349999999999999</c:v>
                </c:pt>
                <c:pt idx="358">
                  <c:v>2.1779999999999999</c:v>
                </c:pt>
                <c:pt idx="359">
                  <c:v>2.0939999999999999</c:v>
                </c:pt>
                <c:pt idx="360">
                  <c:v>2.0590000000000002</c:v>
                </c:pt>
                <c:pt idx="361">
                  <c:v>2.0529999999999999</c:v>
                </c:pt>
                <c:pt idx="362">
                  <c:v>2.0369999999999999</c:v>
                </c:pt>
                <c:pt idx="363">
                  <c:v>2.0259999999999998</c:v>
                </c:pt>
                <c:pt idx="364">
                  <c:v>2.0339999999999998</c:v>
                </c:pt>
                <c:pt idx="365">
                  <c:v>2.028</c:v>
                </c:pt>
                <c:pt idx="366">
                  <c:v>1.996</c:v>
                </c:pt>
                <c:pt idx="367">
                  <c:v>1.9139999999999999</c:v>
                </c:pt>
                <c:pt idx="368">
                  <c:v>1.8560000000000001</c:v>
                </c:pt>
                <c:pt idx="369">
                  <c:v>1.8220000000000001</c:v>
                </c:pt>
                <c:pt idx="370">
                  <c:v>1.7589999999999999</c:v>
                </c:pt>
                <c:pt idx="371">
                  <c:v>1.724</c:v>
                </c:pt>
                <c:pt idx="372">
                  <c:v>1.73</c:v>
                </c:pt>
                <c:pt idx="373">
                  <c:v>1.7829999999999999</c:v>
                </c:pt>
                <c:pt idx="374">
                  <c:v>1.841</c:v>
                </c:pt>
                <c:pt idx="375">
                  <c:v>1.9610000000000001</c:v>
                </c:pt>
                <c:pt idx="376">
                  <c:v>2.0070000000000001</c:v>
                </c:pt>
                <c:pt idx="377">
                  <c:v>2.0659999999999998</c:v>
                </c:pt>
                <c:pt idx="378">
                  <c:v>2.0830000000000002</c:v>
                </c:pt>
                <c:pt idx="379">
                  <c:v>2.069</c:v>
                </c:pt>
                <c:pt idx="380">
                  <c:v>2.137</c:v>
                </c:pt>
                <c:pt idx="381">
                  <c:v>2.1619999999999999</c:v>
                </c:pt>
                <c:pt idx="382">
                  <c:v>2.2400000000000002</c:v>
                </c:pt>
                <c:pt idx="383">
                  <c:v>2.2200000000000002</c:v>
                </c:pt>
                <c:pt idx="384">
                  <c:v>2.242</c:v>
                </c:pt>
                <c:pt idx="385">
                  <c:v>2.2999999999999998</c:v>
                </c:pt>
                <c:pt idx="386">
                  <c:v>2.339</c:v>
                </c:pt>
                <c:pt idx="387">
                  <c:v>2.3809999999999998</c:v>
                </c:pt>
                <c:pt idx="388">
                  <c:v>2.399</c:v>
                </c:pt>
                <c:pt idx="389">
                  <c:v>2.3530000000000002</c:v>
                </c:pt>
                <c:pt idx="390">
                  <c:v>2.3290000000000002</c:v>
                </c:pt>
                <c:pt idx="391">
                  <c:v>2.2909999999999999</c:v>
                </c:pt>
                <c:pt idx="392">
                  <c:v>2.2530000000000001</c:v>
                </c:pt>
                <c:pt idx="393">
                  <c:v>2.23</c:v>
                </c:pt>
                <c:pt idx="394">
                  <c:v>2.1819999999999999</c:v>
                </c:pt>
                <c:pt idx="395">
                  <c:v>2.1589999999999998</c:v>
                </c:pt>
                <c:pt idx="396">
                  <c:v>2.15</c:v>
                </c:pt>
                <c:pt idx="397">
                  <c:v>2.149</c:v>
                </c:pt>
                <c:pt idx="398">
                  <c:v>2.1930000000000001</c:v>
                </c:pt>
                <c:pt idx="399">
                  <c:v>2.2370000000000001</c:v>
                </c:pt>
                <c:pt idx="400">
                  <c:v>2.2229999999999999</c:v>
                </c:pt>
                <c:pt idx="401">
                  <c:v>2.202</c:v>
                </c:pt>
                <c:pt idx="402">
                  <c:v>2.2250000000000001</c:v>
                </c:pt>
                <c:pt idx="403">
                  <c:v>2.2240000000000002</c:v>
                </c:pt>
                <c:pt idx="404">
                  <c:v>2.2450000000000001</c:v>
                </c:pt>
                <c:pt idx="405">
                  <c:v>2.2719999999999998</c:v>
                </c:pt>
                <c:pt idx="406">
                  <c:v>2.2570000000000001</c:v>
                </c:pt>
                <c:pt idx="407">
                  <c:v>2.2429999999999999</c:v>
                </c:pt>
                <c:pt idx="408">
                  <c:v>2.23</c:v>
                </c:pt>
                <c:pt idx="409">
                  <c:v>2.2330000000000001</c:v>
                </c:pt>
                <c:pt idx="410">
                  <c:v>2.1840000000000002</c:v>
                </c:pt>
                <c:pt idx="411">
                  <c:v>2.1549999999999998</c:v>
                </c:pt>
                <c:pt idx="412">
                  <c:v>2.1539999999999999</c:v>
                </c:pt>
                <c:pt idx="413">
                  <c:v>2.2080000000000002</c:v>
                </c:pt>
                <c:pt idx="414">
                  <c:v>2.2360000000000002</c:v>
                </c:pt>
                <c:pt idx="415">
                  <c:v>2.2639999999999998</c:v>
                </c:pt>
                <c:pt idx="416">
                  <c:v>2.3090000000000002</c:v>
                </c:pt>
                <c:pt idx="417">
                  <c:v>2.3769999999999998</c:v>
                </c:pt>
                <c:pt idx="418">
                  <c:v>2.3879999999999999</c:v>
                </c:pt>
                <c:pt idx="419">
                  <c:v>2.3580000000000001</c:v>
                </c:pt>
                <c:pt idx="420">
                  <c:v>2.3260000000000001</c:v>
                </c:pt>
                <c:pt idx="421">
                  <c:v>2.2959999999999998</c:v>
                </c:pt>
                <c:pt idx="422">
                  <c:v>2.2930000000000001</c:v>
                </c:pt>
                <c:pt idx="423">
                  <c:v>2.3069999999999999</c:v>
                </c:pt>
              </c:numCache>
            </c:numRef>
          </c:xVal>
          <c:yVal>
            <c:numRef>
              <c:f>EIA_AGG1!$D$11450:$D$11873</c:f>
              <c:numCache>
                <c:formatCode>General</c:formatCode>
                <c:ptCount val="424"/>
                <c:pt idx="0">
                  <c:v>1.8</c:v>
                </c:pt>
                <c:pt idx="1">
                  <c:v>1.9</c:v>
                </c:pt>
                <c:pt idx="2">
                  <c:v>1.9610000000000001</c:v>
                </c:pt>
                <c:pt idx="3">
                  <c:v>1.954</c:v>
                </c:pt>
                <c:pt idx="4">
                  <c:v>2.0070000000000001</c:v>
                </c:pt>
                <c:pt idx="5">
                  <c:v>2.044</c:v>
                </c:pt>
                <c:pt idx="6">
                  <c:v>2.0830000000000002</c:v>
                </c:pt>
                <c:pt idx="7">
                  <c:v>2.032</c:v>
                </c:pt>
                <c:pt idx="8">
                  <c:v>2.0569999999999999</c:v>
                </c:pt>
                <c:pt idx="9">
                  <c:v>2.0590000000000002</c:v>
                </c:pt>
                <c:pt idx="10">
                  <c:v>2.0339999999999998</c:v>
                </c:pt>
                <c:pt idx="11">
                  <c:v>2.0790000000000002</c:v>
                </c:pt>
                <c:pt idx="12">
                  <c:v>2.1629999999999998</c:v>
                </c:pt>
                <c:pt idx="13">
                  <c:v>2.1579999999999999</c:v>
                </c:pt>
                <c:pt idx="14">
                  <c:v>2.1720000000000002</c:v>
                </c:pt>
                <c:pt idx="15">
                  <c:v>2.181</c:v>
                </c:pt>
                <c:pt idx="16">
                  <c:v>2.1709999999999998</c:v>
                </c:pt>
                <c:pt idx="17">
                  <c:v>2.1949999999999998</c:v>
                </c:pt>
                <c:pt idx="18">
                  <c:v>2.3519999999999999</c:v>
                </c:pt>
                <c:pt idx="19">
                  <c:v>2.4239999999999999</c:v>
                </c:pt>
                <c:pt idx="20">
                  <c:v>2.5470000000000002</c:v>
                </c:pt>
                <c:pt idx="21">
                  <c:v>2.63</c:v>
                </c:pt>
                <c:pt idx="22">
                  <c:v>2.7309999999999999</c:v>
                </c:pt>
                <c:pt idx="23">
                  <c:v>2.7839999999999998</c:v>
                </c:pt>
                <c:pt idx="24">
                  <c:v>2.8079999999999998</c:v>
                </c:pt>
                <c:pt idx="25">
                  <c:v>2.7629999999999999</c:v>
                </c:pt>
                <c:pt idx="26">
                  <c:v>2.7360000000000002</c:v>
                </c:pt>
                <c:pt idx="27">
                  <c:v>2.6560000000000001</c:v>
                </c:pt>
                <c:pt idx="28">
                  <c:v>2.5910000000000002</c:v>
                </c:pt>
                <c:pt idx="29">
                  <c:v>2.625</c:v>
                </c:pt>
                <c:pt idx="30">
                  <c:v>2.6760000000000002</c:v>
                </c:pt>
                <c:pt idx="31">
                  <c:v>2.7669999999999999</c:v>
                </c:pt>
                <c:pt idx="32">
                  <c:v>2.7610000000000001</c:v>
                </c:pt>
                <c:pt idx="33">
                  <c:v>2.7509999999999999</c:v>
                </c:pt>
                <c:pt idx="34">
                  <c:v>2.7389999999999999</c:v>
                </c:pt>
                <c:pt idx="35">
                  <c:v>2.7109999999999999</c:v>
                </c:pt>
                <c:pt idx="36">
                  <c:v>2.7040000000000002</c:v>
                </c:pt>
                <c:pt idx="37">
                  <c:v>2.68</c:v>
                </c:pt>
                <c:pt idx="38">
                  <c:v>2.6309999999999998</c:v>
                </c:pt>
                <c:pt idx="39">
                  <c:v>2.6</c:v>
                </c:pt>
                <c:pt idx="40">
                  <c:v>2.6139999999999999</c:v>
                </c:pt>
                <c:pt idx="41">
                  <c:v>2.694</c:v>
                </c:pt>
                <c:pt idx="42">
                  <c:v>2.7919999999999998</c:v>
                </c:pt>
                <c:pt idx="43">
                  <c:v>2.8119999999999998</c:v>
                </c:pt>
                <c:pt idx="44">
                  <c:v>2.7869999999999999</c:v>
                </c:pt>
                <c:pt idx="45">
                  <c:v>2.7549999999999999</c:v>
                </c:pt>
                <c:pt idx="46">
                  <c:v>2.7639999999999998</c:v>
                </c:pt>
                <c:pt idx="47">
                  <c:v>2.754</c:v>
                </c:pt>
                <c:pt idx="48">
                  <c:v>2.7610000000000001</c:v>
                </c:pt>
                <c:pt idx="49">
                  <c:v>2.7269999999999999</c:v>
                </c:pt>
                <c:pt idx="50">
                  <c:v>2.7170000000000001</c:v>
                </c:pt>
                <c:pt idx="51">
                  <c:v>2.7309999999999999</c:v>
                </c:pt>
                <c:pt idx="52">
                  <c:v>2.7839999999999998</c:v>
                </c:pt>
                <c:pt idx="53">
                  <c:v>2.8690000000000002</c:v>
                </c:pt>
                <c:pt idx="54">
                  <c:v>2.8610000000000002</c:v>
                </c:pt>
                <c:pt idx="55">
                  <c:v>2.8319999999999999</c:v>
                </c:pt>
                <c:pt idx="56">
                  <c:v>2.7869999999999999</c:v>
                </c:pt>
                <c:pt idx="57">
                  <c:v>2.778</c:v>
                </c:pt>
                <c:pt idx="58">
                  <c:v>2.738</c:v>
                </c:pt>
                <c:pt idx="59">
                  <c:v>2.778</c:v>
                </c:pt>
                <c:pt idx="60">
                  <c:v>2.827</c:v>
                </c:pt>
                <c:pt idx="61">
                  <c:v>2.871</c:v>
                </c:pt>
                <c:pt idx="62">
                  <c:v>2.9079999999999999</c:v>
                </c:pt>
                <c:pt idx="63">
                  <c:v>2.9359999999999999</c:v>
                </c:pt>
                <c:pt idx="64">
                  <c:v>2.9180000000000001</c:v>
                </c:pt>
                <c:pt idx="65">
                  <c:v>2.94</c:v>
                </c:pt>
                <c:pt idx="66">
                  <c:v>2.972</c:v>
                </c:pt>
                <c:pt idx="67">
                  <c:v>2.9740000000000002</c:v>
                </c:pt>
                <c:pt idx="68">
                  <c:v>2.9660000000000002</c:v>
                </c:pt>
                <c:pt idx="69">
                  <c:v>3.0110000000000001</c:v>
                </c:pt>
                <c:pt idx="70">
                  <c:v>3.0230000000000001</c:v>
                </c:pt>
                <c:pt idx="71">
                  <c:v>2.9849999999999999</c:v>
                </c:pt>
                <c:pt idx="72">
                  <c:v>2.9140000000000001</c:v>
                </c:pt>
                <c:pt idx="73">
                  <c:v>2.855</c:v>
                </c:pt>
                <c:pt idx="74">
                  <c:v>2.8490000000000002</c:v>
                </c:pt>
                <c:pt idx="75">
                  <c:v>2.8250000000000002</c:v>
                </c:pt>
                <c:pt idx="76">
                  <c:v>2.8610000000000002</c:v>
                </c:pt>
                <c:pt idx="77">
                  <c:v>2.8730000000000002</c:v>
                </c:pt>
                <c:pt idx="78">
                  <c:v>2.8460000000000001</c:v>
                </c:pt>
                <c:pt idx="79">
                  <c:v>2.8380000000000001</c:v>
                </c:pt>
                <c:pt idx="80">
                  <c:v>2.843</c:v>
                </c:pt>
                <c:pt idx="81">
                  <c:v>2.867</c:v>
                </c:pt>
                <c:pt idx="82">
                  <c:v>2.8559999999999999</c:v>
                </c:pt>
                <c:pt idx="83">
                  <c:v>2.903</c:v>
                </c:pt>
                <c:pt idx="84">
                  <c:v>2.8690000000000002</c:v>
                </c:pt>
                <c:pt idx="85">
                  <c:v>2.831</c:v>
                </c:pt>
                <c:pt idx="86">
                  <c:v>2.806</c:v>
                </c:pt>
                <c:pt idx="87">
                  <c:v>2.8029999999999999</c:v>
                </c:pt>
                <c:pt idx="88">
                  <c:v>2.8359999999999999</c:v>
                </c:pt>
                <c:pt idx="89">
                  <c:v>2.8439999999999999</c:v>
                </c:pt>
                <c:pt idx="90">
                  <c:v>2.8180000000000001</c:v>
                </c:pt>
                <c:pt idx="91">
                  <c:v>2.85</c:v>
                </c:pt>
                <c:pt idx="92">
                  <c:v>2.9340000000000002</c:v>
                </c:pt>
                <c:pt idx="93">
                  <c:v>2.9529999999999998</c:v>
                </c:pt>
                <c:pt idx="94">
                  <c:v>2.9380000000000002</c:v>
                </c:pt>
                <c:pt idx="95">
                  <c:v>2.9289999999999998</c:v>
                </c:pt>
                <c:pt idx="96">
                  <c:v>2.9790000000000001</c:v>
                </c:pt>
                <c:pt idx="97">
                  <c:v>3.0070000000000001</c:v>
                </c:pt>
                <c:pt idx="98">
                  <c:v>2.9990000000000001</c:v>
                </c:pt>
                <c:pt idx="99">
                  <c:v>2.9820000000000002</c:v>
                </c:pt>
                <c:pt idx="100">
                  <c:v>3.0790000000000002</c:v>
                </c:pt>
                <c:pt idx="101">
                  <c:v>3.101</c:v>
                </c:pt>
                <c:pt idx="102">
                  <c:v>3.1040000000000001</c:v>
                </c:pt>
                <c:pt idx="103">
                  <c:v>3.1709999999999998</c:v>
                </c:pt>
                <c:pt idx="104">
                  <c:v>3.1880000000000002</c:v>
                </c:pt>
                <c:pt idx="105">
                  <c:v>3.2040000000000002</c:v>
                </c:pt>
                <c:pt idx="106">
                  <c:v>3.222</c:v>
                </c:pt>
                <c:pt idx="107">
                  <c:v>3.2269999999999999</c:v>
                </c:pt>
                <c:pt idx="108">
                  <c:v>3.2210000000000001</c:v>
                </c:pt>
                <c:pt idx="109">
                  <c:v>3.2509999999999999</c:v>
                </c:pt>
                <c:pt idx="110">
                  <c:v>3.2589999999999999</c:v>
                </c:pt>
                <c:pt idx="111">
                  <c:v>3.3109999999999999</c:v>
                </c:pt>
                <c:pt idx="112">
                  <c:v>3.4990000000000001</c:v>
                </c:pt>
                <c:pt idx="113">
                  <c:v>3.6360000000000001</c:v>
                </c:pt>
                <c:pt idx="114">
                  <c:v>3.69</c:v>
                </c:pt>
                <c:pt idx="115">
                  <c:v>3.6859999999999999</c:v>
                </c:pt>
                <c:pt idx="116">
                  <c:v>3.718</c:v>
                </c:pt>
                <c:pt idx="117">
                  <c:v>3.8010000000000002</c:v>
                </c:pt>
                <c:pt idx="118">
                  <c:v>3.907</c:v>
                </c:pt>
                <c:pt idx="119">
                  <c:v>3.96</c:v>
                </c:pt>
                <c:pt idx="120">
                  <c:v>3.9940000000000002</c:v>
                </c:pt>
                <c:pt idx="121">
                  <c:v>4.0750000000000002</c:v>
                </c:pt>
                <c:pt idx="122">
                  <c:v>4.0810000000000004</c:v>
                </c:pt>
                <c:pt idx="123">
                  <c:v>4.0789999999999997</c:v>
                </c:pt>
                <c:pt idx="124">
                  <c:v>3.9750000000000001</c:v>
                </c:pt>
                <c:pt idx="125">
                  <c:v>3.9140000000000001</c:v>
                </c:pt>
                <c:pt idx="126">
                  <c:v>3.891</c:v>
                </c:pt>
                <c:pt idx="127">
                  <c:v>3.8290000000000002</c:v>
                </c:pt>
                <c:pt idx="128">
                  <c:v>3.7759999999999998</c:v>
                </c:pt>
                <c:pt idx="129">
                  <c:v>3.7</c:v>
                </c:pt>
                <c:pt idx="130">
                  <c:v>3.6989999999999998</c:v>
                </c:pt>
                <c:pt idx="131">
                  <c:v>3.7559999999999998</c:v>
                </c:pt>
                <c:pt idx="132">
                  <c:v>3.7959999999999998</c:v>
                </c:pt>
                <c:pt idx="133">
                  <c:v>3.819</c:v>
                </c:pt>
                <c:pt idx="134">
                  <c:v>3.8290000000000002</c:v>
                </c:pt>
                <c:pt idx="135">
                  <c:v>3.794</c:v>
                </c:pt>
                <c:pt idx="136">
                  <c:v>3.7280000000000002</c:v>
                </c:pt>
                <c:pt idx="137">
                  <c:v>3.7029999999999998</c:v>
                </c:pt>
                <c:pt idx="138">
                  <c:v>3.746</c:v>
                </c:pt>
                <c:pt idx="139">
                  <c:v>3.7909999999999999</c:v>
                </c:pt>
                <c:pt idx="140">
                  <c:v>3.78</c:v>
                </c:pt>
                <c:pt idx="141">
                  <c:v>3.7269999999999999</c:v>
                </c:pt>
                <c:pt idx="142">
                  <c:v>3.6419999999999999</c:v>
                </c:pt>
                <c:pt idx="143">
                  <c:v>3.569</c:v>
                </c:pt>
                <c:pt idx="144">
                  <c:v>3.5510000000000002</c:v>
                </c:pt>
                <c:pt idx="145">
                  <c:v>3.6040000000000001</c:v>
                </c:pt>
                <c:pt idx="146">
                  <c:v>3.5939999999999999</c:v>
                </c:pt>
                <c:pt idx="147">
                  <c:v>3.5870000000000002</c:v>
                </c:pt>
                <c:pt idx="148">
                  <c:v>3.5579999999999998</c:v>
                </c:pt>
                <c:pt idx="149">
                  <c:v>3.5710000000000002</c:v>
                </c:pt>
                <c:pt idx="150">
                  <c:v>3.5030000000000001</c:v>
                </c:pt>
                <c:pt idx="151">
                  <c:v>3.4470000000000001</c:v>
                </c:pt>
                <c:pt idx="152">
                  <c:v>3.4260000000000002</c:v>
                </c:pt>
                <c:pt idx="153">
                  <c:v>3.4209999999999998</c:v>
                </c:pt>
                <c:pt idx="154">
                  <c:v>3.3679999999999999</c:v>
                </c:pt>
                <c:pt idx="155">
                  <c:v>3.3879999999999999</c:v>
                </c:pt>
                <c:pt idx="156">
                  <c:v>3.4289999999999998</c:v>
                </c:pt>
                <c:pt idx="157">
                  <c:v>3.512</c:v>
                </c:pt>
                <c:pt idx="158">
                  <c:v>3.5219999999999998</c:v>
                </c:pt>
                <c:pt idx="159">
                  <c:v>3.5219999999999998</c:v>
                </c:pt>
                <c:pt idx="160">
                  <c:v>3.573</c:v>
                </c:pt>
                <c:pt idx="161">
                  <c:v>3.6139999999999999</c:v>
                </c:pt>
                <c:pt idx="162">
                  <c:v>3.6589999999999998</c:v>
                </c:pt>
                <c:pt idx="163">
                  <c:v>3.7290000000000001</c:v>
                </c:pt>
                <c:pt idx="164">
                  <c:v>3.855</c:v>
                </c:pt>
                <c:pt idx="165">
                  <c:v>3.92</c:v>
                </c:pt>
                <c:pt idx="166">
                  <c:v>3.9540000000000002</c:v>
                </c:pt>
                <c:pt idx="167">
                  <c:v>3.9929999999999999</c:v>
                </c:pt>
                <c:pt idx="168">
                  <c:v>4.0419999999999998</c:v>
                </c:pt>
                <c:pt idx="169">
                  <c:v>4.0629999999999997</c:v>
                </c:pt>
                <c:pt idx="170">
                  <c:v>4.0670000000000002</c:v>
                </c:pt>
                <c:pt idx="171">
                  <c:v>4.0469999999999997</c:v>
                </c:pt>
                <c:pt idx="172">
                  <c:v>3.9990000000000001</c:v>
                </c:pt>
                <c:pt idx="173">
                  <c:v>3.9620000000000002</c:v>
                </c:pt>
                <c:pt idx="174">
                  <c:v>3.923</c:v>
                </c:pt>
                <c:pt idx="175">
                  <c:v>3.895</c:v>
                </c:pt>
                <c:pt idx="176">
                  <c:v>3.85</c:v>
                </c:pt>
                <c:pt idx="177">
                  <c:v>3.8050000000000002</c:v>
                </c:pt>
                <c:pt idx="178">
                  <c:v>3.75</c:v>
                </c:pt>
                <c:pt idx="179">
                  <c:v>3.7029999999999998</c:v>
                </c:pt>
                <c:pt idx="180">
                  <c:v>3.661</c:v>
                </c:pt>
                <c:pt idx="181">
                  <c:v>3.5680000000000001</c:v>
                </c:pt>
                <c:pt idx="182">
                  <c:v>3.4889999999999999</c:v>
                </c:pt>
                <c:pt idx="183">
                  <c:v>3.5390000000000001</c:v>
                </c:pt>
                <c:pt idx="184">
                  <c:v>3.5510000000000002</c:v>
                </c:pt>
                <c:pt idx="185">
                  <c:v>3.6259999999999999</c:v>
                </c:pt>
                <c:pt idx="186">
                  <c:v>3.6389999999999998</c:v>
                </c:pt>
                <c:pt idx="187">
                  <c:v>3.7669999999999999</c:v>
                </c:pt>
                <c:pt idx="188">
                  <c:v>3.847</c:v>
                </c:pt>
                <c:pt idx="189">
                  <c:v>3.8740000000000001</c:v>
                </c:pt>
                <c:pt idx="190">
                  <c:v>3.9089999999999998</c:v>
                </c:pt>
                <c:pt idx="191">
                  <c:v>3.9750000000000001</c:v>
                </c:pt>
                <c:pt idx="192">
                  <c:v>3.9809999999999999</c:v>
                </c:pt>
                <c:pt idx="193">
                  <c:v>4.0129999999999999</c:v>
                </c:pt>
                <c:pt idx="194">
                  <c:v>3.9660000000000002</c:v>
                </c:pt>
                <c:pt idx="195">
                  <c:v>3.944</c:v>
                </c:pt>
                <c:pt idx="196">
                  <c:v>4.0019999999999998</c:v>
                </c:pt>
                <c:pt idx="197">
                  <c:v>3.976</c:v>
                </c:pt>
                <c:pt idx="198">
                  <c:v>3.85</c:v>
                </c:pt>
                <c:pt idx="199">
                  <c:v>3.7330000000000001</c:v>
                </c:pt>
                <c:pt idx="200">
                  <c:v>3.6520000000000001</c:v>
                </c:pt>
                <c:pt idx="201">
                  <c:v>3.605</c:v>
                </c:pt>
                <c:pt idx="202">
                  <c:v>3.5790000000000002</c:v>
                </c:pt>
                <c:pt idx="203">
                  <c:v>3.585</c:v>
                </c:pt>
                <c:pt idx="204">
                  <c:v>3.548</c:v>
                </c:pt>
                <c:pt idx="205">
                  <c:v>3.504</c:v>
                </c:pt>
                <c:pt idx="206">
                  <c:v>3.4089999999999998</c:v>
                </c:pt>
                <c:pt idx="207">
                  <c:v>3.415</c:v>
                </c:pt>
                <c:pt idx="208">
                  <c:v>3.4550000000000001</c:v>
                </c:pt>
                <c:pt idx="209">
                  <c:v>3.4630000000000001</c:v>
                </c:pt>
                <c:pt idx="210">
                  <c:v>3.4670000000000001</c:v>
                </c:pt>
                <c:pt idx="211">
                  <c:v>3.4729999999999999</c:v>
                </c:pt>
                <c:pt idx="212">
                  <c:v>3.512</c:v>
                </c:pt>
                <c:pt idx="213">
                  <c:v>3.6829999999999998</c:v>
                </c:pt>
                <c:pt idx="214">
                  <c:v>3.7559999999999998</c:v>
                </c:pt>
                <c:pt idx="215">
                  <c:v>3.891</c:v>
                </c:pt>
                <c:pt idx="216">
                  <c:v>3.9340000000000002</c:v>
                </c:pt>
                <c:pt idx="217">
                  <c:v>3.91</c:v>
                </c:pt>
                <c:pt idx="218">
                  <c:v>3.8650000000000002</c:v>
                </c:pt>
                <c:pt idx="219">
                  <c:v>3.85</c:v>
                </c:pt>
                <c:pt idx="220">
                  <c:v>3.8279999999999998</c:v>
                </c:pt>
                <c:pt idx="221">
                  <c:v>3.798</c:v>
                </c:pt>
                <c:pt idx="222">
                  <c:v>3.7610000000000001</c:v>
                </c:pt>
                <c:pt idx="223">
                  <c:v>3.7</c:v>
                </c:pt>
                <c:pt idx="224">
                  <c:v>3.6869999999999998</c:v>
                </c:pt>
                <c:pt idx="225">
                  <c:v>3.6680000000000001</c:v>
                </c:pt>
                <c:pt idx="226">
                  <c:v>3.681</c:v>
                </c:pt>
                <c:pt idx="227">
                  <c:v>3.7389999999999999</c:v>
                </c:pt>
                <c:pt idx="228">
                  <c:v>3.8010000000000002</c:v>
                </c:pt>
                <c:pt idx="229">
                  <c:v>3.7789999999999999</c:v>
                </c:pt>
                <c:pt idx="230">
                  <c:v>3.7730000000000001</c:v>
                </c:pt>
                <c:pt idx="231">
                  <c:v>3.7829999999999999</c:v>
                </c:pt>
                <c:pt idx="232">
                  <c:v>3.7639999999999998</c:v>
                </c:pt>
                <c:pt idx="233">
                  <c:v>3.7330000000000001</c:v>
                </c:pt>
                <c:pt idx="234">
                  <c:v>3.66</c:v>
                </c:pt>
                <c:pt idx="235">
                  <c:v>3.6539999999999999</c:v>
                </c:pt>
                <c:pt idx="236">
                  <c:v>3.786</c:v>
                </c:pt>
                <c:pt idx="237">
                  <c:v>3.831</c:v>
                </c:pt>
                <c:pt idx="238">
                  <c:v>3.8010000000000002</c:v>
                </c:pt>
                <c:pt idx="239">
                  <c:v>3.7810000000000001</c:v>
                </c:pt>
                <c:pt idx="240">
                  <c:v>3.7189999999999999</c:v>
                </c:pt>
                <c:pt idx="241">
                  <c:v>3.7069999999999999</c:v>
                </c:pt>
                <c:pt idx="242">
                  <c:v>3.7069999999999999</c:v>
                </c:pt>
                <c:pt idx="243">
                  <c:v>3.76</c:v>
                </c:pt>
                <c:pt idx="244">
                  <c:v>3.7410000000000001</c:v>
                </c:pt>
                <c:pt idx="245">
                  <c:v>3.7090000000000001</c:v>
                </c:pt>
                <c:pt idx="246">
                  <c:v>3.6560000000000001</c:v>
                </c:pt>
                <c:pt idx="247">
                  <c:v>3.5960000000000001</c:v>
                </c:pt>
                <c:pt idx="248">
                  <c:v>3.5350000000000001</c:v>
                </c:pt>
                <c:pt idx="249">
                  <c:v>3.5270000000000001</c:v>
                </c:pt>
                <c:pt idx="250">
                  <c:v>3.5310000000000001</c:v>
                </c:pt>
                <c:pt idx="251">
                  <c:v>3.4750000000000001</c:v>
                </c:pt>
                <c:pt idx="252">
                  <c:v>3.4409999999999998</c:v>
                </c:pt>
                <c:pt idx="253">
                  <c:v>3.38</c:v>
                </c:pt>
                <c:pt idx="254">
                  <c:v>3.4009999999999998</c:v>
                </c:pt>
                <c:pt idx="255">
                  <c:v>3.47</c:v>
                </c:pt>
                <c:pt idx="256">
                  <c:v>3.4569999999999999</c:v>
                </c:pt>
                <c:pt idx="257">
                  <c:v>3.4529999999999998</c:v>
                </c:pt>
                <c:pt idx="258">
                  <c:v>3.423</c:v>
                </c:pt>
                <c:pt idx="259">
                  <c:v>3.4510000000000001</c:v>
                </c:pt>
                <c:pt idx="260">
                  <c:v>3.5030000000000001</c:v>
                </c:pt>
                <c:pt idx="261">
                  <c:v>3.5129999999999999</c:v>
                </c:pt>
                <c:pt idx="262">
                  <c:v>3.5049999999999999</c:v>
                </c:pt>
                <c:pt idx="263">
                  <c:v>3.4769999999999999</c:v>
                </c:pt>
                <c:pt idx="264">
                  <c:v>3.4740000000000002</c:v>
                </c:pt>
                <c:pt idx="265">
                  <c:v>3.4750000000000001</c:v>
                </c:pt>
                <c:pt idx="266">
                  <c:v>3.4870000000000001</c:v>
                </c:pt>
                <c:pt idx="267">
                  <c:v>3.5550000000000002</c:v>
                </c:pt>
                <c:pt idx="268">
                  <c:v>3.6150000000000002</c:v>
                </c:pt>
                <c:pt idx="269">
                  <c:v>3.6480000000000001</c:v>
                </c:pt>
                <c:pt idx="270">
                  <c:v>3.6739999999999999</c:v>
                </c:pt>
                <c:pt idx="271">
                  <c:v>3.71</c:v>
                </c:pt>
                <c:pt idx="272">
                  <c:v>3.7160000000000002</c:v>
                </c:pt>
                <c:pt idx="273">
                  <c:v>3.7429999999999999</c:v>
                </c:pt>
                <c:pt idx="274">
                  <c:v>3.7690000000000001</c:v>
                </c:pt>
                <c:pt idx="275">
                  <c:v>3.823</c:v>
                </c:pt>
                <c:pt idx="276">
                  <c:v>3.8570000000000002</c:v>
                </c:pt>
                <c:pt idx="277">
                  <c:v>3.8879999999999999</c:v>
                </c:pt>
                <c:pt idx="278">
                  <c:v>3.8639999999999999</c:v>
                </c:pt>
                <c:pt idx="279">
                  <c:v>3.85</c:v>
                </c:pt>
                <c:pt idx="280">
                  <c:v>3.8439999999999999</c:v>
                </c:pt>
                <c:pt idx="281">
                  <c:v>3.85</c:v>
                </c:pt>
                <c:pt idx="282">
                  <c:v>3.8620000000000001</c:v>
                </c:pt>
                <c:pt idx="283">
                  <c:v>3.8439999999999999</c:v>
                </c:pt>
                <c:pt idx="284">
                  <c:v>3.8530000000000002</c:v>
                </c:pt>
                <c:pt idx="285">
                  <c:v>3.8730000000000002</c:v>
                </c:pt>
                <c:pt idx="286">
                  <c:v>3.8719999999999999</c:v>
                </c:pt>
                <c:pt idx="287">
                  <c:v>3.8490000000000002</c:v>
                </c:pt>
                <c:pt idx="288">
                  <c:v>3.8109999999999999</c:v>
                </c:pt>
                <c:pt idx="289">
                  <c:v>3.7730000000000001</c:v>
                </c:pt>
                <c:pt idx="290">
                  <c:v>3.7229999999999999</c:v>
                </c:pt>
                <c:pt idx="291">
                  <c:v>3.7010000000000001</c:v>
                </c:pt>
                <c:pt idx="292">
                  <c:v>3.6840000000000002</c:v>
                </c:pt>
                <c:pt idx="293">
                  <c:v>3.653</c:v>
                </c:pt>
                <c:pt idx="294">
                  <c:v>3.6349999999999998</c:v>
                </c:pt>
                <c:pt idx="295">
                  <c:v>3.6379999999999999</c:v>
                </c:pt>
                <c:pt idx="296">
                  <c:v>3.6320000000000001</c:v>
                </c:pt>
                <c:pt idx="297">
                  <c:v>3.585</c:v>
                </c:pt>
                <c:pt idx="298">
                  <c:v>3.536</c:v>
                </c:pt>
                <c:pt idx="299">
                  <c:v>3.5369999999999999</c:v>
                </c:pt>
                <c:pt idx="300">
                  <c:v>3.492</c:v>
                </c:pt>
                <c:pt idx="301">
                  <c:v>3.4060000000000001</c:v>
                </c:pt>
                <c:pt idx="302">
                  <c:v>3.319</c:v>
                </c:pt>
                <c:pt idx="303">
                  <c:v>3.2480000000000002</c:v>
                </c:pt>
                <c:pt idx="304">
                  <c:v>3.1869999999999998</c:v>
                </c:pt>
                <c:pt idx="305">
                  <c:v>3.1339999999999999</c:v>
                </c:pt>
                <c:pt idx="306">
                  <c:v>3.0880000000000001</c:v>
                </c:pt>
                <c:pt idx="307">
                  <c:v>3.0190000000000001</c:v>
                </c:pt>
                <c:pt idx="308">
                  <c:v>2.9780000000000002</c:v>
                </c:pt>
                <c:pt idx="309">
                  <c:v>2.8820000000000001</c:v>
                </c:pt>
                <c:pt idx="310">
                  <c:v>2.7629999999999999</c:v>
                </c:pt>
                <c:pt idx="311">
                  <c:v>2.6190000000000002</c:v>
                </c:pt>
                <c:pt idx="312">
                  <c:v>2.5169999999999999</c:v>
                </c:pt>
                <c:pt idx="313">
                  <c:v>2.4369999999999998</c:v>
                </c:pt>
                <c:pt idx="314">
                  <c:v>2.3580000000000001</c:v>
                </c:pt>
                <c:pt idx="315">
                  <c:v>2.2770000000000001</c:v>
                </c:pt>
                <c:pt idx="316">
                  <c:v>2.25</c:v>
                </c:pt>
                <c:pt idx="317">
                  <c:v>2.2679999999999998</c:v>
                </c:pt>
                <c:pt idx="318">
                  <c:v>2.3879999999999999</c:v>
                </c:pt>
                <c:pt idx="319">
                  <c:v>2.4670000000000001</c:v>
                </c:pt>
                <c:pt idx="320">
                  <c:v>2.5259999999999998</c:v>
                </c:pt>
                <c:pt idx="321">
                  <c:v>2.6709999999999998</c:v>
                </c:pt>
                <c:pt idx="322">
                  <c:v>2.6859999999999999</c:v>
                </c:pt>
                <c:pt idx="323">
                  <c:v>2.6520000000000001</c:v>
                </c:pt>
                <c:pt idx="324">
                  <c:v>2.65</c:v>
                </c:pt>
                <c:pt idx="325">
                  <c:v>2.649</c:v>
                </c:pt>
                <c:pt idx="326">
                  <c:v>2.617</c:v>
                </c:pt>
                <c:pt idx="327">
                  <c:v>2.6160000000000001</c:v>
                </c:pt>
                <c:pt idx="328">
                  <c:v>2.6859999999999999</c:v>
                </c:pt>
                <c:pt idx="329">
                  <c:v>2.7770000000000001</c:v>
                </c:pt>
                <c:pt idx="330">
                  <c:v>2.87</c:v>
                </c:pt>
                <c:pt idx="331">
                  <c:v>2.9</c:v>
                </c:pt>
                <c:pt idx="332">
                  <c:v>2.9489999999999998</c:v>
                </c:pt>
                <c:pt idx="333">
                  <c:v>2.9750000000000001</c:v>
                </c:pt>
                <c:pt idx="334">
                  <c:v>2.9780000000000002</c:v>
                </c:pt>
                <c:pt idx="335">
                  <c:v>2.9769999999999999</c:v>
                </c:pt>
                <c:pt idx="336">
                  <c:v>3.0249999999999999</c:v>
                </c:pt>
                <c:pt idx="337">
                  <c:v>3.0059999999999998</c:v>
                </c:pt>
                <c:pt idx="338">
                  <c:v>2.9969999999999999</c:v>
                </c:pt>
                <c:pt idx="339">
                  <c:v>2.99</c:v>
                </c:pt>
                <c:pt idx="340">
                  <c:v>3.044</c:v>
                </c:pt>
                <c:pt idx="341">
                  <c:v>3.012</c:v>
                </c:pt>
                <c:pt idx="342">
                  <c:v>2.96</c:v>
                </c:pt>
                <c:pt idx="343">
                  <c:v>2.9089999999999998</c:v>
                </c:pt>
                <c:pt idx="344">
                  <c:v>2.85</c:v>
                </c:pt>
                <c:pt idx="345">
                  <c:v>2.927</c:v>
                </c:pt>
                <c:pt idx="346">
                  <c:v>2.8540000000000001</c:v>
                </c:pt>
                <c:pt idx="347">
                  <c:v>2.734</c:v>
                </c:pt>
                <c:pt idx="348">
                  <c:v>2.6619999999999999</c:v>
                </c:pt>
                <c:pt idx="349">
                  <c:v>2.605</c:v>
                </c:pt>
                <c:pt idx="350">
                  <c:v>2.5609999999999999</c:v>
                </c:pt>
                <c:pt idx="351">
                  <c:v>2.5510000000000002</c:v>
                </c:pt>
                <c:pt idx="352">
                  <c:v>2.5449999999999999</c:v>
                </c:pt>
                <c:pt idx="353">
                  <c:v>2.5609999999999999</c:v>
                </c:pt>
                <c:pt idx="354">
                  <c:v>2.5049999999999999</c:v>
                </c:pt>
                <c:pt idx="355">
                  <c:v>2.46</c:v>
                </c:pt>
                <c:pt idx="356">
                  <c:v>2.4550000000000001</c:v>
                </c:pt>
                <c:pt idx="357">
                  <c:v>2.468</c:v>
                </c:pt>
                <c:pt idx="358">
                  <c:v>2.42</c:v>
                </c:pt>
                <c:pt idx="359">
                  <c:v>2.3380000000000001</c:v>
                </c:pt>
                <c:pt idx="360">
                  <c:v>2.3079999999999998</c:v>
                </c:pt>
                <c:pt idx="361">
                  <c:v>2.3029999999999999</c:v>
                </c:pt>
                <c:pt idx="362">
                  <c:v>2.2869999999999999</c:v>
                </c:pt>
                <c:pt idx="363">
                  <c:v>2.2799999999999998</c:v>
                </c:pt>
                <c:pt idx="364">
                  <c:v>2.29</c:v>
                </c:pt>
                <c:pt idx="365">
                  <c:v>2.2850000000000001</c:v>
                </c:pt>
                <c:pt idx="366">
                  <c:v>2.2530000000000001</c:v>
                </c:pt>
                <c:pt idx="367">
                  <c:v>2.1720000000000002</c:v>
                </c:pt>
                <c:pt idx="368">
                  <c:v>2.1179999999999999</c:v>
                </c:pt>
                <c:pt idx="369">
                  <c:v>2.085</c:v>
                </c:pt>
                <c:pt idx="370">
                  <c:v>2.0249999999999999</c:v>
                </c:pt>
                <c:pt idx="371">
                  <c:v>1.984</c:v>
                </c:pt>
                <c:pt idx="372">
                  <c:v>1.9830000000000001</c:v>
                </c:pt>
                <c:pt idx="373">
                  <c:v>2.0289999999999999</c:v>
                </c:pt>
                <c:pt idx="374">
                  <c:v>2.081</c:v>
                </c:pt>
                <c:pt idx="375">
                  <c:v>2.2000000000000002</c:v>
                </c:pt>
                <c:pt idx="376">
                  <c:v>2.2480000000000002</c:v>
                </c:pt>
                <c:pt idx="377">
                  <c:v>2.31</c:v>
                </c:pt>
                <c:pt idx="378">
                  <c:v>2.323</c:v>
                </c:pt>
                <c:pt idx="379">
                  <c:v>2.3149999999999999</c:v>
                </c:pt>
                <c:pt idx="380">
                  <c:v>2.3780000000000001</c:v>
                </c:pt>
                <c:pt idx="381">
                  <c:v>2.4049999999999998</c:v>
                </c:pt>
                <c:pt idx="382">
                  <c:v>2.4820000000000002</c:v>
                </c:pt>
                <c:pt idx="383">
                  <c:v>2.4689999999999999</c:v>
                </c:pt>
                <c:pt idx="384">
                  <c:v>2.4849999999999999</c:v>
                </c:pt>
                <c:pt idx="385">
                  <c:v>2.5409999999999999</c:v>
                </c:pt>
                <c:pt idx="386">
                  <c:v>2.5739999999999998</c:v>
                </c:pt>
                <c:pt idx="387">
                  <c:v>2.6160000000000001</c:v>
                </c:pt>
                <c:pt idx="388">
                  <c:v>2.6320000000000001</c:v>
                </c:pt>
                <c:pt idx="389">
                  <c:v>2.5920000000000001</c:v>
                </c:pt>
                <c:pt idx="390">
                  <c:v>2.57</c:v>
                </c:pt>
                <c:pt idx="391">
                  <c:v>2.5369999999999999</c:v>
                </c:pt>
                <c:pt idx="392">
                  <c:v>2.5009999999999999</c:v>
                </c:pt>
                <c:pt idx="393">
                  <c:v>2.4790000000000001</c:v>
                </c:pt>
                <c:pt idx="394">
                  <c:v>2.4340000000000002</c:v>
                </c:pt>
                <c:pt idx="395">
                  <c:v>2.4129999999999998</c:v>
                </c:pt>
                <c:pt idx="396">
                  <c:v>2.3980000000000001</c:v>
                </c:pt>
                <c:pt idx="397">
                  <c:v>2.4009999999999998</c:v>
                </c:pt>
                <c:pt idx="398">
                  <c:v>2.4409999999999998</c:v>
                </c:pt>
                <c:pt idx="399">
                  <c:v>2.4809999999999999</c:v>
                </c:pt>
                <c:pt idx="400">
                  <c:v>2.468</c:v>
                </c:pt>
                <c:pt idx="401">
                  <c:v>2.4540000000000002</c:v>
                </c:pt>
                <c:pt idx="402">
                  <c:v>2.4809999999999999</c:v>
                </c:pt>
                <c:pt idx="403">
                  <c:v>2.484</c:v>
                </c:pt>
                <c:pt idx="404">
                  <c:v>2.5059999999999998</c:v>
                </c:pt>
                <c:pt idx="405">
                  <c:v>2.5289999999999999</c:v>
                </c:pt>
                <c:pt idx="406">
                  <c:v>2.516</c:v>
                </c:pt>
                <c:pt idx="407">
                  <c:v>2.5019999999999998</c:v>
                </c:pt>
                <c:pt idx="408">
                  <c:v>2.4929999999999999</c:v>
                </c:pt>
                <c:pt idx="409">
                  <c:v>2.4980000000000002</c:v>
                </c:pt>
                <c:pt idx="410">
                  <c:v>2.4550000000000001</c:v>
                </c:pt>
                <c:pt idx="411">
                  <c:v>2.423</c:v>
                </c:pt>
                <c:pt idx="412">
                  <c:v>2.423</c:v>
                </c:pt>
                <c:pt idx="413">
                  <c:v>2.4710000000000001</c:v>
                </c:pt>
                <c:pt idx="414">
                  <c:v>2.4940000000000002</c:v>
                </c:pt>
                <c:pt idx="415">
                  <c:v>2.5219999999999998</c:v>
                </c:pt>
                <c:pt idx="416">
                  <c:v>2.5609999999999999</c:v>
                </c:pt>
                <c:pt idx="417">
                  <c:v>2.6219999999999999</c:v>
                </c:pt>
                <c:pt idx="418">
                  <c:v>2.6360000000000001</c:v>
                </c:pt>
                <c:pt idx="419">
                  <c:v>2.6070000000000002</c:v>
                </c:pt>
                <c:pt idx="420">
                  <c:v>2.5779999999999998</c:v>
                </c:pt>
                <c:pt idx="421">
                  <c:v>2.5529999999999999</c:v>
                </c:pt>
                <c:pt idx="422">
                  <c:v>2.552</c:v>
                </c:pt>
                <c:pt idx="423">
                  <c:v>2.5659999999999998</c:v>
                </c:pt>
              </c:numCache>
            </c:numRef>
          </c:yVal>
          <c:smooth val="0"/>
        </c:ser>
        <c:dLbls>
          <c:showLegendKey val="0"/>
          <c:showVal val="0"/>
          <c:showCatName val="0"/>
          <c:showSerName val="0"/>
          <c:showPercent val="0"/>
          <c:showBubbleSize val="0"/>
        </c:dLbls>
        <c:axId val="70654208"/>
        <c:axId val="70664960"/>
      </c:scatterChart>
      <c:valAx>
        <c:axId val="70654208"/>
        <c:scaling>
          <c:orientation val="minMax"/>
          <c:max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Regular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64960"/>
        <c:crosses val="autoZero"/>
        <c:crossBetween val="midCat"/>
        <c:majorUnit val="0.5"/>
      </c:valAx>
      <c:valAx>
        <c:axId val="7066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Midgrade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54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0" i="0" baseline="0">
                <a:effectLst/>
              </a:rPr>
              <a:t>OPIS vs. GasBuddy (credit price unless cash only)  </a:t>
            </a:r>
            <a:endParaRPr lang="en-US" sz="900">
              <a:effectLst/>
            </a:endParaRPr>
          </a:p>
          <a:p>
            <a:pPr>
              <a:defRPr sz="1400" b="0" i="0" u="none" strike="noStrike" kern="1200" spc="0" baseline="0">
                <a:solidFill>
                  <a:schemeClr val="tx1">
                    <a:lumMod val="65000"/>
                    <a:lumOff val="35000"/>
                  </a:schemeClr>
                </a:solidFill>
                <a:latin typeface="+mn-lt"/>
                <a:ea typeface="+mn-ea"/>
                <a:cs typeface="+mn-cs"/>
              </a:defRPr>
            </a:pPr>
            <a:r>
              <a:rPr lang="en-US" sz="1050" b="0" i="0" baseline="0">
                <a:effectLst/>
              </a:rPr>
              <a:t> Regular Gasoline</a:t>
            </a:r>
            <a:endParaRPr lang="en-US" sz="900">
              <a:effectLst/>
            </a:endParaRPr>
          </a:p>
        </c:rich>
      </c:tx>
      <c:overlay val="0"/>
      <c:spPr>
        <a:noFill/>
        <a:ln>
          <a:noFill/>
        </a:ln>
        <a:effectLst/>
      </c:spPr>
    </c:title>
    <c:autoTitleDeleted val="0"/>
    <c:plotArea>
      <c:layout/>
      <c:scatterChart>
        <c:scatterStyle val="lineMarker"/>
        <c:varyColors val="0"/>
        <c:ser>
          <c:idx val="0"/>
          <c:order val="0"/>
          <c:tx>
            <c:strRef>
              <c:f>'GB Credit vs. OPIS'!$B$1</c:f>
              <c:strCache>
                <c:ptCount val="1"/>
                <c:pt idx="0">
                  <c:v>OPIS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rendlineLbl>
          </c:trendline>
          <c:xVal>
            <c:numRef>
              <c:f>'GB Credit vs. OPIS'!$A$2:$A$1048376</c:f>
              <c:numCache>
                <c:formatCode>General</c:formatCode>
                <c:ptCount val="1048375"/>
                <c:pt idx="0">
                  <c:v>2.2400000000000002</c:v>
                </c:pt>
                <c:pt idx="1">
                  <c:v>2.23</c:v>
                </c:pt>
                <c:pt idx="2">
                  <c:v>2.27</c:v>
                </c:pt>
                <c:pt idx="3">
                  <c:v>2.21</c:v>
                </c:pt>
                <c:pt idx="4">
                  <c:v>2.25</c:v>
                </c:pt>
                <c:pt idx="5">
                  <c:v>2.27</c:v>
                </c:pt>
                <c:pt idx="6">
                  <c:v>2.19</c:v>
                </c:pt>
                <c:pt idx="7">
                  <c:v>2.29</c:v>
                </c:pt>
                <c:pt idx="8">
                  <c:v>2.4700000000000002</c:v>
                </c:pt>
                <c:pt idx="9">
                  <c:v>2.29</c:v>
                </c:pt>
                <c:pt idx="10">
                  <c:v>2.41</c:v>
                </c:pt>
                <c:pt idx="11">
                  <c:v>2.59</c:v>
                </c:pt>
                <c:pt idx="12">
                  <c:v>2.44</c:v>
                </c:pt>
                <c:pt idx="13">
                  <c:v>2.09</c:v>
                </c:pt>
                <c:pt idx="14">
                  <c:v>2.99</c:v>
                </c:pt>
                <c:pt idx="15">
                  <c:v>3.25</c:v>
                </c:pt>
                <c:pt idx="16">
                  <c:v>3.15</c:v>
                </c:pt>
                <c:pt idx="17">
                  <c:v>2.17</c:v>
                </c:pt>
                <c:pt idx="18">
                  <c:v>2.89</c:v>
                </c:pt>
                <c:pt idx="19">
                  <c:v>2.27</c:v>
                </c:pt>
                <c:pt idx="20">
                  <c:v>1.95</c:v>
                </c:pt>
                <c:pt idx="21">
                  <c:v>2.57</c:v>
                </c:pt>
                <c:pt idx="22">
                  <c:v>2.29</c:v>
                </c:pt>
                <c:pt idx="23">
                  <c:v>2.04</c:v>
                </c:pt>
                <c:pt idx="24">
                  <c:v>2.4900000000000002</c:v>
                </c:pt>
                <c:pt idx="25">
                  <c:v>2.4300000000000002</c:v>
                </c:pt>
                <c:pt idx="26">
                  <c:v>2.5299999999999998</c:v>
                </c:pt>
                <c:pt idx="27">
                  <c:v>2.25</c:v>
                </c:pt>
                <c:pt idx="28">
                  <c:v>2.23</c:v>
                </c:pt>
                <c:pt idx="29">
                  <c:v>3.01</c:v>
                </c:pt>
                <c:pt idx="30">
                  <c:v>2.13</c:v>
                </c:pt>
                <c:pt idx="31">
                  <c:v>2.31</c:v>
                </c:pt>
                <c:pt idx="32">
                  <c:v>2.09</c:v>
                </c:pt>
                <c:pt idx="33">
                  <c:v>2.93</c:v>
                </c:pt>
                <c:pt idx="34">
                  <c:v>2.09</c:v>
                </c:pt>
                <c:pt idx="35">
                  <c:v>2.57</c:v>
                </c:pt>
                <c:pt idx="36">
                  <c:v>2.29</c:v>
                </c:pt>
                <c:pt idx="37">
                  <c:v>2.29</c:v>
                </c:pt>
                <c:pt idx="38">
                  <c:v>2.4900000000000002</c:v>
                </c:pt>
                <c:pt idx="39">
                  <c:v>2.0499999999999998</c:v>
                </c:pt>
                <c:pt idx="40">
                  <c:v>1.99</c:v>
                </c:pt>
                <c:pt idx="41">
                  <c:v>2.4500000000000002</c:v>
                </c:pt>
                <c:pt idx="42">
                  <c:v>2.19</c:v>
                </c:pt>
                <c:pt idx="43">
                  <c:v>2.2400000000000002</c:v>
                </c:pt>
                <c:pt idx="44">
                  <c:v>2.21</c:v>
                </c:pt>
                <c:pt idx="45">
                  <c:v>2.59</c:v>
                </c:pt>
                <c:pt idx="46">
                  <c:v>2.09</c:v>
                </c:pt>
                <c:pt idx="47">
                  <c:v>2.29</c:v>
                </c:pt>
                <c:pt idx="48">
                  <c:v>2.2999999999999998</c:v>
                </c:pt>
                <c:pt idx="49">
                  <c:v>2.2799999999999998</c:v>
                </c:pt>
                <c:pt idx="50">
                  <c:v>2.79</c:v>
                </c:pt>
                <c:pt idx="51">
                  <c:v>3.09</c:v>
                </c:pt>
                <c:pt idx="52">
                  <c:v>2.19</c:v>
                </c:pt>
                <c:pt idx="53">
                  <c:v>2.4300000000000002</c:v>
                </c:pt>
                <c:pt idx="54">
                  <c:v>2.0699999999999998</c:v>
                </c:pt>
                <c:pt idx="55">
                  <c:v>2.25</c:v>
                </c:pt>
                <c:pt idx="56">
                  <c:v>2.27</c:v>
                </c:pt>
                <c:pt idx="57">
                  <c:v>2.2599999999999998</c:v>
                </c:pt>
                <c:pt idx="58">
                  <c:v>2.15</c:v>
                </c:pt>
                <c:pt idx="59">
                  <c:v>1.99</c:v>
                </c:pt>
                <c:pt idx="60">
                  <c:v>3.12</c:v>
                </c:pt>
                <c:pt idx="61">
                  <c:v>2.69</c:v>
                </c:pt>
                <c:pt idx="62">
                  <c:v>2.35</c:v>
                </c:pt>
                <c:pt idx="63">
                  <c:v>2.2200000000000002</c:v>
                </c:pt>
                <c:pt idx="64">
                  <c:v>2.16</c:v>
                </c:pt>
                <c:pt idx="65">
                  <c:v>2.2200000000000002</c:v>
                </c:pt>
                <c:pt idx="66">
                  <c:v>2.27</c:v>
                </c:pt>
                <c:pt idx="67">
                  <c:v>2.2400000000000002</c:v>
                </c:pt>
                <c:pt idx="68">
                  <c:v>2.31</c:v>
                </c:pt>
                <c:pt idx="69">
                  <c:v>2.42</c:v>
                </c:pt>
                <c:pt idx="70">
                  <c:v>2.2599999999999998</c:v>
                </c:pt>
                <c:pt idx="71">
                  <c:v>2.0699999999999998</c:v>
                </c:pt>
                <c:pt idx="72">
                  <c:v>2.2000000000000002</c:v>
                </c:pt>
                <c:pt idx="73">
                  <c:v>2.48</c:v>
                </c:pt>
                <c:pt idx="74">
                  <c:v>2.37</c:v>
                </c:pt>
                <c:pt idx="75">
                  <c:v>2.09</c:v>
                </c:pt>
                <c:pt idx="76">
                  <c:v>2.25</c:v>
                </c:pt>
                <c:pt idx="77">
                  <c:v>2.52</c:v>
                </c:pt>
                <c:pt idx="78">
                  <c:v>2.15</c:v>
                </c:pt>
                <c:pt idx="79">
                  <c:v>2.4300000000000002</c:v>
                </c:pt>
                <c:pt idx="80">
                  <c:v>2.0699999999999998</c:v>
                </c:pt>
                <c:pt idx="81">
                  <c:v>2.23</c:v>
                </c:pt>
                <c:pt idx="82">
                  <c:v>2.09</c:v>
                </c:pt>
                <c:pt idx="83">
                  <c:v>2.04</c:v>
                </c:pt>
                <c:pt idx="84">
                  <c:v>1.94</c:v>
                </c:pt>
                <c:pt idx="85">
                  <c:v>1.96</c:v>
                </c:pt>
                <c:pt idx="86">
                  <c:v>2.25</c:v>
                </c:pt>
                <c:pt idx="87">
                  <c:v>2.31</c:v>
                </c:pt>
                <c:pt idx="88">
                  <c:v>2.34</c:v>
                </c:pt>
                <c:pt idx="89">
                  <c:v>2.25</c:v>
                </c:pt>
                <c:pt idx="90">
                  <c:v>2.21</c:v>
                </c:pt>
                <c:pt idx="91">
                  <c:v>2.2000000000000002</c:v>
                </c:pt>
                <c:pt idx="92">
                  <c:v>2.4900000000000002</c:v>
                </c:pt>
                <c:pt idx="93">
                  <c:v>2.0499999999999998</c:v>
                </c:pt>
                <c:pt idx="94">
                  <c:v>2.75</c:v>
                </c:pt>
                <c:pt idx="95">
                  <c:v>2.21</c:v>
                </c:pt>
                <c:pt idx="96">
                  <c:v>2.39</c:v>
                </c:pt>
                <c:pt idx="97">
                  <c:v>2.15</c:v>
                </c:pt>
                <c:pt idx="98">
                  <c:v>2.4900000000000002</c:v>
                </c:pt>
                <c:pt idx="99">
                  <c:v>2.59</c:v>
                </c:pt>
                <c:pt idx="100">
                  <c:v>2.59</c:v>
                </c:pt>
                <c:pt idx="101">
                  <c:v>2.59</c:v>
                </c:pt>
                <c:pt idx="102">
                  <c:v>2.4300000000000002</c:v>
                </c:pt>
                <c:pt idx="103">
                  <c:v>2.25</c:v>
                </c:pt>
                <c:pt idx="104">
                  <c:v>2.2799999999999998</c:v>
                </c:pt>
                <c:pt idx="105">
                  <c:v>2.3199999999999998</c:v>
                </c:pt>
                <c:pt idx="106">
                  <c:v>2.48</c:v>
                </c:pt>
                <c:pt idx="107">
                  <c:v>2.29</c:v>
                </c:pt>
                <c:pt idx="108">
                  <c:v>2.4900000000000002</c:v>
                </c:pt>
                <c:pt idx="109">
                  <c:v>2.14</c:v>
                </c:pt>
                <c:pt idx="110">
                  <c:v>2.59</c:v>
                </c:pt>
                <c:pt idx="111">
                  <c:v>2.0699999999999998</c:v>
                </c:pt>
                <c:pt idx="112">
                  <c:v>2.39</c:v>
                </c:pt>
                <c:pt idx="113">
                  <c:v>2.3199999999999998</c:v>
                </c:pt>
                <c:pt idx="114">
                  <c:v>2.95</c:v>
                </c:pt>
                <c:pt idx="115">
                  <c:v>2.2400000000000002</c:v>
                </c:pt>
                <c:pt idx="116">
                  <c:v>2.99</c:v>
                </c:pt>
                <c:pt idx="117">
                  <c:v>2.65</c:v>
                </c:pt>
                <c:pt idx="118">
                  <c:v>2.16</c:v>
                </c:pt>
                <c:pt idx="119">
                  <c:v>2.31</c:v>
                </c:pt>
                <c:pt idx="120">
                  <c:v>2.23</c:v>
                </c:pt>
                <c:pt idx="121">
                  <c:v>2.3199999999999998</c:v>
                </c:pt>
                <c:pt idx="122">
                  <c:v>2.95</c:v>
                </c:pt>
                <c:pt idx="123">
                  <c:v>2.0499999999999998</c:v>
                </c:pt>
                <c:pt idx="124">
                  <c:v>2.5499999999999998</c:v>
                </c:pt>
                <c:pt idx="125">
                  <c:v>2.19</c:v>
                </c:pt>
                <c:pt idx="126">
                  <c:v>2.25</c:v>
                </c:pt>
                <c:pt idx="127">
                  <c:v>2.29</c:v>
                </c:pt>
                <c:pt idx="128">
                  <c:v>2.2400000000000002</c:v>
                </c:pt>
                <c:pt idx="129">
                  <c:v>3.19</c:v>
                </c:pt>
                <c:pt idx="130">
                  <c:v>3.15</c:v>
                </c:pt>
                <c:pt idx="131">
                  <c:v>2.69</c:v>
                </c:pt>
                <c:pt idx="132">
                  <c:v>2.25</c:v>
                </c:pt>
                <c:pt idx="133">
                  <c:v>2.95</c:v>
                </c:pt>
                <c:pt idx="134">
                  <c:v>2.09</c:v>
                </c:pt>
                <c:pt idx="135">
                  <c:v>2.79</c:v>
                </c:pt>
                <c:pt idx="136">
                  <c:v>2.2400000000000002</c:v>
                </c:pt>
                <c:pt idx="137">
                  <c:v>2.17</c:v>
                </c:pt>
                <c:pt idx="138">
                  <c:v>2.23</c:v>
                </c:pt>
                <c:pt idx="139">
                  <c:v>2.21</c:v>
                </c:pt>
                <c:pt idx="140">
                  <c:v>2.21</c:v>
                </c:pt>
                <c:pt idx="141">
                  <c:v>2.19</c:v>
                </c:pt>
                <c:pt idx="142">
                  <c:v>2.19</c:v>
                </c:pt>
                <c:pt idx="143">
                  <c:v>2.2400000000000002</c:v>
                </c:pt>
                <c:pt idx="144">
                  <c:v>2.19</c:v>
                </c:pt>
                <c:pt idx="145">
                  <c:v>2.23</c:v>
                </c:pt>
                <c:pt idx="146">
                  <c:v>2.09</c:v>
                </c:pt>
                <c:pt idx="147">
                  <c:v>1.99</c:v>
                </c:pt>
                <c:pt idx="148">
                  <c:v>2.09</c:v>
                </c:pt>
                <c:pt idx="149">
                  <c:v>2.59</c:v>
                </c:pt>
                <c:pt idx="150">
                  <c:v>2.89</c:v>
                </c:pt>
                <c:pt idx="151">
                  <c:v>2.35</c:v>
                </c:pt>
                <c:pt idx="152">
                  <c:v>2.31</c:v>
                </c:pt>
                <c:pt idx="153">
                  <c:v>2.36</c:v>
                </c:pt>
                <c:pt idx="154">
                  <c:v>2.34</c:v>
                </c:pt>
                <c:pt idx="155">
                  <c:v>1.99</c:v>
                </c:pt>
                <c:pt idx="156">
                  <c:v>2.37</c:v>
                </c:pt>
                <c:pt idx="157">
                  <c:v>2.19</c:v>
                </c:pt>
                <c:pt idx="158">
                  <c:v>2.35</c:v>
                </c:pt>
                <c:pt idx="159">
                  <c:v>2.4900000000000002</c:v>
                </c:pt>
                <c:pt idx="160">
                  <c:v>2.61</c:v>
                </c:pt>
                <c:pt idx="161">
                  <c:v>2.87</c:v>
                </c:pt>
                <c:pt idx="162">
                  <c:v>2.31</c:v>
                </c:pt>
                <c:pt idx="163">
                  <c:v>2.0499999999999998</c:v>
                </c:pt>
                <c:pt idx="164">
                  <c:v>3.13</c:v>
                </c:pt>
                <c:pt idx="165">
                  <c:v>2.79</c:v>
                </c:pt>
                <c:pt idx="166">
                  <c:v>2.12</c:v>
                </c:pt>
                <c:pt idx="167">
                  <c:v>2.89</c:v>
                </c:pt>
                <c:pt idx="168">
                  <c:v>2.14</c:v>
                </c:pt>
                <c:pt idx="169">
                  <c:v>2.0499999999999998</c:v>
                </c:pt>
                <c:pt idx="170">
                  <c:v>2.25</c:v>
                </c:pt>
                <c:pt idx="171">
                  <c:v>2.23</c:v>
                </c:pt>
                <c:pt idx="172">
                  <c:v>2.59</c:v>
                </c:pt>
                <c:pt idx="173">
                  <c:v>2.29</c:v>
                </c:pt>
                <c:pt idx="174">
                  <c:v>2.17</c:v>
                </c:pt>
                <c:pt idx="175">
                  <c:v>2.14</c:v>
                </c:pt>
                <c:pt idx="176">
                  <c:v>2.33</c:v>
                </c:pt>
                <c:pt idx="177">
                  <c:v>2.4900000000000002</c:v>
                </c:pt>
                <c:pt idx="178">
                  <c:v>2.14</c:v>
                </c:pt>
                <c:pt idx="179">
                  <c:v>2.0099999999999998</c:v>
                </c:pt>
                <c:pt idx="180">
                  <c:v>2.09</c:v>
                </c:pt>
                <c:pt idx="181">
                  <c:v>2.89</c:v>
                </c:pt>
                <c:pt idx="182">
                  <c:v>2.92</c:v>
                </c:pt>
                <c:pt idx="183">
                  <c:v>2.19</c:v>
                </c:pt>
                <c:pt idx="184">
                  <c:v>2.23</c:v>
                </c:pt>
                <c:pt idx="185">
                  <c:v>1.96</c:v>
                </c:pt>
                <c:pt idx="186">
                  <c:v>2.09</c:v>
                </c:pt>
                <c:pt idx="187">
                  <c:v>2.63</c:v>
                </c:pt>
                <c:pt idx="188">
                  <c:v>3.29</c:v>
                </c:pt>
                <c:pt idx="189">
                  <c:v>2.89</c:v>
                </c:pt>
                <c:pt idx="190">
                  <c:v>2.4500000000000002</c:v>
                </c:pt>
                <c:pt idx="191">
                  <c:v>2.0299999999999998</c:v>
                </c:pt>
                <c:pt idx="192">
                  <c:v>2.4900000000000002</c:v>
                </c:pt>
                <c:pt idx="193">
                  <c:v>1.93</c:v>
                </c:pt>
                <c:pt idx="194">
                  <c:v>2.39</c:v>
                </c:pt>
                <c:pt idx="195">
                  <c:v>2.99</c:v>
                </c:pt>
                <c:pt idx="196">
                  <c:v>2.3199999999999998</c:v>
                </c:pt>
                <c:pt idx="197">
                  <c:v>2.5099999999999998</c:v>
                </c:pt>
                <c:pt idx="198">
                  <c:v>2.2799999999999998</c:v>
                </c:pt>
                <c:pt idx="199">
                  <c:v>2.3199999999999998</c:v>
                </c:pt>
                <c:pt idx="200">
                  <c:v>2.35</c:v>
                </c:pt>
                <c:pt idx="201">
                  <c:v>2.61</c:v>
                </c:pt>
                <c:pt idx="202">
                  <c:v>2.4900000000000002</c:v>
                </c:pt>
                <c:pt idx="203">
                  <c:v>2.89</c:v>
                </c:pt>
                <c:pt idx="204">
                  <c:v>2.21</c:v>
                </c:pt>
                <c:pt idx="205">
                  <c:v>2.29</c:v>
                </c:pt>
                <c:pt idx="206">
                  <c:v>2.79</c:v>
                </c:pt>
                <c:pt idx="207">
                  <c:v>2.69</c:v>
                </c:pt>
                <c:pt idx="208">
                  <c:v>2.36</c:v>
                </c:pt>
                <c:pt idx="209">
                  <c:v>2.19</c:v>
                </c:pt>
                <c:pt idx="210">
                  <c:v>2.5099999999999998</c:v>
                </c:pt>
                <c:pt idx="211">
                  <c:v>2.16</c:v>
                </c:pt>
                <c:pt idx="212">
                  <c:v>2.31</c:v>
                </c:pt>
                <c:pt idx="213">
                  <c:v>2.59</c:v>
                </c:pt>
                <c:pt idx="214">
                  <c:v>2.19</c:v>
                </c:pt>
                <c:pt idx="215">
                  <c:v>2.59</c:v>
                </c:pt>
                <c:pt idx="216">
                  <c:v>2.29</c:v>
                </c:pt>
                <c:pt idx="217">
                  <c:v>2.4900000000000002</c:v>
                </c:pt>
                <c:pt idx="218">
                  <c:v>2.25</c:v>
                </c:pt>
                <c:pt idx="219">
                  <c:v>1.99</c:v>
                </c:pt>
                <c:pt idx="220">
                  <c:v>2.5</c:v>
                </c:pt>
                <c:pt idx="221">
                  <c:v>2.16</c:v>
                </c:pt>
                <c:pt idx="222">
                  <c:v>2.29</c:v>
                </c:pt>
                <c:pt idx="223">
                  <c:v>2.39</c:v>
                </c:pt>
                <c:pt idx="224">
                  <c:v>2.09</c:v>
                </c:pt>
                <c:pt idx="225">
                  <c:v>2.29</c:v>
                </c:pt>
                <c:pt idx="226">
                  <c:v>2.4900000000000002</c:v>
                </c:pt>
                <c:pt idx="227">
                  <c:v>1.99</c:v>
                </c:pt>
                <c:pt idx="228">
                  <c:v>2.15</c:v>
                </c:pt>
                <c:pt idx="229">
                  <c:v>2.2599999999999998</c:v>
                </c:pt>
                <c:pt idx="230">
                  <c:v>2.0499999999999998</c:v>
                </c:pt>
                <c:pt idx="231">
                  <c:v>2.59</c:v>
                </c:pt>
                <c:pt idx="232">
                  <c:v>2.16</c:v>
                </c:pt>
                <c:pt idx="233">
                  <c:v>2.21</c:v>
                </c:pt>
                <c:pt idx="234">
                  <c:v>2.42</c:v>
                </c:pt>
                <c:pt idx="235">
                  <c:v>2.29</c:v>
                </c:pt>
                <c:pt idx="236">
                  <c:v>2.2400000000000002</c:v>
                </c:pt>
                <c:pt idx="237">
                  <c:v>1.99</c:v>
                </c:pt>
                <c:pt idx="238">
                  <c:v>2.19</c:v>
                </c:pt>
                <c:pt idx="239">
                  <c:v>2.17</c:v>
                </c:pt>
                <c:pt idx="240">
                  <c:v>2.31</c:v>
                </c:pt>
                <c:pt idx="241">
                  <c:v>1.95</c:v>
                </c:pt>
                <c:pt idx="242">
                  <c:v>2.29</c:v>
                </c:pt>
                <c:pt idx="243">
                  <c:v>2.39</c:v>
                </c:pt>
                <c:pt idx="244">
                  <c:v>2.4500000000000002</c:v>
                </c:pt>
                <c:pt idx="245">
                  <c:v>2.4900000000000002</c:v>
                </c:pt>
                <c:pt idx="246">
                  <c:v>2.4300000000000002</c:v>
                </c:pt>
                <c:pt idx="247">
                  <c:v>2.19</c:v>
                </c:pt>
                <c:pt idx="248">
                  <c:v>2.23</c:v>
                </c:pt>
                <c:pt idx="249">
                  <c:v>2.4700000000000002</c:v>
                </c:pt>
                <c:pt idx="250">
                  <c:v>2.39</c:v>
                </c:pt>
                <c:pt idx="251">
                  <c:v>2.4500000000000002</c:v>
                </c:pt>
                <c:pt idx="252">
                  <c:v>2.4900000000000002</c:v>
                </c:pt>
                <c:pt idx="253">
                  <c:v>2.4500000000000002</c:v>
                </c:pt>
                <c:pt idx="254">
                  <c:v>2.33</c:v>
                </c:pt>
                <c:pt idx="255">
                  <c:v>2.29</c:v>
                </c:pt>
                <c:pt idx="256">
                  <c:v>2.34</c:v>
                </c:pt>
                <c:pt idx="257">
                  <c:v>2.2400000000000002</c:v>
                </c:pt>
                <c:pt idx="258">
                  <c:v>2.29</c:v>
                </c:pt>
                <c:pt idx="259">
                  <c:v>2.36</c:v>
                </c:pt>
                <c:pt idx="260">
                  <c:v>2.19</c:v>
                </c:pt>
                <c:pt idx="261">
                  <c:v>2.29</c:v>
                </c:pt>
                <c:pt idx="262">
                  <c:v>2.25</c:v>
                </c:pt>
                <c:pt idx="263">
                  <c:v>2.29</c:v>
                </c:pt>
                <c:pt idx="264">
                  <c:v>2.17</c:v>
                </c:pt>
                <c:pt idx="265">
                  <c:v>2.44</c:v>
                </c:pt>
                <c:pt idx="266">
                  <c:v>2.39</c:v>
                </c:pt>
                <c:pt idx="267">
                  <c:v>2.4300000000000002</c:v>
                </c:pt>
                <c:pt idx="268">
                  <c:v>2.19</c:v>
                </c:pt>
                <c:pt idx="269">
                  <c:v>3.05</c:v>
                </c:pt>
                <c:pt idx="270">
                  <c:v>2.37</c:v>
                </c:pt>
                <c:pt idx="271">
                  <c:v>2.19</c:v>
                </c:pt>
                <c:pt idx="272">
                  <c:v>2.35</c:v>
                </c:pt>
                <c:pt idx="273">
                  <c:v>2.09</c:v>
                </c:pt>
                <c:pt idx="274">
                  <c:v>2.27</c:v>
                </c:pt>
                <c:pt idx="275">
                  <c:v>2.14</c:v>
                </c:pt>
                <c:pt idx="276">
                  <c:v>1.98</c:v>
                </c:pt>
                <c:pt idx="277">
                  <c:v>2.14</c:v>
                </c:pt>
                <c:pt idx="278">
                  <c:v>2.0299999999999998</c:v>
                </c:pt>
                <c:pt idx="279">
                  <c:v>2.15</c:v>
                </c:pt>
                <c:pt idx="280">
                  <c:v>2.5499999999999998</c:v>
                </c:pt>
                <c:pt idx="281">
                  <c:v>2.19</c:v>
                </c:pt>
                <c:pt idx="282">
                  <c:v>2.09</c:v>
                </c:pt>
                <c:pt idx="283">
                  <c:v>2.15</c:v>
                </c:pt>
                <c:pt idx="284">
                  <c:v>1.99</c:v>
                </c:pt>
                <c:pt idx="285">
                  <c:v>2.14</c:v>
                </c:pt>
                <c:pt idx="286">
                  <c:v>2.37</c:v>
                </c:pt>
                <c:pt idx="287">
                  <c:v>2.79</c:v>
                </c:pt>
                <c:pt idx="288">
                  <c:v>2.39</c:v>
                </c:pt>
                <c:pt idx="289">
                  <c:v>2.35</c:v>
                </c:pt>
                <c:pt idx="290">
                  <c:v>3.09</c:v>
                </c:pt>
                <c:pt idx="291">
                  <c:v>2.89</c:v>
                </c:pt>
                <c:pt idx="292">
                  <c:v>2.4900000000000002</c:v>
                </c:pt>
                <c:pt idx="293">
                  <c:v>2.15</c:v>
                </c:pt>
                <c:pt idx="294">
                  <c:v>2.33</c:v>
                </c:pt>
                <c:pt idx="295">
                  <c:v>2.08</c:v>
                </c:pt>
                <c:pt idx="296">
                  <c:v>2.39</c:v>
                </c:pt>
                <c:pt idx="297">
                  <c:v>2.23</c:v>
                </c:pt>
                <c:pt idx="298">
                  <c:v>2.17</c:v>
                </c:pt>
                <c:pt idx="299">
                  <c:v>2.27</c:v>
                </c:pt>
                <c:pt idx="300">
                  <c:v>2.29</c:v>
                </c:pt>
                <c:pt idx="301">
                  <c:v>2.27</c:v>
                </c:pt>
                <c:pt idx="302">
                  <c:v>2.23</c:v>
                </c:pt>
                <c:pt idx="303">
                  <c:v>2.2400000000000002</c:v>
                </c:pt>
                <c:pt idx="304">
                  <c:v>2.29</c:v>
                </c:pt>
                <c:pt idx="305">
                  <c:v>2.37</c:v>
                </c:pt>
                <c:pt idx="306">
                  <c:v>2.0099999999999998</c:v>
                </c:pt>
                <c:pt idx="307">
                  <c:v>2.19</c:v>
                </c:pt>
                <c:pt idx="308">
                  <c:v>2.0699999999999998</c:v>
                </c:pt>
                <c:pt idx="309">
                  <c:v>2.09</c:v>
                </c:pt>
                <c:pt idx="310">
                  <c:v>2.09</c:v>
                </c:pt>
                <c:pt idx="311">
                  <c:v>2.17</c:v>
                </c:pt>
                <c:pt idx="312">
                  <c:v>2.0299999999999998</c:v>
                </c:pt>
                <c:pt idx="313">
                  <c:v>2.0499999999999998</c:v>
                </c:pt>
                <c:pt idx="314">
                  <c:v>2.0499999999999998</c:v>
                </c:pt>
                <c:pt idx="315">
                  <c:v>2.0499999999999998</c:v>
                </c:pt>
                <c:pt idx="316">
                  <c:v>2.0499999999999998</c:v>
                </c:pt>
                <c:pt idx="317">
                  <c:v>2.0299999999999998</c:v>
                </c:pt>
                <c:pt idx="318">
                  <c:v>2.0499999999999998</c:v>
                </c:pt>
                <c:pt idx="319">
                  <c:v>2.15</c:v>
                </c:pt>
                <c:pt idx="320">
                  <c:v>1.99</c:v>
                </c:pt>
                <c:pt idx="321">
                  <c:v>2.19</c:v>
                </c:pt>
                <c:pt idx="322">
                  <c:v>2.0699999999999998</c:v>
                </c:pt>
                <c:pt idx="323">
                  <c:v>2.0499999999999998</c:v>
                </c:pt>
                <c:pt idx="324">
                  <c:v>2.15</c:v>
                </c:pt>
                <c:pt idx="325">
                  <c:v>2.72</c:v>
                </c:pt>
                <c:pt idx="326">
                  <c:v>2.97</c:v>
                </c:pt>
                <c:pt idx="327">
                  <c:v>2.65</c:v>
                </c:pt>
                <c:pt idx="328">
                  <c:v>2.0699999999999998</c:v>
                </c:pt>
                <c:pt idx="329">
                  <c:v>2.0699999999999998</c:v>
                </c:pt>
                <c:pt idx="330">
                  <c:v>2.09</c:v>
                </c:pt>
                <c:pt idx="331">
                  <c:v>2.25</c:v>
                </c:pt>
                <c:pt idx="332">
                  <c:v>2.34</c:v>
                </c:pt>
                <c:pt idx="333">
                  <c:v>2.19</c:v>
                </c:pt>
                <c:pt idx="334">
                  <c:v>2.39</c:v>
                </c:pt>
                <c:pt idx="335">
                  <c:v>2.93</c:v>
                </c:pt>
                <c:pt idx="336">
                  <c:v>2.62</c:v>
                </c:pt>
                <c:pt idx="337">
                  <c:v>2.27</c:v>
                </c:pt>
                <c:pt idx="338">
                  <c:v>1.99</c:v>
                </c:pt>
                <c:pt idx="339">
                  <c:v>2.1800000000000002</c:v>
                </c:pt>
                <c:pt idx="340">
                  <c:v>2.4900000000000002</c:v>
                </c:pt>
                <c:pt idx="341">
                  <c:v>2.39</c:v>
                </c:pt>
                <c:pt idx="342">
                  <c:v>2.35</c:v>
                </c:pt>
                <c:pt idx="343">
                  <c:v>2.89</c:v>
                </c:pt>
                <c:pt idx="344">
                  <c:v>1.96</c:v>
                </c:pt>
                <c:pt idx="345">
                  <c:v>2.85</c:v>
                </c:pt>
                <c:pt idx="346">
                  <c:v>2.0699999999999998</c:v>
                </c:pt>
                <c:pt idx="347">
                  <c:v>2.19</c:v>
                </c:pt>
                <c:pt idx="348">
                  <c:v>2.46</c:v>
                </c:pt>
                <c:pt idx="349">
                  <c:v>2.69</c:v>
                </c:pt>
                <c:pt idx="350">
                  <c:v>2.39</c:v>
                </c:pt>
                <c:pt idx="351">
                  <c:v>2.99</c:v>
                </c:pt>
                <c:pt idx="352">
                  <c:v>3.09</c:v>
                </c:pt>
                <c:pt idx="353">
                  <c:v>2.35</c:v>
                </c:pt>
                <c:pt idx="354">
                  <c:v>2.34</c:v>
                </c:pt>
                <c:pt idx="355">
                  <c:v>2.27</c:v>
                </c:pt>
                <c:pt idx="356">
                  <c:v>2.2599999999999998</c:v>
                </c:pt>
                <c:pt idx="357">
                  <c:v>2.13</c:v>
                </c:pt>
                <c:pt idx="358">
                  <c:v>2.31</c:v>
                </c:pt>
                <c:pt idx="359">
                  <c:v>3.05</c:v>
                </c:pt>
                <c:pt idx="360">
                  <c:v>2.79</c:v>
                </c:pt>
                <c:pt idx="361">
                  <c:v>2.0699999999999998</c:v>
                </c:pt>
                <c:pt idx="362">
                  <c:v>1.95</c:v>
                </c:pt>
                <c:pt idx="363">
                  <c:v>2.4500000000000002</c:v>
                </c:pt>
                <c:pt idx="364">
                  <c:v>2.34</c:v>
                </c:pt>
                <c:pt idx="365">
                  <c:v>2.37</c:v>
                </c:pt>
                <c:pt idx="366">
                  <c:v>2.59</c:v>
                </c:pt>
                <c:pt idx="367">
                  <c:v>2.38</c:v>
                </c:pt>
                <c:pt idx="368">
                  <c:v>2.2799999999999998</c:v>
                </c:pt>
                <c:pt idx="369">
                  <c:v>2.2599999999999998</c:v>
                </c:pt>
                <c:pt idx="370">
                  <c:v>2.37</c:v>
                </c:pt>
                <c:pt idx="371">
                  <c:v>2.44</c:v>
                </c:pt>
                <c:pt idx="372">
                  <c:v>2.39</c:v>
                </c:pt>
                <c:pt idx="373">
                  <c:v>2.4900000000000002</c:v>
                </c:pt>
                <c:pt idx="374">
                  <c:v>2.48</c:v>
                </c:pt>
                <c:pt idx="375">
                  <c:v>2.52</c:v>
                </c:pt>
                <c:pt idx="376">
                  <c:v>2.4700000000000002</c:v>
                </c:pt>
                <c:pt idx="377">
                  <c:v>2.34</c:v>
                </c:pt>
                <c:pt idx="378">
                  <c:v>2.29</c:v>
                </c:pt>
                <c:pt idx="379">
                  <c:v>2.39</c:v>
                </c:pt>
                <c:pt idx="380">
                  <c:v>2.39</c:v>
                </c:pt>
                <c:pt idx="381">
                  <c:v>2.39</c:v>
                </c:pt>
                <c:pt idx="382">
                  <c:v>2.35</c:v>
                </c:pt>
                <c:pt idx="383">
                  <c:v>2.3199999999999998</c:v>
                </c:pt>
                <c:pt idx="384">
                  <c:v>2.33</c:v>
                </c:pt>
                <c:pt idx="385">
                  <c:v>2.1800000000000002</c:v>
                </c:pt>
                <c:pt idx="386">
                  <c:v>2.29</c:v>
                </c:pt>
                <c:pt idx="387">
                  <c:v>2.39</c:v>
                </c:pt>
                <c:pt idx="388">
                  <c:v>2.37</c:v>
                </c:pt>
                <c:pt idx="389">
                  <c:v>2.19</c:v>
                </c:pt>
                <c:pt idx="390">
                  <c:v>1.94</c:v>
                </c:pt>
                <c:pt idx="391">
                  <c:v>2.15</c:v>
                </c:pt>
                <c:pt idx="392">
                  <c:v>2.29</c:v>
                </c:pt>
                <c:pt idx="393">
                  <c:v>2.31</c:v>
                </c:pt>
                <c:pt idx="394">
                  <c:v>2.04</c:v>
                </c:pt>
                <c:pt idx="395">
                  <c:v>2.0699999999999998</c:v>
                </c:pt>
                <c:pt idx="396">
                  <c:v>2.16</c:v>
                </c:pt>
                <c:pt idx="397">
                  <c:v>2.39</c:v>
                </c:pt>
                <c:pt idx="398">
                  <c:v>2.39</c:v>
                </c:pt>
                <c:pt idx="399">
                  <c:v>2.39</c:v>
                </c:pt>
                <c:pt idx="400">
                  <c:v>2.29</c:v>
                </c:pt>
                <c:pt idx="401">
                  <c:v>3.09</c:v>
                </c:pt>
                <c:pt idx="402">
                  <c:v>2.02</c:v>
                </c:pt>
                <c:pt idx="403">
                  <c:v>2.4900000000000002</c:v>
                </c:pt>
                <c:pt idx="404">
                  <c:v>2.42</c:v>
                </c:pt>
                <c:pt idx="405">
                  <c:v>2.34</c:v>
                </c:pt>
                <c:pt idx="406">
                  <c:v>2.0499999999999998</c:v>
                </c:pt>
                <c:pt idx="407">
                  <c:v>2.15</c:v>
                </c:pt>
                <c:pt idx="408">
                  <c:v>2.27</c:v>
                </c:pt>
                <c:pt idx="409">
                  <c:v>2.29</c:v>
                </c:pt>
                <c:pt idx="410">
                  <c:v>2.33</c:v>
                </c:pt>
                <c:pt idx="411">
                  <c:v>2.25</c:v>
                </c:pt>
                <c:pt idx="412">
                  <c:v>2.19</c:v>
                </c:pt>
                <c:pt idx="413">
                  <c:v>2.0499999999999998</c:v>
                </c:pt>
                <c:pt idx="414">
                  <c:v>1.99</c:v>
                </c:pt>
                <c:pt idx="415">
                  <c:v>2.46</c:v>
                </c:pt>
                <c:pt idx="416">
                  <c:v>2.09</c:v>
                </c:pt>
                <c:pt idx="417">
                  <c:v>2.2599999999999998</c:v>
                </c:pt>
                <c:pt idx="418">
                  <c:v>2.61</c:v>
                </c:pt>
                <c:pt idx="419">
                  <c:v>2.15</c:v>
                </c:pt>
                <c:pt idx="420">
                  <c:v>3.89</c:v>
                </c:pt>
                <c:pt idx="421">
                  <c:v>2.15</c:v>
                </c:pt>
                <c:pt idx="422">
                  <c:v>2.14</c:v>
                </c:pt>
                <c:pt idx="423">
                  <c:v>2.99</c:v>
                </c:pt>
                <c:pt idx="424">
                  <c:v>1.99</c:v>
                </c:pt>
                <c:pt idx="425">
                  <c:v>2.29</c:v>
                </c:pt>
                <c:pt idx="426">
                  <c:v>2.79</c:v>
                </c:pt>
                <c:pt idx="427">
                  <c:v>2.29</c:v>
                </c:pt>
                <c:pt idx="428">
                  <c:v>2.1800000000000002</c:v>
                </c:pt>
                <c:pt idx="429">
                  <c:v>2.19</c:v>
                </c:pt>
                <c:pt idx="430">
                  <c:v>2.09</c:v>
                </c:pt>
                <c:pt idx="431">
                  <c:v>2.19</c:v>
                </c:pt>
                <c:pt idx="432">
                  <c:v>2.11</c:v>
                </c:pt>
                <c:pt idx="433">
                  <c:v>2.25</c:v>
                </c:pt>
                <c:pt idx="434">
                  <c:v>2.2799999999999998</c:v>
                </c:pt>
                <c:pt idx="435">
                  <c:v>2.13</c:v>
                </c:pt>
                <c:pt idx="436">
                  <c:v>2.25</c:v>
                </c:pt>
                <c:pt idx="437">
                  <c:v>2.2599999999999998</c:v>
                </c:pt>
                <c:pt idx="438">
                  <c:v>3.25</c:v>
                </c:pt>
                <c:pt idx="439">
                  <c:v>2.4900000000000002</c:v>
                </c:pt>
                <c:pt idx="440">
                  <c:v>2.2599999999999998</c:v>
                </c:pt>
                <c:pt idx="441">
                  <c:v>2.86</c:v>
                </c:pt>
                <c:pt idx="442">
                  <c:v>2.4900000000000002</c:v>
                </c:pt>
                <c:pt idx="443">
                  <c:v>2.09</c:v>
                </c:pt>
                <c:pt idx="444">
                  <c:v>2.35</c:v>
                </c:pt>
                <c:pt idx="445">
                  <c:v>2.15</c:v>
                </c:pt>
                <c:pt idx="446">
                  <c:v>2.19</c:v>
                </c:pt>
                <c:pt idx="447">
                  <c:v>2.35</c:v>
                </c:pt>
                <c:pt idx="448">
                  <c:v>2.17</c:v>
                </c:pt>
                <c:pt idx="449">
                  <c:v>2.35</c:v>
                </c:pt>
                <c:pt idx="450">
                  <c:v>2.27</c:v>
                </c:pt>
                <c:pt idx="451">
                  <c:v>3.39</c:v>
                </c:pt>
                <c:pt idx="452">
                  <c:v>2.27</c:v>
                </c:pt>
                <c:pt idx="453">
                  <c:v>2.39</c:v>
                </c:pt>
                <c:pt idx="454">
                  <c:v>2.29</c:v>
                </c:pt>
                <c:pt idx="455">
                  <c:v>2.27</c:v>
                </c:pt>
                <c:pt idx="456">
                  <c:v>2.2400000000000002</c:v>
                </c:pt>
                <c:pt idx="457">
                  <c:v>2.23</c:v>
                </c:pt>
                <c:pt idx="458">
                  <c:v>2.0499999999999998</c:v>
                </c:pt>
                <c:pt idx="459">
                  <c:v>2.19</c:v>
                </c:pt>
                <c:pt idx="460">
                  <c:v>2.21</c:v>
                </c:pt>
                <c:pt idx="461">
                  <c:v>2.91</c:v>
                </c:pt>
                <c:pt idx="462">
                  <c:v>2.15</c:v>
                </c:pt>
                <c:pt idx="463">
                  <c:v>2.89</c:v>
                </c:pt>
                <c:pt idx="464">
                  <c:v>2.27</c:v>
                </c:pt>
                <c:pt idx="465">
                  <c:v>2.33</c:v>
                </c:pt>
                <c:pt idx="466">
                  <c:v>2.4900000000000002</c:v>
                </c:pt>
                <c:pt idx="467">
                  <c:v>2.35</c:v>
                </c:pt>
                <c:pt idx="468">
                  <c:v>2.99</c:v>
                </c:pt>
                <c:pt idx="469">
                  <c:v>1.99</c:v>
                </c:pt>
                <c:pt idx="470">
                  <c:v>2.75</c:v>
                </c:pt>
                <c:pt idx="471">
                  <c:v>2.29</c:v>
                </c:pt>
                <c:pt idx="472">
                  <c:v>2.35</c:v>
                </c:pt>
                <c:pt idx="473">
                  <c:v>2.23</c:v>
                </c:pt>
                <c:pt idx="474">
                  <c:v>2.59</c:v>
                </c:pt>
                <c:pt idx="475">
                  <c:v>2.35</c:v>
                </c:pt>
                <c:pt idx="476">
                  <c:v>2.29</c:v>
                </c:pt>
                <c:pt idx="477">
                  <c:v>2.4900000000000002</c:v>
                </c:pt>
                <c:pt idx="478">
                  <c:v>2.19</c:v>
                </c:pt>
                <c:pt idx="479">
                  <c:v>3.09</c:v>
                </c:pt>
                <c:pt idx="480">
                  <c:v>1.99</c:v>
                </c:pt>
                <c:pt idx="481">
                  <c:v>3.09</c:v>
                </c:pt>
                <c:pt idx="482">
                  <c:v>2.59</c:v>
                </c:pt>
                <c:pt idx="483">
                  <c:v>2.35</c:v>
                </c:pt>
                <c:pt idx="484">
                  <c:v>2.89</c:v>
                </c:pt>
                <c:pt idx="485">
                  <c:v>2.29</c:v>
                </c:pt>
                <c:pt idx="486">
                  <c:v>2.0699999999999998</c:v>
                </c:pt>
                <c:pt idx="487">
                  <c:v>2.29</c:v>
                </c:pt>
                <c:pt idx="488">
                  <c:v>3.09</c:v>
                </c:pt>
                <c:pt idx="489">
                  <c:v>2.4500000000000002</c:v>
                </c:pt>
                <c:pt idx="490">
                  <c:v>2.35</c:v>
                </c:pt>
                <c:pt idx="491">
                  <c:v>2.4300000000000002</c:v>
                </c:pt>
                <c:pt idx="492">
                  <c:v>2.21</c:v>
                </c:pt>
                <c:pt idx="493">
                  <c:v>2.5499999999999998</c:v>
                </c:pt>
                <c:pt idx="494">
                  <c:v>2.59</c:v>
                </c:pt>
                <c:pt idx="495">
                  <c:v>2.31</c:v>
                </c:pt>
                <c:pt idx="496">
                  <c:v>2.59</c:v>
                </c:pt>
                <c:pt idx="497">
                  <c:v>2.19</c:v>
                </c:pt>
                <c:pt idx="498">
                  <c:v>2.39</c:v>
                </c:pt>
                <c:pt idx="499">
                  <c:v>1.99</c:v>
                </c:pt>
                <c:pt idx="500">
                  <c:v>2.79</c:v>
                </c:pt>
                <c:pt idx="501">
                  <c:v>3.09</c:v>
                </c:pt>
                <c:pt idx="502">
                  <c:v>2.2200000000000002</c:v>
                </c:pt>
                <c:pt idx="503">
                  <c:v>2.4700000000000002</c:v>
                </c:pt>
                <c:pt idx="504">
                  <c:v>2.35</c:v>
                </c:pt>
                <c:pt idx="505">
                  <c:v>2.4300000000000002</c:v>
                </c:pt>
                <c:pt idx="506">
                  <c:v>2.39</c:v>
                </c:pt>
                <c:pt idx="507">
                  <c:v>2.29</c:v>
                </c:pt>
                <c:pt idx="508">
                  <c:v>2.59</c:v>
                </c:pt>
                <c:pt idx="509">
                  <c:v>2.95</c:v>
                </c:pt>
                <c:pt idx="510">
                  <c:v>2.4900000000000002</c:v>
                </c:pt>
                <c:pt idx="511">
                  <c:v>2.4900000000000002</c:v>
                </c:pt>
                <c:pt idx="512">
                  <c:v>2.25</c:v>
                </c:pt>
                <c:pt idx="513">
                  <c:v>2.11</c:v>
                </c:pt>
                <c:pt idx="514">
                  <c:v>3.19</c:v>
                </c:pt>
                <c:pt idx="515">
                  <c:v>2.59</c:v>
                </c:pt>
                <c:pt idx="516">
                  <c:v>2.65</c:v>
                </c:pt>
                <c:pt idx="517">
                  <c:v>2.25</c:v>
                </c:pt>
                <c:pt idx="518">
                  <c:v>2.0699999999999998</c:v>
                </c:pt>
                <c:pt idx="519">
                  <c:v>2.19</c:v>
                </c:pt>
                <c:pt idx="520">
                  <c:v>2.29</c:v>
                </c:pt>
                <c:pt idx="521">
                  <c:v>2.31</c:v>
                </c:pt>
                <c:pt idx="522">
                  <c:v>2.34</c:v>
                </c:pt>
                <c:pt idx="523">
                  <c:v>2.3199999999999998</c:v>
                </c:pt>
                <c:pt idx="524">
                  <c:v>2.2400000000000002</c:v>
                </c:pt>
                <c:pt idx="525">
                  <c:v>2.2000000000000002</c:v>
                </c:pt>
                <c:pt idx="526">
                  <c:v>2.13</c:v>
                </c:pt>
                <c:pt idx="527">
                  <c:v>2.35</c:v>
                </c:pt>
                <c:pt idx="528">
                  <c:v>1.99</c:v>
                </c:pt>
                <c:pt idx="529">
                  <c:v>2.25</c:v>
                </c:pt>
                <c:pt idx="530">
                  <c:v>2.5499999999999998</c:v>
                </c:pt>
                <c:pt idx="531">
                  <c:v>2.2400000000000002</c:v>
                </c:pt>
                <c:pt idx="532">
                  <c:v>2.09</c:v>
                </c:pt>
                <c:pt idx="533">
                  <c:v>3.09</c:v>
                </c:pt>
                <c:pt idx="534">
                  <c:v>1.96</c:v>
                </c:pt>
                <c:pt idx="535">
                  <c:v>2.4</c:v>
                </c:pt>
                <c:pt idx="536">
                  <c:v>2.09</c:v>
                </c:pt>
                <c:pt idx="537">
                  <c:v>2.5</c:v>
                </c:pt>
                <c:pt idx="538">
                  <c:v>2.35</c:v>
                </c:pt>
                <c:pt idx="539">
                  <c:v>2.99</c:v>
                </c:pt>
                <c:pt idx="540">
                  <c:v>2.09</c:v>
                </c:pt>
                <c:pt idx="541">
                  <c:v>2.65</c:v>
                </c:pt>
                <c:pt idx="542">
                  <c:v>2.2200000000000002</c:v>
                </c:pt>
                <c:pt idx="543">
                  <c:v>2.79</c:v>
                </c:pt>
                <c:pt idx="544">
                  <c:v>2.35</c:v>
                </c:pt>
                <c:pt idx="545">
                  <c:v>2.09</c:v>
                </c:pt>
                <c:pt idx="546">
                  <c:v>2.4500000000000002</c:v>
                </c:pt>
                <c:pt idx="547">
                  <c:v>2.5499999999999998</c:v>
                </c:pt>
                <c:pt idx="548">
                  <c:v>2.11</c:v>
                </c:pt>
                <c:pt idx="549">
                  <c:v>2.2599999999999998</c:v>
                </c:pt>
                <c:pt idx="550">
                  <c:v>2.69</c:v>
                </c:pt>
                <c:pt idx="551">
                  <c:v>2.59</c:v>
                </c:pt>
                <c:pt idx="552">
                  <c:v>2.0699999999999998</c:v>
                </c:pt>
                <c:pt idx="553">
                  <c:v>2.46</c:v>
                </c:pt>
                <c:pt idx="554">
                  <c:v>2.23</c:v>
                </c:pt>
                <c:pt idx="555">
                  <c:v>2.99</c:v>
                </c:pt>
                <c:pt idx="556">
                  <c:v>2.4300000000000002</c:v>
                </c:pt>
                <c:pt idx="557">
                  <c:v>2.1800000000000002</c:v>
                </c:pt>
                <c:pt idx="558">
                  <c:v>2.37</c:v>
                </c:pt>
                <c:pt idx="559">
                  <c:v>2.36</c:v>
                </c:pt>
                <c:pt idx="560">
                  <c:v>2.0699999999999998</c:v>
                </c:pt>
                <c:pt idx="561">
                  <c:v>2.31</c:v>
                </c:pt>
                <c:pt idx="562">
                  <c:v>1.99</c:v>
                </c:pt>
                <c:pt idx="563">
                  <c:v>2.13</c:v>
                </c:pt>
                <c:pt idx="564">
                  <c:v>2.19</c:v>
                </c:pt>
                <c:pt idx="565">
                  <c:v>2.15</c:v>
                </c:pt>
                <c:pt idx="566">
                  <c:v>2.4900000000000002</c:v>
                </c:pt>
                <c:pt idx="567">
                  <c:v>2.09</c:v>
                </c:pt>
                <c:pt idx="568">
                  <c:v>2.27</c:v>
                </c:pt>
                <c:pt idx="569">
                  <c:v>2.59</c:v>
                </c:pt>
                <c:pt idx="570">
                  <c:v>2.15</c:v>
                </c:pt>
                <c:pt idx="571">
                  <c:v>2.1800000000000002</c:v>
                </c:pt>
                <c:pt idx="572">
                  <c:v>2.19</c:v>
                </c:pt>
                <c:pt idx="573">
                  <c:v>2.59</c:v>
                </c:pt>
                <c:pt idx="574">
                  <c:v>2.89</c:v>
                </c:pt>
                <c:pt idx="575">
                  <c:v>2.17</c:v>
                </c:pt>
                <c:pt idx="576">
                  <c:v>2.25</c:v>
                </c:pt>
                <c:pt idx="577">
                  <c:v>2.5499999999999998</c:v>
                </c:pt>
                <c:pt idx="578">
                  <c:v>2.0699999999999998</c:v>
                </c:pt>
                <c:pt idx="579">
                  <c:v>2.89</c:v>
                </c:pt>
                <c:pt idx="580">
                  <c:v>2.15</c:v>
                </c:pt>
                <c:pt idx="581">
                  <c:v>2.23</c:v>
                </c:pt>
                <c:pt idx="582">
                  <c:v>2.4900000000000002</c:v>
                </c:pt>
                <c:pt idx="583">
                  <c:v>2.59</c:v>
                </c:pt>
                <c:pt idx="584">
                  <c:v>2.33</c:v>
                </c:pt>
                <c:pt idx="585">
                  <c:v>2.19</c:v>
                </c:pt>
                <c:pt idx="586">
                  <c:v>2.2400000000000002</c:v>
                </c:pt>
                <c:pt idx="587">
                  <c:v>2.35</c:v>
                </c:pt>
                <c:pt idx="588">
                  <c:v>3.29</c:v>
                </c:pt>
                <c:pt idx="589">
                  <c:v>2.29</c:v>
                </c:pt>
                <c:pt idx="590">
                  <c:v>2.19</c:v>
                </c:pt>
                <c:pt idx="591">
                  <c:v>2.37</c:v>
                </c:pt>
                <c:pt idx="592">
                  <c:v>2.0499999999999998</c:v>
                </c:pt>
                <c:pt idx="593">
                  <c:v>2.57</c:v>
                </c:pt>
                <c:pt idx="594">
                  <c:v>2.4700000000000002</c:v>
                </c:pt>
                <c:pt idx="595">
                  <c:v>2.23</c:v>
                </c:pt>
                <c:pt idx="596">
                  <c:v>2.42</c:v>
                </c:pt>
                <c:pt idx="597">
                  <c:v>2.29</c:v>
                </c:pt>
                <c:pt idx="598">
                  <c:v>2.33</c:v>
                </c:pt>
                <c:pt idx="599">
                  <c:v>2.35</c:v>
                </c:pt>
                <c:pt idx="600">
                  <c:v>2.59</c:v>
                </c:pt>
                <c:pt idx="601">
                  <c:v>2.29</c:v>
                </c:pt>
                <c:pt idx="602">
                  <c:v>2.21</c:v>
                </c:pt>
                <c:pt idx="603">
                  <c:v>2.59</c:v>
                </c:pt>
                <c:pt idx="604">
                  <c:v>2.19</c:v>
                </c:pt>
                <c:pt idx="605">
                  <c:v>1.93</c:v>
                </c:pt>
                <c:pt idx="606">
                  <c:v>2.95</c:v>
                </c:pt>
                <c:pt idx="607">
                  <c:v>2.15</c:v>
                </c:pt>
                <c:pt idx="608">
                  <c:v>2.09</c:v>
                </c:pt>
                <c:pt idx="609">
                  <c:v>2.0499999999999998</c:v>
                </c:pt>
                <c:pt idx="610">
                  <c:v>2.09</c:v>
                </c:pt>
                <c:pt idx="611">
                  <c:v>2.2799999999999998</c:v>
                </c:pt>
                <c:pt idx="612">
                  <c:v>2.19</c:v>
                </c:pt>
              </c:numCache>
            </c:numRef>
          </c:xVal>
          <c:yVal>
            <c:numRef>
              <c:f>'GB Credit vs. OPIS'!$B$2:$B$1048376</c:f>
              <c:numCache>
                <c:formatCode>General</c:formatCode>
                <c:ptCount val="1048375"/>
                <c:pt idx="0">
                  <c:v>2.2490000000000001</c:v>
                </c:pt>
                <c:pt idx="1">
                  <c:v>2.2389999999999999</c:v>
                </c:pt>
                <c:pt idx="2">
                  <c:v>2.2789999999999999</c:v>
                </c:pt>
                <c:pt idx="3">
                  <c:v>2.2189999999999999</c:v>
                </c:pt>
                <c:pt idx="4">
                  <c:v>2.2589999999999999</c:v>
                </c:pt>
                <c:pt idx="5">
                  <c:v>2.2789999999999999</c:v>
                </c:pt>
                <c:pt idx="6">
                  <c:v>2.1989999999999998</c:v>
                </c:pt>
                <c:pt idx="7">
                  <c:v>2.2989999999999999</c:v>
                </c:pt>
                <c:pt idx="8">
                  <c:v>2.4790000000000001</c:v>
                </c:pt>
                <c:pt idx="9">
                  <c:v>2.2989999999999999</c:v>
                </c:pt>
                <c:pt idx="10">
                  <c:v>2.419</c:v>
                </c:pt>
                <c:pt idx="11">
                  <c:v>2.5990000000000002</c:v>
                </c:pt>
                <c:pt idx="12">
                  <c:v>2.4489999999999998</c:v>
                </c:pt>
                <c:pt idx="13">
                  <c:v>2.0590000000000002</c:v>
                </c:pt>
                <c:pt idx="14">
                  <c:v>2.9990000000000001</c:v>
                </c:pt>
                <c:pt idx="15">
                  <c:v>3.2589999999999999</c:v>
                </c:pt>
                <c:pt idx="16">
                  <c:v>3.1589999999999998</c:v>
                </c:pt>
                <c:pt idx="17">
                  <c:v>2.1789999999999998</c:v>
                </c:pt>
                <c:pt idx="18">
                  <c:v>2.899</c:v>
                </c:pt>
                <c:pt idx="19">
                  <c:v>2.2789999999999999</c:v>
                </c:pt>
                <c:pt idx="20">
                  <c:v>1.9590000000000001</c:v>
                </c:pt>
                <c:pt idx="21">
                  <c:v>2.5790000000000002</c:v>
                </c:pt>
                <c:pt idx="22">
                  <c:v>2.2989999999999999</c:v>
                </c:pt>
                <c:pt idx="23">
                  <c:v>2.0489999999999999</c:v>
                </c:pt>
                <c:pt idx="24">
                  <c:v>2.5790000000000002</c:v>
                </c:pt>
                <c:pt idx="25">
                  <c:v>2.4390000000000001</c:v>
                </c:pt>
                <c:pt idx="26">
                  <c:v>2.4590000000000001</c:v>
                </c:pt>
                <c:pt idx="27">
                  <c:v>2.2589999999999999</c:v>
                </c:pt>
                <c:pt idx="28">
                  <c:v>2.2389999999999999</c:v>
                </c:pt>
                <c:pt idx="29">
                  <c:v>3.0190000000000001</c:v>
                </c:pt>
                <c:pt idx="30">
                  <c:v>2.1389999999999998</c:v>
                </c:pt>
                <c:pt idx="31">
                  <c:v>2.319</c:v>
                </c:pt>
                <c:pt idx="32">
                  <c:v>2.0990000000000002</c:v>
                </c:pt>
                <c:pt idx="33">
                  <c:v>2.9390000000000001</c:v>
                </c:pt>
                <c:pt idx="34">
                  <c:v>2.0990000000000002</c:v>
                </c:pt>
                <c:pt idx="35">
                  <c:v>2.629</c:v>
                </c:pt>
                <c:pt idx="36">
                  <c:v>2.2989999999999999</c:v>
                </c:pt>
                <c:pt idx="37">
                  <c:v>2.2989999999999999</c:v>
                </c:pt>
                <c:pt idx="38">
                  <c:v>2.4990000000000001</c:v>
                </c:pt>
                <c:pt idx="39">
                  <c:v>2.0590000000000002</c:v>
                </c:pt>
                <c:pt idx="40">
                  <c:v>1.9590000000000001</c:v>
                </c:pt>
                <c:pt idx="41">
                  <c:v>2.4590000000000001</c:v>
                </c:pt>
                <c:pt idx="42">
                  <c:v>2.0990000000000002</c:v>
                </c:pt>
                <c:pt idx="43">
                  <c:v>2.2490000000000001</c:v>
                </c:pt>
                <c:pt idx="44">
                  <c:v>2.2189999999999999</c:v>
                </c:pt>
                <c:pt idx="45">
                  <c:v>2.5990000000000002</c:v>
                </c:pt>
                <c:pt idx="46">
                  <c:v>2.0990000000000002</c:v>
                </c:pt>
                <c:pt idx="47">
                  <c:v>2.149</c:v>
                </c:pt>
                <c:pt idx="48">
                  <c:v>2.3090000000000002</c:v>
                </c:pt>
                <c:pt idx="49">
                  <c:v>2.2890000000000001</c:v>
                </c:pt>
                <c:pt idx="50">
                  <c:v>2.7589999999999999</c:v>
                </c:pt>
                <c:pt idx="51">
                  <c:v>3.0990000000000002</c:v>
                </c:pt>
                <c:pt idx="52">
                  <c:v>2.1989999999999998</c:v>
                </c:pt>
                <c:pt idx="53">
                  <c:v>2.399</c:v>
                </c:pt>
                <c:pt idx="54">
                  <c:v>2.0790000000000002</c:v>
                </c:pt>
                <c:pt idx="55">
                  <c:v>2.2589999999999999</c:v>
                </c:pt>
                <c:pt idx="56">
                  <c:v>2.2789999999999999</c:v>
                </c:pt>
                <c:pt idx="57">
                  <c:v>2.2690000000000001</c:v>
                </c:pt>
                <c:pt idx="58">
                  <c:v>2.1589999999999998</c:v>
                </c:pt>
                <c:pt idx="59">
                  <c:v>1.9990000000000001</c:v>
                </c:pt>
                <c:pt idx="60">
                  <c:v>3.129</c:v>
                </c:pt>
                <c:pt idx="61">
                  <c:v>2.6989999999999998</c:v>
                </c:pt>
                <c:pt idx="62">
                  <c:v>2.3690000000000002</c:v>
                </c:pt>
                <c:pt idx="63">
                  <c:v>2.1589999999999998</c:v>
                </c:pt>
                <c:pt idx="64">
                  <c:v>2.2290000000000001</c:v>
                </c:pt>
                <c:pt idx="65">
                  <c:v>2.1589999999999998</c:v>
                </c:pt>
                <c:pt idx="66">
                  <c:v>2.2690000000000001</c:v>
                </c:pt>
                <c:pt idx="67">
                  <c:v>2.2490000000000001</c:v>
                </c:pt>
                <c:pt idx="68">
                  <c:v>2.319</c:v>
                </c:pt>
                <c:pt idx="69">
                  <c:v>2.4289999999999998</c:v>
                </c:pt>
                <c:pt idx="70">
                  <c:v>2.1989999999999998</c:v>
                </c:pt>
                <c:pt idx="71">
                  <c:v>2.0790000000000002</c:v>
                </c:pt>
                <c:pt idx="72">
                  <c:v>2.2090000000000001</c:v>
                </c:pt>
                <c:pt idx="73">
                  <c:v>2.4489999999999998</c:v>
                </c:pt>
                <c:pt idx="74">
                  <c:v>2.339</c:v>
                </c:pt>
                <c:pt idx="75">
                  <c:v>2.0990000000000002</c:v>
                </c:pt>
                <c:pt idx="76">
                  <c:v>2.2189999999999999</c:v>
                </c:pt>
                <c:pt idx="77">
                  <c:v>2.5289999999999999</c:v>
                </c:pt>
                <c:pt idx="78">
                  <c:v>2.1589999999999998</c:v>
                </c:pt>
                <c:pt idx="79">
                  <c:v>2.4390000000000001</c:v>
                </c:pt>
                <c:pt idx="80">
                  <c:v>2.0790000000000002</c:v>
                </c:pt>
                <c:pt idx="81">
                  <c:v>2.2389999999999999</c:v>
                </c:pt>
                <c:pt idx="82">
                  <c:v>2.0990000000000002</c:v>
                </c:pt>
                <c:pt idx="83">
                  <c:v>2.0489999999999999</c:v>
                </c:pt>
                <c:pt idx="84">
                  <c:v>1.9490000000000001</c:v>
                </c:pt>
                <c:pt idx="85">
                  <c:v>1.9690000000000001</c:v>
                </c:pt>
                <c:pt idx="86">
                  <c:v>2.2589999999999999</c:v>
                </c:pt>
                <c:pt idx="87">
                  <c:v>2.319</c:v>
                </c:pt>
                <c:pt idx="88">
                  <c:v>2.3490000000000002</c:v>
                </c:pt>
                <c:pt idx="89">
                  <c:v>2.2589999999999999</c:v>
                </c:pt>
                <c:pt idx="90">
                  <c:v>2.2189999999999999</c:v>
                </c:pt>
                <c:pt idx="91">
                  <c:v>2.3490000000000002</c:v>
                </c:pt>
                <c:pt idx="92">
                  <c:v>2.4990000000000001</c:v>
                </c:pt>
                <c:pt idx="93">
                  <c:v>2.0590000000000002</c:v>
                </c:pt>
                <c:pt idx="94">
                  <c:v>2.7589999999999999</c:v>
                </c:pt>
                <c:pt idx="95">
                  <c:v>2.2189999999999999</c:v>
                </c:pt>
                <c:pt idx="96">
                  <c:v>2.399</c:v>
                </c:pt>
                <c:pt idx="97">
                  <c:v>2.1589999999999998</c:v>
                </c:pt>
                <c:pt idx="98">
                  <c:v>2.4990000000000001</c:v>
                </c:pt>
                <c:pt idx="99">
                  <c:v>2.5990000000000002</c:v>
                </c:pt>
                <c:pt idx="100">
                  <c:v>2.5990000000000002</c:v>
                </c:pt>
                <c:pt idx="101">
                  <c:v>2.5990000000000002</c:v>
                </c:pt>
                <c:pt idx="102">
                  <c:v>2.4390000000000001</c:v>
                </c:pt>
                <c:pt idx="103">
                  <c:v>2.2690000000000001</c:v>
                </c:pt>
                <c:pt idx="104">
                  <c:v>2.2890000000000001</c:v>
                </c:pt>
                <c:pt idx="105">
                  <c:v>2.3290000000000002</c:v>
                </c:pt>
                <c:pt idx="106">
                  <c:v>2.4990000000000001</c:v>
                </c:pt>
                <c:pt idx="107">
                  <c:v>2.359</c:v>
                </c:pt>
                <c:pt idx="108">
                  <c:v>2.4990000000000001</c:v>
                </c:pt>
                <c:pt idx="109">
                  <c:v>2.149</c:v>
                </c:pt>
                <c:pt idx="110">
                  <c:v>2.5990000000000002</c:v>
                </c:pt>
                <c:pt idx="111">
                  <c:v>2.0790000000000002</c:v>
                </c:pt>
                <c:pt idx="112">
                  <c:v>2.399</c:v>
                </c:pt>
                <c:pt idx="113">
                  <c:v>2.2490000000000001</c:v>
                </c:pt>
                <c:pt idx="114">
                  <c:v>2.9590000000000001</c:v>
                </c:pt>
                <c:pt idx="115">
                  <c:v>2.2389999999999999</c:v>
                </c:pt>
                <c:pt idx="116">
                  <c:v>2.9990000000000001</c:v>
                </c:pt>
                <c:pt idx="117">
                  <c:v>2.6589999999999998</c:v>
                </c:pt>
                <c:pt idx="118">
                  <c:v>2.169</c:v>
                </c:pt>
                <c:pt idx="119">
                  <c:v>2.319</c:v>
                </c:pt>
                <c:pt idx="120">
                  <c:v>2.2389999999999999</c:v>
                </c:pt>
                <c:pt idx="121">
                  <c:v>2.3290000000000002</c:v>
                </c:pt>
                <c:pt idx="122">
                  <c:v>2.9590000000000001</c:v>
                </c:pt>
                <c:pt idx="123">
                  <c:v>2.0590000000000002</c:v>
                </c:pt>
                <c:pt idx="124">
                  <c:v>2.5590000000000002</c:v>
                </c:pt>
                <c:pt idx="125">
                  <c:v>2.1989999999999998</c:v>
                </c:pt>
                <c:pt idx="126">
                  <c:v>2.2589999999999999</c:v>
                </c:pt>
                <c:pt idx="127">
                  <c:v>2.2989999999999999</c:v>
                </c:pt>
                <c:pt idx="128">
                  <c:v>2.2490000000000001</c:v>
                </c:pt>
                <c:pt idx="129">
                  <c:v>3.1989999999999998</c:v>
                </c:pt>
                <c:pt idx="130">
                  <c:v>3.1589999999999998</c:v>
                </c:pt>
                <c:pt idx="131">
                  <c:v>2.6989999999999998</c:v>
                </c:pt>
                <c:pt idx="132">
                  <c:v>2.2589999999999999</c:v>
                </c:pt>
                <c:pt idx="133">
                  <c:v>2.9590000000000001</c:v>
                </c:pt>
                <c:pt idx="134">
                  <c:v>2.0990000000000002</c:v>
                </c:pt>
                <c:pt idx="135">
                  <c:v>2.6589999999999998</c:v>
                </c:pt>
                <c:pt idx="136">
                  <c:v>2.2490000000000001</c:v>
                </c:pt>
                <c:pt idx="137">
                  <c:v>2.1789999999999998</c:v>
                </c:pt>
                <c:pt idx="138">
                  <c:v>2.2490000000000001</c:v>
                </c:pt>
                <c:pt idx="139">
                  <c:v>2.2189999999999999</c:v>
                </c:pt>
                <c:pt idx="140">
                  <c:v>2.2189999999999999</c:v>
                </c:pt>
                <c:pt idx="141">
                  <c:v>2.1989999999999998</c:v>
                </c:pt>
                <c:pt idx="142">
                  <c:v>2.1989999999999998</c:v>
                </c:pt>
                <c:pt idx="143">
                  <c:v>2.2490000000000001</c:v>
                </c:pt>
                <c:pt idx="144">
                  <c:v>2.1989999999999998</c:v>
                </c:pt>
                <c:pt idx="145">
                  <c:v>2.2389999999999999</c:v>
                </c:pt>
                <c:pt idx="146">
                  <c:v>2.0990000000000002</c:v>
                </c:pt>
                <c:pt idx="147">
                  <c:v>1.9990000000000001</c:v>
                </c:pt>
                <c:pt idx="148">
                  <c:v>2.0990000000000002</c:v>
                </c:pt>
                <c:pt idx="149">
                  <c:v>2.5990000000000002</c:v>
                </c:pt>
                <c:pt idx="150">
                  <c:v>2.899</c:v>
                </c:pt>
                <c:pt idx="151">
                  <c:v>2.359</c:v>
                </c:pt>
                <c:pt idx="152">
                  <c:v>2.319</c:v>
                </c:pt>
                <c:pt idx="153">
                  <c:v>2.3490000000000002</c:v>
                </c:pt>
                <c:pt idx="154">
                  <c:v>2.3490000000000002</c:v>
                </c:pt>
                <c:pt idx="155">
                  <c:v>1.9990000000000001</c:v>
                </c:pt>
                <c:pt idx="156">
                  <c:v>2.379</c:v>
                </c:pt>
                <c:pt idx="157">
                  <c:v>2.1989999999999998</c:v>
                </c:pt>
                <c:pt idx="158">
                  <c:v>2.4590000000000001</c:v>
                </c:pt>
                <c:pt idx="159">
                  <c:v>2.4990000000000001</c:v>
                </c:pt>
                <c:pt idx="160">
                  <c:v>2.6190000000000002</c:v>
                </c:pt>
                <c:pt idx="161">
                  <c:v>2.879</c:v>
                </c:pt>
                <c:pt idx="162">
                  <c:v>2.319</c:v>
                </c:pt>
                <c:pt idx="163">
                  <c:v>2.0590000000000002</c:v>
                </c:pt>
                <c:pt idx="164">
                  <c:v>3.1389999999999998</c:v>
                </c:pt>
                <c:pt idx="165">
                  <c:v>2.7989999999999999</c:v>
                </c:pt>
                <c:pt idx="166">
                  <c:v>2.129</c:v>
                </c:pt>
                <c:pt idx="167">
                  <c:v>2.899</c:v>
                </c:pt>
                <c:pt idx="168">
                  <c:v>2.4489999999999998</c:v>
                </c:pt>
                <c:pt idx="169">
                  <c:v>2.0590000000000002</c:v>
                </c:pt>
                <c:pt idx="170">
                  <c:v>2.2589999999999999</c:v>
                </c:pt>
                <c:pt idx="171">
                  <c:v>2.2389999999999999</c:v>
                </c:pt>
                <c:pt idx="172">
                  <c:v>2.5990000000000002</c:v>
                </c:pt>
                <c:pt idx="173">
                  <c:v>2.2989999999999999</c:v>
                </c:pt>
                <c:pt idx="174">
                  <c:v>2.1789999999999998</c:v>
                </c:pt>
                <c:pt idx="175">
                  <c:v>2.149</c:v>
                </c:pt>
                <c:pt idx="176">
                  <c:v>2.339</c:v>
                </c:pt>
                <c:pt idx="177">
                  <c:v>2.4990000000000001</c:v>
                </c:pt>
                <c:pt idx="178">
                  <c:v>2.149</c:v>
                </c:pt>
                <c:pt idx="179">
                  <c:v>1.9990000000000001</c:v>
                </c:pt>
                <c:pt idx="180">
                  <c:v>2.0990000000000002</c:v>
                </c:pt>
                <c:pt idx="181">
                  <c:v>2.899</c:v>
                </c:pt>
                <c:pt idx="182">
                  <c:v>2.9289999999999998</c:v>
                </c:pt>
                <c:pt idx="183">
                  <c:v>2.1989999999999998</c:v>
                </c:pt>
                <c:pt idx="184">
                  <c:v>2.2389999999999999</c:v>
                </c:pt>
                <c:pt idx="185">
                  <c:v>1.9690000000000001</c:v>
                </c:pt>
                <c:pt idx="186">
                  <c:v>2.0990000000000002</c:v>
                </c:pt>
                <c:pt idx="187">
                  <c:v>2.6389999999999998</c:v>
                </c:pt>
                <c:pt idx="188">
                  <c:v>3.2989999999999999</c:v>
                </c:pt>
                <c:pt idx="189">
                  <c:v>2.899</c:v>
                </c:pt>
                <c:pt idx="190">
                  <c:v>2.4590000000000001</c:v>
                </c:pt>
                <c:pt idx="191">
                  <c:v>2.0390000000000001</c:v>
                </c:pt>
                <c:pt idx="192">
                  <c:v>2.4990000000000001</c:v>
                </c:pt>
                <c:pt idx="193">
                  <c:v>1.9390000000000001</c:v>
                </c:pt>
                <c:pt idx="194">
                  <c:v>2.419</c:v>
                </c:pt>
                <c:pt idx="195">
                  <c:v>2.9990000000000001</c:v>
                </c:pt>
                <c:pt idx="196">
                  <c:v>2.3290000000000002</c:v>
                </c:pt>
                <c:pt idx="197">
                  <c:v>2.5190000000000001</c:v>
                </c:pt>
                <c:pt idx="198">
                  <c:v>2.2890000000000001</c:v>
                </c:pt>
                <c:pt idx="199">
                  <c:v>2.3290000000000002</c:v>
                </c:pt>
                <c:pt idx="200">
                  <c:v>2.359</c:v>
                </c:pt>
                <c:pt idx="201">
                  <c:v>2.6190000000000002</c:v>
                </c:pt>
                <c:pt idx="202">
                  <c:v>2.4990000000000001</c:v>
                </c:pt>
                <c:pt idx="203">
                  <c:v>2.899</c:v>
                </c:pt>
                <c:pt idx="204">
                  <c:v>2.1589999999999998</c:v>
                </c:pt>
                <c:pt idx="205">
                  <c:v>2.2989999999999999</c:v>
                </c:pt>
                <c:pt idx="206">
                  <c:v>2.7989999999999999</c:v>
                </c:pt>
                <c:pt idx="207">
                  <c:v>2.6989999999999998</c:v>
                </c:pt>
                <c:pt idx="208">
                  <c:v>2.3690000000000002</c:v>
                </c:pt>
                <c:pt idx="209">
                  <c:v>2.1989999999999998</c:v>
                </c:pt>
                <c:pt idx="210">
                  <c:v>2.5190000000000001</c:v>
                </c:pt>
                <c:pt idx="211">
                  <c:v>2.169</c:v>
                </c:pt>
                <c:pt idx="212">
                  <c:v>2.2989999999999999</c:v>
                </c:pt>
                <c:pt idx="213">
                  <c:v>2.5990000000000002</c:v>
                </c:pt>
                <c:pt idx="214">
                  <c:v>2.1589999999999998</c:v>
                </c:pt>
                <c:pt idx="215">
                  <c:v>2.5990000000000002</c:v>
                </c:pt>
                <c:pt idx="216">
                  <c:v>2.2989999999999999</c:v>
                </c:pt>
                <c:pt idx="217">
                  <c:v>2.4990000000000001</c:v>
                </c:pt>
                <c:pt idx="218">
                  <c:v>2.2589999999999999</c:v>
                </c:pt>
                <c:pt idx="219">
                  <c:v>1.9990000000000001</c:v>
                </c:pt>
                <c:pt idx="220">
                  <c:v>2.4990000000000001</c:v>
                </c:pt>
                <c:pt idx="221">
                  <c:v>2.169</c:v>
                </c:pt>
                <c:pt idx="222">
                  <c:v>2.2989999999999999</c:v>
                </c:pt>
                <c:pt idx="223">
                  <c:v>2.399</c:v>
                </c:pt>
                <c:pt idx="224">
                  <c:v>2.0990000000000002</c:v>
                </c:pt>
                <c:pt idx="225">
                  <c:v>2.2989999999999999</c:v>
                </c:pt>
                <c:pt idx="226">
                  <c:v>2.4990000000000001</c:v>
                </c:pt>
                <c:pt idx="227">
                  <c:v>1.9990000000000001</c:v>
                </c:pt>
                <c:pt idx="228">
                  <c:v>2.1589999999999998</c:v>
                </c:pt>
                <c:pt idx="229">
                  <c:v>2.2789999999999999</c:v>
                </c:pt>
                <c:pt idx="230">
                  <c:v>2.0590000000000002</c:v>
                </c:pt>
                <c:pt idx="231">
                  <c:v>2.5990000000000002</c:v>
                </c:pt>
                <c:pt idx="232">
                  <c:v>2.169</c:v>
                </c:pt>
                <c:pt idx="233">
                  <c:v>2.2189999999999999</c:v>
                </c:pt>
                <c:pt idx="234">
                  <c:v>2.4289999999999998</c:v>
                </c:pt>
                <c:pt idx="235">
                  <c:v>2.2989999999999999</c:v>
                </c:pt>
                <c:pt idx="236">
                  <c:v>2.2490000000000001</c:v>
                </c:pt>
                <c:pt idx="237">
                  <c:v>1.9990000000000001</c:v>
                </c:pt>
                <c:pt idx="238">
                  <c:v>2.1989999999999998</c:v>
                </c:pt>
                <c:pt idx="239">
                  <c:v>2.1789999999999998</c:v>
                </c:pt>
                <c:pt idx="240">
                  <c:v>2.319</c:v>
                </c:pt>
                <c:pt idx="241">
                  <c:v>1.9590000000000001</c:v>
                </c:pt>
                <c:pt idx="242">
                  <c:v>2.2989999999999999</c:v>
                </c:pt>
                <c:pt idx="243">
                  <c:v>2.399</c:v>
                </c:pt>
                <c:pt idx="244">
                  <c:v>2.4590000000000001</c:v>
                </c:pt>
                <c:pt idx="245">
                  <c:v>2.4990000000000001</c:v>
                </c:pt>
                <c:pt idx="246">
                  <c:v>2.4390000000000001</c:v>
                </c:pt>
                <c:pt idx="247">
                  <c:v>2.1989999999999998</c:v>
                </c:pt>
                <c:pt idx="248">
                  <c:v>2.2389999999999999</c:v>
                </c:pt>
                <c:pt idx="249">
                  <c:v>2.4590000000000001</c:v>
                </c:pt>
                <c:pt idx="250">
                  <c:v>2.399</c:v>
                </c:pt>
                <c:pt idx="251">
                  <c:v>2.4590000000000001</c:v>
                </c:pt>
                <c:pt idx="252">
                  <c:v>2.4990000000000001</c:v>
                </c:pt>
                <c:pt idx="253">
                  <c:v>2.4790000000000001</c:v>
                </c:pt>
                <c:pt idx="254">
                  <c:v>2.339</c:v>
                </c:pt>
                <c:pt idx="255">
                  <c:v>2.2989999999999999</c:v>
                </c:pt>
                <c:pt idx="256">
                  <c:v>2.3490000000000002</c:v>
                </c:pt>
                <c:pt idx="257">
                  <c:v>2.2490000000000001</c:v>
                </c:pt>
                <c:pt idx="258">
                  <c:v>2.2989999999999999</c:v>
                </c:pt>
                <c:pt idx="259">
                  <c:v>2.3690000000000002</c:v>
                </c:pt>
                <c:pt idx="260">
                  <c:v>2.1989999999999998</c:v>
                </c:pt>
                <c:pt idx="261">
                  <c:v>2.2989999999999999</c:v>
                </c:pt>
                <c:pt idx="262">
                  <c:v>2.2589999999999999</c:v>
                </c:pt>
                <c:pt idx="263">
                  <c:v>2.2989999999999999</c:v>
                </c:pt>
                <c:pt idx="264">
                  <c:v>2.2589999999999999</c:v>
                </c:pt>
                <c:pt idx="265">
                  <c:v>2.4489999999999998</c:v>
                </c:pt>
                <c:pt idx="266">
                  <c:v>2.399</c:v>
                </c:pt>
                <c:pt idx="267">
                  <c:v>2.4390000000000001</c:v>
                </c:pt>
                <c:pt idx="268">
                  <c:v>2.1989999999999998</c:v>
                </c:pt>
                <c:pt idx="269">
                  <c:v>3.0590000000000002</c:v>
                </c:pt>
                <c:pt idx="270">
                  <c:v>2.379</c:v>
                </c:pt>
                <c:pt idx="271">
                  <c:v>2.1989999999999998</c:v>
                </c:pt>
                <c:pt idx="272">
                  <c:v>2.359</c:v>
                </c:pt>
                <c:pt idx="273">
                  <c:v>2.0990000000000002</c:v>
                </c:pt>
                <c:pt idx="274">
                  <c:v>2.2789999999999999</c:v>
                </c:pt>
                <c:pt idx="275">
                  <c:v>2.149</c:v>
                </c:pt>
                <c:pt idx="276">
                  <c:v>1.9890000000000001</c:v>
                </c:pt>
                <c:pt idx="277">
                  <c:v>2.149</c:v>
                </c:pt>
                <c:pt idx="278">
                  <c:v>2.0190000000000001</c:v>
                </c:pt>
                <c:pt idx="279">
                  <c:v>2.1589999999999998</c:v>
                </c:pt>
                <c:pt idx="280">
                  <c:v>2.5590000000000002</c:v>
                </c:pt>
                <c:pt idx="281">
                  <c:v>2.1989999999999998</c:v>
                </c:pt>
                <c:pt idx="282">
                  <c:v>2.0990000000000002</c:v>
                </c:pt>
                <c:pt idx="283">
                  <c:v>2.1589999999999998</c:v>
                </c:pt>
                <c:pt idx="284">
                  <c:v>1.9990000000000001</c:v>
                </c:pt>
                <c:pt idx="285">
                  <c:v>2.149</c:v>
                </c:pt>
                <c:pt idx="286">
                  <c:v>2.379</c:v>
                </c:pt>
                <c:pt idx="287">
                  <c:v>2.7989999999999999</c:v>
                </c:pt>
                <c:pt idx="288">
                  <c:v>2.399</c:v>
                </c:pt>
                <c:pt idx="289">
                  <c:v>2.359</c:v>
                </c:pt>
                <c:pt idx="290">
                  <c:v>3.0990000000000002</c:v>
                </c:pt>
                <c:pt idx="291">
                  <c:v>2.899</c:v>
                </c:pt>
                <c:pt idx="292">
                  <c:v>2.399</c:v>
                </c:pt>
                <c:pt idx="293">
                  <c:v>2.1589999999999998</c:v>
                </c:pt>
                <c:pt idx="294">
                  <c:v>2.339</c:v>
                </c:pt>
                <c:pt idx="295">
                  <c:v>2.089</c:v>
                </c:pt>
                <c:pt idx="296">
                  <c:v>2.2189999999999999</c:v>
                </c:pt>
                <c:pt idx="297">
                  <c:v>2.2389999999999999</c:v>
                </c:pt>
                <c:pt idx="298">
                  <c:v>2.2389999999999999</c:v>
                </c:pt>
                <c:pt idx="299">
                  <c:v>2.2789999999999999</c:v>
                </c:pt>
                <c:pt idx="300">
                  <c:v>2.2989999999999999</c:v>
                </c:pt>
                <c:pt idx="301">
                  <c:v>2.2789999999999999</c:v>
                </c:pt>
                <c:pt idx="302">
                  <c:v>2.2389999999999999</c:v>
                </c:pt>
                <c:pt idx="303">
                  <c:v>2.2490000000000001</c:v>
                </c:pt>
                <c:pt idx="304">
                  <c:v>2.2989999999999999</c:v>
                </c:pt>
                <c:pt idx="305">
                  <c:v>2.4089999999999998</c:v>
                </c:pt>
                <c:pt idx="306">
                  <c:v>2.0190000000000001</c:v>
                </c:pt>
                <c:pt idx="307">
                  <c:v>2.149</c:v>
                </c:pt>
                <c:pt idx="308">
                  <c:v>2.0790000000000002</c:v>
                </c:pt>
                <c:pt idx="309">
                  <c:v>2.0790000000000002</c:v>
                </c:pt>
                <c:pt idx="310">
                  <c:v>2.0990000000000002</c:v>
                </c:pt>
                <c:pt idx="311">
                  <c:v>2.1789999999999998</c:v>
                </c:pt>
                <c:pt idx="312">
                  <c:v>1.9990000000000001</c:v>
                </c:pt>
                <c:pt idx="313">
                  <c:v>2.1589999999999998</c:v>
                </c:pt>
                <c:pt idx="314">
                  <c:v>2.0590000000000002</c:v>
                </c:pt>
                <c:pt idx="315">
                  <c:v>2.0590000000000002</c:v>
                </c:pt>
                <c:pt idx="316">
                  <c:v>2.1589999999999998</c:v>
                </c:pt>
                <c:pt idx="317">
                  <c:v>2.0390000000000001</c:v>
                </c:pt>
                <c:pt idx="318">
                  <c:v>2.0590000000000002</c:v>
                </c:pt>
                <c:pt idx="319">
                  <c:v>2.1589999999999998</c:v>
                </c:pt>
                <c:pt idx="320">
                  <c:v>1.9990000000000001</c:v>
                </c:pt>
                <c:pt idx="321">
                  <c:v>2.089</c:v>
                </c:pt>
                <c:pt idx="322">
                  <c:v>2.0790000000000002</c:v>
                </c:pt>
                <c:pt idx="323">
                  <c:v>1.9990000000000001</c:v>
                </c:pt>
                <c:pt idx="324">
                  <c:v>1.9990000000000001</c:v>
                </c:pt>
                <c:pt idx="325">
                  <c:v>2.7290000000000001</c:v>
                </c:pt>
                <c:pt idx="326">
                  <c:v>2.9790000000000001</c:v>
                </c:pt>
                <c:pt idx="327">
                  <c:v>2.6589999999999998</c:v>
                </c:pt>
                <c:pt idx="328">
                  <c:v>2.0790000000000002</c:v>
                </c:pt>
                <c:pt idx="329">
                  <c:v>2.1389999999999998</c:v>
                </c:pt>
                <c:pt idx="330">
                  <c:v>2.0990000000000002</c:v>
                </c:pt>
                <c:pt idx="331">
                  <c:v>2.2589999999999999</c:v>
                </c:pt>
                <c:pt idx="332">
                  <c:v>2.3490000000000002</c:v>
                </c:pt>
                <c:pt idx="333">
                  <c:v>2.1989999999999998</c:v>
                </c:pt>
                <c:pt idx="334">
                  <c:v>2.3490000000000002</c:v>
                </c:pt>
                <c:pt idx="335">
                  <c:v>2.9390000000000001</c:v>
                </c:pt>
                <c:pt idx="336">
                  <c:v>2.629</c:v>
                </c:pt>
                <c:pt idx="337">
                  <c:v>2.2789999999999999</c:v>
                </c:pt>
                <c:pt idx="338">
                  <c:v>1.9990000000000001</c:v>
                </c:pt>
                <c:pt idx="339">
                  <c:v>2.1989999999999998</c:v>
                </c:pt>
                <c:pt idx="340">
                  <c:v>2.4990000000000001</c:v>
                </c:pt>
                <c:pt idx="341">
                  <c:v>2.399</c:v>
                </c:pt>
                <c:pt idx="342">
                  <c:v>2.2989999999999999</c:v>
                </c:pt>
                <c:pt idx="343">
                  <c:v>2.9990000000000001</c:v>
                </c:pt>
                <c:pt idx="344">
                  <c:v>1.9690000000000001</c:v>
                </c:pt>
                <c:pt idx="345">
                  <c:v>2.859</c:v>
                </c:pt>
                <c:pt idx="346">
                  <c:v>2.0790000000000002</c:v>
                </c:pt>
                <c:pt idx="347">
                  <c:v>2.1989999999999998</c:v>
                </c:pt>
                <c:pt idx="348">
                  <c:v>2.4689999999999999</c:v>
                </c:pt>
                <c:pt idx="349">
                  <c:v>2.7989999999999999</c:v>
                </c:pt>
                <c:pt idx="350">
                  <c:v>2.399</c:v>
                </c:pt>
                <c:pt idx="351">
                  <c:v>2.9990000000000001</c:v>
                </c:pt>
                <c:pt idx="352">
                  <c:v>3.0990000000000002</c:v>
                </c:pt>
                <c:pt idx="353">
                  <c:v>2.3490000000000002</c:v>
                </c:pt>
                <c:pt idx="354">
                  <c:v>2.3490000000000002</c:v>
                </c:pt>
                <c:pt idx="355">
                  <c:v>2.2989999999999999</c:v>
                </c:pt>
                <c:pt idx="356">
                  <c:v>2.2690000000000001</c:v>
                </c:pt>
                <c:pt idx="357">
                  <c:v>2.1389999999999998</c:v>
                </c:pt>
                <c:pt idx="358">
                  <c:v>2.319</c:v>
                </c:pt>
                <c:pt idx="359">
                  <c:v>3.0590000000000002</c:v>
                </c:pt>
                <c:pt idx="360">
                  <c:v>2.7989999999999999</c:v>
                </c:pt>
                <c:pt idx="361">
                  <c:v>2.129</c:v>
                </c:pt>
                <c:pt idx="362">
                  <c:v>1.9590000000000001</c:v>
                </c:pt>
                <c:pt idx="363">
                  <c:v>2.4590000000000001</c:v>
                </c:pt>
                <c:pt idx="364">
                  <c:v>2.3490000000000002</c:v>
                </c:pt>
                <c:pt idx="365">
                  <c:v>2.379</c:v>
                </c:pt>
                <c:pt idx="366">
                  <c:v>2.4990000000000001</c:v>
                </c:pt>
                <c:pt idx="367">
                  <c:v>2.3889999999999998</c:v>
                </c:pt>
                <c:pt idx="368">
                  <c:v>2.2890000000000001</c:v>
                </c:pt>
                <c:pt idx="369">
                  <c:v>2.2690000000000001</c:v>
                </c:pt>
                <c:pt idx="370">
                  <c:v>2.379</c:v>
                </c:pt>
                <c:pt idx="371">
                  <c:v>2.4489999999999998</c:v>
                </c:pt>
                <c:pt idx="372">
                  <c:v>2.399</c:v>
                </c:pt>
                <c:pt idx="373">
                  <c:v>2.4990000000000001</c:v>
                </c:pt>
                <c:pt idx="374">
                  <c:v>2.4390000000000001</c:v>
                </c:pt>
                <c:pt idx="375">
                  <c:v>2.5289999999999999</c:v>
                </c:pt>
                <c:pt idx="376">
                  <c:v>2.4790000000000001</c:v>
                </c:pt>
                <c:pt idx="377">
                  <c:v>2.3490000000000002</c:v>
                </c:pt>
                <c:pt idx="378">
                  <c:v>2.2989999999999999</c:v>
                </c:pt>
                <c:pt idx="379">
                  <c:v>2.3290000000000002</c:v>
                </c:pt>
                <c:pt idx="380">
                  <c:v>2.399</c:v>
                </c:pt>
                <c:pt idx="381">
                  <c:v>2.379</c:v>
                </c:pt>
                <c:pt idx="382">
                  <c:v>2.359</c:v>
                </c:pt>
                <c:pt idx="383">
                  <c:v>2.339</c:v>
                </c:pt>
                <c:pt idx="384">
                  <c:v>2.339</c:v>
                </c:pt>
                <c:pt idx="385">
                  <c:v>2.149</c:v>
                </c:pt>
                <c:pt idx="386">
                  <c:v>2.2989999999999999</c:v>
                </c:pt>
                <c:pt idx="387">
                  <c:v>2.359</c:v>
                </c:pt>
                <c:pt idx="388">
                  <c:v>2.379</c:v>
                </c:pt>
                <c:pt idx="389">
                  <c:v>2.1989999999999998</c:v>
                </c:pt>
                <c:pt idx="390">
                  <c:v>1.9490000000000001</c:v>
                </c:pt>
                <c:pt idx="391">
                  <c:v>2.0390000000000001</c:v>
                </c:pt>
                <c:pt idx="392">
                  <c:v>2.2989999999999999</c:v>
                </c:pt>
                <c:pt idx="393">
                  <c:v>2.319</c:v>
                </c:pt>
                <c:pt idx="394">
                  <c:v>2.0489999999999999</c:v>
                </c:pt>
                <c:pt idx="395">
                  <c:v>2.0990000000000002</c:v>
                </c:pt>
                <c:pt idx="396">
                  <c:v>2.169</c:v>
                </c:pt>
                <c:pt idx="397">
                  <c:v>2.399</c:v>
                </c:pt>
                <c:pt idx="398">
                  <c:v>2.399</c:v>
                </c:pt>
                <c:pt idx="399">
                  <c:v>2.399</c:v>
                </c:pt>
                <c:pt idx="400">
                  <c:v>2.2989999999999999</c:v>
                </c:pt>
                <c:pt idx="401">
                  <c:v>3.0990000000000002</c:v>
                </c:pt>
                <c:pt idx="402">
                  <c:v>2.0289999999999999</c:v>
                </c:pt>
                <c:pt idx="403">
                  <c:v>2.4990000000000001</c:v>
                </c:pt>
                <c:pt idx="404">
                  <c:v>2.4289999999999998</c:v>
                </c:pt>
                <c:pt idx="405">
                  <c:v>2.2989999999999999</c:v>
                </c:pt>
                <c:pt idx="406">
                  <c:v>2.1589999999999998</c:v>
                </c:pt>
                <c:pt idx="407">
                  <c:v>2.1589999999999998</c:v>
                </c:pt>
                <c:pt idx="408">
                  <c:v>2.379</c:v>
                </c:pt>
                <c:pt idx="409">
                  <c:v>2.2989999999999999</c:v>
                </c:pt>
                <c:pt idx="410">
                  <c:v>2.339</c:v>
                </c:pt>
                <c:pt idx="411">
                  <c:v>2.2589999999999999</c:v>
                </c:pt>
                <c:pt idx="412">
                  <c:v>2.1989999999999998</c:v>
                </c:pt>
                <c:pt idx="413">
                  <c:v>2.0590000000000002</c:v>
                </c:pt>
                <c:pt idx="414">
                  <c:v>1.9990000000000001</c:v>
                </c:pt>
                <c:pt idx="415">
                  <c:v>2.4689999999999999</c:v>
                </c:pt>
                <c:pt idx="416">
                  <c:v>2.0990000000000002</c:v>
                </c:pt>
                <c:pt idx="417">
                  <c:v>2.2690000000000001</c:v>
                </c:pt>
                <c:pt idx="418">
                  <c:v>2.6190000000000002</c:v>
                </c:pt>
                <c:pt idx="419">
                  <c:v>2.1589999999999998</c:v>
                </c:pt>
                <c:pt idx="420">
                  <c:v>3.899</c:v>
                </c:pt>
                <c:pt idx="421">
                  <c:v>2.1589999999999998</c:v>
                </c:pt>
                <c:pt idx="422">
                  <c:v>2.149</c:v>
                </c:pt>
                <c:pt idx="423">
                  <c:v>2.9990000000000001</c:v>
                </c:pt>
                <c:pt idx="424">
                  <c:v>2.0489999999999999</c:v>
                </c:pt>
                <c:pt idx="425">
                  <c:v>2.2989999999999999</c:v>
                </c:pt>
                <c:pt idx="426">
                  <c:v>2.7989999999999999</c:v>
                </c:pt>
                <c:pt idx="427">
                  <c:v>2.2989999999999999</c:v>
                </c:pt>
                <c:pt idx="428">
                  <c:v>2.089</c:v>
                </c:pt>
                <c:pt idx="429">
                  <c:v>2.1989999999999998</c:v>
                </c:pt>
                <c:pt idx="430">
                  <c:v>2.0990000000000002</c:v>
                </c:pt>
                <c:pt idx="431">
                  <c:v>2.1989999999999998</c:v>
                </c:pt>
                <c:pt idx="432">
                  <c:v>2.1190000000000002</c:v>
                </c:pt>
                <c:pt idx="433">
                  <c:v>2.2589999999999999</c:v>
                </c:pt>
                <c:pt idx="434">
                  <c:v>2.2890000000000001</c:v>
                </c:pt>
                <c:pt idx="435">
                  <c:v>2.1389999999999998</c:v>
                </c:pt>
                <c:pt idx="436">
                  <c:v>2.2589999999999999</c:v>
                </c:pt>
                <c:pt idx="437">
                  <c:v>2.2490000000000001</c:v>
                </c:pt>
                <c:pt idx="438">
                  <c:v>3.2589999999999999</c:v>
                </c:pt>
                <c:pt idx="439">
                  <c:v>2.4990000000000001</c:v>
                </c:pt>
                <c:pt idx="440">
                  <c:v>2.2690000000000001</c:v>
                </c:pt>
                <c:pt idx="441">
                  <c:v>2.8690000000000002</c:v>
                </c:pt>
                <c:pt idx="442">
                  <c:v>2.4990000000000001</c:v>
                </c:pt>
                <c:pt idx="443">
                  <c:v>2.0990000000000002</c:v>
                </c:pt>
                <c:pt idx="444">
                  <c:v>2.359</c:v>
                </c:pt>
                <c:pt idx="445">
                  <c:v>2.0489999999999999</c:v>
                </c:pt>
                <c:pt idx="446">
                  <c:v>2.1989999999999998</c:v>
                </c:pt>
                <c:pt idx="447">
                  <c:v>2.359</c:v>
                </c:pt>
                <c:pt idx="448">
                  <c:v>2.1789999999999998</c:v>
                </c:pt>
                <c:pt idx="449">
                  <c:v>2.359</c:v>
                </c:pt>
                <c:pt idx="450">
                  <c:v>2.2789999999999999</c:v>
                </c:pt>
                <c:pt idx="451">
                  <c:v>3.399</c:v>
                </c:pt>
                <c:pt idx="452">
                  <c:v>2.2789999999999999</c:v>
                </c:pt>
                <c:pt idx="453">
                  <c:v>2.399</c:v>
                </c:pt>
                <c:pt idx="454">
                  <c:v>2.2989999999999999</c:v>
                </c:pt>
                <c:pt idx="455">
                  <c:v>2.2789999999999999</c:v>
                </c:pt>
                <c:pt idx="456">
                  <c:v>2.2490000000000001</c:v>
                </c:pt>
                <c:pt idx="457">
                  <c:v>2.2389999999999999</c:v>
                </c:pt>
                <c:pt idx="458">
                  <c:v>2.1589999999999998</c:v>
                </c:pt>
                <c:pt idx="459">
                  <c:v>2.1989999999999998</c:v>
                </c:pt>
                <c:pt idx="460">
                  <c:v>2.2189999999999999</c:v>
                </c:pt>
                <c:pt idx="461">
                  <c:v>2.919</c:v>
                </c:pt>
                <c:pt idx="462">
                  <c:v>2.1589999999999998</c:v>
                </c:pt>
                <c:pt idx="463">
                  <c:v>2.899</c:v>
                </c:pt>
                <c:pt idx="464">
                  <c:v>2.3490000000000002</c:v>
                </c:pt>
                <c:pt idx="465">
                  <c:v>2.339</c:v>
                </c:pt>
                <c:pt idx="466">
                  <c:v>2.4990000000000001</c:v>
                </c:pt>
                <c:pt idx="467">
                  <c:v>2.359</c:v>
                </c:pt>
                <c:pt idx="468">
                  <c:v>2.9990000000000001</c:v>
                </c:pt>
                <c:pt idx="469">
                  <c:v>1.9990000000000001</c:v>
                </c:pt>
                <c:pt idx="470">
                  <c:v>2.7589999999999999</c:v>
                </c:pt>
                <c:pt idx="471">
                  <c:v>2.2989999999999999</c:v>
                </c:pt>
                <c:pt idx="472">
                  <c:v>2.359</c:v>
                </c:pt>
                <c:pt idx="473">
                  <c:v>2.2389999999999999</c:v>
                </c:pt>
                <c:pt idx="474">
                  <c:v>2.5990000000000002</c:v>
                </c:pt>
                <c:pt idx="475">
                  <c:v>2.359</c:v>
                </c:pt>
                <c:pt idx="476">
                  <c:v>2.2989999999999999</c:v>
                </c:pt>
                <c:pt idx="477">
                  <c:v>2.4990000000000001</c:v>
                </c:pt>
                <c:pt idx="478">
                  <c:v>2.1589999999999998</c:v>
                </c:pt>
                <c:pt idx="479">
                  <c:v>3.0990000000000002</c:v>
                </c:pt>
                <c:pt idx="480">
                  <c:v>1.9990000000000001</c:v>
                </c:pt>
                <c:pt idx="481">
                  <c:v>3.0990000000000002</c:v>
                </c:pt>
                <c:pt idx="482">
                  <c:v>2.5990000000000002</c:v>
                </c:pt>
                <c:pt idx="483">
                  <c:v>2.399</c:v>
                </c:pt>
                <c:pt idx="484">
                  <c:v>2.899</c:v>
                </c:pt>
                <c:pt idx="485">
                  <c:v>2.2989999999999999</c:v>
                </c:pt>
                <c:pt idx="486">
                  <c:v>2.0790000000000002</c:v>
                </c:pt>
                <c:pt idx="487">
                  <c:v>2.2989999999999999</c:v>
                </c:pt>
                <c:pt idx="488">
                  <c:v>3.0990000000000002</c:v>
                </c:pt>
                <c:pt idx="489">
                  <c:v>2.4590000000000001</c:v>
                </c:pt>
                <c:pt idx="490">
                  <c:v>2.359</c:v>
                </c:pt>
                <c:pt idx="491">
                  <c:v>2.4390000000000001</c:v>
                </c:pt>
                <c:pt idx="492">
                  <c:v>2.2189999999999999</c:v>
                </c:pt>
                <c:pt idx="493">
                  <c:v>2.5590000000000002</c:v>
                </c:pt>
                <c:pt idx="494">
                  <c:v>2.5990000000000002</c:v>
                </c:pt>
                <c:pt idx="495">
                  <c:v>2.319</c:v>
                </c:pt>
                <c:pt idx="496">
                  <c:v>2.5990000000000002</c:v>
                </c:pt>
                <c:pt idx="497">
                  <c:v>2.1989999999999998</c:v>
                </c:pt>
                <c:pt idx="498">
                  <c:v>2.399</c:v>
                </c:pt>
                <c:pt idx="499">
                  <c:v>1.9990000000000001</c:v>
                </c:pt>
                <c:pt idx="500">
                  <c:v>2.7989999999999999</c:v>
                </c:pt>
                <c:pt idx="501">
                  <c:v>3.0990000000000002</c:v>
                </c:pt>
                <c:pt idx="502">
                  <c:v>2.2290000000000001</c:v>
                </c:pt>
                <c:pt idx="503">
                  <c:v>2.4790000000000001</c:v>
                </c:pt>
                <c:pt idx="504">
                  <c:v>2.359</c:v>
                </c:pt>
                <c:pt idx="505">
                  <c:v>2.4390000000000001</c:v>
                </c:pt>
                <c:pt idx="506">
                  <c:v>2.399</c:v>
                </c:pt>
                <c:pt idx="507">
                  <c:v>2.2989999999999999</c:v>
                </c:pt>
                <c:pt idx="508">
                  <c:v>2.5990000000000002</c:v>
                </c:pt>
                <c:pt idx="509">
                  <c:v>2.9590000000000001</c:v>
                </c:pt>
                <c:pt idx="510">
                  <c:v>2.4990000000000001</c:v>
                </c:pt>
                <c:pt idx="511">
                  <c:v>2.4990000000000001</c:v>
                </c:pt>
                <c:pt idx="512">
                  <c:v>2.2589999999999999</c:v>
                </c:pt>
                <c:pt idx="513">
                  <c:v>2.1190000000000002</c:v>
                </c:pt>
                <c:pt idx="514">
                  <c:v>3.1989999999999998</c:v>
                </c:pt>
                <c:pt idx="515">
                  <c:v>2.4990000000000001</c:v>
                </c:pt>
                <c:pt idx="516">
                  <c:v>2.6589999999999998</c:v>
                </c:pt>
                <c:pt idx="517">
                  <c:v>2.2589999999999999</c:v>
                </c:pt>
                <c:pt idx="518">
                  <c:v>2.0790000000000002</c:v>
                </c:pt>
                <c:pt idx="519">
                  <c:v>2.1989999999999998</c:v>
                </c:pt>
                <c:pt idx="520">
                  <c:v>2.2989999999999999</c:v>
                </c:pt>
                <c:pt idx="521">
                  <c:v>2.319</c:v>
                </c:pt>
                <c:pt idx="522">
                  <c:v>2.3490000000000002</c:v>
                </c:pt>
                <c:pt idx="523">
                  <c:v>2.379</c:v>
                </c:pt>
                <c:pt idx="524">
                  <c:v>2.2490000000000001</c:v>
                </c:pt>
                <c:pt idx="525">
                  <c:v>2.149</c:v>
                </c:pt>
                <c:pt idx="526">
                  <c:v>2.1389999999999998</c:v>
                </c:pt>
                <c:pt idx="527">
                  <c:v>2.359</c:v>
                </c:pt>
                <c:pt idx="528">
                  <c:v>1.9990000000000001</c:v>
                </c:pt>
                <c:pt idx="529">
                  <c:v>2.2589999999999999</c:v>
                </c:pt>
                <c:pt idx="530">
                  <c:v>2.5590000000000002</c:v>
                </c:pt>
                <c:pt idx="531">
                  <c:v>2.2490000000000001</c:v>
                </c:pt>
                <c:pt idx="532">
                  <c:v>2.0990000000000002</c:v>
                </c:pt>
                <c:pt idx="533">
                  <c:v>3.0990000000000002</c:v>
                </c:pt>
                <c:pt idx="534">
                  <c:v>1.9690000000000001</c:v>
                </c:pt>
                <c:pt idx="535">
                  <c:v>2.1589999999999998</c:v>
                </c:pt>
                <c:pt idx="536">
                  <c:v>2.0990000000000002</c:v>
                </c:pt>
                <c:pt idx="537">
                  <c:v>2.4590000000000001</c:v>
                </c:pt>
                <c:pt idx="538">
                  <c:v>2.359</c:v>
                </c:pt>
                <c:pt idx="539">
                  <c:v>2.9990000000000001</c:v>
                </c:pt>
                <c:pt idx="540">
                  <c:v>2.0990000000000002</c:v>
                </c:pt>
                <c:pt idx="541">
                  <c:v>2.6589999999999998</c:v>
                </c:pt>
                <c:pt idx="542">
                  <c:v>2.2290000000000001</c:v>
                </c:pt>
                <c:pt idx="543">
                  <c:v>2.7989999999999999</c:v>
                </c:pt>
                <c:pt idx="544">
                  <c:v>2.359</c:v>
                </c:pt>
                <c:pt idx="545">
                  <c:v>2.0990000000000002</c:v>
                </c:pt>
                <c:pt idx="546">
                  <c:v>2.4590000000000001</c:v>
                </c:pt>
                <c:pt idx="547">
                  <c:v>2.5590000000000002</c:v>
                </c:pt>
                <c:pt idx="548">
                  <c:v>2.1190000000000002</c:v>
                </c:pt>
                <c:pt idx="549">
                  <c:v>2.2690000000000001</c:v>
                </c:pt>
                <c:pt idx="550">
                  <c:v>2.6989999999999998</c:v>
                </c:pt>
                <c:pt idx="551">
                  <c:v>2.5990000000000002</c:v>
                </c:pt>
                <c:pt idx="552">
                  <c:v>2.0790000000000002</c:v>
                </c:pt>
                <c:pt idx="553">
                  <c:v>2.4390000000000001</c:v>
                </c:pt>
                <c:pt idx="554">
                  <c:v>2.2389999999999999</c:v>
                </c:pt>
                <c:pt idx="555">
                  <c:v>2.9990000000000001</c:v>
                </c:pt>
                <c:pt idx="556">
                  <c:v>2.4390000000000001</c:v>
                </c:pt>
                <c:pt idx="557">
                  <c:v>2.1989999999999998</c:v>
                </c:pt>
                <c:pt idx="558">
                  <c:v>2.3690000000000002</c:v>
                </c:pt>
                <c:pt idx="559">
                  <c:v>2.3690000000000002</c:v>
                </c:pt>
                <c:pt idx="560">
                  <c:v>2.0790000000000002</c:v>
                </c:pt>
                <c:pt idx="561">
                  <c:v>2.319</c:v>
                </c:pt>
                <c:pt idx="562">
                  <c:v>1.9990000000000001</c:v>
                </c:pt>
                <c:pt idx="563">
                  <c:v>2.1389999999999998</c:v>
                </c:pt>
                <c:pt idx="564">
                  <c:v>2.1989999999999998</c:v>
                </c:pt>
                <c:pt idx="565">
                  <c:v>2.1589999999999998</c:v>
                </c:pt>
                <c:pt idx="566">
                  <c:v>2.4990000000000001</c:v>
                </c:pt>
                <c:pt idx="567">
                  <c:v>2.0990000000000002</c:v>
                </c:pt>
                <c:pt idx="568">
                  <c:v>2.1989999999999998</c:v>
                </c:pt>
                <c:pt idx="569">
                  <c:v>2.5990000000000002</c:v>
                </c:pt>
                <c:pt idx="570">
                  <c:v>2.1589999999999998</c:v>
                </c:pt>
                <c:pt idx="571">
                  <c:v>2.1890000000000001</c:v>
                </c:pt>
                <c:pt idx="572">
                  <c:v>2.1989999999999998</c:v>
                </c:pt>
                <c:pt idx="573">
                  <c:v>2.5590000000000002</c:v>
                </c:pt>
                <c:pt idx="574">
                  <c:v>2.899</c:v>
                </c:pt>
                <c:pt idx="575">
                  <c:v>2.1789999999999998</c:v>
                </c:pt>
                <c:pt idx="576">
                  <c:v>2.2589999999999999</c:v>
                </c:pt>
                <c:pt idx="577">
                  <c:v>2.5590000000000002</c:v>
                </c:pt>
                <c:pt idx="578">
                  <c:v>2.0790000000000002</c:v>
                </c:pt>
                <c:pt idx="579">
                  <c:v>2.899</c:v>
                </c:pt>
                <c:pt idx="580">
                  <c:v>2.1589999999999998</c:v>
                </c:pt>
                <c:pt idx="581">
                  <c:v>2.2389999999999999</c:v>
                </c:pt>
                <c:pt idx="582">
                  <c:v>2.4990000000000001</c:v>
                </c:pt>
                <c:pt idx="583">
                  <c:v>2.7189999999999999</c:v>
                </c:pt>
                <c:pt idx="584">
                  <c:v>2.339</c:v>
                </c:pt>
                <c:pt idx="585">
                  <c:v>2.1989999999999998</c:v>
                </c:pt>
                <c:pt idx="586">
                  <c:v>2.2490000000000001</c:v>
                </c:pt>
                <c:pt idx="587">
                  <c:v>2.359</c:v>
                </c:pt>
                <c:pt idx="588">
                  <c:v>3.2989999999999999</c:v>
                </c:pt>
                <c:pt idx="589">
                  <c:v>2.2989999999999999</c:v>
                </c:pt>
                <c:pt idx="590">
                  <c:v>2.1989999999999998</c:v>
                </c:pt>
                <c:pt idx="591">
                  <c:v>2.379</c:v>
                </c:pt>
                <c:pt idx="592">
                  <c:v>2.0590000000000002</c:v>
                </c:pt>
                <c:pt idx="593">
                  <c:v>2.339</c:v>
                </c:pt>
                <c:pt idx="594">
                  <c:v>2.4790000000000001</c:v>
                </c:pt>
                <c:pt idx="595">
                  <c:v>2.2389999999999999</c:v>
                </c:pt>
                <c:pt idx="596">
                  <c:v>2.4390000000000001</c:v>
                </c:pt>
                <c:pt idx="597">
                  <c:v>2.2989999999999999</c:v>
                </c:pt>
                <c:pt idx="598">
                  <c:v>2.2389999999999999</c:v>
                </c:pt>
                <c:pt idx="599">
                  <c:v>2.359</c:v>
                </c:pt>
                <c:pt idx="600">
                  <c:v>2.5990000000000002</c:v>
                </c:pt>
                <c:pt idx="601">
                  <c:v>2.379</c:v>
                </c:pt>
                <c:pt idx="602">
                  <c:v>2.2189999999999999</c:v>
                </c:pt>
                <c:pt idx="603">
                  <c:v>2.5990000000000002</c:v>
                </c:pt>
                <c:pt idx="604">
                  <c:v>2.1989999999999998</c:v>
                </c:pt>
                <c:pt idx="605">
                  <c:v>1.9390000000000001</c:v>
                </c:pt>
                <c:pt idx="606">
                  <c:v>2.9590000000000001</c:v>
                </c:pt>
                <c:pt idx="607">
                  <c:v>2.1589999999999998</c:v>
                </c:pt>
                <c:pt idx="608">
                  <c:v>2.0990000000000002</c:v>
                </c:pt>
                <c:pt idx="609">
                  <c:v>2.0590000000000002</c:v>
                </c:pt>
                <c:pt idx="610">
                  <c:v>2.0990000000000002</c:v>
                </c:pt>
                <c:pt idx="611">
                  <c:v>2.2890000000000001</c:v>
                </c:pt>
                <c:pt idx="612">
                  <c:v>2.1989999999999998</c:v>
                </c:pt>
              </c:numCache>
            </c:numRef>
          </c:yVal>
          <c:smooth val="0"/>
        </c:ser>
        <c:dLbls>
          <c:showLegendKey val="0"/>
          <c:showVal val="0"/>
          <c:showCatName val="0"/>
          <c:showSerName val="0"/>
          <c:showPercent val="0"/>
          <c:showBubbleSize val="0"/>
        </c:dLbls>
        <c:axId val="11815552"/>
        <c:axId val="11817728"/>
      </c:scatterChart>
      <c:valAx>
        <c:axId val="11815552"/>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GasBuddy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7728"/>
        <c:crosses val="autoZero"/>
        <c:crossBetween val="midCat"/>
      </c:valAx>
      <c:valAx>
        <c:axId val="11817728"/>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OPIS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5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EIA_AGG1!$C$11450:$C$11658</c:f>
              <c:numCache>
                <c:formatCode>General</c:formatCode>
                <c:ptCount val="209"/>
                <c:pt idx="0">
                  <c:v>1.6839999999999999</c:v>
                </c:pt>
                <c:pt idx="1">
                  <c:v>1.784</c:v>
                </c:pt>
                <c:pt idx="2">
                  <c:v>1.847</c:v>
                </c:pt>
                <c:pt idx="3">
                  <c:v>1.8380000000000001</c:v>
                </c:pt>
                <c:pt idx="4">
                  <c:v>1.8919999999999999</c:v>
                </c:pt>
                <c:pt idx="5">
                  <c:v>1.9259999999999999</c:v>
                </c:pt>
                <c:pt idx="6">
                  <c:v>1.964</c:v>
                </c:pt>
                <c:pt idx="7">
                  <c:v>1.909</c:v>
                </c:pt>
                <c:pt idx="8">
                  <c:v>1.9339999999999999</c:v>
                </c:pt>
                <c:pt idx="9">
                  <c:v>1.9410000000000001</c:v>
                </c:pt>
                <c:pt idx="10">
                  <c:v>1.91</c:v>
                </c:pt>
                <c:pt idx="11">
                  <c:v>1.962</c:v>
                </c:pt>
                <c:pt idx="12">
                  <c:v>2.0459999999999998</c:v>
                </c:pt>
                <c:pt idx="13">
                  <c:v>2.0369999999999999</c:v>
                </c:pt>
                <c:pt idx="14">
                  <c:v>2.0510000000000002</c:v>
                </c:pt>
                <c:pt idx="15">
                  <c:v>2.0590000000000002</c:v>
                </c:pt>
                <c:pt idx="16">
                  <c:v>2.0489999999999999</c:v>
                </c:pt>
                <c:pt idx="17">
                  <c:v>2.0779999999999998</c:v>
                </c:pt>
                <c:pt idx="18">
                  <c:v>2.2400000000000002</c:v>
                </c:pt>
                <c:pt idx="19">
                  <c:v>2.3090000000000002</c:v>
                </c:pt>
                <c:pt idx="20">
                  <c:v>2.4350000000000001</c:v>
                </c:pt>
                <c:pt idx="21">
                  <c:v>2.524</c:v>
                </c:pt>
                <c:pt idx="22">
                  <c:v>2.6240000000000001</c:v>
                </c:pt>
                <c:pt idx="23">
                  <c:v>2.6720000000000002</c:v>
                </c:pt>
                <c:pt idx="24">
                  <c:v>2.6909999999999998</c:v>
                </c:pt>
                <c:pt idx="25">
                  <c:v>2.6419999999999999</c:v>
                </c:pt>
                <c:pt idx="26">
                  <c:v>2.6120000000000001</c:v>
                </c:pt>
                <c:pt idx="27">
                  <c:v>2.528</c:v>
                </c:pt>
                <c:pt idx="28">
                  <c:v>2.4630000000000001</c:v>
                </c:pt>
                <c:pt idx="29">
                  <c:v>2.5030000000000001</c:v>
                </c:pt>
                <c:pt idx="30">
                  <c:v>2.5569999999999999</c:v>
                </c:pt>
                <c:pt idx="31">
                  <c:v>2.6469999999999998</c:v>
                </c:pt>
                <c:pt idx="32">
                  <c:v>2.637</c:v>
                </c:pt>
                <c:pt idx="33">
                  <c:v>2.6280000000000001</c:v>
                </c:pt>
                <c:pt idx="34">
                  <c:v>2.613</c:v>
                </c:pt>
                <c:pt idx="35">
                  <c:v>2.5880000000000001</c:v>
                </c:pt>
                <c:pt idx="36">
                  <c:v>2.577</c:v>
                </c:pt>
                <c:pt idx="37">
                  <c:v>2.552</c:v>
                </c:pt>
                <c:pt idx="38">
                  <c:v>2.4990000000000001</c:v>
                </c:pt>
                <c:pt idx="39">
                  <c:v>2.468</c:v>
                </c:pt>
                <c:pt idx="40">
                  <c:v>2.4889999999999999</c:v>
                </c:pt>
                <c:pt idx="41">
                  <c:v>2.5739999999999998</c:v>
                </c:pt>
                <c:pt idx="42">
                  <c:v>2.6739999999999999</c:v>
                </c:pt>
                <c:pt idx="43">
                  <c:v>2.694</c:v>
                </c:pt>
                <c:pt idx="44">
                  <c:v>2.6659999999999999</c:v>
                </c:pt>
                <c:pt idx="45">
                  <c:v>2.629</c:v>
                </c:pt>
                <c:pt idx="46">
                  <c:v>2.6389999999999998</c:v>
                </c:pt>
                <c:pt idx="47">
                  <c:v>2.629</c:v>
                </c:pt>
                <c:pt idx="48">
                  <c:v>2.6339999999999999</c:v>
                </c:pt>
                <c:pt idx="49">
                  <c:v>2.5990000000000002</c:v>
                </c:pt>
                <c:pt idx="50">
                  <c:v>2.589</c:v>
                </c:pt>
                <c:pt idx="51">
                  <c:v>2.6070000000000002</c:v>
                </c:pt>
                <c:pt idx="52">
                  <c:v>2.665</c:v>
                </c:pt>
                <c:pt idx="53">
                  <c:v>2.7509999999999999</c:v>
                </c:pt>
                <c:pt idx="54">
                  <c:v>2.7389999999999999</c:v>
                </c:pt>
                <c:pt idx="55">
                  <c:v>2.7050000000000001</c:v>
                </c:pt>
                <c:pt idx="56">
                  <c:v>2.661</c:v>
                </c:pt>
                <c:pt idx="57">
                  <c:v>2.6520000000000001</c:v>
                </c:pt>
                <c:pt idx="58">
                  <c:v>2.6080000000000001</c:v>
                </c:pt>
                <c:pt idx="59">
                  <c:v>2.6549999999999998</c:v>
                </c:pt>
                <c:pt idx="60">
                  <c:v>2.702</c:v>
                </c:pt>
                <c:pt idx="61">
                  <c:v>2.7509999999999999</c:v>
                </c:pt>
                <c:pt idx="62">
                  <c:v>2.7879999999999998</c:v>
                </c:pt>
                <c:pt idx="63">
                  <c:v>2.819</c:v>
                </c:pt>
                <c:pt idx="64">
                  <c:v>2.798</c:v>
                </c:pt>
                <c:pt idx="65">
                  <c:v>2.8260000000000001</c:v>
                </c:pt>
                <c:pt idx="66">
                  <c:v>2.8580000000000001</c:v>
                </c:pt>
                <c:pt idx="67">
                  <c:v>2.86</c:v>
                </c:pt>
                <c:pt idx="68">
                  <c:v>2.8490000000000002</c:v>
                </c:pt>
                <c:pt idx="69">
                  <c:v>2.8980000000000001</c:v>
                </c:pt>
                <c:pt idx="70">
                  <c:v>2.9049999999999998</c:v>
                </c:pt>
                <c:pt idx="71">
                  <c:v>2.8639999999999999</c:v>
                </c:pt>
                <c:pt idx="72">
                  <c:v>2.786</c:v>
                </c:pt>
                <c:pt idx="73">
                  <c:v>2.7280000000000002</c:v>
                </c:pt>
                <c:pt idx="74">
                  <c:v>2.7250000000000001</c:v>
                </c:pt>
                <c:pt idx="75">
                  <c:v>2.7010000000000001</c:v>
                </c:pt>
                <c:pt idx="76">
                  <c:v>2.7429999999999999</c:v>
                </c:pt>
                <c:pt idx="77">
                  <c:v>2.7570000000000001</c:v>
                </c:pt>
                <c:pt idx="78">
                  <c:v>2.726</c:v>
                </c:pt>
                <c:pt idx="79">
                  <c:v>2.718</c:v>
                </c:pt>
                <c:pt idx="80">
                  <c:v>2.722</c:v>
                </c:pt>
                <c:pt idx="81">
                  <c:v>2.7490000000000001</c:v>
                </c:pt>
                <c:pt idx="82">
                  <c:v>2.7349999999999999</c:v>
                </c:pt>
                <c:pt idx="83">
                  <c:v>2.7829999999999999</c:v>
                </c:pt>
                <c:pt idx="84">
                  <c:v>2.7450000000000001</c:v>
                </c:pt>
                <c:pt idx="85">
                  <c:v>2.7040000000000002</c:v>
                </c:pt>
                <c:pt idx="86">
                  <c:v>2.6819999999999999</c:v>
                </c:pt>
                <c:pt idx="87">
                  <c:v>2.6819999999999999</c:v>
                </c:pt>
                <c:pt idx="88">
                  <c:v>2.7210000000000001</c:v>
                </c:pt>
                <c:pt idx="89">
                  <c:v>2.7229999999999999</c:v>
                </c:pt>
                <c:pt idx="90">
                  <c:v>2.694</c:v>
                </c:pt>
                <c:pt idx="91">
                  <c:v>2.7320000000000002</c:v>
                </c:pt>
                <c:pt idx="92">
                  <c:v>2.819</c:v>
                </c:pt>
                <c:pt idx="93">
                  <c:v>2.8340000000000001</c:v>
                </c:pt>
                <c:pt idx="94">
                  <c:v>2.8170000000000002</c:v>
                </c:pt>
                <c:pt idx="95">
                  <c:v>2.806</c:v>
                </c:pt>
                <c:pt idx="96">
                  <c:v>2.8650000000000002</c:v>
                </c:pt>
                <c:pt idx="97">
                  <c:v>2.8919999999999999</c:v>
                </c:pt>
                <c:pt idx="98">
                  <c:v>2.8759999999999999</c:v>
                </c:pt>
                <c:pt idx="99">
                  <c:v>2.8559999999999999</c:v>
                </c:pt>
                <c:pt idx="100">
                  <c:v>2.9580000000000002</c:v>
                </c:pt>
                <c:pt idx="101">
                  <c:v>2.98</c:v>
                </c:pt>
                <c:pt idx="102">
                  <c:v>2.9820000000000002</c:v>
                </c:pt>
                <c:pt idx="103">
                  <c:v>3.052</c:v>
                </c:pt>
                <c:pt idx="104">
                  <c:v>3.07</c:v>
                </c:pt>
                <c:pt idx="105">
                  <c:v>3.089</c:v>
                </c:pt>
                <c:pt idx="106">
                  <c:v>3.1040000000000001</c:v>
                </c:pt>
                <c:pt idx="107">
                  <c:v>3.11</c:v>
                </c:pt>
                <c:pt idx="108">
                  <c:v>3.101</c:v>
                </c:pt>
                <c:pt idx="109">
                  <c:v>3.1320000000000001</c:v>
                </c:pt>
                <c:pt idx="110">
                  <c:v>3.14</c:v>
                </c:pt>
                <c:pt idx="111">
                  <c:v>3.1890000000000001</c:v>
                </c:pt>
                <c:pt idx="112">
                  <c:v>3.383</c:v>
                </c:pt>
                <c:pt idx="113">
                  <c:v>3.52</c:v>
                </c:pt>
                <c:pt idx="114">
                  <c:v>3.5670000000000002</c:v>
                </c:pt>
                <c:pt idx="115">
                  <c:v>3.5619999999999998</c:v>
                </c:pt>
                <c:pt idx="116">
                  <c:v>3.5960000000000001</c:v>
                </c:pt>
                <c:pt idx="117">
                  <c:v>3.6840000000000002</c:v>
                </c:pt>
                <c:pt idx="118">
                  <c:v>3.7909999999999999</c:v>
                </c:pt>
                <c:pt idx="119">
                  <c:v>3.8439999999999999</c:v>
                </c:pt>
                <c:pt idx="120">
                  <c:v>3.879</c:v>
                </c:pt>
                <c:pt idx="121">
                  <c:v>3.9630000000000001</c:v>
                </c:pt>
                <c:pt idx="122">
                  <c:v>3.9649999999999999</c:v>
                </c:pt>
                <c:pt idx="123">
                  <c:v>3.96</c:v>
                </c:pt>
                <c:pt idx="124">
                  <c:v>3.8490000000000002</c:v>
                </c:pt>
                <c:pt idx="125">
                  <c:v>3.794</c:v>
                </c:pt>
                <c:pt idx="126">
                  <c:v>3.7810000000000001</c:v>
                </c:pt>
                <c:pt idx="127">
                  <c:v>3.7130000000000001</c:v>
                </c:pt>
                <c:pt idx="128">
                  <c:v>3.6520000000000001</c:v>
                </c:pt>
                <c:pt idx="129">
                  <c:v>3.5739999999999998</c:v>
                </c:pt>
                <c:pt idx="130">
                  <c:v>3.5790000000000002</c:v>
                </c:pt>
                <c:pt idx="131">
                  <c:v>3.641</c:v>
                </c:pt>
                <c:pt idx="132">
                  <c:v>3.6819999999999999</c:v>
                </c:pt>
                <c:pt idx="133">
                  <c:v>3.6989999999999998</c:v>
                </c:pt>
                <c:pt idx="134">
                  <c:v>3.7109999999999999</c:v>
                </c:pt>
                <c:pt idx="135">
                  <c:v>3.6739999999999999</c:v>
                </c:pt>
                <c:pt idx="136">
                  <c:v>3.6040000000000001</c:v>
                </c:pt>
                <c:pt idx="137">
                  <c:v>3.581</c:v>
                </c:pt>
                <c:pt idx="138">
                  <c:v>3.6269999999999998</c:v>
                </c:pt>
                <c:pt idx="139">
                  <c:v>3.6739999999999999</c:v>
                </c:pt>
                <c:pt idx="140">
                  <c:v>3.661</c:v>
                </c:pt>
                <c:pt idx="141">
                  <c:v>3.601</c:v>
                </c:pt>
                <c:pt idx="142">
                  <c:v>3.5089999999999999</c:v>
                </c:pt>
                <c:pt idx="143">
                  <c:v>3.4329999999999998</c:v>
                </c:pt>
                <c:pt idx="144">
                  <c:v>3.4169999999999998</c:v>
                </c:pt>
                <c:pt idx="145">
                  <c:v>3.476</c:v>
                </c:pt>
                <c:pt idx="146">
                  <c:v>3.4620000000000002</c:v>
                </c:pt>
                <c:pt idx="147">
                  <c:v>3.452</c:v>
                </c:pt>
                <c:pt idx="148">
                  <c:v>3.4239999999999999</c:v>
                </c:pt>
                <c:pt idx="149">
                  <c:v>3.4359999999999999</c:v>
                </c:pt>
                <c:pt idx="150">
                  <c:v>3.3679999999999999</c:v>
                </c:pt>
                <c:pt idx="151">
                  <c:v>3.3069999999999999</c:v>
                </c:pt>
                <c:pt idx="152">
                  <c:v>3.29</c:v>
                </c:pt>
                <c:pt idx="153">
                  <c:v>3.286</c:v>
                </c:pt>
                <c:pt idx="154">
                  <c:v>3.2290000000000001</c:v>
                </c:pt>
                <c:pt idx="155">
                  <c:v>3.258</c:v>
                </c:pt>
                <c:pt idx="156">
                  <c:v>3.2989999999999999</c:v>
                </c:pt>
                <c:pt idx="157">
                  <c:v>3.3820000000000001</c:v>
                </c:pt>
                <c:pt idx="158">
                  <c:v>3.391</c:v>
                </c:pt>
                <c:pt idx="159">
                  <c:v>3.3889999999999998</c:v>
                </c:pt>
                <c:pt idx="160">
                  <c:v>3.4390000000000001</c:v>
                </c:pt>
                <c:pt idx="161">
                  <c:v>3.4820000000000002</c:v>
                </c:pt>
                <c:pt idx="162">
                  <c:v>3.5230000000000001</c:v>
                </c:pt>
                <c:pt idx="163">
                  <c:v>3.5910000000000002</c:v>
                </c:pt>
                <c:pt idx="164">
                  <c:v>3.7210000000000001</c:v>
                </c:pt>
                <c:pt idx="165">
                  <c:v>3.7930000000000001</c:v>
                </c:pt>
                <c:pt idx="166">
                  <c:v>3.8290000000000002</c:v>
                </c:pt>
                <c:pt idx="167">
                  <c:v>3.867</c:v>
                </c:pt>
                <c:pt idx="168">
                  <c:v>3.9180000000000001</c:v>
                </c:pt>
                <c:pt idx="169">
                  <c:v>3.9409999999999998</c:v>
                </c:pt>
                <c:pt idx="170">
                  <c:v>3.9390000000000001</c:v>
                </c:pt>
                <c:pt idx="171">
                  <c:v>3.9220000000000002</c:v>
                </c:pt>
                <c:pt idx="172">
                  <c:v>3.87</c:v>
                </c:pt>
                <c:pt idx="173">
                  <c:v>3.83</c:v>
                </c:pt>
                <c:pt idx="174">
                  <c:v>3.79</c:v>
                </c:pt>
                <c:pt idx="175">
                  <c:v>3.754</c:v>
                </c:pt>
                <c:pt idx="176">
                  <c:v>3.7149999999999999</c:v>
                </c:pt>
                <c:pt idx="177">
                  <c:v>3.67</c:v>
                </c:pt>
                <c:pt idx="178">
                  <c:v>3.613</c:v>
                </c:pt>
                <c:pt idx="179">
                  <c:v>3.5720000000000001</c:v>
                </c:pt>
                <c:pt idx="180">
                  <c:v>3.5329999999999999</c:v>
                </c:pt>
                <c:pt idx="181">
                  <c:v>3.4369999999999998</c:v>
                </c:pt>
                <c:pt idx="182">
                  <c:v>3.3559999999999999</c:v>
                </c:pt>
                <c:pt idx="183">
                  <c:v>3.411</c:v>
                </c:pt>
                <c:pt idx="184">
                  <c:v>3.427</c:v>
                </c:pt>
                <c:pt idx="185">
                  <c:v>3.4940000000000002</c:v>
                </c:pt>
                <c:pt idx="186">
                  <c:v>3.508</c:v>
                </c:pt>
                <c:pt idx="187">
                  <c:v>3.645</c:v>
                </c:pt>
                <c:pt idx="188">
                  <c:v>3.7210000000000001</c:v>
                </c:pt>
                <c:pt idx="189">
                  <c:v>3.7440000000000002</c:v>
                </c:pt>
                <c:pt idx="190">
                  <c:v>3.7759999999999998</c:v>
                </c:pt>
                <c:pt idx="191">
                  <c:v>3.843</c:v>
                </c:pt>
                <c:pt idx="192">
                  <c:v>3.847</c:v>
                </c:pt>
                <c:pt idx="193">
                  <c:v>3.8780000000000001</c:v>
                </c:pt>
                <c:pt idx="194">
                  <c:v>3.8260000000000001</c:v>
                </c:pt>
                <c:pt idx="195">
                  <c:v>3.8039999999999998</c:v>
                </c:pt>
                <c:pt idx="196">
                  <c:v>3.85</c:v>
                </c:pt>
                <c:pt idx="197">
                  <c:v>3.819</c:v>
                </c:pt>
                <c:pt idx="198">
                  <c:v>3.6869999999999998</c:v>
                </c:pt>
                <c:pt idx="199">
                  <c:v>3.5680000000000001</c:v>
                </c:pt>
                <c:pt idx="200">
                  <c:v>3.492</c:v>
                </c:pt>
                <c:pt idx="201">
                  <c:v>3.4489999999999998</c:v>
                </c:pt>
                <c:pt idx="202">
                  <c:v>3.4289999999999998</c:v>
                </c:pt>
                <c:pt idx="203">
                  <c:v>3.4369999999999998</c:v>
                </c:pt>
                <c:pt idx="204">
                  <c:v>3.3940000000000001</c:v>
                </c:pt>
                <c:pt idx="205">
                  <c:v>3.3490000000000002</c:v>
                </c:pt>
                <c:pt idx="206">
                  <c:v>3.254</c:v>
                </c:pt>
                <c:pt idx="207">
                  <c:v>3.2570000000000001</c:v>
                </c:pt>
                <c:pt idx="208">
                  <c:v>3.298</c:v>
                </c:pt>
              </c:numCache>
            </c:numRef>
          </c:xVal>
          <c:yVal>
            <c:numRef>
              <c:f>EIA_AGG1!$D$11450:$D$11658</c:f>
              <c:numCache>
                <c:formatCode>General</c:formatCode>
                <c:ptCount val="209"/>
                <c:pt idx="0">
                  <c:v>1.8</c:v>
                </c:pt>
                <c:pt idx="1">
                  <c:v>1.9</c:v>
                </c:pt>
                <c:pt idx="2">
                  <c:v>1.9610000000000001</c:v>
                </c:pt>
                <c:pt idx="3">
                  <c:v>1.954</c:v>
                </c:pt>
                <c:pt idx="4">
                  <c:v>2.0070000000000001</c:v>
                </c:pt>
                <c:pt idx="5">
                  <c:v>2.044</c:v>
                </c:pt>
                <c:pt idx="6">
                  <c:v>2.0830000000000002</c:v>
                </c:pt>
                <c:pt idx="7">
                  <c:v>2.032</c:v>
                </c:pt>
                <c:pt idx="8">
                  <c:v>2.0569999999999999</c:v>
                </c:pt>
                <c:pt idx="9">
                  <c:v>2.0590000000000002</c:v>
                </c:pt>
                <c:pt idx="10">
                  <c:v>2.0339999999999998</c:v>
                </c:pt>
                <c:pt idx="11">
                  <c:v>2.0790000000000002</c:v>
                </c:pt>
                <c:pt idx="12">
                  <c:v>2.1629999999999998</c:v>
                </c:pt>
                <c:pt idx="13">
                  <c:v>2.1579999999999999</c:v>
                </c:pt>
                <c:pt idx="14">
                  <c:v>2.1720000000000002</c:v>
                </c:pt>
                <c:pt idx="15">
                  <c:v>2.181</c:v>
                </c:pt>
                <c:pt idx="16">
                  <c:v>2.1709999999999998</c:v>
                </c:pt>
                <c:pt idx="17">
                  <c:v>2.1949999999999998</c:v>
                </c:pt>
                <c:pt idx="18">
                  <c:v>2.3519999999999999</c:v>
                </c:pt>
                <c:pt idx="19">
                  <c:v>2.4239999999999999</c:v>
                </c:pt>
                <c:pt idx="20">
                  <c:v>2.5470000000000002</c:v>
                </c:pt>
                <c:pt idx="21">
                  <c:v>2.63</c:v>
                </c:pt>
                <c:pt idx="22">
                  <c:v>2.7309999999999999</c:v>
                </c:pt>
                <c:pt idx="23">
                  <c:v>2.7839999999999998</c:v>
                </c:pt>
                <c:pt idx="24">
                  <c:v>2.8079999999999998</c:v>
                </c:pt>
                <c:pt idx="25">
                  <c:v>2.7629999999999999</c:v>
                </c:pt>
                <c:pt idx="26">
                  <c:v>2.7360000000000002</c:v>
                </c:pt>
                <c:pt idx="27">
                  <c:v>2.6560000000000001</c:v>
                </c:pt>
                <c:pt idx="28">
                  <c:v>2.5910000000000002</c:v>
                </c:pt>
                <c:pt idx="29">
                  <c:v>2.625</c:v>
                </c:pt>
                <c:pt idx="30">
                  <c:v>2.6760000000000002</c:v>
                </c:pt>
                <c:pt idx="31">
                  <c:v>2.7669999999999999</c:v>
                </c:pt>
                <c:pt idx="32">
                  <c:v>2.7610000000000001</c:v>
                </c:pt>
                <c:pt idx="33">
                  <c:v>2.7509999999999999</c:v>
                </c:pt>
                <c:pt idx="34">
                  <c:v>2.7389999999999999</c:v>
                </c:pt>
                <c:pt idx="35">
                  <c:v>2.7109999999999999</c:v>
                </c:pt>
                <c:pt idx="36">
                  <c:v>2.7040000000000002</c:v>
                </c:pt>
                <c:pt idx="37">
                  <c:v>2.68</c:v>
                </c:pt>
                <c:pt idx="38">
                  <c:v>2.6309999999999998</c:v>
                </c:pt>
                <c:pt idx="39">
                  <c:v>2.6</c:v>
                </c:pt>
                <c:pt idx="40">
                  <c:v>2.6139999999999999</c:v>
                </c:pt>
                <c:pt idx="41">
                  <c:v>2.694</c:v>
                </c:pt>
                <c:pt idx="42">
                  <c:v>2.7919999999999998</c:v>
                </c:pt>
                <c:pt idx="43">
                  <c:v>2.8119999999999998</c:v>
                </c:pt>
                <c:pt idx="44">
                  <c:v>2.7869999999999999</c:v>
                </c:pt>
                <c:pt idx="45">
                  <c:v>2.7549999999999999</c:v>
                </c:pt>
                <c:pt idx="46">
                  <c:v>2.7639999999999998</c:v>
                </c:pt>
                <c:pt idx="47">
                  <c:v>2.754</c:v>
                </c:pt>
                <c:pt idx="48">
                  <c:v>2.7610000000000001</c:v>
                </c:pt>
                <c:pt idx="49">
                  <c:v>2.7269999999999999</c:v>
                </c:pt>
                <c:pt idx="50">
                  <c:v>2.7170000000000001</c:v>
                </c:pt>
                <c:pt idx="51">
                  <c:v>2.7309999999999999</c:v>
                </c:pt>
                <c:pt idx="52">
                  <c:v>2.7839999999999998</c:v>
                </c:pt>
                <c:pt idx="53">
                  <c:v>2.8690000000000002</c:v>
                </c:pt>
                <c:pt idx="54">
                  <c:v>2.8610000000000002</c:v>
                </c:pt>
                <c:pt idx="55">
                  <c:v>2.8319999999999999</c:v>
                </c:pt>
                <c:pt idx="56">
                  <c:v>2.7869999999999999</c:v>
                </c:pt>
                <c:pt idx="57">
                  <c:v>2.778</c:v>
                </c:pt>
                <c:pt idx="58">
                  <c:v>2.738</c:v>
                </c:pt>
                <c:pt idx="59">
                  <c:v>2.778</c:v>
                </c:pt>
                <c:pt idx="60">
                  <c:v>2.827</c:v>
                </c:pt>
                <c:pt idx="61">
                  <c:v>2.871</c:v>
                </c:pt>
                <c:pt idx="62">
                  <c:v>2.9079999999999999</c:v>
                </c:pt>
                <c:pt idx="63">
                  <c:v>2.9359999999999999</c:v>
                </c:pt>
                <c:pt idx="64">
                  <c:v>2.9180000000000001</c:v>
                </c:pt>
                <c:pt idx="65">
                  <c:v>2.94</c:v>
                </c:pt>
                <c:pt idx="66">
                  <c:v>2.972</c:v>
                </c:pt>
                <c:pt idx="67">
                  <c:v>2.9740000000000002</c:v>
                </c:pt>
                <c:pt idx="68">
                  <c:v>2.9660000000000002</c:v>
                </c:pt>
                <c:pt idx="69">
                  <c:v>3.0110000000000001</c:v>
                </c:pt>
                <c:pt idx="70">
                  <c:v>3.0230000000000001</c:v>
                </c:pt>
                <c:pt idx="71">
                  <c:v>2.9849999999999999</c:v>
                </c:pt>
                <c:pt idx="72">
                  <c:v>2.9140000000000001</c:v>
                </c:pt>
                <c:pt idx="73">
                  <c:v>2.855</c:v>
                </c:pt>
                <c:pt idx="74">
                  <c:v>2.8490000000000002</c:v>
                </c:pt>
                <c:pt idx="75">
                  <c:v>2.8250000000000002</c:v>
                </c:pt>
                <c:pt idx="76">
                  <c:v>2.8610000000000002</c:v>
                </c:pt>
                <c:pt idx="77">
                  <c:v>2.8730000000000002</c:v>
                </c:pt>
                <c:pt idx="78">
                  <c:v>2.8460000000000001</c:v>
                </c:pt>
                <c:pt idx="79">
                  <c:v>2.8380000000000001</c:v>
                </c:pt>
                <c:pt idx="80">
                  <c:v>2.843</c:v>
                </c:pt>
                <c:pt idx="81">
                  <c:v>2.867</c:v>
                </c:pt>
                <c:pt idx="82">
                  <c:v>2.8559999999999999</c:v>
                </c:pt>
                <c:pt idx="83">
                  <c:v>2.903</c:v>
                </c:pt>
                <c:pt idx="84">
                  <c:v>2.8690000000000002</c:v>
                </c:pt>
                <c:pt idx="85">
                  <c:v>2.831</c:v>
                </c:pt>
                <c:pt idx="86">
                  <c:v>2.806</c:v>
                </c:pt>
                <c:pt idx="87">
                  <c:v>2.8029999999999999</c:v>
                </c:pt>
                <c:pt idx="88">
                  <c:v>2.8359999999999999</c:v>
                </c:pt>
                <c:pt idx="89">
                  <c:v>2.8439999999999999</c:v>
                </c:pt>
                <c:pt idx="90">
                  <c:v>2.8180000000000001</c:v>
                </c:pt>
                <c:pt idx="91">
                  <c:v>2.85</c:v>
                </c:pt>
                <c:pt idx="92">
                  <c:v>2.9340000000000002</c:v>
                </c:pt>
                <c:pt idx="93">
                  <c:v>2.9529999999999998</c:v>
                </c:pt>
                <c:pt idx="94">
                  <c:v>2.9380000000000002</c:v>
                </c:pt>
                <c:pt idx="95">
                  <c:v>2.9289999999999998</c:v>
                </c:pt>
                <c:pt idx="96">
                  <c:v>2.9790000000000001</c:v>
                </c:pt>
                <c:pt idx="97">
                  <c:v>3.0070000000000001</c:v>
                </c:pt>
                <c:pt idx="98">
                  <c:v>2.9990000000000001</c:v>
                </c:pt>
                <c:pt idx="99">
                  <c:v>2.9820000000000002</c:v>
                </c:pt>
                <c:pt idx="100">
                  <c:v>3.0790000000000002</c:v>
                </c:pt>
                <c:pt idx="101">
                  <c:v>3.101</c:v>
                </c:pt>
                <c:pt idx="102">
                  <c:v>3.1040000000000001</c:v>
                </c:pt>
                <c:pt idx="103">
                  <c:v>3.1709999999999998</c:v>
                </c:pt>
                <c:pt idx="104">
                  <c:v>3.1880000000000002</c:v>
                </c:pt>
                <c:pt idx="105">
                  <c:v>3.2040000000000002</c:v>
                </c:pt>
                <c:pt idx="106">
                  <c:v>3.222</c:v>
                </c:pt>
                <c:pt idx="107">
                  <c:v>3.2269999999999999</c:v>
                </c:pt>
                <c:pt idx="108">
                  <c:v>3.2210000000000001</c:v>
                </c:pt>
                <c:pt idx="109">
                  <c:v>3.2509999999999999</c:v>
                </c:pt>
                <c:pt idx="110">
                  <c:v>3.2589999999999999</c:v>
                </c:pt>
                <c:pt idx="111">
                  <c:v>3.3109999999999999</c:v>
                </c:pt>
                <c:pt idx="112">
                  <c:v>3.4990000000000001</c:v>
                </c:pt>
                <c:pt idx="113">
                  <c:v>3.6360000000000001</c:v>
                </c:pt>
                <c:pt idx="114">
                  <c:v>3.69</c:v>
                </c:pt>
                <c:pt idx="115">
                  <c:v>3.6859999999999999</c:v>
                </c:pt>
                <c:pt idx="116">
                  <c:v>3.718</c:v>
                </c:pt>
                <c:pt idx="117">
                  <c:v>3.8010000000000002</c:v>
                </c:pt>
                <c:pt idx="118">
                  <c:v>3.907</c:v>
                </c:pt>
                <c:pt idx="119">
                  <c:v>3.96</c:v>
                </c:pt>
                <c:pt idx="120">
                  <c:v>3.9940000000000002</c:v>
                </c:pt>
                <c:pt idx="121">
                  <c:v>4.0750000000000002</c:v>
                </c:pt>
                <c:pt idx="122">
                  <c:v>4.0810000000000004</c:v>
                </c:pt>
                <c:pt idx="123">
                  <c:v>4.0789999999999997</c:v>
                </c:pt>
                <c:pt idx="124">
                  <c:v>3.9750000000000001</c:v>
                </c:pt>
                <c:pt idx="125">
                  <c:v>3.9140000000000001</c:v>
                </c:pt>
                <c:pt idx="126">
                  <c:v>3.891</c:v>
                </c:pt>
                <c:pt idx="127">
                  <c:v>3.8290000000000002</c:v>
                </c:pt>
                <c:pt idx="128">
                  <c:v>3.7759999999999998</c:v>
                </c:pt>
                <c:pt idx="129">
                  <c:v>3.7</c:v>
                </c:pt>
                <c:pt idx="130">
                  <c:v>3.6989999999999998</c:v>
                </c:pt>
                <c:pt idx="131">
                  <c:v>3.7559999999999998</c:v>
                </c:pt>
                <c:pt idx="132">
                  <c:v>3.7959999999999998</c:v>
                </c:pt>
                <c:pt idx="133">
                  <c:v>3.819</c:v>
                </c:pt>
                <c:pt idx="134">
                  <c:v>3.8290000000000002</c:v>
                </c:pt>
                <c:pt idx="135">
                  <c:v>3.794</c:v>
                </c:pt>
                <c:pt idx="136">
                  <c:v>3.7280000000000002</c:v>
                </c:pt>
                <c:pt idx="137">
                  <c:v>3.7029999999999998</c:v>
                </c:pt>
                <c:pt idx="138">
                  <c:v>3.746</c:v>
                </c:pt>
                <c:pt idx="139">
                  <c:v>3.7909999999999999</c:v>
                </c:pt>
                <c:pt idx="140">
                  <c:v>3.78</c:v>
                </c:pt>
                <c:pt idx="141">
                  <c:v>3.7269999999999999</c:v>
                </c:pt>
                <c:pt idx="142">
                  <c:v>3.6419999999999999</c:v>
                </c:pt>
                <c:pt idx="143">
                  <c:v>3.569</c:v>
                </c:pt>
                <c:pt idx="144">
                  <c:v>3.5510000000000002</c:v>
                </c:pt>
                <c:pt idx="145">
                  <c:v>3.6040000000000001</c:v>
                </c:pt>
                <c:pt idx="146">
                  <c:v>3.5939999999999999</c:v>
                </c:pt>
                <c:pt idx="147">
                  <c:v>3.5870000000000002</c:v>
                </c:pt>
                <c:pt idx="148">
                  <c:v>3.5579999999999998</c:v>
                </c:pt>
                <c:pt idx="149">
                  <c:v>3.5710000000000002</c:v>
                </c:pt>
                <c:pt idx="150">
                  <c:v>3.5030000000000001</c:v>
                </c:pt>
                <c:pt idx="151">
                  <c:v>3.4470000000000001</c:v>
                </c:pt>
                <c:pt idx="152">
                  <c:v>3.4260000000000002</c:v>
                </c:pt>
                <c:pt idx="153">
                  <c:v>3.4209999999999998</c:v>
                </c:pt>
                <c:pt idx="154">
                  <c:v>3.3679999999999999</c:v>
                </c:pt>
                <c:pt idx="155">
                  <c:v>3.3879999999999999</c:v>
                </c:pt>
                <c:pt idx="156">
                  <c:v>3.4289999999999998</c:v>
                </c:pt>
                <c:pt idx="157">
                  <c:v>3.512</c:v>
                </c:pt>
                <c:pt idx="158">
                  <c:v>3.5219999999999998</c:v>
                </c:pt>
                <c:pt idx="159">
                  <c:v>3.5219999999999998</c:v>
                </c:pt>
                <c:pt idx="160">
                  <c:v>3.573</c:v>
                </c:pt>
                <c:pt idx="161">
                  <c:v>3.6139999999999999</c:v>
                </c:pt>
                <c:pt idx="162">
                  <c:v>3.6589999999999998</c:v>
                </c:pt>
                <c:pt idx="163">
                  <c:v>3.7290000000000001</c:v>
                </c:pt>
                <c:pt idx="164">
                  <c:v>3.855</c:v>
                </c:pt>
                <c:pt idx="165">
                  <c:v>3.92</c:v>
                </c:pt>
                <c:pt idx="166">
                  <c:v>3.9540000000000002</c:v>
                </c:pt>
                <c:pt idx="167">
                  <c:v>3.9929999999999999</c:v>
                </c:pt>
                <c:pt idx="168">
                  <c:v>4.0419999999999998</c:v>
                </c:pt>
                <c:pt idx="169">
                  <c:v>4.0629999999999997</c:v>
                </c:pt>
                <c:pt idx="170">
                  <c:v>4.0670000000000002</c:v>
                </c:pt>
                <c:pt idx="171">
                  <c:v>4.0469999999999997</c:v>
                </c:pt>
                <c:pt idx="172">
                  <c:v>3.9990000000000001</c:v>
                </c:pt>
                <c:pt idx="173">
                  <c:v>3.9620000000000002</c:v>
                </c:pt>
                <c:pt idx="174">
                  <c:v>3.923</c:v>
                </c:pt>
                <c:pt idx="175">
                  <c:v>3.895</c:v>
                </c:pt>
                <c:pt idx="176">
                  <c:v>3.85</c:v>
                </c:pt>
                <c:pt idx="177">
                  <c:v>3.8050000000000002</c:v>
                </c:pt>
                <c:pt idx="178">
                  <c:v>3.75</c:v>
                </c:pt>
                <c:pt idx="179">
                  <c:v>3.7029999999999998</c:v>
                </c:pt>
                <c:pt idx="180">
                  <c:v>3.661</c:v>
                </c:pt>
                <c:pt idx="181">
                  <c:v>3.5680000000000001</c:v>
                </c:pt>
                <c:pt idx="182">
                  <c:v>3.4889999999999999</c:v>
                </c:pt>
                <c:pt idx="183">
                  <c:v>3.5390000000000001</c:v>
                </c:pt>
                <c:pt idx="184">
                  <c:v>3.5510000000000002</c:v>
                </c:pt>
                <c:pt idx="185">
                  <c:v>3.6259999999999999</c:v>
                </c:pt>
                <c:pt idx="186">
                  <c:v>3.6389999999999998</c:v>
                </c:pt>
                <c:pt idx="187">
                  <c:v>3.7669999999999999</c:v>
                </c:pt>
                <c:pt idx="188">
                  <c:v>3.847</c:v>
                </c:pt>
                <c:pt idx="189">
                  <c:v>3.8740000000000001</c:v>
                </c:pt>
                <c:pt idx="190">
                  <c:v>3.9089999999999998</c:v>
                </c:pt>
                <c:pt idx="191">
                  <c:v>3.9750000000000001</c:v>
                </c:pt>
                <c:pt idx="192">
                  <c:v>3.9809999999999999</c:v>
                </c:pt>
                <c:pt idx="193">
                  <c:v>4.0129999999999999</c:v>
                </c:pt>
                <c:pt idx="194">
                  <c:v>3.9660000000000002</c:v>
                </c:pt>
                <c:pt idx="195">
                  <c:v>3.944</c:v>
                </c:pt>
                <c:pt idx="196">
                  <c:v>4.0019999999999998</c:v>
                </c:pt>
                <c:pt idx="197">
                  <c:v>3.976</c:v>
                </c:pt>
                <c:pt idx="198">
                  <c:v>3.85</c:v>
                </c:pt>
                <c:pt idx="199">
                  <c:v>3.7330000000000001</c:v>
                </c:pt>
                <c:pt idx="200">
                  <c:v>3.6520000000000001</c:v>
                </c:pt>
                <c:pt idx="201">
                  <c:v>3.605</c:v>
                </c:pt>
                <c:pt idx="202">
                  <c:v>3.5790000000000002</c:v>
                </c:pt>
                <c:pt idx="203">
                  <c:v>3.585</c:v>
                </c:pt>
                <c:pt idx="204">
                  <c:v>3.548</c:v>
                </c:pt>
                <c:pt idx="205">
                  <c:v>3.504</c:v>
                </c:pt>
                <c:pt idx="206">
                  <c:v>3.4089999999999998</c:v>
                </c:pt>
                <c:pt idx="207">
                  <c:v>3.415</c:v>
                </c:pt>
                <c:pt idx="208">
                  <c:v>3.4550000000000001</c:v>
                </c:pt>
              </c:numCache>
            </c:numRef>
          </c:yVal>
          <c:smooth val="0"/>
        </c:ser>
        <c:dLbls>
          <c:showLegendKey val="0"/>
          <c:showVal val="0"/>
          <c:showCatName val="0"/>
          <c:showSerName val="0"/>
          <c:showPercent val="0"/>
          <c:showBubbleSize val="0"/>
        </c:dLbls>
        <c:axId val="70713344"/>
        <c:axId val="70715648"/>
      </c:scatterChart>
      <c:valAx>
        <c:axId val="70713344"/>
        <c:scaling>
          <c:orientation val="minMax"/>
          <c:max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Regular</a:t>
                </a:r>
                <a:r>
                  <a:rPr lang="en-US" baseline="0"/>
                  <a:t> ($)</a:t>
                </a:r>
                <a:endParaRPr lang="en-US"/>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15648"/>
        <c:crosses val="autoZero"/>
        <c:crossBetween val="midCat"/>
        <c:majorUnit val="0.5"/>
      </c:valAx>
      <c:valAx>
        <c:axId val="7071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Midgrade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13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EIA_AGG1!$C$11659:$C$11873</c:f>
              <c:numCache>
                <c:formatCode>General</c:formatCode>
                <c:ptCount val="215"/>
                <c:pt idx="0">
                  <c:v>3.2989999999999999</c:v>
                </c:pt>
                <c:pt idx="1">
                  <c:v>3.3029999999999999</c:v>
                </c:pt>
                <c:pt idx="2">
                  <c:v>3.3149999999999999</c:v>
                </c:pt>
                <c:pt idx="3">
                  <c:v>3.3570000000000002</c:v>
                </c:pt>
                <c:pt idx="4">
                  <c:v>3.5379999999999998</c:v>
                </c:pt>
                <c:pt idx="5">
                  <c:v>3.6110000000000002</c:v>
                </c:pt>
                <c:pt idx="6">
                  <c:v>3.7469999999999999</c:v>
                </c:pt>
                <c:pt idx="7">
                  <c:v>3.7839999999999998</c:v>
                </c:pt>
                <c:pt idx="8">
                  <c:v>3.7589999999999999</c:v>
                </c:pt>
                <c:pt idx="9">
                  <c:v>3.71</c:v>
                </c:pt>
                <c:pt idx="10">
                  <c:v>3.6960000000000002</c:v>
                </c:pt>
                <c:pt idx="11">
                  <c:v>3.68</c:v>
                </c:pt>
                <c:pt idx="12">
                  <c:v>3.645</c:v>
                </c:pt>
                <c:pt idx="13">
                  <c:v>3.6080000000000001</c:v>
                </c:pt>
                <c:pt idx="14">
                  <c:v>3.5419999999999998</c:v>
                </c:pt>
                <c:pt idx="15">
                  <c:v>3.536</c:v>
                </c:pt>
                <c:pt idx="16">
                  <c:v>3.52</c:v>
                </c:pt>
                <c:pt idx="17">
                  <c:v>3.5379999999999998</c:v>
                </c:pt>
                <c:pt idx="18">
                  <c:v>3.6030000000000002</c:v>
                </c:pt>
                <c:pt idx="19">
                  <c:v>3.673</c:v>
                </c:pt>
                <c:pt idx="20">
                  <c:v>3.645</c:v>
                </c:pt>
                <c:pt idx="21">
                  <c:v>3.6459999999999999</c:v>
                </c:pt>
                <c:pt idx="22">
                  <c:v>3.6549999999999998</c:v>
                </c:pt>
                <c:pt idx="23">
                  <c:v>3.6259999999999999</c:v>
                </c:pt>
                <c:pt idx="24">
                  <c:v>3.577</c:v>
                </c:pt>
                <c:pt idx="25">
                  <c:v>3.496</c:v>
                </c:pt>
                <c:pt idx="26">
                  <c:v>3.492</c:v>
                </c:pt>
                <c:pt idx="27">
                  <c:v>3.6389999999999998</c:v>
                </c:pt>
                <c:pt idx="28">
                  <c:v>3.6819999999999999</c:v>
                </c:pt>
                <c:pt idx="29">
                  <c:v>3.6459999999999999</c:v>
                </c:pt>
                <c:pt idx="30">
                  <c:v>3.6320000000000001</c:v>
                </c:pt>
                <c:pt idx="31">
                  <c:v>3.5609999999999999</c:v>
                </c:pt>
                <c:pt idx="32">
                  <c:v>3.55</c:v>
                </c:pt>
                <c:pt idx="33">
                  <c:v>3.552</c:v>
                </c:pt>
                <c:pt idx="34">
                  <c:v>3.6080000000000001</c:v>
                </c:pt>
                <c:pt idx="35">
                  <c:v>3.5870000000000002</c:v>
                </c:pt>
                <c:pt idx="36">
                  <c:v>3.5470000000000002</c:v>
                </c:pt>
                <c:pt idx="37">
                  <c:v>3.4950000000000001</c:v>
                </c:pt>
                <c:pt idx="38">
                  <c:v>3.4249999999999998</c:v>
                </c:pt>
                <c:pt idx="39">
                  <c:v>3.367</c:v>
                </c:pt>
                <c:pt idx="40">
                  <c:v>3.3540000000000001</c:v>
                </c:pt>
                <c:pt idx="41">
                  <c:v>3.36</c:v>
                </c:pt>
                <c:pt idx="42">
                  <c:v>3.294</c:v>
                </c:pt>
                <c:pt idx="43">
                  <c:v>3.2650000000000001</c:v>
                </c:pt>
                <c:pt idx="44">
                  <c:v>3.194</c:v>
                </c:pt>
                <c:pt idx="45">
                  <c:v>3.2189999999999999</c:v>
                </c:pt>
                <c:pt idx="46">
                  <c:v>3.2930000000000001</c:v>
                </c:pt>
                <c:pt idx="47">
                  <c:v>3.2719999999999998</c:v>
                </c:pt>
                <c:pt idx="48">
                  <c:v>3.2690000000000001</c:v>
                </c:pt>
                <c:pt idx="49">
                  <c:v>3.2389999999999999</c:v>
                </c:pt>
                <c:pt idx="50">
                  <c:v>3.2709999999999999</c:v>
                </c:pt>
                <c:pt idx="51">
                  <c:v>3.331</c:v>
                </c:pt>
                <c:pt idx="52">
                  <c:v>3.3319999999999999</c:v>
                </c:pt>
                <c:pt idx="53">
                  <c:v>3.327</c:v>
                </c:pt>
                <c:pt idx="54">
                  <c:v>3.2959999999999998</c:v>
                </c:pt>
                <c:pt idx="55">
                  <c:v>3.2949999999999999</c:v>
                </c:pt>
                <c:pt idx="56">
                  <c:v>3.2919999999999998</c:v>
                </c:pt>
                <c:pt idx="57">
                  <c:v>3.3090000000000002</c:v>
                </c:pt>
                <c:pt idx="58">
                  <c:v>3.38</c:v>
                </c:pt>
                <c:pt idx="59">
                  <c:v>3.444</c:v>
                </c:pt>
                <c:pt idx="60">
                  <c:v>3.4790000000000001</c:v>
                </c:pt>
                <c:pt idx="61">
                  <c:v>3.512</c:v>
                </c:pt>
                <c:pt idx="62">
                  <c:v>3.5470000000000002</c:v>
                </c:pt>
                <c:pt idx="63">
                  <c:v>3.5489999999999999</c:v>
                </c:pt>
                <c:pt idx="64">
                  <c:v>3.5790000000000002</c:v>
                </c:pt>
                <c:pt idx="65">
                  <c:v>3.5960000000000001</c:v>
                </c:pt>
                <c:pt idx="66">
                  <c:v>3.6509999999999998</c:v>
                </c:pt>
                <c:pt idx="67">
                  <c:v>3.6829999999999998</c:v>
                </c:pt>
                <c:pt idx="68">
                  <c:v>3.7130000000000001</c:v>
                </c:pt>
                <c:pt idx="69">
                  <c:v>3.6840000000000002</c:v>
                </c:pt>
                <c:pt idx="70">
                  <c:v>3.6680000000000001</c:v>
                </c:pt>
                <c:pt idx="71">
                  <c:v>3.665</c:v>
                </c:pt>
                <c:pt idx="72">
                  <c:v>3.6739999999999999</c:v>
                </c:pt>
                <c:pt idx="73">
                  <c:v>3.69</c:v>
                </c:pt>
                <c:pt idx="74">
                  <c:v>3.6739999999999999</c:v>
                </c:pt>
                <c:pt idx="75">
                  <c:v>3.6859999999999999</c:v>
                </c:pt>
                <c:pt idx="76">
                  <c:v>3.7040000000000002</c:v>
                </c:pt>
                <c:pt idx="77">
                  <c:v>3.7040000000000002</c:v>
                </c:pt>
                <c:pt idx="78">
                  <c:v>3.6779999999999999</c:v>
                </c:pt>
                <c:pt idx="79">
                  <c:v>3.6349999999999998</c:v>
                </c:pt>
                <c:pt idx="80">
                  <c:v>3.593</c:v>
                </c:pt>
                <c:pt idx="81">
                  <c:v>3.5390000000000001</c:v>
                </c:pt>
                <c:pt idx="82">
                  <c:v>3.5150000000000001</c:v>
                </c:pt>
                <c:pt idx="83">
                  <c:v>3.5049999999999999</c:v>
                </c:pt>
                <c:pt idx="84">
                  <c:v>3.472</c:v>
                </c:pt>
                <c:pt idx="85">
                  <c:v>3.4540000000000002</c:v>
                </c:pt>
                <c:pt idx="86">
                  <c:v>3.4590000000000001</c:v>
                </c:pt>
                <c:pt idx="87">
                  <c:v>3.4569999999999999</c:v>
                </c:pt>
                <c:pt idx="88">
                  <c:v>3.4079999999999999</c:v>
                </c:pt>
                <c:pt idx="89">
                  <c:v>3.3530000000000002</c:v>
                </c:pt>
                <c:pt idx="90">
                  <c:v>3.3540000000000001</c:v>
                </c:pt>
                <c:pt idx="91">
                  <c:v>3.2989999999999999</c:v>
                </c:pt>
                <c:pt idx="92">
                  <c:v>3.2069999999999999</c:v>
                </c:pt>
                <c:pt idx="93">
                  <c:v>3.12</c:v>
                </c:pt>
                <c:pt idx="94">
                  <c:v>3.056</c:v>
                </c:pt>
                <c:pt idx="95">
                  <c:v>2.9929999999999999</c:v>
                </c:pt>
                <c:pt idx="96">
                  <c:v>2.9409999999999998</c:v>
                </c:pt>
                <c:pt idx="97">
                  <c:v>2.8940000000000001</c:v>
                </c:pt>
                <c:pt idx="98">
                  <c:v>2.8210000000000002</c:v>
                </c:pt>
                <c:pt idx="99">
                  <c:v>2.778</c:v>
                </c:pt>
                <c:pt idx="100">
                  <c:v>2.6789999999999998</c:v>
                </c:pt>
                <c:pt idx="101">
                  <c:v>2.5539999999999998</c:v>
                </c:pt>
                <c:pt idx="102">
                  <c:v>2.403</c:v>
                </c:pt>
                <c:pt idx="103">
                  <c:v>2.2989999999999999</c:v>
                </c:pt>
                <c:pt idx="104">
                  <c:v>2.214</c:v>
                </c:pt>
                <c:pt idx="105">
                  <c:v>2.1389999999999998</c:v>
                </c:pt>
                <c:pt idx="106">
                  <c:v>2.0659999999999998</c:v>
                </c:pt>
                <c:pt idx="107">
                  <c:v>2.044</c:v>
                </c:pt>
                <c:pt idx="108">
                  <c:v>2.0680000000000001</c:v>
                </c:pt>
                <c:pt idx="109">
                  <c:v>2.1909999999999998</c:v>
                </c:pt>
                <c:pt idx="110">
                  <c:v>2.274</c:v>
                </c:pt>
                <c:pt idx="111">
                  <c:v>2.3319999999999999</c:v>
                </c:pt>
                <c:pt idx="112">
                  <c:v>2.4729999999999999</c:v>
                </c:pt>
                <c:pt idx="113">
                  <c:v>2.4870000000000001</c:v>
                </c:pt>
                <c:pt idx="114">
                  <c:v>2.4529999999999998</c:v>
                </c:pt>
                <c:pt idx="115">
                  <c:v>2.4569999999999999</c:v>
                </c:pt>
                <c:pt idx="116">
                  <c:v>2.448</c:v>
                </c:pt>
                <c:pt idx="117">
                  <c:v>2.4129999999999998</c:v>
                </c:pt>
                <c:pt idx="118">
                  <c:v>2.4079999999999999</c:v>
                </c:pt>
                <c:pt idx="119">
                  <c:v>2.4849999999999999</c:v>
                </c:pt>
                <c:pt idx="120">
                  <c:v>2.57</c:v>
                </c:pt>
                <c:pt idx="121">
                  <c:v>2.6640000000000001</c:v>
                </c:pt>
                <c:pt idx="122">
                  <c:v>2.6909999999999998</c:v>
                </c:pt>
                <c:pt idx="123">
                  <c:v>2.7440000000000002</c:v>
                </c:pt>
                <c:pt idx="124">
                  <c:v>2.774</c:v>
                </c:pt>
                <c:pt idx="125">
                  <c:v>2.78</c:v>
                </c:pt>
                <c:pt idx="126">
                  <c:v>2.78</c:v>
                </c:pt>
                <c:pt idx="127">
                  <c:v>2.835</c:v>
                </c:pt>
                <c:pt idx="128">
                  <c:v>2.8119999999999998</c:v>
                </c:pt>
                <c:pt idx="129">
                  <c:v>2.8010000000000002</c:v>
                </c:pt>
                <c:pt idx="130">
                  <c:v>2.7930000000000001</c:v>
                </c:pt>
                <c:pt idx="131">
                  <c:v>2.8340000000000001</c:v>
                </c:pt>
                <c:pt idx="132">
                  <c:v>2.802</c:v>
                </c:pt>
                <c:pt idx="133">
                  <c:v>2.7450000000000001</c:v>
                </c:pt>
                <c:pt idx="134">
                  <c:v>2.6890000000000001</c:v>
                </c:pt>
                <c:pt idx="135">
                  <c:v>2.629</c:v>
                </c:pt>
                <c:pt idx="136">
                  <c:v>2.7160000000000002</c:v>
                </c:pt>
                <c:pt idx="137">
                  <c:v>2.637</c:v>
                </c:pt>
                <c:pt idx="138">
                  <c:v>2.5099999999999998</c:v>
                </c:pt>
                <c:pt idx="139">
                  <c:v>2.4369999999999998</c:v>
                </c:pt>
                <c:pt idx="140">
                  <c:v>2.375</c:v>
                </c:pt>
                <c:pt idx="141">
                  <c:v>2.327</c:v>
                </c:pt>
                <c:pt idx="142">
                  <c:v>2.3220000000000001</c:v>
                </c:pt>
                <c:pt idx="143">
                  <c:v>2.3180000000000001</c:v>
                </c:pt>
                <c:pt idx="144">
                  <c:v>2.3370000000000002</c:v>
                </c:pt>
                <c:pt idx="145">
                  <c:v>2.2770000000000001</c:v>
                </c:pt>
                <c:pt idx="146">
                  <c:v>2.2280000000000002</c:v>
                </c:pt>
                <c:pt idx="147">
                  <c:v>2.2240000000000002</c:v>
                </c:pt>
                <c:pt idx="148">
                  <c:v>2.2349999999999999</c:v>
                </c:pt>
                <c:pt idx="149">
                  <c:v>2.1779999999999999</c:v>
                </c:pt>
                <c:pt idx="150">
                  <c:v>2.0939999999999999</c:v>
                </c:pt>
                <c:pt idx="151">
                  <c:v>2.0590000000000002</c:v>
                </c:pt>
                <c:pt idx="152">
                  <c:v>2.0529999999999999</c:v>
                </c:pt>
                <c:pt idx="153">
                  <c:v>2.0369999999999999</c:v>
                </c:pt>
                <c:pt idx="154">
                  <c:v>2.0259999999999998</c:v>
                </c:pt>
                <c:pt idx="155">
                  <c:v>2.0339999999999998</c:v>
                </c:pt>
                <c:pt idx="156">
                  <c:v>2.028</c:v>
                </c:pt>
                <c:pt idx="157">
                  <c:v>1.996</c:v>
                </c:pt>
                <c:pt idx="158">
                  <c:v>1.9139999999999999</c:v>
                </c:pt>
                <c:pt idx="159">
                  <c:v>1.8560000000000001</c:v>
                </c:pt>
                <c:pt idx="160">
                  <c:v>1.8220000000000001</c:v>
                </c:pt>
                <c:pt idx="161">
                  <c:v>1.7589999999999999</c:v>
                </c:pt>
                <c:pt idx="162">
                  <c:v>1.724</c:v>
                </c:pt>
                <c:pt idx="163">
                  <c:v>1.73</c:v>
                </c:pt>
                <c:pt idx="164">
                  <c:v>1.7829999999999999</c:v>
                </c:pt>
                <c:pt idx="165">
                  <c:v>1.841</c:v>
                </c:pt>
                <c:pt idx="166">
                  <c:v>1.9610000000000001</c:v>
                </c:pt>
                <c:pt idx="167">
                  <c:v>2.0070000000000001</c:v>
                </c:pt>
                <c:pt idx="168">
                  <c:v>2.0659999999999998</c:v>
                </c:pt>
                <c:pt idx="169">
                  <c:v>2.0830000000000002</c:v>
                </c:pt>
                <c:pt idx="170">
                  <c:v>2.069</c:v>
                </c:pt>
                <c:pt idx="171">
                  <c:v>2.137</c:v>
                </c:pt>
                <c:pt idx="172">
                  <c:v>2.1619999999999999</c:v>
                </c:pt>
                <c:pt idx="173">
                  <c:v>2.2400000000000002</c:v>
                </c:pt>
                <c:pt idx="174">
                  <c:v>2.2200000000000002</c:v>
                </c:pt>
                <c:pt idx="175">
                  <c:v>2.242</c:v>
                </c:pt>
                <c:pt idx="176">
                  <c:v>2.2999999999999998</c:v>
                </c:pt>
                <c:pt idx="177">
                  <c:v>2.339</c:v>
                </c:pt>
                <c:pt idx="178">
                  <c:v>2.3809999999999998</c:v>
                </c:pt>
                <c:pt idx="179">
                  <c:v>2.399</c:v>
                </c:pt>
                <c:pt idx="180">
                  <c:v>2.3530000000000002</c:v>
                </c:pt>
                <c:pt idx="181">
                  <c:v>2.3290000000000002</c:v>
                </c:pt>
                <c:pt idx="182">
                  <c:v>2.2909999999999999</c:v>
                </c:pt>
                <c:pt idx="183">
                  <c:v>2.2530000000000001</c:v>
                </c:pt>
                <c:pt idx="184">
                  <c:v>2.23</c:v>
                </c:pt>
                <c:pt idx="185">
                  <c:v>2.1819999999999999</c:v>
                </c:pt>
                <c:pt idx="186">
                  <c:v>2.1589999999999998</c:v>
                </c:pt>
                <c:pt idx="187">
                  <c:v>2.15</c:v>
                </c:pt>
                <c:pt idx="188">
                  <c:v>2.149</c:v>
                </c:pt>
                <c:pt idx="189">
                  <c:v>2.1930000000000001</c:v>
                </c:pt>
                <c:pt idx="190">
                  <c:v>2.2370000000000001</c:v>
                </c:pt>
                <c:pt idx="191">
                  <c:v>2.2229999999999999</c:v>
                </c:pt>
                <c:pt idx="192">
                  <c:v>2.202</c:v>
                </c:pt>
                <c:pt idx="193">
                  <c:v>2.2250000000000001</c:v>
                </c:pt>
                <c:pt idx="194">
                  <c:v>2.2240000000000002</c:v>
                </c:pt>
                <c:pt idx="195">
                  <c:v>2.2450000000000001</c:v>
                </c:pt>
                <c:pt idx="196">
                  <c:v>2.2719999999999998</c:v>
                </c:pt>
                <c:pt idx="197">
                  <c:v>2.2570000000000001</c:v>
                </c:pt>
                <c:pt idx="198">
                  <c:v>2.2429999999999999</c:v>
                </c:pt>
                <c:pt idx="199">
                  <c:v>2.23</c:v>
                </c:pt>
                <c:pt idx="200">
                  <c:v>2.2330000000000001</c:v>
                </c:pt>
                <c:pt idx="201">
                  <c:v>2.1840000000000002</c:v>
                </c:pt>
                <c:pt idx="202">
                  <c:v>2.1549999999999998</c:v>
                </c:pt>
                <c:pt idx="203">
                  <c:v>2.1539999999999999</c:v>
                </c:pt>
                <c:pt idx="204">
                  <c:v>2.2080000000000002</c:v>
                </c:pt>
                <c:pt idx="205">
                  <c:v>2.2360000000000002</c:v>
                </c:pt>
                <c:pt idx="206">
                  <c:v>2.2639999999999998</c:v>
                </c:pt>
                <c:pt idx="207">
                  <c:v>2.3090000000000002</c:v>
                </c:pt>
                <c:pt idx="208">
                  <c:v>2.3769999999999998</c:v>
                </c:pt>
                <c:pt idx="209">
                  <c:v>2.3879999999999999</c:v>
                </c:pt>
                <c:pt idx="210">
                  <c:v>2.3580000000000001</c:v>
                </c:pt>
                <c:pt idx="211">
                  <c:v>2.3260000000000001</c:v>
                </c:pt>
                <c:pt idx="212">
                  <c:v>2.2959999999999998</c:v>
                </c:pt>
                <c:pt idx="213">
                  <c:v>2.2930000000000001</c:v>
                </c:pt>
                <c:pt idx="214">
                  <c:v>2.3069999999999999</c:v>
                </c:pt>
              </c:numCache>
            </c:numRef>
          </c:xVal>
          <c:yVal>
            <c:numRef>
              <c:f>EIA_AGG1!$D$11659:$D$11873</c:f>
              <c:numCache>
                <c:formatCode>General</c:formatCode>
                <c:ptCount val="215"/>
                <c:pt idx="0">
                  <c:v>3.4630000000000001</c:v>
                </c:pt>
                <c:pt idx="1">
                  <c:v>3.4670000000000001</c:v>
                </c:pt>
                <c:pt idx="2">
                  <c:v>3.4729999999999999</c:v>
                </c:pt>
                <c:pt idx="3">
                  <c:v>3.512</c:v>
                </c:pt>
                <c:pt idx="4">
                  <c:v>3.6829999999999998</c:v>
                </c:pt>
                <c:pt idx="5">
                  <c:v>3.7559999999999998</c:v>
                </c:pt>
                <c:pt idx="6">
                  <c:v>3.891</c:v>
                </c:pt>
                <c:pt idx="7">
                  <c:v>3.9340000000000002</c:v>
                </c:pt>
                <c:pt idx="8">
                  <c:v>3.91</c:v>
                </c:pt>
                <c:pt idx="9">
                  <c:v>3.8650000000000002</c:v>
                </c:pt>
                <c:pt idx="10">
                  <c:v>3.85</c:v>
                </c:pt>
                <c:pt idx="11">
                  <c:v>3.8279999999999998</c:v>
                </c:pt>
                <c:pt idx="12">
                  <c:v>3.798</c:v>
                </c:pt>
                <c:pt idx="13">
                  <c:v>3.7610000000000001</c:v>
                </c:pt>
                <c:pt idx="14">
                  <c:v>3.7</c:v>
                </c:pt>
                <c:pt idx="15">
                  <c:v>3.6869999999999998</c:v>
                </c:pt>
                <c:pt idx="16">
                  <c:v>3.6680000000000001</c:v>
                </c:pt>
                <c:pt idx="17">
                  <c:v>3.681</c:v>
                </c:pt>
                <c:pt idx="18">
                  <c:v>3.7389999999999999</c:v>
                </c:pt>
                <c:pt idx="19">
                  <c:v>3.8010000000000002</c:v>
                </c:pt>
                <c:pt idx="20">
                  <c:v>3.7789999999999999</c:v>
                </c:pt>
                <c:pt idx="21">
                  <c:v>3.7730000000000001</c:v>
                </c:pt>
                <c:pt idx="22">
                  <c:v>3.7829999999999999</c:v>
                </c:pt>
                <c:pt idx="23">
                  <c:v>3.7639999999999998</c:v>
                </c:pt>
                <c:pt idx="24">
                  <c:v>3.7330000000000001</c:v>
                </c:pt>
                <c:pt idx="25">
                  <c:v>3.66</c:v>
                </c:pt>
                <c:pt idx="26">
                  <c:v>3.6539999999999999</c:v>
                </c:pt>
                <c:pt idx="27">
                  <c:v>3.786</c:v>
                </c:pt>
                <c:pt idx="28">
                  <c:v>3.831</c:v>
                </c:pt>
                <c:pt idx="29">
                  <c:v>3.8010000000000002</c:v>
                </c:pt>
                <c:pt idx="30">
                  <c:v>3.7810000000000001</c:v>
                </c:pt>
                <c:pt idx="31">
                  <c:v>3.7189999999999999</c:v>
                </c:pt>
                <c:pt idx="32">
                  <c:v>3.7069999999999999</c:v>
                </c:pt>
                <c:pt idx="33">
                  <c:v>3.7069999999999999</c:v>
                </c:pt>
                <c:pt idx="34">
                  <c:v>3.76</c:v>
                </c:pt>
                <c:pt idx="35">
                  <c:v>3.7410000000000001</c:v>
                </c:pt>
                <c:pt idx="36">
                  <c:v>3.7090000000000001</c:v>
                </c:pt>
                <c:pt idx="37">
                  <c:v>3.6560000000000001</c:v>
                </c:pt>
                <c:pt idx="38">
                  <c:v>3.5960000000000001</c:v>
                </c:pt>
                <c:pt idx="39">
                  <c:v>3.5350000000000001</c:v>
                </c:pt>
                <c:pt idx="40">
                  <c:v>3.5270000000000001</c:v>
                </c:pt>
                <c:pt idx="41">
                  <c:v>3.5310000000000001</c:v>
                </c:pt>
                <c:pt idx="42">
                  <c:v>3.4750000000000001</c:v>
                </c:pt>
                <c:pt idx="43">
                  <c:v>3.4409999999999998</c:v>
                </c:pt>
                <c:pt idx="44">
                  <c:v>3.38</c:v>
                </c:pt>
                <c:pt idx="45">
                  <c:v>3.4009999999999998</c:v>
                </c:pt>
                <c:pt idx="46">
                  <c:v>3.47</c:v>
                </c:pt>
                <c:pt idx="47">
                  <c:v>3.4569999999999999</c:v>
                </c:pt>
                <c:pt idx="48">
                  <c:v>3.4529999999999998</c:v>
                </c:pt>
                <c:pt idx="49">
                  <c:v>3.423</c:v>
                </c:pt>
                <c:pt idx="50">
                  <c:v>3.4510000000000001</c:v>
                </c:pt>
                <c:pt idx="51">
                  <c:v>3.5030000000000001</c:v>
                </c:pt>
                <c:pt idx="52">
                  <c:v>3.5129999999999999</c:v>
                </c:pt>
                <c:pt idx="53">
                  <c:v>3.5049999999999999</c:v>
                </c:pt>
                <c:pt idx="54">
                  <c:v>3.4769999999999999</c:v>
                </c:pt>
                <c:pt idx="55">
                  <c:v>3.4740000000000002</c:v>
                </c:pt>
                <c:pt idx="56">
                  <c:v>3.4750000000000001</c:v>
                </c:pt>
                <c:pt idx="57">
                  <c:v>3.4870000000000001</c:v>
                </c:pt>
                <c:pt idx="58">
                  <c:v>3.5550000000000002</c:v>
                </c:pt>
                <c:pt idx="59">
                  <c:v>3.6150000000000002</c:v>
                </c:pt>
                <c:pt idx="60">
                  <c:v>3.6480000000000001</c:v>
                </c:pt>
                <c:pt idx="61">
                  <c:v>3.6739999999999999</c:v>
                </c:pt>
                <c:pt idx="62">
                  <c:v>3.71</c:v>
                </c:pt>
                <c:pt idx="63">
                  <c:v>3.7160000000000002</c:v>
                </c:pt>
                <c:pt idx="64">
                  <c:v>3.7429999999999999</c:v>
                </c:pt>
                <c:pt idx="65">
                  <c:v>3.7690000000000001</c:v>
                </c:pt>
                <c:pt idx="66">
                  <c:v>3.823</c:v>
                </c:pt>
                <c:pt idx="67">
                  <c:v>3.8570000000000002</c:v>
                </c:pt>
                <c:pt idx="68">
                  <c:v>3.8879999999999999</c:v>
                </c:pt>
                <c:pt idx="69">
                  <c:v>3.8639999999999999</c:v>
                </c:pt>
                <c:pt idx="70">
                  <c:v>3.85</c:v>
                </c:pt>
                <c:pt idx="71">
                  <c:v>3.8439999999999999</c:v>
                </c:pt>
                <c:pt idx="72">
                  <c:v>3.85</c:v>
                </c:pt>
                <c:pt idx="73">
                  <c:v>3.8620000000000001</c:v>
                </c:pt>
                <c:pt idx="74">
                  <c:v>3.8439999999999999</c:v>
                </c:pt>
                <c:pt idx="75">
                  <c:v>3.8530000000000002</c:v>
                </c:pt>
                <c:pt idx="76">
                  <c:v>3.8730000000000002</c:v>
                </c:pt>
                <c:pt idx="77">
                  <c:v>3.8719999999999999</c:v>
                </c:pt>
                <c:pt idx="78">
                  <c:v>3.8490000000000002</c:v>
                </c:pt>
                <c:pt idx="79">
                  <c:v>3.8109999999999999</c:v>
                </c:pt>
                <c:pt idx="80">
                  <c:v>3.7730000000000001</c:v>
                </c:pt>
                <c:pt idx="81">
                  <c:v>3.7229999999999999</c:v>
                </c:pt>
                <c:pt idx="82">
                  <c:v>3.7010000000000001</c:v>
                </c:pt>
                <c:pt idx="83">
                  <c:v>3.6840000000000002</c:v>
                </c:pt>
                <c:pt idx="84">
                  <c:v>3.653</c:v>
                </c:pt>
                <c:pt idx="85">
                  <c:v>3.6349999999999998</c:v>
                </c:pt>
                <c:pt idx="86">
                  <c:v>3.6379999999999999</c:v>
                </c:pt>
                <c:pt idx="87">
                  <c:v>3.6320000000000001</c:v>
                </c:pt>
                <c:pt idx="88">
                  <c:v>3.585</c:v>
                </c:pt>
                <c:pt idx="89">
                  <c:v>3.536</c:v>
                </c:pt>
                <c:pt idx="90">
                  <c:v>3.5369999999999999</c:v>
                </c:pt>
                <c:pt idx="91">
                  <c:v>3.492</c:v>
                </c:pt>
                <c:pt idx="92">
                  <c:v>3.4060000000000001</c:v>
                </c:pt>
                <c:pt idx="93">
                  <c:v>3.319</c:v>
                </c:pt>
                <c:pt idx="94">
                  <c:v>3.2480000000000002</c:v>
                </c:pt>
                <c:pt idx="95">
                  <c:v>3.1869999999999998</c:v>
                </c:pt>
                <c:pt idx="96">
                  <c:v>3.1339999999999999</c:v>
                </c:pt>
                <c:pt idx="97">
                  <c:v>3.0880000000000001</c:v>
                </c:pt>
                <c:pt idx="98">
                  <c:v>3.0190000000000001</c:v>
                </c:pt>
                <c:pt idx="99">
                  <c:v>2.9780000000000002</c:v>
                </c:pt>
                <c:pt idx="100">
                  <c:v>2.8820000000000001</c:v>
                </c:pt>
                <c:pt idx="101">
                  <c:v>2.7629999999999999</c:v>
                </c:pt>
                <c:pt idx="102">
                  <c:v>2.6190000000000002</c:v>
                </c:pt>
                <c:pt idx="103">
                  <c:v>2.5169999999999999</c:v>
                </c:pt>
                <c:pt idx="104">
                  <c:v>2.4369999999999998</c:v>
                </c:pt>
                <c:pt idx="105">
                  <c:v>2.3580000000000001</c:v>
                </c:pt>
                <c:pt idx="106">
                  <c:v>2.2770000000000001</c:v>
                </c:pt>
                <c:pt idx="107">
                  <c:v>2.25</c:v>
                </c:pt>
                <c:pt idx="108">
                  <c:v>2.2679999999999998</c:v>
                </c:pt>
                <c:pt idx="109">
                  <c:v>2.3879999999999999</c:v>
                </c:pt>
                <c:pt idx="110">
                  <c:v>2.4670000000000001</c:v>
                </c:pt>
                <c:pt idx="111">
                  <c:v>2.5259999999999998</c:v>
                </c:pt>
                <c:pt idx="112">
                  <c:v>2.6709999999999998</c:v>
                </c:pt>
                <c:pt idx="113">
                  <c:v>2.6859999999999999</c:v>
                </c:pt>
                <c:pt idx="114">
                  <c:v>2.6520000000000001</c:v>
                </c:pt>
                <c:pt idx="115">
                  <c:v>2.65</c:v>
                </c:pt>
                <c:pt idx="116">
                  <c:v>2.649</c:v>
                </c:pt>
                <c:pt idx="117">
                  <c:v>2.617</c:v>
                </c:pt>
                <c:pt idx="118">
                  <c:v>2.6160000000000001</c:v>
                </c:pt>
                <c:pt idx="119">
                  <c:v>2.6859999999999999</c:v>
                </c:pt>
                <c:pt idx="120">
                  <c:v>2.7770000000000001</c:v>
                </c:pt>
                <c:pt idx="121">
                  <c:v>2.87</c:v>
                </c:pt>
                <c:pt idx="122">
                  <c:v>2.9</c:v>
                </c:pt>
                <c:pt idx="123">
                  <c:v>2.9489999999999998</c:v>
                </c:pt>
                <c:pt idx="124">
                  <c:v>2.9750000000000001</c:v>
                </c:pt>
                <c:pt idx="125">
                  <c:v>2.9780000000000002</c:v>
                </c:pt>
                <c:pt idx="126">
                  <c:v>2.9769999999999999</c:v>
                </c:pt>
                <c:pt idx="127">
                  <c:v>3.0249999999999999</c:v>
                </c:pt>
                <c:pt idx="128">
                  <c:v>3.0059999999999998</c:v>
                </c:pt>
                <c:pt idx="129">
                  <c:v>2.9969999999999999</c:v>
                </c:pt>
                <c:pt idx="130">
                  <c:v>2.99</c:v>
                </c:pt>
                <c:pt idx="131">
                  <c:v>3.044</c:v>
                </c:pt>
                <c:pt idx="132">
                  <c:v>3.012</c:v>
                </c:pt>
                <c:pt idx="133">
                  <c:v>2.96</c:v>
                </c:pt>
                <c:pt idx="134">
                  <c:v>2.9089999999999998</c:v>
                </c:pt>
                <c:pt idx="135">
                  <c:v>2.85</c:v>
                </c:pt>
                <c:pt idx="136">
                  <c:v>2.927</c:v>
                </c:pt>
                <c:pt idx="137">
                  <c:v>2.8540000000000001</c:v>
                </c:pt>
                <c:pt idx="138">
                  <c:v>2.734</c:v>
                </c:pt>
                <c:pt idx="139">
                  <c:v>2.6619999999999999</c:v>
                </c:pt>
                <c:pt idx="140">
                  <c:v>2.605</c:v>
                </c:pt>
                <c:pt idx="141">
                  <c:v>2.5609999999999999</c:v>
                </c:pt>
                <c:pt idx="142">
                  <c:v>2.5510000000000002</c:v>
                </c:pt>
                <c:pt idx="143">
                  <c:v>2.5449999999999999</c:v>
                </c:pt>
                <c:pt idx="144">
                  <c:v>2.5609999999999999</c:v>
                </c:pt>
                <c:pt idx="145">
                  <c:v>2.5049999999999999</c:v>
                </c:pt>
                <c:pt idx="146">
                  <c:v>2.46</c:v>
                </c:pt>
                <c:pt idx="147">
                  <c:v>2.4550000000000001</c:v>
                </c:pt>
                <c:pt idx="148">
                  <c:v>2.468</c:v>
                </c:pt>
                <c:pt idx="149">
                  <c:v>2.42</c:v>
                </c:pt>
                <c:pt idx="150">
                  <c:v>2.3380000000000001</c:v>
                </c:pt>
                <c:pt idx="151">
                  <c:v>2.3079999999999998</c:v>
                </c:pt>
                <c:pt idx="152">
                  <c:v>2.3029999999999999</c:v>
                </c:pt>
                <c:pt idx="153">
                  <c:v>2.2869999999999999</c:v>
                </c:pt>
                <c:pt idx="154">
                  <c:v>2.2799999999999998</c:v>
                </c:pt>
                <c:pt idx="155">
                  <c:v>2.29</c:v>
                </c:pt>
                <c:pt idx="156">
                  <c:v>2.2850000000000001</c:v>
                </c:pt>
                <c:pt idx="157">
                  <c:v>2.2530000000000001</c:v>
                </c:pt>
                <c:pt idx="158">
                  <c:v>2.1720000000000002</c:v>
                </c:pt>
                <c:pt idx="159">
                  <c:v>2.1179999999999999</c:v>
                </c:pt>
                <c:pt idx="160">
                  <c:v>2.085</c:v>
                </c:pt>
                <c:pt idx="161">
                  <c:v>2.0249999999999999</c:v>
                </c:pt>
                <c:pt idx="162">
                  <c:v>1.984</c:v>
                </c:pt>
                <c:pt idx="163">
                  <c:v>1.9830000000000001</c:v>
                </c:pt>
                <c:pt idx="164">
                  <c:v>2.0289999999999999</c:v>
                </c:pt>
                <c:pt idx="165">
                  <c:v>2.081</c:v>
                </c:pt>
                <c:pt idx="166">
                  <c:v>2.2000000000000002</c:v>
                </c:pt>
                <c:pt idx="167">
                  <c:v>2.2480000000000002</c:v>
                </c:pt>
                <c:pt idx="168">
                  <c:v>2.31</c:v>
                </c:pt>
                <c:pt idx="169">
                  <c:v>2.323</c:v>
                </c:pt>
                <c:pt idx="170">
                  <c:v>2.3149999999999999</c:v>
                </c:pt>
                <c:pt idx="171">
                  <c:v>2.3780000000000001</c:v>
                </c:pt>
                <c:pt idx="172">
                  <c:v>2.4049999999999998</c:v>
                </c:pt>
                <c:pt idx="173">
                  <c:v>2.4820000000000002</c:v>
                </c:pt>
                <c:pt idx="174">
                  <c:v>2.4689999999999999</c:v>
                </c:pt>
                <c:pt idx="175">
                  <c:v>2.4849999999999999</c:v>
                </c:pt>
                <c:pt idx="176">
                  <c:v>2.5409999999999999</c:v>
                </c:pt>
                <c:pt idx="177">
                  <c:v>2.5739999999999998</c:v>
                </c:pt>
                <c:pt idx="178">
                  <c:v>2.6160000000000001</c:v>
                </c:pt>
                <c:pt idx="179">
                  <c:v>2.6320000000000001</c:v>
                </c:pt>
                <c:pt idx="180">
                  <c:v>2.5920000000000001</c:v>
                </c:pt>
                <c:pt idx="181">
                  <c:v>2.57</c:v>
                </c:pt>
                <c:pt idx="182">
                  <c:v>2.5369999999999999</c:v>
                </c:pt>
                <c:pt idx="183">
                  <c:v>2.5009999999999999</c:v>
                </c:pt>
                <c:pt idx="184">
                  <c:v>2.4790000000000001</c:v>
                </c:pt>
                <c:pt idx="185">
                  <c:v>2.4340000000000002</c:v>
                </c:pt>
                <c:pt idx="186">
                  <c:v>2.4129999999999998</c:v>
                </c:pt>
                <c:pt idx="187">
                  <c:v>2.3980000000000001</c:v>
                </c:pt>
                <c:pt idx="188">
                  <c:v>2.4009999999999998</c:v>
                </c:pt>
                <c:pt idx="189">
                  <c:v>2.4409999999999998</c:v>
                </c:pt>
                <c:pt idx="190">
                  <c:v>2.4809999999999999</c:v>
                </c:pt>
                <c:pt idx="191">
                  <c:v>2.468</c:v>
                </c:pt>
                <c:pt idx="192">
                  <c:v>2.4540000000000002</c:v>
                </c:pt>
                <c:pt idx="193">
                  <c:v>2.4809999999999999</c:v>
                </c:pt>
                <c:pt idx="194">
                  <c:v>2.484</c:v>
                </c:pt>
                <c:pt idx="195">
                  <c:v>2.5059999999999998</c:v>
                </c:pt>
                <c:pt idx="196">
                  <c:v>2.5289999999999999</c:v>
                </c:pt>
                <c:pt idx="197">
                  <c:v>2.516</c:v>
                </c:pt>
                <c:pt idx="198">
                  <c:v>2.5019999999999998</c:v>
                </c:pt>
                <c:pt idx="199">
                  <c:v>2.4929999999999999</c:v>
                </c:pt>
                <c:pt idx="200">
                  <c:v>2.4980000000000002</c:v>
                </c:pt>
                <c:pt idx="201">
                  <c:v>2.4550000000000001</c:v>
                </c:pt>
                <c:pt idx="202">
                  <c:v>2.423</c:v>
                </c:pt>
                <c:pt idx="203">
                  <c:v>2.423</c:v>
                </c:pt>
                <c:pt idx="204">
                  <c:v>2.4710000000000001</c:v>
                </c:pt>
                <c:pt idx="205">
                  <c:v>2.4940000000000002</c:v>
                </c:pt>
                <c:pt idx="206">
                  <c:v>2.5219999999999998</c:v>
                </c:pt>
                <c:pt idx="207">
                  <c:v>2.5609999999999999</c:v>
                </c:pt>
                <c:pt idx="208">
                  <c:v>2.6219999999999999</c:v>
                </c:pt>
                <c:pt idx="209">
                  <c:v>2.6360000000000001</c:v>
                </c:pt>
                <c:pt idx="210">
                  <c:v>2.6070000000000002</c:v>
                </c:pt>
                <c:pt idx="211">
                  <c:v>2.5779999999999998</c:v>
                </c:pt>
                <c:pt idx="212">
                  <c:v>2.5529999999999999</c:v>
                </c:pt>
                <c:pt idx="213">
                  <c:v>2.552</c:v>
                </c:pt>
                <c:pt idx="214">
                  <c:v>2.5659999999999998</c:v>
                </c:pt>
              </c:numCache>
            </c:numRef>
          </c:yVal>
          <c:smooth val="0"/>
        </c:ser>
        <c:dLbls>
          <c:showLegendKey val="0"/>
          <c:showVal val="0"/>
          <c:showCatName val="0"/>
          <c:showSerName val="0"/>
          <c:showPercent val="0"/>
          <c:showBubbleSize val="0"/>
        </c:dLbls>
        <c:axId val="70755840"/>
        <c:axId val="70770688"/>
      </c:scatterChart>
      <c:valAx>
        <c:axId val="70755840"/>
        <c:scaling>
          <c:orientation val="minMax"/>
          <c:max val="4.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Regular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70688"/>
        <c:crosses val="autoZero"/>
        <c:crossBetween val="midCat"/>
        <c:majorUnit val="0.5"/>
      </c:valAx>
      <c:valAx>
        <c:axId val="7077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Midgrade ($)</a:t>
                </a: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55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Mid_Price</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Sheet1!$A$2:$A$1048249</c:f>
              <c:numCache>
                <c:formatCode>General</c:formatCode>
                <c:ptCount val="1048248"/>
                <c:pt idx="0">
                  <c:v>2.59</c:v>
                </c:pt>
                <c:pt idx="1">
                  <c:v>2.34</c:v>
                </c:pt>
                <c:pt idx="2">
                  <c:v>2.46</c:v>
                </c:pt>
                <c:pt idx="3">
                  <c:v>2.4500000000000002</c:v>
                </c:pt>
                <c:pt idx="4">
                  <c:v>2.5499999999999998</c:v>
                </c:pt>
                <c:pt idx="5">
                  <c:v>2.5</c:v>
                </c:pt>
                <c:pt idx="6">
                  <c:v>2.54</c:v>
                </c:pt>
                <c:pt idx="7">
                  <c:v>2.72</c:v>
                </c:pt>
                <c:pt idx="8">
                  <c:v>2.59</c:v>
                </c:pt>
                <c:pt idx="9">
                  <c:v>2.61</c:v>
                </c:pt>
                <c:pt idx="10">
                  <c:v>3.05</c:v>
                </c:pt>
                <c:pt idx="11">
                  <c:v>2.65</c:v>
                </c:pt>
                <c:pt idx="12">
                  <c:v>2.29</c:v>
                </c:pt>
                <c:pt idx="13">
                  <c:v>3.09</c:v>
                </c:pt>
                <c:pt idx="14">
                  <c:v>3.35</c:v>
                </c:pt>
                <c:pt idx="15">
                  <c:v>3.25</c:v>
                </c:pt>
                <c:pt idx="16">
                  <c:v>2.99</c:v>
                </c:pt>
                <c:pt idx="17">
                  <c:v>2.19</c:v>
                </c:pt>
                <c:pt idx="18">
                  <c:v>2.62</c:v>
                </c:pt>
                <c:pt idx="19">
                  <c:v>2.19</c:v>
                </c:pt>
                <c:pt idx="20">
                  <c:v>2.79</c:v>
                </c:pt>
                <c:pt idx="21">
                  <c:v>2.69</c:v>
                </c:pt>
                <c:pt idx="22">
                  <c:v>2.73</c:v>
                </c:pt>
                <c:pt idx="23">
                  <c:v>2.5499999999999998</c:v>
                </c:pt>
                <c:pt idx="24">
                  <c:v>2.5299999999999998</c:v>
                </c:pt>
                <c:pt idx="25">
                  <c:v>2.35</c:v>
                </c:pt>
                <c:pt idx="26">
                  <c:v>2.59</c:v>
                </c:pt>
                <c:pt idx="27">
                  <c:v>2.31</c:v>
                </c:pt>
                <c:pt idx="28">
                  <c:v>2.39</c:v>
                </c:pt>
                <c:pt idx="29">
                  <c:v>2.59</c:v>
                </c:pt>
                <c:pt idx="30">
                  <c:v>2.4900000000000002</c:v>
                </c:pt>
                <c:pt idx="31">
                  <c:v>2.7</c:v>
                </c:pt>
                <c:pt idx="32">
                  <c:v>2.39</c:v>
                </c:pt>
                <c:pt idx="33">
                  <c:v>2.4900000000000002</c:v>
                </c:pt>
                <c:pt idx="34">
                  <c:v>2.64</c:v>
                </c:pt>
                <c:pt idx="35">
                  <c:v>2.34</c:v>
                </c:pt>
                <c:pt idx="36">
                  <c:v>2.89</c:v>
                </c:pt>
                <c:pt idx="37">
                  <c:v>3.19</c:v>
                </c:pt>
                <c:pt idx="38">
                  <c:v>2.44</c:v>
                </c:pt>
                <c:pt idx="39">
                  <c:v>2.4900000000000002</c:v>
                </c:pt>
                <c:pt idx="40">
                  <c:v>2.3199999999999998</c:v>
                </c:pt>
                <c:pt idx="41">
                  <c:v>2.57</c:v>
                </c:pt>
                <c:pt idx="42">
                  <c:v>2.59</c:v>
                </c:pt>
                <c:pt idx="43">
                  <c:v>2.38</c:v>
                </c:pt>
                <c:pt idx="44">
                  <c:v>2.46</c:v>
                </c:pt>
                <c:pt idx="45">
                  <c:v>2.41</c:v>
                </c:pt>
                <c:pt idx="46">
                  <c:v>3.26</c:v>
                </c:pt>
                <c:pt idx="47">
                  <c:v>2.88</c:v>
                </c:pt>
                <c:pt idx="48">
                  <c:v>2.37</c:v>
                </c:pt>
                <c:pt idx="49">
                  <c:v>2.37</c:v>
                </c:pt>
                <c:pt idx="50">
                  <c:v>2.46</c:v>
                </c:pt>
                <c:pt idx="51">
                  <c:v>2.58</c:v>
                </c:pt>
                <c:pt idx="52">
                  <c:v>2.72</c:v>
                </c:pt>
                <c:pt idx="53">
                  <c:v>2.39</c:v>
                </c:pt>
                <c:pt idx="54">
                  <c:v>2.54</c:v>
                </c:pt>
                <c:pt idx="55">
                  <c:v>2.58</c:v>
                </c:pt>
                <c:pt idx="56">
                  <c:v>2.27</c:v>
                </c:pt>
                <c:pt idx="57">
                  <c:v>2.5499999999999998</c:v>
                </c:pt>
                <c:pt idx="58">
                  <c:v>2.65</c:v>
                </c:pt>
                <c:pt idx="59">
                  <c:v>2.61</c:v>
                </c:pt>
                <c:pt idx="60">
                  <c:v>2.48</c:v>
                </c:pt>
                <c:pt idx="61">
                  <c:v>2.34</c:v>
                </c:pt>
                <c:pt idx="62">
                  <c:v>2.29</c:v>
                </c:pt>
                <c:pt idx="63">
                  <c:v>2.19</c:v>
                </c:pt>
                <c:pt idx="64">
                  <c:v>2.21</c:v>
                </c:pt>
                <c:pt idx="65">
                  <c:v>2.41</c:v>
                </c:pt>
                <c:pt idx="66">
                  <c:v>2.4700000000000002</c:v>
                </c:pt>
                <c:pt idx="67">
                  <c:v>2.74</c:v>
                </c:pt>
                <c:pt idx="68">
                  <c:v>2.79</c:v>
                </c:pt>
                <c:pt idx="69">
                  <c:v>2.41</c:v>
                </c:pt>
                <c:pt idx="70">
                  <c:v>2.59</c:v>
                </c:pt>
                <c:pt idx="71">
                  <c:v>2.5499999999999998</c:v>
                </c:pt>
                <c:pt idx="72">
                  <c:v>2.79</c:v>
                </c:pt>
                <c:pt idx="73">
                  <c:v>2.79</c:v>
                </c:pt>
                <c:pt idx="74">
                  <c:v>2.72</c:v>
                </c:pt>
                <c:pt idx="75">
                  <c:v>2.73</c:v>
                </c:pt>
                <c:pt idx="76">
                  <c:v>2.79</c:v>
                </c:pt>
                <c:pt idx="77">
                  <c:v>2.48</c:v>
                </c:pt>
                <c:pt idx="78">
                  <c:v>2.52</c:v>
                </c:pt>
                <c:pt idx="79">
                  <c:v>2.78</c:v>
                </c:pt>
                <c:pt idx="80">
                  <c:v>2.54</c:v>
                </c:pt>
                <c:pt idx="81">
                  <c:v>2.65</c:v>
                </c:pt>
                <c:pt idx="82">
                  <c:v>2.4700000000000002</c:v>
                </c:pt>
                <c:pt idx="83">
                  <c:v>2.2200000000000002</c:v>
                </c:pt>
                <c:pt idx="84">
                  <c:v>2.62</c:v>
                </c:pt>
                <c:pt idx="85">
                  <c:v>2.59</c:v>
                </c:pt>
                <c:pt idx="86">
                  <c:v>3.09</c:v>
                </c:pt>
                <c:pt idx="87">
                  <c:v>2.34</c:v>
                </c:pt>
                <c:pt idx="88">
                  <c:v>2.4300000000000002</c:v>
                </c:pt>
                <c:pt idx="89">
                  <c:v>2.59</c:v>
                </c:pt>
                <c:pt idx="90">
                  <c:v>3.17</c:v>
                </c:pt>
                <c:pt idx="91">
                  <c:v>2.4900000000000002</c:v>
                </c:pt>
                <c:pt idx="92">
                  <c:v>2.5499999999999998</c:v>
                </c:pt>
                <c:pt idx="93">
                  <c:v>3.23</c:v>
                </c:pt>
                <c:pt idx="94">
                  <c:v>3.55</c:v>
                </c:pt>
                <c:pt idx="95">
                  <c:v>2.89</c:v>
                </c:pt>
                <c:pt idx="96">
                  <c:v>2.52</c:v>
                </c:pt>
                <c:pt idx="97">
                  <c:v>2.99</c:v>
                </c:pt>
                <c:pt idx="98">
                  <c:v>2.39</c:v>
                </c:pt>
                <c:pt idx="99">
                  <c:v>2.54</c:v>
                </c:pt>
                <c:pt idx="100">
                  <c:v>2.4700000000000002</c:v>
                </c:pt>
                <c:pt idx="101">
                  <c:v>2.5299999999999998</c:v>
                </c:pt>
                <c:pt idx="102">
                  <c:v>2.5099999999999998</c:v>
                </c:pt>
                <c:pt idx="103">
                  <c:v>2.5099999999999998</c:v>
                </c:pt>
                <c:pt idx="104">
                  <c:v>2.4900000000000002</c:v>
                </c:pt>
                <c:pt idx="105">
                  <c:v>2.4900000000000002</c:v>
                </c:pt>
                <c:pt idx="106">
                  <c:v>2.54</c:v>
                </c:pt>
                <c:pt idx="107">
                  <c:v>2.4900000000000002</c:v>
                </c:pt>
                <c:pt idx="108">
                  <c:v>2.5299999999999998</c:v>
                </c:pt>
                <c:pt idx="109">
                  <c:v>2.39</c:v>
                </c:pt>
                <c:pt idx="110">
                  <c:v>2.29</c:v>
                </c:pt>
                <c:pt idx="111">
                  <c:v>2.34</c:v>
                </c:pt>
                <c:pt idx="112">
                  <c:v>3.05</c:v>
                </c:pt>
                <c:pt idx="113">
                  <c:v>2.4500000000000002</c:v>
                </c:pt>
                <c:pt idx="114">
                  <c:v>2.46</c:v>
                </c:pt>
                <c:pt idx="115">
                  <c:v>2.5099999999999998</c:v>
                </c:pt>
                <c:pt idx="116">
                  <c:v>2.74</c:v>
                </c:pt>
                <c:pt idx="117">
                  <c:v>2.54</c:v>
                </c:pt>
                <c:pt idx="118">
                  <c:v>2.59</c:v>
                </c:pt>
                <c:pt idx="119">
                  <c:v>2.71</c:v>
                </c:pt>
                <c:pt idx="120">
                  <c:v>3.02</c:v>
                </c:pt>
                <c:pt idx="121">
                  <c:v>2.46</c:v>
                </c:pt>
                <c:pt idx="122">
                  <c:v>2.19</c:v>
                </c:pt>
                <c:pt idx="123">
                  <c:v>3.28</c:v>
                </c:pt>
                <c:pt idx="124">
                  <c:v>2.87</c:v>
                </c:pt>
                <c:pt idx="125">
                  <c:v>2.34</c:v>
                </c:pt>
                <c:pt idx="126">
                  <c:v>2.4500000000000002</c:v>
                </c:pt>
                <c:pt idx="127">
                  <c:v>2.4</c:v>
                </c:pt>
                <c:pt idx="128">
                  <c:v>2.63</c:v>
                </c:pt>
                <c:pt idx="129">
                  <c:v>2.69</c:v>
                </c:pt>
                <c:pt idx="130">
                  <c:v>2.23</c:v>
                </c:pt>
                <c:pt idx="131">
                  <c:v>2.31</c:v>
                </c:pt>
                <c:pt idx="132">
                  <c:v>3.03</c:v>
                </c:pt>
                <c:pt idx="133">
                  <c:v>3.06</c:v>
                </c:pt>
                <c:pt idx="134">
                  <c:v>2.4900000000000002</c:v>
                </c:pt>
                <c:pt idx="135">
                  <c:v>2.61</c:v>
                </c:pt>
                <c:pt idx="136">
                  <c:v>2.2599999999999998</c:v>
                </c:pt>
                <c:pt idx="137">
                  <c:v>2.39</c:v>
                </c:pt>
                <c:pt idx="138">
                  <c:v>2.75</c:v>
                </c:pt>
                <c:pt idx="139">
                  <c:v>3.29</c:v>
                </c:pt>
                <c:pt idx="140">
                  <c:v>2.6</c:v>
                </c:pt>
                <c:pt idx="141">
                  <c:v>2.81</c:v>
                </c:pt>
                <c:pt idx="142">
                  <c:v>2.54</c:v>
                </c:pt>
                <c:pt idx="143">
                  <c:v>2.77</c:v>
                </c:pt>
                <c:pt idx="144">
                  <c:v>2.42</c:v>
                </c:pt>
                <c:pt idx="145">
                  <c:v>2.52</c:v>
                </c:pt>
                <c:pt idx="146">
                  <c:v>2.4</c:v>
                </c:pt>
                <c:pt idx="147">
                  <c:v>3.29</c:v>
                </c:pt>
                <c:pt idx="148">
                  <c:v>2.79</c:v>
                </c:pt>
                <c:pt idx="149">
                  <c:v>2.56</c:v>
                </c:pt>
                <c:pt idx="150">
                  <c:v>2.39</c:v>
                </c:pt>
                <c:pt idx="151">
                  <c:v>2.82</c:v>
                </c:pt>
                <c:pt idx="152">
                  <c:v>2.41</c:v>
                </c:pt>
                <c:pt idx="153">
                  <c:v>3.19</c:v>
                </c:pt>
                <c:pt idx="154">
                  <c:v>2.4500000000000002</c:v>
                </c:pt>
                <c:pt idx="155">
                  <c:v>3.05</c:v>
                </c:pt>
                <c:pt idx="156">
                  <c:v>2.69</c:v>
                </c:pt>
                <c:pt idx="157">
                  <c:v>2.71</c:v>
                </c:pt>
                <c:pt idx="158">
                  <c:v>2.8</c:v>
                </c:pt>
                <c:pt idx="159">
                  <c:v>2.4900000000000002</c:v>
                </c:pt>
                <c:pt idx="160">
                  <c:v>2.81</c:v>
                </c:pt>
                <c:pt idx="161">
                  <c:v>2.4900000000000002</c:v>
                </c:pt>
                <c:pt idx="162">
                  <c:v>2.46</c:v>
                </c:pt>
                <c:pt idx="163">
                  <c:v>2.44</c:v>
                </c:pt>
                <c:pt idx="164">
                  <c:v>2.79</c:v>
                </c:pt>
                <c:pt idx="165">
                  <c:v>2.2400000000000002</c:v>
                </c:pt>
                <c:pt idx="166">
                  <c:v>2.5299999999999998</c:v>
                </c:pt>
                <c:pt idx="167">
                  <c:v>2.37</c:v>
                </c:pt>
                <c:pt idx="168">
                  <c:v>2.75</c:v>
                </c:pt>
                <c:pt idx="169">
                  <c:v>2.84</c:v>
                </c:pt>
                <c:pt idx="170">
                  <c:v>2.73</c:v>
                </c:pt>
                <c:pt idx="171">
                  <c:v>2.79</c:v>
                </c:pt>
                <c:pt idx="172">
                  <c:v>2.87</c:v>
                </c:pt>
                <c:pt idx="173">
                  <c:v>2.66</c:v>
                </c:pt>
                <c:pt idx="174">
                  <c:v>2.75</c:v>
                </c:pt>
                <c:pt idx="175">
                  <c:v>2.79</c:v>
                </c:pt>
                <c:pt idx="176">
                  <c:v>2.75</c:v>
                </c:pt>
                <c:pt idx="177">
                  <c:v>2.58</c:v>
                </c:pt>
                <c:pt idx="178">
                  <c:v>2.54</c:v>
                </c:pt>
                <c:pt idx="179">
                  <c:v>2.59</c:v>
                </c:pt>
                <c:pt idx="180">
                  <c:v>2.5099999999999998</c:v>
                </c:pt>
                <c:pt idx="181">
                  <c:v>2.54</c:v>
                </c:pt>
                <c:pt idx="182">
                  <c:v>2.64</c:v>
                </c:pt>
                <c:pt idx="183">
                  <c:v>2.4900000000000002</c:v>
                </c:pt>
                <c:pt idx="184">
                  <c:v>2.59</c:v>
                </c:pt>
                <c:pt idx="185">
                  <c:v>2.5499999999999998</c:v>
                </c:pt>
                <c:pt idx="186">
                  <c:v>2.36</c:v>
                </c:pt>
                <c:pt idx="187">
                  <c:v>2.59</c:v>
                </c:pt>
                <c:pt idx="188">
                  <c:v>2.69</c:v>
                </c:pt>
                <c:pt idx="189">
                  <c:v>2.63</c:v>
                </c:pt>
                <c:pt idx="190">
                  <c:v>2.4900000000000002</c:v>
                </c:pt>
                <c:pt idx="191">
                  <c:v>3.25</c:v>
                </c:pt>
                <c:pt idx="192">
                  <c:v>2.77</c:v>
                </c:pt>
                <c:pt idx="193">
                  <c:v>2.57</c:v>
                </c:pt>
                <c:pt idx="194">
                  <c:v>2.39</c:v>
                </c:pt>
                <c:pt idx="195">
                  <c:v>2.59</c:v>
                </c:pt>
                <c:pt idx="196">
                  <c:v>2.39</c:v>
                </c:pt>
                <c:pt idx="197">
                  <c:v>2.1800000000000002</c:v>
                </c:pt>
                <c:pt idx="198">
                  <c:v>2.34</c:v>
                </c:pt>
                <c:pt idx="199">
                  <c:v>2.23</c:v>
                </c:pt>
                <c:pt idx="200">
                  <c:v>2.35</c:v>
                </c:pt>
                <c:pt idx="201">
                  <c:v>2.75</c:v>
                </c:pt>
                <c:pt idx="202">
                  <c:v>2.79</c:v>
                </c:pt>
                <c:pt idx="203">
                  <c:v>2.34</c:v>
                </c:pt>
                <c:pt idx="204">
                  <c:v>2.2200000000000002</c:v>
                </c:pt>
                <c:pt idx="205">
                  <c:v>2.29</c:v>
                </c:pt>
                <c:pt idx="206">
                  <c:v>2.62</c:v>
                </c:pt>
                <c:pt idx="207">
                  <c:v>3.19</c:v>
                </c:pt>
                <c:pt idx="208">
                  <c:v>2.61</c:v>
                </c:pt>
                <c:pt idx="209">
                  <c:v>2.4</c:v>
                </c:pt>
                <c:pt idx="210">
                  <c:v>2.63</c:v>
                </c:pt>
                <c:pt idx="211">
                  <c:v>2.38</c:v>
                </c:pt>
                <c:pt idx="212">
                  <c:v>2.69</c:v>
                </c:pt>
                <c:pt idx="213">
                  <c:v>2.5299999999999998</c:v>
                </c:pt>
                <c:pt idx="214">
                  <c:v>2.52</c:v>
                </c:pt>
                <c:pt idx="215">
                  <c:v>2.59</c:v>
                </c:pt>
                <c:pt idx="216">
                  <c:v>2.52</c:v>
                </c:pt>
                <c:pt idx="217">
                  <c:v>2.58</c:v>
                </c:pt>
                <c:pt idx="218">
                  <c:v>2.4900000000000002</c:v>
                </c:pt>
                <c:pt idx="219">
                  <c:v>2.54</c:v>
                </c:pt>
                <c:pt idx="220">
                  <c:v>2.67</c:v>
                </c:pt>
                <c:pt idx="221">
                  <c:v>2.23</c:v>
                </c:pt>
                <c:pt idx="222">
                  <c:v>2.54</c:v>
                </c:pt>
                <c:pt idx="223">
                  <c:v>2.33</c:v>
                </c:pt>
                <c:pt idx="224">
                  <c:v>2.33</c:v>
                </c:pt>
                <c:pt idx="225">
                  <c:v>2.4900000000000002</c:v>
                </c:pt>
                <c:pt idx="226">
                  <c:v>2.4300000000000002</c:v>
                </c:pt>
                <c:pt idx="227">
                  <c:v>2.34</c:v>
                </c:pt>
                <c:pt idx="228">
                  <c:v>2.39</c:v>
                </c:pt>
                <c:pt idx="229">
                  <c:v>2.38</c:v>
                </c:pt>
                <c:pt idx="230">
                  <c:v>2.4300000000000002</c:v>
                </c:pt>
                <c:pt idx="231">
                  <c:v>2.4900000000000002</c:v>
                </c:pt>
                <c:pt idx="232">
                  <c:v>2.29</c:v>
                </c:pt>
                <c:pt idx="233">
                  <c:v>2.4900000000000002</c:v>
                </c:pt>
                <c:pt idx="234">
                  <c:v>2.42</c:v>
                </c:pt>
                <c:pt idx="235">
                  <c:v>2.29</c:v>
                </c:pt>
                <c:pt idx="236">
                  <c:v>2.4500000000000002</c:v>
                </c:pt>
                <c:pt idx="237">
                  <c:v>2.88</c:v>
                </c:pt>
                <c:pt idx="238">
                  <c:v>3.12</c:v>
                </c:pt>
                <c:pt idx="239">
                  <c:v>2.81</c:v>
                </c:pt>
                <c:pt idx="240">
                  <c:v>2.67</c:v>
                </c:pt>
                <c:pt idx="241">
                  <c:v>2.39</c:v>
                </c:pt>
                <c:pt idx="242">
                  <c:v>2.39</c:v>
                </c:pt>
                <c:pt idx="243">
                  <c:v>2.5299999999999998</c:v>
                </c:pt>
                <c:pt idx="244">
                  <c:v>2.5</c:v>
                </c:pt>
                <c:pt idx="245">
                  <c:v>2.39</c:v>
                </c:pt>
                <c:pt idx="246">
                  <c:v>2.54</c:v>
                </c:pt>
                <c:pt idx="247">
                  <c:v>3.14</c:v>
                </c:pt>
                <c:pt idx="248">
                  <c:v>2.76</c:v>
                </c:pt>
                <c:pt idx="249">
                  <c:v>2.42</c:v>
                </c:pt>
                <c:pt idx="250">
                  <c:v>2.34</c:v>
                </c:pt>
                <c:pt idx="251">
                  <c:v>2.59</c:v>
                </c:pt>
                <c:pt idx="252">
                  <c:v>2.65</c:v>
                </c:pt>
                <c:pt idx="253">
                  <c:v>2.16</c:v>
                </c:pt>
                <c:pt idx="254">
                  <c:v>2.95</c:v>
                </c:pt>
                <c:pt idx="255">
                  <c:v>2.39</c:v>
                </c:pt>
                <c:pt idx="256">
                  <c:v>2.83</c:v>
                </c:pt>
                <c:pt idx="257">
                  <c:v>2.75</c:v>
                </c:pt>
                <c:pt idx="258">
                  <c:v>2.74</c:v>
                </c:pt>
                <c:pt idx="259">
                  <c:v>3.19</c:v>
                </c:pt>
                <c:pt idx="260">
                  <c:v>3.23</c:v>
                </c:pt>
                <c:pt idx="261">
                  <c:v>2.4900000000000002</c:v>
                </c:pt>
                <c:pt idx="262">
                  <c:v>2.46</c:v>
                </c:pt>
                <c:pt idx="263">
                  <c:v>2.31</c:v>
                </c:pt>
                <c:pt idx="264">
                  <c:v>2.46</c:v>
                </c:pt>
                <c:pt idx="265">
                  <c:v>3.25</c:v>
                </c:pt>
                <c:pt idx="266">
                  <c:v>3.29</c:v>
                </c:pt>
                <c:pt idx="267">
                  <c:v>2.1800000000000002</c:v>
                </c:pt>
                <c:pt idx="268">
                  <c:v>2.5099999999999998</c:v>
                </c:pt>
                <c:pt idx="269">
                  <c:v>2.34</c:v>
                </c:pt>
                <c:pt idx="270">
                  <c:v>2.89</c:v>
                </c:pt>
                <c:pt idx="271">
                  <c:v>2.69</c:v>
                </c:pt>
                <c:pt idx="272">
                  <c:v>2.58</c:v>
                </c:pt>
                <c:pt idx="273">
                  <c:v>2.56</c:v>
                </c:pt>
                <c:pt idx="274">
                  <c:v>2.67</c:v>
                </c:pt>
                <c:pt idx="275">
                  <c:v>2.69</c:v>
                </c:pt>
                <c:pt idx="276">
                  <c:v>2.84</c:v>
                </c:pt>
                <c:pt idx="277">
                  <c:v>2.82</c:v>
                </c:pt>
                <c:pt idx="278">
                  <c:v>2.77</c:v>
                </c:pt>
                <c:pt idx="279">
                  <c:v>2.59</c:v>
                </c:pt>
                <c:pt idx="280">
                  <c:v>2.54</c:v>
                </c:pt>
                <c:pt idx="281">
                  <c:v>2.65</c:v>
                </c:pt>
                <c:pt idx="282">
                  <c:v>2.6</c:v>
                </c:pt>
                <c:pt idx="283">
                  <c:v>2.59</c:v>
                </c:pt>
                <c:pt idx="284">
                  <c:v>2.4300000000000002</c:v>
                </c:pt>
                <c:pt idx="285">
                  <c:v>2.59</c:v>
                </c:pt>
                <c:pt idx="286">
                  <c:v>2.37</c:v>
                </c:pt>
                <c:pt idx="287">
                  <c:v>2.4700000000000002</c:v>
                </c:pt>
                <c:pt idx="288">
                  <c:v>2.19</c:v>
                </c:pt>
                <c:pt idx="289">
                  <c:v>2.4</c:v>
                </c:pt>
                <c:pt idx="290">
                  <c:v>2.41</c:v>
                </c:pt>
                <c:pt idx="291">
                  <c:v>2.39</c:v>
                </c:pt>
                <c:pt idx="292">
                  <c:v>2.41</c:v>
                </c:pt>
                <c:pt idx="293">
                  <c:v>2.5499999999999998</c:v>
                </c:pt>
                <c:pt idx="294">
                  <c:v>2.64</c:v>
                </c:pt>
                <c:pt idx="295">
                  <c:v>3.19</c:v>
                </c:pt>
                <c:pt idx="296">
                  <c:v>2.17</c:v>
                </c:pt>
                <c:pt idx="297">
                  <c:v>2.67</c:v>
                </c:pt>
                <c:pt idx="298">
                  <c:v>2.64</c:v>
                </c:pt>
                <c:pt idx="299">
                  <c:v>2.35</c:v>
                </c:pt>
                <c:pt idx="300">
                  <c:v>2.35</c:v>
                </c:pt>
                <c:pt idx="301">
                  <c:v>2.4900000000000002</c:v>
                </c:pt>
                <c:pt idx="302">
                  <c:v>2.5299999999999998</c:v>
                </c:pt>
                <c:pt idx="303">
                  <c:v>2.5499999999999998</c:v>
                </c:pt>
                <c:pt idx="304">
                  <c:v>2.39</c:v>
                </c:pt>
                <c:pt idx="305">
                  <c:v>2.65</c:v>
                </c:pt>
                <c:pt idx="306">
                  <c:v>2.36</c:v>
                </c:pt>
                <c:pt idx="307">
                  <c:v>3.15</c:v>
                </c:pt>
                <c:pt idx="308">
                  <c:v>2.4</c:v>
                </c:pt>
                <c:pt idx="309">
                  <c:v>3.99</c:v>
                </c:pt>
                <c:pt idx="310">
                  <c:v>2.5099999999999998</c:v>
                </c:pt>
                <c:pt idx="311">
                  <c:v>3.09</c:v>
                </c:pt>
                <c:pt idx="312">
                  <c:v>2.29</c:v>
                </c:pt>
                <c:pt idx="313">
                  <c:v>2.84</c:v>
                </c:pt>
                <c:pt idx="314">
                  <c:v>2.65</c:v>
                </c:pt>
                <c:pt idx="315">
                  <c:v>2.2400000000000002</c:v>
                </c:pt>
                <c:pt idx="316">
                  <c:v>2.4900000000000002</c:v>
                </c:pt>
                <c:pt idx="317">
                  <c:v>2.48</c:v>
                </c:pt>
                <c:pt idx="318">
                  <c:v>2.41</c:v>
                </c:pt>
                <c:pt idx="319">
                  <c:v>2.4500000000000002</c:v>
                </c:pt>
                <c:pt idx="320">
                  <c:v>2.39</c:v>
                </c:pt>
                <c:pt idx="321">
                  <c:v>2.59</c:v>
                </c:pt>
                <c:pt idx="322">
                  <c:v>2.4900000000000002</c:v>
                </c:pt>
                <c:pt idx="323">
                  <c:v>3.35</c:v>
                </c:pt>
                <c:pt idx="324">
                  <c:v>2.79</c:v>
                </c:pt>
                <c:pt idx="325">
                  <c:v>2.52</c:v>
                </c:pt>
                <c:pt idx="326">
                  <c:v>3.05</c:v>
                </c:pt>
                <c:pt idx="327">
                  <c:v>2.75</c:v>
                </c:pt>
                <c:pt idx="328">
                  <c:v>2.34</c:v>
                </c:pt>
                <c:pt idx="329">
                  <c:v>2.85</c:v>
                </c:pt>
                <c:pt idx="330">
                  <c:v>2.4900000000000002</c:v>
                </c:pt>
                <c:pt idx="331">
                  <c:v>2.85</c:v>
                </c:pt>
                <c:pt idx="332">
                  <c:v>2.81</c:v>
                </c:pt>
                <c:pt idx="333">
                  <c:v>2.54</c:v>
                </c:pt>
                <c:pt idx="334">
                  <c:v>3.49</c:v>
                </c:pt>
                <c:pt idx="335">
                  <c:v>2.69</c:v>
                </c:pt>
                <c:pt idx="336">
                  <c:v>2.59</c:v>
                </c:pt>
                <c:pt idx="337">
                  <c:v>2.44</c:v>
                </c:pt>
                <c:pt idx="338">
                  <c:v>2.48</c:v>
                </c:pt>
                <c:pt idx="339">
                  <c:v>2.2999999999999998</c:v>
                </c:pt>
                <c:pt idx="340">
                  <c:v>2.4900000000000002</c:v>
                </c:pt>
                <c:pt idx="341">
                  <c:v>2.94</c:v>
                </c:pt>
                <c:pt idx="342">
                  <c:v>2.4500000000000002</c:v>
                </c:pt>
                <c:pt idx="343">
                  <c:v>3.09</c:v>
                </c:pt>
                <c:pt idx="344">
                  <c:v>2.57</c:v>
                </c:pt>
                <c:pt idx="345">
                  <c:v>2.65</c:v>
                </c:pt>
                <c:pt idx="346">
                  <c:v>2.69</c:v>
                </c:pt>
                <c:pt idx="347">
                  <c:v>3.03</c:v>
                </c:pt>
                <c:pt idx="348">
                  <c:v>2.19</c:v>
                </c:pt>
                <c:pt idx="349">
                  <c:v>2.69</c:v>
                </c:pt>
                <c:pt idx="350">
                  <c:v>2.59</c:v>
                </c:pt>
                <c:pt idx="351">
                  <c:v>2.59</c:v>
                </c:pt>
                <c:pt idx="352">
                  <c:v>2.69</c:v>
                </c:pt>
                <c:pt idx="353">
                  <c:v>2.4300000000000002</c:v>
                </c:pt>
                <c:pt idx="354">
                  <c:v>3.19</c:v>
                </c:pt>
                <c:pt idx="355">
                  <c:v>2.34</c:v>
                </c:pt>
                <c:pt idx="356">
                  <c:v>2.73</c:v>
                </c:pt>
                <c:pt idx="357">
                  <c:v>2.65</c:v>
                </c:pt>
                <c:pt idx="358">
                  <c:v>2.37</c:v>
                </c:pt>
                <c:pt idx="359">
                  <c:v>2.59</c:v>
                </c:pt>
                <c:pt idx="360">
                  <c:v>3.19</c:v>
                </c:pt>
                <c:pt idx="361">
                  <c:v>2.7</c:v>
                </c:pt>
                <c:pt idx="362">
                  <c:v>2.58</c:v>
                </c:pt>
                <c:pt idx="363">
                  <c:v>2.4900000000000002</c:v>
                </c:pt>
                <c:pt idx="364">
                  <c:v>2.79</c:v>
                </c:pt>
                <c:pt idx="365">
                  <c:v>2.99</c:v>
                </c:pt>
                <c:pt idx="366">
                  <c:v>2.5099999999999998</c:v>
                </c:pt>
                <c:pt idx="367">
                  <c:v>2.4900000000000002</c:v>
                </c:pt>
                <c:pt idx="368">
                  <c:v>2.89</c:v>
                </c:pt>
                <c:pt idx="369">
                  <c:v>3.29</c:v>
                </c:pt>
                <c:pt idx="370">
                  <c:v>2.57</c:v>
                </c:pt>
                <c:pt idx="371">
                  <c:v>2.79</c:v>
                </c:pt>
                <c:pt idx="372">
                  <c:v>2.83</c:v>
                </c:pt>
                <c:pt idx="373">
                  <c:v>2.69</c:v>
                </c:pt>
                <c:pt idx="374">
                  <c:v>2.5499999999999998</c:v>
                </c:pt>
                <c:pt idx="375">
                  <c:v>2.59</c:v>
                </c:pt>
                <c:pt idx="376">
                  <c:v>2.71</c:v>
                </c:pt>
                <c:pt idx="377">
                  <c:v>3.17</c:v>
                </c:pt>
                <c:pt idx="378">
                  <c:v>2.79</c:v>
                </c:pt>
                <c:pt idx="379">
                  <c:v>2.48</c:v>
                </c:pt>
                <c:pt idx="380">
                  <c:v>2.79</c:v>
                </c:pt>
                <c:pt idx="381">
                  <c:v>2.72</c:v>
                </c:pt>
                <c:pt idx="382">
                  <c:v>2.5499999999999998</c:v>
                </c:pt>
                <c:pt idx="383">
                  <c:v>2.29</c:v>
                </c:pt>
                <c:pt idx="384">
                  <c:v>2.44</c:v>
                </c:pt>
                <c:pt idx="385">
                  <c:v>2.4300000000000002</c:v>
                </c:pt>
                <c:pt idx="386">
                  <c:v>2.44</c:v>
                </c:pt>
                <c:pt idx="387">
                  <c:v>2.36</c:v>
                </c:pt>
                <c:pt idx="388">
                  <c:v>2.59</c:v>
                </c:pt>
                <c:pt idx="389">
                  <c:v>2.35</c:v>
                </c:pt>
                <c:pt idx="390">
                  <c:v>2.36</c:v>
                </c:pt>
                <c:pt idx="391">
                  <c:v>3.09</c:v>
                </c:pt>
                <c:pt idx="392">
                  <c:v>2.2599999999999998</c:v>
                </c:pt>
                <c:pt idx="393">
                  <c:v>2.15</c:v>
                </c:pt>
                <c:pt idx="394">
                  <c:v>2.25</c:v>
                </c:pt>
                <c:pt idx="395">
                  <c:v>2.64</c:v>
                </c:pt>
                <c:pt idx="396">
                  <c:v>2.79</c:v>
                </c:pt>
                <c:pt idx="397">
                  <c:v>2.57</c:v>
                </c:pt>
                <c:pt idx="398">
                  <c:v>3.19</c:v>
                </c:pt>
                <c:pt idx="399">
                  <c:v>2.65</c:v>
                </c:pt>
                <c:pt idx="400">
                  <c:v>2.19</c:v>
                </c:pt>
                <c:pt idx="401">
                  <c:v>2.65</c:v>
                </c:pt>
                <c:pt idx="402">
                  <c:v>2.4900000000000002</c:v>
                </c:pt>
                <c:pt idx="403">
                  <c:v>3.19</c:v>
                </c:pt>
                <c:pt idx="404">
                  <c:v>2.65</c:v>
                </c:pt>
                <c:pt idx="405">
                  <c:v>2.4900000000000002</c:v>
                </c:pt>
                <c:pt idx="406">
                  <c:v>2.7</c:v>
                </c:pt>
                <c:pt idx="407">
                  <c:v>2.76</c:v>
                </c:pt>
                <c:pt idx="408">
                  <c:v>2.33</c:v>
                </c:pt>
                <c:pt idx="409">
                  <c:v>2.4300000000000002</c:v>
                </c:pt>
                <c:pt idx="410">
                  <c:v>2.2400000000000002</c:v>
                </c:pt>
                <c:pt idx="411">
                  <c:v>2.39</c:v>
                </c:pt>
                <c:pt idx="412">
                  <c:v>2.4500000000000002</c:v>
                </c:pt>
                <c:pt idx="413">
                  <c:v>2.4700000000000002</c:v>
                </c:pt>
                <c:pt idx="414">
                  <c:v>2.89</c:v>
                </c:pt>
                <c:pt idx="415">
                  <c:v>2.5299999999999998</c:v>
                </c:pt>
                <c:pt idx="416">
                  <c:v>2.64</c:v>
                </c:pt>
                <c:pt idx="417">
                  <c:v>3.05</c:v>
                </c:pt>
                <c:pt idx="418">
                  <c:v>2.4700000000000002</c:v>
                </c:pt>
                <c:pt idx="419">
                  <c:v>2.27</c:v>
                </c:pt>
                <c:pt idx="420">
                  <c:v>2.46</c:v>
                </c:pt>
                <c:pt idx="421">
                  <c:v>2.4900000000000002</c:v>
                </c:pt>
                <c:pt idx="422">
                  <c:v>2.79</c:v>
                </c:pt>
                <c:pt idx="423">
                  <c:v>2.4900000000000002</c:v>
                </c:pt>
                <c:pt idx="424">
                  <c:v>2.65</c:v>
                </c:pt>
                <c:pt idx="425">
                  <c:v>2.5499999999999998</c:v>
                </c:pt>
                <c:pt idx="426">
                  <c:v>2.59</c:v>
                </c:pt>
                <c:pt idx="427">
                  <c:v>2.67</c:v>
                </c:pt>
                <c:pt idx="428">
                  <c:v>2.69</c:v>
                </c:pt>
                <c:pt idx="429">
                  <c:v>2.77</c:v>
                </c:pt>
                <c:pt idx="430">
                  <c:v>2.48</c:v>
                </c:pt>
                <c:pt idx="431">
                  <c:v>2.78</c:v>
                </c:pt>
                <c:pt idx="432">
                  <c:v>2.39</c:v>
                </c:pt>
                <c:pt idx="433">
                  <c:v>2.7</c:v>
                </c:pt>
                <c:pt idx="434">
                  <c:v>3</c:v>
                </c:pt>
                <c:pt idx="435">
                  <c:v>2.4900000000000002</c:v>
                </c:pt>
                <c:pt idx="436">
                  <c:v>2.4900000000000002</c:v>
                </c:pt>
                <c:pt idx="437">
                  <c:v>2.95</c:v>
                </c:pt>
                <c:pt idx="438">
                  <c:v>2.2999999999999998</c:v>
                </c:pt>
              </c:numCache>
            </c:numRef>
          </c:xVal>
          <c:yVal>
            <c:numRef>
              <c:f>Sheet1!$B$2:$B$1048249</c:f>
              <c:numCache>
                <c:formatCode>General</c:formatCode>
                <c:ptCount val="1048248"/>
                <c:pt idx="0">
                  <c:v>2.5990000000000002</c:v>
                </c:pt>
                <c:pt idx="1">
                  <c:v>2.4889999999999999</c:v>
                </c:pt>
                <c:pt idx="2">
                  <c:v>2.4689999999999999</c:v>
                </c:pt>
                <c:pt idx="3">
                  <c:v>2.4590000000000001</c:v>
                </c:pt>
                <c:pt idx="4">
                  <c:v>2.5590000000000002</c:v>
                </c:pt>
                <c:pt idx="5">
                  <c:v>2.5089999999999999</c:v>
                </c:pt>
                <c:pt idx="6">
                  <c:v>2.5489999999999999</c:v>
                </c:pt>
                <c:pt idx="7">
                  <c:v>2.7290000000000001</c:v>
                </c:pt>
                <c:pt idx="8">
                  <c:v>2.5489999999999999</c:v>
                </c:pt>
                <c:pt idx="9">
                  <c:v>2.6190000000000002</c:v>
                </c:pt>
                <c:pt idx="10">
                  <c:v>3.0590000000000002</c:v>
                </c:pt>
                <c:pt idx="11">
                  <c:v>2.6589999999999998</c:v>
                </c:pt>
                <c:pt idx="12">
                  <c:v>2.2989999999999999</c:v>
                </c:pt>
                <c:pt idx="13">
                  <c:v>3.0990000000000002</c:v>
                </c:pt>
                <c:pt idx="14">
                  <c:v>3.359</c:v>
                </c:pt>
                <c:pt idx="15">
                  <c:v>3.2589999999999999</c:v>
                </c:pt>
                <c:pt idx="16">
                  <c:v>2.9990000000000001</c:v>
                </c:pt>
                <c:pt idx="17">
                  <c:v>2.1989999999999998</c:v>
                </c:pt>
                <c:pt idx="18">
                  <c:v>2.629</c:v>
                </c:pt>
                <c:pt idx="19">
                  <c:v>2.1989999999999998</c:v>
                </c:pt>
                <c:pt idx="20">
                  <c:v>2.7989999999999999</c:v>
                </c:pt>
                <c:pt idx="21">
                  <c:v>2.6989999999999998</c:v>
                </c:pt>
                <c:pt idx="22">
                  <c:v>2.7589999999999999</c:v>
                </c:pt>
                <c:pt idx="23">
                  <c:v>2.5590000000000002</c:v>
                </c:pt>
                <c:pt idx="24">
                  <c:v>2.5390000000000001</c:v>
                </c:pt>
                <c:pt idx="25">
                  <c:v>2.359</c:v>
                </c:pt>
                <c:pt idx="26">
                  <c:v>2.5990000000000002</c:v>
                </c:pt>
                <c:pt idx="27">
                  <c:v>2.319</c:v>
                </c:pt>
                <c:pt idx="28">
                  <c:v>2.399</c:v>
                </c:pt>
                <c:pt idx="29">
                  <c:v>2.5990000000000002</c:v>
                </c:pt>
                <c:pt idx="30">
                  <c:v>2.7989999999999999</c:v>
                </c:pt>
                <c:pt idx="31">
                  <c:v>2.6589999999999998</c:v>
                </c:pt>
                <c:pt idx="32">
                  <c:v>2.399</c:v>
                </c:pt>
                <c:pt idx="33">
                  <c:v>2.4990000000000001</c:v>
                </c:pt>
                <c:pt idx="34">
                  <c:v>2.649</c:v>
                </c:pt>
                <c:pt idx="35">
                  <c:v>2.3490000000000002</c:v>
                </c:pt>
                <c:pt idx="36">
                  <c:v>2.859</c:v>
                </c:pt>
                <c:pt idx="37">
                  <c:v>3.1989999999999998</c:v>
                </c:pt>
                <c:pt idx="38">
                  <c:v>2.4489999999999998</c:v>
                </c:pt>
                <c:pt idx="39">
                  <c:v>2.4990000000000001</c:v>
                </c:pt>
                <c:pt idx="40">
                  <c:v>2.3290000000000002</c:v>
                </c:pt>
                <c:pt idx="41">
                  <c:v>2.5790000000000002</c:v>
                </c:pt>
                <c:pt idx="42">
                  <c:v>2.5990000000000002</c:v>
                </c:pt>
                <c:pt idx="43">
                  <c:v>2.3889999999999998</c:v>
                </c:pt>
                <c:pt idx="44">
                  <c:v>2.4689999999999999</c:v>
                </c:pt>
                <c:pt idx="45">
                  <c:v>2.419</c:v>
                </c:pt>
                <c:pt idx="46">
                  <c:v>3.2690000000000001</c:v>
                </c:pt>
                <c:pt idx="47">
                  <c:v>2.8889999999999998</c:v>
                </c:pt>
                <c:pt idx="48">
                  <c:v>2.379</c:v>
                </c:pt>
                <c:pt idx="49">
                  <c:v>2.379</c:v>
                </c:pt>
                <c:pt idx="50">
                  <c:v>2.4689999999999999</c:v>
                </c:pt>
                <c:pt idx="51">
                  <c:v>2.589</c:v>
                </c:pt>
                <c:pt idx="52">
                  <c:v>2.7789999999999999</c:v>
                </c:pt>
                <c:pt idx="53">
                  <c:v>2.3690000000000002</c:v>
                </c:pt>
                <c:pt idx="54">
                  <c:v>2.5489999999999999</c:v>
                </c:pt>
                <c:pt idx="55">
                  <c:v>2.569</c:v>
                </c:pt>
                <c:pt idx="56">
                  <c:v>2.2789999999999999</c:v>
                </c:pt>
                <c:pt idx="57">
                  <c:v>2.4990000000000001</c:v>
                </c:pt>
                <c:pt idx="58">
                  <c:v>2.6589999999999998</c:v>
                </c:pt>
                <c:pt idx="59">
                  <c:v>2.5990000000000002</c:v>
                </c:pt>
                <c:pt idx="60">
                  <c:v>2.4889999999999999</c:v>
                </c:pt>
                <c:pt idx="61">
                  <c:v>2.3490000000000002</c:v>
                </c:pt>
                <c:pt idx="62">
                  <c:v>2.2989999999999999</c:v>
                </c:pt>
                <c:pt idx="63">
                  <c:v>2.1989999999999998</c:v>
                </c:pt>
                <c:pt idx="64">
                  <c:v>2.2189999999999999</c:v>
                </c:pt>
                <c:pt idx="65">
                  <c:v>2.5190000000000001</c:v>
                </c:pt>
                <c:pt idx="66">
                  <c:v>2.4790000000000001</c:v>
                </c:pt>
                <c:pt idx="67">
                  <c:v>2.7490000000000001</c:v>
                </c:pt>
                <c:pt idx="68">
                  <c:v>2.899</c:v>
                </c:pt>
                <c:pt idx="69">
                  <c:v>2.419</c:v>
                </c:pt>
                <c:pt idx="70">
                  <c:v>2.5990000000000002</c:v>
                </c:pt>
                <c:pt idx="71">
                  <c:v>2.5590000000000002</c:v>
                </c:pt>
                <c:pt idx="72">
                  <c:v>2.7290000000000001</c:v>
                </c:pt>
                <c:pt idx="73">
                  <c:v>2.7989999999999999</c:v>
                </c:pt>
                <c:pt idx="74">
                  <c:v>2.7290000000000001</c:v>
                </c:pt>
                <c:pt idx="75">
                  <c:v>2.7389999999999999</c:v>
                </c:pt>
                <c:pt idx="76">
                  <c:v>2.7989999999999999</c:v>
                </c:pt>
                <c:pt idx="77">
                  <c:v>2.4889999999999999</c:v>
                </c:pt>
                <c:pt idx="78">
                  <c:v>2.5289999999999999</c:v>
                </c:pt>
                <c:pt idx="79">
                  <c:v>2.7989999999999999</c:v>
                </c:pt>
                <c:pt idx="80">
                  <c:v>2.609</c:v>
                </c:pt>
                <c:pt idx="81">
                  <c:v>2.6989999999999998</c:v>
                </c:pt>
                <c:pt idx="82">
                  <c:v>2.4790000000000001</c:v>
                </c:pt>
                <c:pt idx="83">
                  <c:v>2.2290000000000001</c:v>
                </c:pt>
                <c:pt idx="84">
                  <c:v>2.5489999999999999</c:v>
                </c:pt>
                <c:pt idx="85">
                  <c:v>2.5990000000000002</c:v>
                </c:pt>
                <c:pt idx="86">
                  <c:v>3.0990000000000002</c:v>
                </c:pt>
                <c:pt idx="87">
                  <c:v>2.3490000000000002</c:v>
                </c:pt>
                <c:pt idx="88">
                  <c:v>2.4390000000000001</c:v>
                </c:pt>
                <c:pt idx="89">
                  <c:v>2.6989999999999998</c:v>
                </c:pt>
                <c:pt idx="90">
                  <c:v>3.1789999999999998</c:v>
                </c:pt>
                <c:pt idx="91">
                  <c:v>2.4990000000000001</c:v>
                </c:pt>
                <c:pt idx="92">
                  <c:v>2.609</c:v>
                </c:pt>
                <c:pt idx="93">
                  <c:v>3.359</c:v>
                </c:pt>
                <c:pt idx="94">
                  <c:v>3.5590000000000002</c:v>
                </c:pt>
                <c:pt idx="95">
                  <c:v>2.899</c:v>
                </c:pt>
                <c:pt idx="96">
                  <c:v>2.5289999999999999</c:v>
                </c:pt>
                <c:pt idx="97">
                  <c:v>3.0590000000000002</c:v>
                </c:pt>
                <c:pt idx="98">
                  <c:v>2.399</c:v>
                </c:pt>
                <c:pt idx="99">
                  <c:v>2.5489999999999999</c:v>
                </c:pt>
                <c:pt idx="100">
                  <c:v>2.4790000000000001</c:v>
                </c:pt>
                <c:pt idx="101">
                  <c:v>2.5489999999999999</c:v>
                </c:pt>
                <c:pt idx="102">
                  <c:v>2.5190000000000001</c:v>
                </c:pt>
                <c:pt idx="103">
                  <c:v>2.5190000000000001</c:v>
                </c:pt>
                <c:pt idx="104">
                  <c:v>2.4990000000000001</c:v>
                </c:pt>
                <c:pt idx="105">
                  <c:v>2.4990000000000001</c:v>
                </c:pt>
                <c:pt idx="106">
                  <c:v>2.5489999999999999</c:v>
                </c:pt>
                <c:pt idx="107">
                  <c:v>2.4990000000000001</c:v>
                </c:pt>
                <c:pt idx="108">
                  <c:v>2.5390000000000001</c:v>
                </c:pt>
                <c:pt idx="109">
                  <c:v>2.399</c:v>
                </c:pt>
                <c:pt idx="110">
                  <c:v>2.2989999999999999</c:v>
                </c:pt>
                <c:pt idx="111">
                  <c:v>2.3490000000000002</c:v>
                </c:pt>
                <c:pt idx="112">
                  <c:v>3.0590000000000002</c:v>
                </c:pt>
                <c:pt idx="113">
                  <c:v>2.5089999999999999</c:v>
                </c:pt>
                <c:pt idx="114">
                  <c:v>2.4689999999999999</c:v>
                </c:pt>
                <c:pt idx="115">
                  <c:v>2.5190000000000001</c:v>
                </c:pt>
                <c:pt idx="116">
                  <c:v>2.7490000000000001</c:v>
                </c:pt>
                <c:pt idx="117">
                  <c:v>2.5590000000000002</c:v>
                </c:pt>
                <c:pt idx="118">
                  <c:v>2.5990000000000002</c:v>
                </c:pt>
                <c:pt idx="119">
                  <c:v>2.7189999999999999</c:v>
                </c:pt>
                <c:pt idx="120">
                  <c:v>3.0289999999999999</c:v>
                </c:pt>
                <c:pt idx="121">
                  <c:v>2.4689999999999999</c:v>
                </c:pt>
                <c:pt idx="122">
                  <c:v>2.1989999999999998</c:v>
                </c:pt>
                <c:pt idx="123">
                  <c:v>3.2890000000000001</c:v>
                </c:pt>
                <c:pt idx="124">
                  <c:v>2.9790000000000001</c:v>
                </c:pt>
                <c:pt idx="125">
                  <c:v>2.4289999999999998</c:v>
                </c:pt>
                <c:pt idx="126">
                  <c:v>2.4590000000000001</c:v>
                </c:pt>
                <c:pt idx="127">
                  <c:v>2.4089999999999998</c:v>
                </c:pt>
                <c:pt idx="128">
                  <c:v>2.6589999999999998</c:v>
                </c:pt>
                <c:pt idx="129">
                  <c:v>2.6989999999999998</c:v>
                </c:pt>
                <c:pt idx="130">
                  <c:v>2.2389999999999999</c:v>
                </c:pt>
                <c:pt idx="131">
                  <c:v>2.319</c:v>
                </c:pt>
                <c:pt idx="132">
                  <c:v>3.0390000000000001</c:v>
                </c:pt>
                <c:pt idx="133">
                  <c:v>3.069</c:v>
                </c:pt>
                <c:pt idx="134">
                  <c:v>2.4990000000000001</c:v>
                </c:pt>
                <c:pt idx="135">
                  <c:v>2.6190000000000002</c:v>
                </c:pt>
                <c:pt idx="136">
                  <c:v>2.2690000000000001</c:v>
                </c:pt>
                <c:pt idx="137">
                  <c:v>2.399</c:v>
                </c:pt>
                <c:pt idx="138">
                  <c:v>2.7589999999999999</c:v>
                </c:pt>
                <c:pt idx="139">
                  <c:v>3.399</c:v>
                </c:pt>
                <c:pt idx="140">
                  <c:v>2.609</c:v>
                </c:pt>
                <c:pt idx="141">
                  <c:v>2.819</c:v>
                </c:pt>
                <c:pt idx="142">
                  <c:v>2.5489999999999999</c:v>
                </c:pt>
                <c:pt idx="143">
                  <c:v>2.7789999999999999</c:v>
                </c:pt>
                <c:pt idx="144">
                  <c:v>2.4289999999999998</c:v>
                </c:pt>
                <c:pt idx="145">
                  <c:v>2.5289999999999999</c:v>
                </c:pt>
                <c:pt idx="146">
                  <c:v>2.4089999999999998</c:v>
                </c:pt>
                <c:pt idx="147">
                  <c:v>3.2989999999999999</c:v>
                </c:pt>
                <c:pt idx="148">
                  <c:v>2.7989999999999999</c:v>
                </c:pt>
                <c:pt idx="149">
                  <c:v>2.569</c:v>
                </c:pt>
                <c:pt idx="150">
                  <c:v>2.399</c:v>
                </c:pt>
                <c:pt idx="151">
                  <c:v>2.8290000000000002</c:v>
                </c:pt>
                <c:pt idx="152">
                  <c:v>2.419</c:v>
                </c:pt>
                <c:pt idx="153">
                  <c:v>3.2989999999999999</c:v>
                </c:pt>
                <c:pt idx="154">
                  <c:v>2.4590000000000001</c:v>
                </c:pt>
                <c:pt idx="155">
                  <c:v>3.0990000000000002</c:v>
                </c:pt>
                <c:pt idx="156">
                  <c:v>2.6989999999999998</c:v>
                </c:pt>
                <c:pt idx="157">
                  <c:v>2.7189999999999999</c:v>
                </c:pt>
                <c:pt idx="158">
                  <c:v>2.899</c:v>
                </c:pt>
                <c:pt idx="159">
                  <c:v>2.4990000000000001</c:v>
                </c:pt>
                <c:pt idx="160">
                  <c:v>2.819</c:v>
                </c:pt>
                <c:pt idx="161">
                  <c:v>2.4990000000000001</c:v>
                </c:pt>
                <c:pt idx="162">
                  <c:v>2.4689999999999999</c:v>
                </c:pt>
                <c:pt idx="163">
                  <c:v>2.4489999999999998</c:v>
                </c:pt>
                <c:pt idx="164">
                  <c:v>2.7989999999999999</c:v>
                </c:pt>
                <c:pt idx="165">
                  <c:v>2.2490000000000001</c:v>
                </c:pt>
                <c:pt idx="166">
                  <c:v>2.5390000000000001</c:v>
                </c:pt>
                <c:pt idx="167">
                  <c:v>2.379</c:v>
                </c:pt>
                <c:pt idx="168">
                  <c:v>2.7989999999999999</c:v>
                </c:pt>
                <c:pt idx="169">
                  <c:v>2.8490000000000002</c:v>
                </c:pt>
                <c:pt idx="170">
                  <c:v>2.7389999999999999</c:v>
                </c:pt>
                <c:pt idx="171">
                  <c:v>2.7989999999999999</c:v>
                </c:pt>
                <c:pt idx="172">
                  <c:v>2.7589999999999999</c:v>
                </c:pt>
                <c:pt idx="173">
                  <c:v>2.6989999999999998</c:v>
                </c:pt>
                <c:pt idx="174">
                  <c:v>2.7589999999999999</c:v>
                </c:pt>
                <c:pt idx="175">
                  <c:v>2.7989999999999999</c:v>
                </c:pt>
                <c:pt idx="176">
                  <c:v>2.7789999999999999</c:v>
                </c:pt>
                <c:pt idx="177">
                  <c:v>2.589</c:v>
                </c:pt>
                <c:pt idx="178">
                  <c:v>2.5489999999999999</c:v>
                </c:pt>
                <c:pt idx="179">
                  <c:v>2.5990000000000002</c:v>
                </c:pt>
                <c:pt idx="180">
                  <c:v>2.5190000000000001</c:v>
                </c:pt>
                <c:pt idx="181">
                  <c:v>2.5489999999999999</c:v>
                </c:pt>
                <c:pt idx="182">
                  <c:v>2.6190000000000002</c:v>
                </c:pt>
                <c:pt idx="183">
                  <c:v>2.4990000000000001</c:v>
                </c:pt>
                <c:pt idx="184">
                  <c:v>2.5990000000000002</c:v>
                </c:pt>
                <c:pt idx="185">
                  <c:v>2.5990000000000002</c:v>
                </c:pt>
                <c:pt idx="186">
                  <c:v>2.399</c:v>
                </c:pt>
                <c:pt idx="187">
                  <c:v>2.5990000000000002</c:v>
                </c:pt>
                <c:pt idx="188">
                  <c:v>2.6989999999999998</c:v>
                </c:pt>
                <c:pt idx="189">
                  <c:v>2.6389999999999998</c:v>
                </c:pt>
                <c:pt idx="190">
                  <c:v>2.4990000000000001</c:v>
                </c:pt>
                <c:pt idx="191">
                  <c:v>3.2589999999999999</c:v>
                </c:pt>
                <c:pt idx="192">
                  <c:v>2.7789999999999999</c:v>
                </c:pt>
                <c:pt idx="193">
                  <c:v>2.5790000000000002</c:v>
                </c:pt>
                <c:pt idx="194">
                  <c:v>2.399</c:v>
                </c:pt>
                <c:pt idx="195">
                  <c:v>2.5990000000000002</c:v>
                </c:pt>
                <c:pt idx="196">
                  <c:v>2.399</c:v>
                </c:pt>
                <c:pt idx="197">
                  <c:v>2.1890000000000001</c:v>
                </c:pt>
                <c:pt idx="198">
                  <c:v>2.3490000000000002</c:v>
                </c:pt>
                <c:pt idx="199">
                  <c:v>2.2189999999999999</c:v>
                </c:pt>
                <c:pt idx="200">
                  <c:v>2.359</c:v>
                </c:pt>
                <c:pt idx="201">
                  <c:v>2.7589999999999999</c:v>
                </c:pt>
                <c:pt idx="202">
                  <c:v>2.7989999999999999</c:v>
                </c:pt>
                <c:pt idx="203">
                  <c:v>2.3490000000000002</c:v>
                </c:pt>
                <c:pt idx="204">
                  <c:v>2.2290000000000001</c:v>
                </c:pt>
                <c:pt idx="205">
                  <c:v>2.2989999999999999</c:v>
                </c:pt>
                <c:pt idx="206">
                  <c:v>2.629</c:v>
                </c:pt>
                <c:pt idx="207">
                  <c:v>3.1989999999999998</c:v>
                </c:pt>
                <c:pt idx="208">
                  <c:v>2.6989999999999998</c:v>
                </c:pt>
                <c:pt idx="209">
                  <c:v>2.4089999999999998</c:v>
                </c:pt>
                <c:pt idx="210">
                  <c:v>2.6389999999999998</c:v>
                </c:pt>
                <c:pt idx="211">
                  <c:v>2.3889999999999998</c:v>
                </c:pt>
                <c:pt idx="212">
                  <c:v>2.5190000000000001</c:v>
                </c:pt>
                <c:pt idx="213">
                  <c:v>2.5390000000000001</c:v>
                </c:pt>
                <c:pt idx="214">
                  <c:v>2.5289999999999999</c:v>
                </c:pt>
                <c:pt idx="215">
                  <c:v>2.5990000000000002</c:v>
                </c:pt>
                <c:pt idx="216">
                  <c:v>2.399</c:v>
                </c:pt>
                <c:pt idx="217">
                  <c:v>2.4889999999999999</c:v>
                </c:pt>
                <c:pt idx="218">
                  <c:v>2.5289999999999999</c:v>
                </c:pt>
                <c:pt idx="219">
                  <c:v>2.5489999999999999</c:v>
                </c:pt>
                <c:pt idx="220">
                  <c:v>2.7290000000000001</c:v>
                </c:pt>
                <c:pt idx="221">
                  <c:v>2.2389999999999999</c:v>
                </c:pt>
                <c:pt idx="222">
                  <c:v>2.4990000000000001</c:v>
                </c:pt>
                <c:pt idx="223">
                  <c:v>2.399</c:v>
                </c:pt>
                <c:pt idx="224">
                  <c:v>2.339</c:v>
                </c:pt>
                <c:pt idx="225">
                  <c:v>2.4990000000000001</c:v>
                </c:pt>
                <c:pt idx="226">
                  <c:v>2.4390000000000001</c:v>
                </c:pt>
                <c:pt idx="227">
                  <c:v>2.3490000000000002</c:v>
                </c:pt>
                <c:pt idx="228">
                  <c:v>2.399</c:v>
                </c:pt>
                <c:pt idx="229">
                  <c:v>2.3889999999999998</c:v>
                </c:pt>
                <c:pt idx="230">
                  <c:v>2.419</c:v>
                </c:pt>
                <c:pt idx="231">
                  <c:v>2.4990000000000001</c:v>
                </c:pt>
                <c:pt idx="232">
                  <c:v>2.2989999999999999</c:v>
                </c:pt>
                <c:pt idx="233">
                  <c:v>2.3889999999999998</c:v>
                </c:pt>
                <c:pt idx="234">
                  <c:v>2.4289999999999998</c:v>
                </c:pt>
                <c:pt idx="235">
                  <c:v>2.2989999999999999</c:v>
                </c:pt>
                <c:pt idx="236">
                  <c:v>2.2989999999999999</c:v>
                </c:pt>
                <c:pt idx="237">
                  <c:v>2.8889999999999998</c:v>
                </c:pt>
                <c:pt idx="238">
                  <c:v>3.1389999999999998</c:v>
                </c:pt>
                <c:pt idx="239">
                  <c:v>2.819</c:v>
                </c:pt>
                <c:pt idx="240">
                  <c:v>2.7290000000000001</c:v>
                </c:pt>
                <c:pt idx="241">
                  <c:v>2.399</c:v>
                </c:pt>
                <c:pt idx="242">
                  <c:v>2.399</c:v>
                </c:pt>
                <c:pt idx="243">
                  <c:v>2.5390000000000001</c:v>
                </c:pt>
                <c:pt idx="244">
                  <c:v>2.419</c:v>
                </c:pt>
                <c:pt idx="245">
                  <c:v>2.399</c:v>
                </c:pt>
                <c:pt idx="246">
                  <c:v>2.5489999999999999</c:v>
                </c:pt>
                <c:pt idx="247">
                  <c:v>3.149</c:v>
                </c:pt>
                <c:pt idx="248">
                  <c:v>2.7690000000000001</c:v>
                </c:pt>
                <c:pt idx="249">
                  <c:v>2.4289999999999998</c:v>
                </c:pt>
                <c:pt idx="250">
                  <c:v>2.3490000000000002</c:v>
                </c:pt>
                <c:pt idx="251">
                  <c:v>2.5990000000000002</c:v>
                </c:pt>
                <c:pt idx="252">
                  <c:v>2.5990000000000002</c:v>
                </c:pt>
                <c:pt idx="253">
                  <c:v>2.169</c:v>
                </c:pt>
                <c:pt idx="254">
                  <c:v>3.0590000000000002</c:v>
                </c:pt>
                <c:pt idx="255">
                  <c:v>2.399</c:v>
                </c:pt>
                <c:pt idx="256">
                  <c:v>2.839</c:v>
                </c:pt>
                <c:pt idx="257">
                  <c:v>2.899</c:v>
                </c:pt>
                <c:pt idx="258">
                  <c:v>2.7490000000000001</c:v>
                </c:pt>
                <c:pt idx="259">
                  <c:v>3.1989999999999998</c:v>
                </c:pt>
                <c:pt idx="260">
                  <c:v>3.2389999999999999</c:v>
                </c:pt>
                <c:pt idx="261">
                  <c:v>2.2490000000000001</c:v>
                </c:pt>
                <c:pt idx="262">
                  <c:v>2.4689999999999999</c:v>
                </c:pt>
                <c:pt idx="263">
                  <c:v>2.339</c:v>
                </c:pt>
                <c:pt idx="264">
                  <c:v>2.4689999999999999</c:v>
                </c:pt>
                <c:pt idx="265">
                  <c:v>3.2589999999999999</c:v>
                </c:pt>
                <c:pt idx="266">
                  <c:v>3.2989999999999999</c:v>
                </c:pt>
                <c:pt idx="267">
                  <c:v>2.1589999999999998</c:v>
                </c:pt>
                <c:pt idx="268">
                  <c:v>2.5190000000000001</c:v>
                </c:pt>
                <c:pt idx="269">
                  <c:v>2.319</c:v>
                </c:pt>
                <c:pt idx="270">
                  <c:v>2.899</c:v>
                </c:pt>
                <c:pt idx="271">
                  <c:v>2.6890000000000001</c:v>
                </c:pt>
                <c:pt idx="272">
                  <c:v>2.589</c:v>
                </c:pt>
                <c:pt idx="273">
                  <c:v>2.7389999999999999</c:v>
                </c:pt>
                <c:pt idx="274">
                  <c:v>2.6789999999999998</c:v>
                </c:pt>
                <c:pt idx="275">
                  <c:v>2.6989999999999998</c:v>
                </c:pt>
                <c:pt idx="276">
                  <c:v>2.7989999999999999</c:v>
                </c:pt>
                <c:pt idx="277">
                  <c:v>2.8290000000000002</c:v>
                </c:pt>
                <c:pt idx="278">
                  <c:v>2.7789999999999999</c:v>
                </c:pt>
                <c:pt idx="279">
                  <c:v>2.5990000000000002</c:v>
                </c:pt>
                <c:pt idx="280">
                  <c:v>2.5990000000000002</c:v>
                </c:pt>
                <c:pt idx="281">
                  <c:v>2.6589999999999998</c:v>
                </c:pt>
                <c:pt idx="282">
                  <c:v>2.609</c:v>
                </c:pt>
                <c:pt idx="283">
                  <c:v>2.5990000000000002</c:v>
                </c:pt>
                <c:pt idx="284">
                  <c:v>2.4390000000000001</c:v>
                </c:pt>
                <c:pt idx="285">
                  <c:v>2.5990000000000002</c:v>
                </c:pt>
                <c:pt idx="286">
                  <c:v>2.379</c:v>
                </c:pt>
                <c:pt idx="287">
                  <c:v>2.4790000000000001</c:v>
                </c:pt>
                <c:pt idx="288">
                  <c:v>2.1989999999999998</c:v>
                </c:pt>
                <c:pt idx="289">
                  <c:v>2.2890000000000001</c:v>
                </c:pt>
                <c:pt idx="290">
                  <c:v>2.419</c:v>
                </c:pt>
                <c:pt idx="291">
                  <c:v>2.399</c:v>
                </c:pt>
                <c:pt idx="292">
                  <c:v>2.419</c:v>
                </c:pt>
                <c:pt idx="293">
                  <c:v>2.5590000000000002</c:v>
                </c:pt>
                <c:pt idx="294">
                  <c:v>2.649</c:v>
                </c:pt>
                <c:pt idx="295">
                  <c:v>3.1989999999999998</c:v>
                </c:pt>
                <c:pt idx="296">
                  <c:v>2.1789999999999998</c:v>
                </c:pt>
                <c:pt idx="297">
                  <c:v>2.6789999999999998</c:v>
                </c:pt>
                <c:pt idx="298">
                  <c:v>2.5990000000000002</c:v>
                </c:pt>
                <c:pt idx="299">
                  <c:v>2.359</c:v>
                </c:pt>
                <c:pt idx="300">
                  <c:v>2.359</c:v>
                </c:pt>
                <c:pt idx="301">
                  <c:v>2.4990000000000001</c:v>
                </c:pt>
                <c:pt idx="302">
                  <c:v>2.6389999999999998</c:v>
                </c:pt>
                <c:pt idx="303">
                  <c:v>2.5590000000000002</c:v>
                </c:pt>
                <c:pt idx="304">
                  <c:v>2.399</c:v>
                </c:pt>
                <c:pt idx="305">
                  <c:v>2.7589999999999999</c:v>
                </c:pt>
                <c:pt idx="306">
                  <c:v>2.3690000000000002</c:v>
                </c:pt>
                <c:pt idx="307">
                  <c:v>3.2589999999999999</c:v>
                </c:pt>
                <c:pt idx="308">
                  <c:v>2.4089999999999998</c:v>
                </c:pt>
                <c:pt idx="309">
                  <c:v>3.9990000000000001</c:v>
                </c:pt>
                <c:pt idx="310">
                  <c:v>2.5990000000000002</c:v>
                </c:pt>
                <c:pt idx="311">
                  <c:v>3.1989999999999998</c:v>
                </c:pt>
                <c:pt idx="312">
                  <c:v>2.2989999999999999</c:v>
                </c:pt>
                <c:pt idx="313">
                  <c:v>2.899</c:v>
                </c:pt>
                <c:pt idx="314">
                  <c:v>2.6589999999999998</c:v>
                </c:pt>
                <c:pt idx="315">
                  <c:v>2.2490000000000001</c:v>
                </c:pt>
                <c:pt idx="316">
                  <c:v>2.4990000000000001</c:v>
                </c:pt>
                <c:pt idx="317">
                  <c:v>2.4889999999999999</c:v>
                </c:pt>
                <c:pt idx="318">
                  <c:v>2.419</c:v>
                </c:pt>
                <c:pt idx="319">
                  <c:v>2.4590000000000001</c:v>
                </c:pt>
                <c:pt idx="320">
                  <c:v>2.399</c:v>
                </c:pt>
                <c:pt idx="321">
                  <c:v>2.5990000000000002</c:v>
                </c:pt>
                <c:pt idx="322">
                  <c:v>2.4990000000000001</c:v>
                </c:pt>
                <c:pt idx="323">
                  <c:v>3.359</c:v>
                </c:pt>
                <c:pt idx="324">
                  <c:v>2.7989999999999999</c:v>
                </c:pt>
                <c:pt idx="325">
                  <c:v>2.5289999999999999</c:v>
                </c:pt>
                <c:pt idx="326">
                  <c:v>3.0590000000000002</c:v>
                </c:pt>
                <c:pt idx="327">
                  <c:v>2.8090000000000002</c:v>
                </c:pt>
                <c:pt idx="328">
                  <c:v>2.3490000000000002</c:v>
                </c:pt>
                <c:pt idx="329">
                  <c:v>2.859</c:v>
                </c:pt>
                <c:pt idx="330">
                  <c:v>2.4990000000000001</c:v>
                </c:pt>
                <c:pt idx="331">
                  <c:v>2.859</c:v>
                </c:pt>
                <c:pt idx="332">
                  <c:v>2.819</c:v>
                </c:pt>
                <c:pt idx="333">
                  <c:v>2.5489999999999999</c:v>
                </c:pt>
                <c:pt idx="334">
                  <c:v>3.4990000000000001</c:v>
                </c:pt>
                <c:pt idx="335">
                  <c:v>2.5990000000000002</c:v>
                </c:pt>
                <c:pt idx="336">
                  <c:v>2.5990000000000002</c:v>
                </c:pt>
                <c:pt idx="337">
                  <c:v>2.4489999999999998</c:v>
                </c:pt>
                <c:pt idx="338">
                  <c:v>2.4889999999999999</c:v>
                </c:pt>
                <c:pt idx="339">
                  <c:v>2.3090000000000002</c:v>
                </c:pt>
                <c:pt idx="340">
                  <c:v>2.5489999999999999</c:v>
                </c:pt>
                <c:pt idx="341">
                  <c:v>3.0489999999999999</c:v>
                </c:pt>
                <c:pt idx="342">
                  <c:v>2.4590000000000001</c:v>
                </c:pt>
                <c:pt idx="343">
                  <c:v>3.0990000000000002</c:v>
                </c:pt>
                <c:pt idx="344">
                  <c:v>2.5790000000000002</c:v>
                </c:pt>
                <c:pt idx="345">
                  <c:v>2.6989999999999998</c:v>
                </c:pt>
                <c:pt idx="346">
                  <c:v>2.7989999999999999</c:v>
                </c:pt>
                <c:pt idx="347">
                  <c:v>3.0990000000000002</c:v>
                </c:pt>
                <c:pt idx="348">
                  <c:v>2.1989999999999998</c:v>
                </c:pt>
                <c:pt idx="349">
                  <c:v>2.6989999999999998</c:v>
                </c:pt>
                <c:pt idx="350">
                  <c:v>2.5990000000000002</c:v>
                </c:pt>
                <c:pt idx="351">
                  <c:v>2.5990000000000002</c:v>
                </c:pt>
                <c:pt idx="352">
                  <c:v>2.7589999999999999</c:v>
                </c:pt>
                <c:pt idx="353">
                  <c:v>2.4390000000000001</c:v>
                </c:pt>
                <c:pt idx="354">
                  <c:v>3.1989999999999998</c:v>
                </c:pt>
                <c:pt idx="355">
                  <c:v>2.3490000000000002</c:v>
                </c:pt>
                <c:pt idx="356">
                  <c:v>2.7989999999999999</c:v>
                </c:pt>
                <c:pt idx="357">
                  <c:v>2.6989999999999998</c:v>
                </c:pt>
                <c:pt idx="358">
                  <c:v>2.379</c:v>
                </c:pt>
                <c:pt idx="359">
                  <c:v>2.5990000000000002</c:v>
                </c:pt>
                <c:pt idx="360">
                  <c:v>3.1989999999999998</c:v>
                </c:pt>
                <c:pt idx="361">
                  <c:v>2.7090000000000001</c:v>
                </c:pt>
                <c:pt idx="362">
                  <c:v>2.589</c:v>
                </c:pt>
                <c:pt idx="363">
                  <c:v>2.4990000000000001</c:v>
                </c:pt>
                <c:pt idx="364">
                  <c:v>2.7989999999999999</c:v>
                </c:pt>
                <c:pt idx="365">
                  <c:v>2.9990000000000001</c:v>
                </c:pt>
                <c:pt idx="366">
                  <c:v>2.6589999999999998</c:v>
                </c:pt>
                <c:pt idx="367">
                  <c:v>2.4990000000000001</c:v>
                </c:pt>
                <c:pt idx="368">
                  <c:v>2.899</c:v>
                </c:pt>
                <c:pt idx="369">
                  <c:v>3.2989999999999999</c:v>
                </c:pt>
                <c:pt idx="370">
                  <c:v>2.5790000000000002</c:v>
                </c:pt>
                <c:pt idx="371">
                  <c:v>2.7989999999999999</c:v>
                </c:pt>
                <c:pt idx="372">
                  <c:v>2.839</c:v>
                </c:pt>
                <c:pt idx="373">
                  <c:v>2.6989999999999998</c:v>
                </c:pt>
                <c:pt idx="374">
                  <c:v>2.5990000000000002</c:v>
                </c:pt>
                <c:pt idx="375">
                  <c:v>2.5990000000000002</c:v>
                </c:pt>
                <c:pt idx="376">
                  <c:v>2.7189999999999999</c:v>
                </c:pt>
                <c:pt idx="377">
                  <c:v>3.1789999999999998</c:v>
                </c:pt>
                <c:pt idx="378">
                  <c:v>2.7989999999999999</c:v>
                </c:pt>
                <c:pt idx="379">
                  <c:v>2.4889999999999999</c:v>
                </c:pt>
                <c:pt idx="380">
                  <c:v>2.899</c:v>
                </c:pt>
                <c:pt idx="381">
                  <c:v>2.8290000000000002</c:v>
                </c:pt>
                <c:pt idx="382">
                  <c:v>2.7389999999999999</c:v>
                </c:pt>
                <c:pt idx="383">
                  <c:v>2.2989999999999999</c:v>
                </c:pt>
                <c:pt idx="384">
                  <c:v>2.4489999999999998</c:v>
                </c:pt>
                <c:pt idx="385">
                  <c:v>2.3889999999999998</c:v>
                </c:pt>
                <c:pt idx="386">
                  <c:v>2.3889999999999998</c:v>
                </c:pt>
                <c:pt idx="387">
                  <c:v>2.319</c:v>
                </c:pt>
                <c:pt idx="388">
                  <c:v>2.6389999999999998</c:v>
                </c:pt>
                <c:pt idx="389">
                  <c:v>2.359</c:v>
                </c:pt>
                <c:pt idx="390">
                  <c:v>2.3690000000000002</c:v>
                </c:pt>
                <c:pt idx="391">
                  <c:v>3.1989999999999998</c:v>
                </c:pt>
                <c:pt idx="392">
                  <c:v>2.2690000000000001</c:v>
                </c:pt>
                <c:pt idx="393">
                  <c:v>2.4089999999999998</c:v>
                </c:pt>
                <c:pt idx="394">
                  <c:v>2.2589999999999999</c:v>
                </c:pt>
                <c:pt idx="395">
                  <c:v>2.649</c:v>
                </c:pt>
                <c:pt idx="396">
                  <c:v>2.859</c:v>
                </c:pt>
                <c:pt idx="397">
                  <c:v>2.5790000000000002</c:v>
                </c:pt>
                <c:pt idx="398">
                  <c:v>3.2989999999999999</c:v>
                </c:pt>
                <c:pt idx="399">
                  <c:v>2.6589999999999998</c:v>
                </c:pt>
                <c:pt idx="400">
                  <c:v>2.1989999999999998</c:v>
                </c:pt>
                <c:pt idx="401">
                  <c:v>2.6589999999999998</c:v>
                </c:pt>
                <c:pt idx="402">
                  <c:v>2.4990000000000001</c:v>
                </c:pt>
                <c:pt idx="403">
                  <c:v>3.1989999999999998</c:v>
                </c:pt>
                <c:pt idx="404">
                  <c:v>2.5790000000000002</c:v>
                </c:pt>
                <c:pt idx="405">
                  <c:v>2.4990000000000001</c:v>
                </c:pt>
                <c:pt idx="406">
                  <c:v>2.7090000000000001</c:v>
                </c:pt>
                <c:pt idx="407">
                  <c:v>2.7690000000000001</c:v>
                </c:pt>
                <c:pt idx="408">
                  <c:v>2.339</c:v>
                </c:pt>
                <c:pt idx="409">
                  <c:v>2.4790000000000001</c:v>
                </c:pt>
                <c:pt idx="410">
                  <c:v>2.2490000000000001</c:v>
                </c:pt>
                <c:pt idx="411">
                  <c:v>2.399</c:v>
                </c:pt>
                <c:pt idx="412">
                  <c:v>2.4990000000000001</c:v>
                </c:pt>
                <c:pt idx="413">
                  <c:v>2.399</c:v>
                </c:pt>
                <c:pt idx="414">
                  <c:v>2.899</c:v>
                </c:pt>
                <c:pt idx="415">
                  <c:v>2.5390000000000001</c:v>
                </c:pt>
                <c:pt idx="416">
                  <c:v>2.649</c:v>
                </c:pt>
                <c:pt idx="417">
                  <c:v>3.0590000000000002</c:v>
                </c:pt>
                <c:pt idx="418">
                  <c:v>2.4790000000000001</c:v>
                </c:pt>
                <c:pt idx="419">
                  <c:v>2.2789999999999999</c:v>
                </c:pt>
                <c:pt idx="420">
                  <c:v>2.4689999999999999</c:v>
                </c:pt>
                <c:pt idx="421">
                  <c:v>2.4990000000000001</c:v>
                </c:pt>
                <c:pt idx="422">
                  <c:v>2.7989999999999999</c:v>
                </c:pt>
                <c:pt idx="423">
                  <c:v>2.4990000000000001</c:v>
                </c:pt>
                <c:pt idx="424">
                  <c:v>2.6589999999999998</c:v>
                </c:pt>
                <c:pt idx="425">
                  <c:v>2.5590000000000002</c:v>
                </c:pt>
                <c:pt idx="426">
                  <c:v>2.5990000000000002</c:v>
                </c:pt>
                <c:pt idx="427">
                  <c:v>2.6789999999999998</c:v>
                </c:pt>
                <c:pt idx="428">
                  <c:v>2.6989999999999998</c:v>
                </c:pt>
                <c:pt idx="429">
                  <c:v>2.7989999999999999</c:v>
                </c:pt>
                <c:pt idx="430">
                  <c:v>2.4889999999999999</c:v>
                </c:pt>
                <c:pt idx="431">
                  <c:v>2.819</c:v>
                </c:pt>
                <c:pt idx="432">
                  <c:v>2.4590000000000001</c:v>
                </c:pt>
                <c:pt idx="433">
                  <c:v>2.7090000000000001</c:v>
                </c:pt>
                <c:pt idx="434">
                  <c:v>2.9990000000000001</c:v>
                </c:pt>
                <c:pt idx="435">
                  <c:v>2.4990000000000001</c:v>
                </c:pt>
                <c:pt idx="436">
                  <c:v>2.4990000000000001</c:v>
                </c:pt>
                <c:pt idx="437">
                  <c:v>3.0590000000000002</c:v>
                </c:pt>
                <c:pt idx="438">
                  <c:v>2.3090000000000002</c:v>
                </c:pt>
              </c:numCache>
            </c:numRef>
          </c:yVal>
          <c:smooth val="0"/>
        </c:ser>
        <c:dLbls>
          <c:showLegendKey val="0"/>
          <c:showVal val="0"/>
          <c:showCatName val="0"/>
          <c:showSerName val="0"/>
          <c:showPercent val="0"/>
          <c:showBubbleSize val="0"/>
        </c:dLbls>
        <c:axId val="69219072"/>
        <c:axId val="69220608"/>
      </c:scatterChart>
      <c:valAx>
        <c:axId val="69219072"/>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GasBuddy ($)</a:t>
                </a:r>
              </a:p>
            </c:rich>
          </c:tx>
          <c:layout>
            <c:manualLayout>
              <c:xMode val="edge"/>
              <c:yMode val="edge"/>
              <c:x val="0.43334404864507436"/>
              <c:y val="0.93018917079809471"/>
            </c:manualLayout>
          </c:layout>
          <c:overlay val="0"/>
          <c:spPr>
            <a:noFill/>
            <a:ln>
              <a:noFill/>
            </a:ln>
            <a:effectLst/>
          </c:spPr>
        </c:title>
        <c:numFmt formatCode="#,##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20608"/>
        <c:crosses val="autoZero"/>
        <c:crossBetween val="midCat"/>
      </c:valAx>
      <c:valAx>
        <c:axId val="69220608"/>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OPIS ($)</a:t>
                </a:r>
              </a:p>
            </c:rich>
          </c:tx>
          <c:overlay val="0"/>
          <c:spPr>
            <a:noFill/>
            <a:ln>
              <a:noFill/>
            </a:ln>
            <a:effectLst/>
          </c:spPr>
        </c:title>
        <c:numFmt formatCode="#,##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9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Pre_Price</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Sheet1!$A$2:$A$1048237</c:f>
              <c:numCache>
                <c:formatCode>General</c:formatCode>
                <c:ptCount val="1048236"/>
                <c:pt idx="0">
                  <c:v>2.79</c:v>
                </c:pt>
                <c:pt idx="1">
                  <c:v>2.71</c:v>
                </c:pt>
                <c:pt idx="2">
                  <c:v>2.75</c:v>
                </c:pt>
                <c:pt idx="3">
                  <c:v>2.77</c:v>
                </c:pt>
                <c:pt idx="4">
                  <c:v>2.7</c:v>
                </c:pt>
                <c:pt idx="5">
                  <c:v>2.79</c:v>
                </c:pt>
                <c:pt idx="6">
                  <c:v>2.97</c:v>
                </c:pt>
                <c:pt idx="7">
                  <c:v>2.79</c:v>
                </c:pt>
                <c:pt idx="8">
                  <c:v>2.81</c:v>
                </c:pt>
                <c:pt idx="9">
                  <c:v>3.15</c:v>
                </c:pt>
                <c:pt idx="10">
                  <c:v>2.94</c:v>
                </c:pt>
                <c:pt idx="11">
                  <c:v>2.59</c:v>
                </c:pt>
                <c:pt idx="12">
                  <c:v>3.19</c:v>
                </c:pt>
                <c:pt idx="13">
                  <c:v>3.45</c:v>
                </c:pt>
                <c:pt idx="14">
                  <c:v>3.35</c:v>
                </c:pt>
                <c:pt idx="15">
                  <c:v>3.11</c:v>
                </c:pt>
                <c:pt idx="16">
                  <c:v>2.64</c:v>
                </c:pt>
                <c:pt idx="17">
                  <c:v>2.46</c:v>
                </c:pt>
                <c:pt idx="18">
                  <c:v>2.93</c:v>
                </c:pt>
                <c:pt idx="19">
                  <c:v>2.74</c:v>
                </c:pt>
                <c:pt idx="20">
                  <c:v>2.34</c:v>
                </c:pt>
                <c:pt idx="21">
                  <c:v>2.97</c:v>
                </c:pt>
                <c:pt idx="22">
                  <c:v>3.03</c:v>
                </c:pt>
                <c:pt idx="23">
                  <c:v>2.93</c:v>
                </c:pt>
                <c:pt idx="24">
                  <c:v>2.85</c:v>
                </c:pt>
                <c:pt idx="25">
                  <c:v>2.88</c:v>
                </c:pt>
                <c:pt idx="26">
                  <c:v>3.41</c:v>
                </c:pt>
                <c:pt idx="27">
                  <c:v>2.57</c:v>
                </c:pt>
                <c:pt idx="28">
                  <c:v>2.75</c:v>
                </c:pt>
                <c:pt idx="29">
                  <c:v>2.5299999999999998</c:v>
                </c:pt>
                <c:pt idx="30">
                  <c:v>2.69</c:v>
                </c:pt>
                <c:pt idx="31">
                  <c:v>2.79</c:v>
                </c:pt>
                <c:pt idx="32">
                  <c:v>2.99</c:v>
                </c:pt>
                <c:pt idx="33">
                  <c:v>2.95</c:v>
                </c:pt>
                <c:pt idx="34">
                  <c:v>2.79</c:v>
                </c:pt>
                <c:pt idx="35">
                  <c:v>2.84</c:v>
                </c:pt>
                <c:pt idx="36">
                  <c:v>2.54</c:v>
                </c:pt>
                <c:pt idx="37">
                  <c:v>2.99</c:v>
                </c:pt>
                <c:pt idx="38">
                  <c:v>3.29</c:v>
                </c:pt>
                <c:pt idx="39">
                  <c:v>2.69</c:v>
                </c:pt>
                <c:pt idx="40">
                  <c:v>2.79</c:v>
                </c:pt>
                <c:pt idx="41">
                  <c:v>2.85</c:v>
                </c:pt>
                <c:pt idx="42">
                  <c:v>2.88</c:v>
                </c:pt>
                <c:pt idx="43">
                  <c:v>2.66</c:v>
                </c:pt>
                <c:pt idx="44">
                  <c:v>2.77</c:v>
                </c:pt>
                <c:pt idx="45">
                  <c:v>2.71</c:v>
                </c:pt>
                <c:pt idx="46">
                  <c:v>3.47</c:v>
                </c:pt>
                <c:pt idx="47">
                  <c:v>2.98</c:v>
                </c:pt>
                <c:pt idx="48">
                  <c:v>2.59</c:v>
                </c:pt>
                <c:pt idx="49">
                  <c:v>2.62</c:v>
                </c:pt>
                <c:pt idx="50">
                  <c:v>2.66</c:v>
                </c:pt>
                <c:pt idx="51">
                  <c:v>3.04</c:v>
                </c:pt>
                <c:pt idx="52">
                  <c:v>2.99</c:v>
                </c:pt>
                <c:pt idx="53">
                  <c:v>3.02</c:v>
                </c:pt>
                <c:pt idx="54">
                  <c:v>2.74</c:v>
                </c:pt>
                <c:pt idx="55">
                  <c:v>2.78</c:v>
                </c:pt>
                <c:pt idx="56">
                  <c:v>2.64</c:v>
                </c:pt>
                <c:pt idx="57">
                  <c:v>2.75</c:v>
                </c:pt>
                <c:pt idx="58">
                  <c:v>2.82</c:v>
                </c:pt>
                <c:pt idx="59">
                  <c:v>2.75</c:v>
                </c:pt>
                <c:pt idx="60">
                  <c:v>2.73</c:v>
                </c:pt>
                <c:pt idx="61">
                  <c:v>2.59</c:v>
                </c:pt>
                <c:pt idx="62">
                  <c:v>2.54</c:v>
                </c:pt>
                <c:pt idx="63">
                  <c:v>2.44</c:v>
                </c:pt>
                <c:pt idx="64">
                  <c:v>2.46</c:v>
                </c:pt>
                <c:pt idx="65">
                  <c:v>2.5099999999999998</c:v>
                </c:pt>
                <c:pt idx="66">
                  <c:v>2.58</c:v>
                </c:pt>
                <c:pt idx="67">
                  <c:v>2.99</c:v>
                </c:pt>
                <c:pt idx="68">
                  <c:v>2.89</c:v>
                </c:pt>
                <c:pt idx="69">
                  <c:v>2.71</c:v>
                </c:pt>
                <c:pt idx="70">
                  <c:v>2.79</c:v>
                </c:pt>
                <c:pt idx="71">
                  <c:v>2.85</c:v>
                </c:pt>
                <c:pt idx="72">
                  <c:v>2.89</c:v>
                </c:pt>
                <c:pt idx="73">
                  <c:v>2.89</c:v>
                </c:pt>
                <c:pt idx="74">
                  <c:v>2.85</c:v>
                </c:pt>
                <c:pt idx="75">
                  <c:v>3.03</c:v>
                </c:pt>
                <c:pt idx="76">
                  <c:v>2.89</c:v>
                </c:pt>
                <c:pt idx="77">
                  <c:v>3.08</c:v>
                </c:pt>
                <c:pt idx="78">
                  <c:v>2.79</c:v>
                </c:pt>
                <c:pt idx="79">
                  <c:v>2.75</c:v>
                </c:pt>
                <c:pt idx="80">
                  <c:v>2.73</c:v>
                </c:pt>
                <c:pt idx="81">
                  <c:v>2.37</c:v>
                </c:pt>
                <c:pt idx="82">
                  <c:v>3.02</c:v>
                </c:pt>
                <c:pt idx="83">
                  <c:v>2.73</c:v>
                </c:pt>
                <c:pt idx="84">
                  <c:v>3.19</c:v>
                </c:pt>
                <c:pt idx="85">
                  <c:v>2.59</c:v>
                </c:pt>
                <c:pt idx="86">
                  <c:v>2.63</c:v>
                </c:pt>
                <c:pt idx="87">
                  <c:v>2.79</c:v>
                </c:pt>
                <c:pt idx="88">
                  <c:v>3.39</c:v>
                </c:pt>
                <c:pt idx="89">
                  <c:v>2.79</c:v>
                </c:pt>
                <c:pt idx="90">
                  <c:v>2.9</c:v>
                </c:pt>
                <c:pt idx="91">
                  <c:v>3.35</c:v>
                </c:pt>
                <c:pt idx="92">
                  <c:v>3.65</c:v>
                </c:pt>
                <c:pt idx="93">
                  <c:v>2.99</c:v>
                </c:pt>
                <c:pt idx="94">
                  <c:v>2.82</c:v>
                </c:pt>
                <c:pt idx="95">
                  <c:v>3.09</c:v>
                </c:pt>
                <c:pt idx="96">
                  <c:v>2.69</c:v>
                </c:pt>
                <c:pt idx="97">
                  <c:v>2.89</c:v>
                </c:pt>
                <c:pt idx="98">
                  <c:v>2.81</c:v>
                </c:pt>
                <c:pt idx="99">
                  <c:v>2.89</c:v>
                </c:pt>
                <c:pt idx="100">
                  <c:v>2.84</c:v>
                </c:pt>
                <c:pt idx="101">
                  <c:v>2.86</c:v>
                </c:pt>
                <c:pt idx="102">
                  <c:v>2.84</c:v>
                </c:pt>
                <c:pt idx="103">
                  <c:v>2.85</c:v>
                </c:pt>
                <c:pt idx="104">
                  <c:v>2.89</c:v>
                </c:pt>
                <c:pt idx="105">
                  <c:v>2.85</c:v>
                </c:pt>
                <c:pt idx="106">
                  <c:v>2.87</c:v>
                </c:pt>
                <c:pt idx="107">
                  <c:v>2.69</c:v>
                </c:pt>
                <c:pt idx="108">
                  <c:v>2.59</c:v>
                </c:pt>
                <c:pt idx="109">
                  <c:v>2.59</c:v>
                </c:pt>
                <c:pt idx="110">
                  <c:v>3.15</c:v>
                </c:pt>
                <c:pt idx="111">
                  <c:v>2.65</c:v>
                </c:pt>
                <c:pt idx="112">
                  <c:v>2.61</c:v>
                </c:pt>
                <c:pt idx="113">
                  <c:v>2.7</c:v>
                </c:pt>
                <c:pt idx="114">
                  <c:v>2.7</c:v>
                </c:pt>
                <c:pt idx="115">
                  <c:v>2.98</c:v>
                </c:pt>
                <c:pt idx="116">
                  <c:v>2.84</c:v>
                </c:pt>
                <c:pt idx="117">
                  <c:v>2.81</c:v>
                </c:pt>
                <c:pt idx="118">
                  <c:v>3.17</c:v>
                </c:pt>
                <c:pt idx="119">
                  <c:v>2.59</c:v>
                </c:pt>
                <c:pt idx="120">
                  <c:v>3.41</c:v>
                </c:pt>
                <c:pt idx="121">
                  <c:v>3.05</c:v>
                </c:pt>
                <c:pt idx="122">
                  <c:v>2.64</c:v>
                </c:pt>
                <c:pt idx="123">
                  <c:v>2.86</c:v>
                </c:pt>
                <c:pt idx="124">
                  <c:v>2.65</c:v>
                </c:pt>
                <c:pt idx="125">
                  <c:v>2.72</c:v>
                </c:pt>
                <c:pt idx="126">
                  <c:v>2.93</c:v>
                </c:pt>
                <c:pt idx="127">
                  <c:v>2.89</c:v>
                </c:pt>
                <c:pt idx="128">
                  <c:v>2.39</c:v>
                </c:pt>
                <c:pt idx="129">
                  <c:v>2.4500000000000002</c:v>
                </c:pt>
                <c:pt idx="130">
                  <c:v>2.5299999999999998</c:v>
                </c:pt>
                <c:pt idx="131">
                  <c:v>3.16</c:v>
                </c:pt>
                <c:pt idx="132">
                  <c:v>3.19</c:v>
                </c:pt>
                <c:pt idx="133">
                  <c:v>2.89</c:v>
                </c:pt>
                <c:pt idx="134">
                  <c:v>2.89</c:v>
                </c:pt>
                <c:pt idx="135">
                  <c:v>2.56</c:v>
                </c:pt>
                <c:pt idx="136">
                  <c:v>2.64</c:v>
                </c:pt>
                <c:pt idx="137">
                  <c:v>2.92</c:v>
                </c:pt>
                <c:pt idx="138">
                  <c:v>3.39</c:v>
                </c:pt>
                <c:pt idx="139">
                  <c:v>3.19</c:v>
                </c:pt>
                <c:pt idx="140">
                  <c:v>2.69</c:v>
                </c:pt>
                <c:pt idx="141">
                  <c:v>2.38</c:v>
                </c:pt>
                <c:pt idx="142">
                  <c:v>3.21</c:v>
                </c:pt>
                <c:pt idx="143">
                  <c:v>2.82</c:v>
                </c:pt>
                <c:pt idx="144">
                  <c:v>2.99</c:v>
                </c:pt>
                <c:pt idx="145">
                  <c:v>2.54</c:v>
                </c:pt>
                <c:pt idx="146">
                  <c:v>2.84</c:v>
                </c:pt>
                <c:pt idx="147">
                  <c:v>2.8</c:v>
                </c:pt>
                <c:pt idx="148">
                  <c:v>3.79</c:v>
                </c:pt>
                <c:pt idx="149">
                  <c:v>2.89</c:v>
                </c:pt>
                <c:pt idx="150">
                  <c:v>3.11</c:v>
                </c:pt>
                <c:pt idx="151">
                  <c:v>2.74</c:v>
                </c:pt>
                <c:pt idx="152">
                  <c:v>2.92</c:v>
                </c:pt>
                <c:pt idx="153">
                  <c:v>3.29</c:v>
                </c:pt>
                <c:pt idx="154">
                  <c:v>3.15</c:v>
                </c:pt>
                <c:pt idx="155">
                  <c:v>2.99</c:v>
                </c:pt>
                <c:pt idx="156">
                  <c:v>2.85</c:v>
                </c:pt>
                <c:pt idx="157">
                  <c:v>2.95</c:v>
                </c:pt>
                <c:pt idx="158">
                  <c:v>2.61</c:v>
                </c:pt>
                <c:pt idx="159">
                  <c:v>2.89</c:v>
                </c:pt>
                <c:pt idx="160">
                  <c:v>3.31</c:v>
                </c:pt>
                <c:pt idx="161">
                  <c:v>2.64</c:v>
                </c:pt>
                <c:pt idx="162">
                  <c:v>2.74</c:v>
                </c:pt>
                <c:pt idx="163">
                  <c:v>2.6</c:v>
                </c:pt>
                <c:pt idx="164">
                  <c:v>2.89</c:v>
                </c:pt>
                <c:pt idx="165">
                  <c:v>2.67</c:v>
                </c:pt>
                <c:pt idx="166">
                  <c:v>2.4900000000000002</c:v>
                </c:pt>
                <c:pt idx="167">
                  <c:v>2.89</c:v>
                </c:pt>
                <c:pt idx="168">
                  <c:v>2.87</c:v>
                </c:pt>
                <c:pt idx="169">
                  <c:v>2.67</c:v>
                </c:pt>
                <c:pt idx="170">
                  <c:v>3.05</c:v>
                </c:pt>
                <c:pt idx="171">
                  <c:v>3.19</c:v>
                </c:pt>
                <c:pt idx="172">
                  <c:v>3.03</c:v>
                </c:pt>
                <c:pt idx="173">
                  <c:v>2.83</c:v>
                </c:pt>
                <c:pt idx="174">
                  <c:v>3.17</c:v>
                </c:pt>
                <c:pt idx="175">
                  <c:v>2.96</c:v>
                </c:pt>
                <c:pt idx="176">
                  <c:v>3.09</c:v>
                </c:pt>
                <c:pt idx="177">
                  <c:v>3.05</c:v>
                </c:pt>
                <c:pt idx="178">
                  <c:v>2.83</c:v>
                </c:pt>
                <c:pt idx="179">
                  <c:v>2.79</c:v>
                </c:pt>
                <c:pt idx="180">
                  <c:v>2.84</c:v>
                </c:pt>
                <c:pt idx="181">
                  <c:v>2.86</c:v>
                </c:pt>
                <c:pt idx="182">
                  <c:v>2.79</c:v>
                </c:pt>
                <c:pt idx="183">
                  <c:v>2.89</c:v>
                </c:pt>
                <c:pt idx="184">
                  <c:v>2.79</c:v>
                </c:pt>
                <c:pt idx="185">
                  <c:v>2.89</c:v>
                </c:pt>
                <c:pt idx="186">
                  <c:v>2.85</c:v>
                </c:pt>
                <c:pt idx="187">
                  <c:v>2.79</c:v>
                </c:pt>
                <c:pt idx="188">
                  <c:v>2.89</c:v>
                </c:pt>
                <c:pt idx="189">
                  <c:v>2.89</c:v>
                </c:pt>
                <c:pt idx="190">
                  <c:v>2.89</c:v>
                </c:pt>
                <c:pt idx="191">
                  <c:v>2.69</c:v>
                </c:pt>
                <c:pt idx="192">
                  <c:v>3.35</c:v>
                </c:pt>
                <c:pt idx="193">
                  <c:v>2.97</c:v>
                </c:pt>
                <c:pt idx="194">
                  <c:v>2.75</c:v>
                </c:pt>
                <c:pt idx="195">
                  <c:v>2.69</c:v>
                </c:pt>
                <c:pt idx="196">
                  <c:v>2.87</c:v>
                </c:pt>
                <c:pt idx="197">
                  <c:v>2.64</c:v>
                </c:pt>
                <c:pt idx="198">
                  <c:v>2.38</c:v>
                </c:pt>
                <c:pt idx="199">
                  <c:v>2.54</c:v>
                </c:pt>
                <c:pt idx="200">
                  <c:v>2.4300000000000002</c:v>
                </c:pt>
                <c:pt idx="201">
                  <c:v>2.5499999999999998</c:v>
                </c:pt>
                <c:pt idx="202">
                  <c:v>2.59</c:v>
                </c:pt>
                <c:pt idx="203">
                  <c:v>2.79</c:v>
                </c:pt>
                <c:pt idx="204">
                  <c:v>2.4500000000000002</c:v>
                </c:pt>
                <c:pt idx="205">
                  <c:v>2.4900000000000002</c:v>
                </c:pt>
                <c:pt idx="206">
                  <c:v>2.87</c:v>
                </c:pt>
                <c:pt idx="207">
                  <c:v>3.69</c:v>
                </c:pt>
                <c:pt idx="208">
                  <c:v>2.77</c:v>
                </c:pt>
                <c:pt idx="209">
                  <c:v>2.62</c:v>
                </c:pt>
                <c:pt idx="210">
                  <c:v>2.93</c:v>
                </c:pt>
                <c:pt idx="211">
                  <c:v>2.68</c:v>
                </c:pt>
                <c:pt idx="212">
                  <c:v>2.83</c:v>
                </c:pt>
                <c:pt idx="213">
                  <c:v>2.77</c:v>
                </c:pt>
                <c:pt idx="214">
                  <c:v>2.89</c:v>
                </c:pt>
                <c:pt idx="215">
                  <c:v>2.77</c:v>
                </c:pt>
                <c:pt idx="216">
                  <c:v>2.78</c:v>
                </c:pt>
                <c:pt idx="217">
                  <c:v>2.77</c:v>
                </c:pt>
                <c:pt idx="218">
                  <c:v>2.83</c:v>
                </c:pt>
                <c:pt idx="219">
                  <c:v>2.97</c:v>
                </c:pt>
                <c:pt idx="220">
                  <c:v>2.4500000000000002</c:v>
                </c:pt>
                <c:pt idx="221">
                  <c:v>2.77</c:v>
                </c:pt>
                <c:pt idx="222">
                  <c:v>2.57</c:v>
                </c:pt>
                <c:pt idx="223">
                  <c:v>2.63</c:v>
                </c:pt>
                <c:pt idx="224">
                  <c:v>2.69</c:v>
                </c:pt>
                <c:pt idx="225">
                  <c:v>2.67</c:v>
                </c:pt>
                <c:pt idx="226">
                  <c:v>2.65</c:v>
                </c:pt>
                <c:pt idx="227">
                  <c:v>2.59</c:v>
                </c:pt>
                <c:pt idx="228">
                  <c:v>2.59</c:v>
                </c:pt>
                <c:pt idx="229">
                  <c:v>2.63</c:v>
                </c:pt>
                <c:pt idx="230">
                  <c:v>2.65</c:v>
                </c:pt>
                <c:pt idx="231">
                  <c:v>2.75</c:v>
                </c:pt>
                <c:pt idx="232">
                  <c:v>2.59</c:v>
                </c:pt>
                <c:pt idx="233">
                  <c:v>2.79</c:v>
                </c:pt>
                <c:pt idx="234">
                  <c:v>2.67</c:v>
                </c:pt>
                <c:pt idx="235">
                  <c:v>2.59</c:v>
                </c:pt>
                <c:pt idx="236">
                  <c:v>2.65</c:v>
                </c:pt>
                <c:pt idx="237">
                  <c:v>3.04</c:v>
                </c:pt>
                <c:pt idx="238">
                  <c:v>3.27</c:v>
                </c:pt>
                <c:pt idx="239">
                  <c:v>2.97</c:v>
                </c:pt>
                <c:pt idx="240">
                  <c:v>3.02</c:v>
                </c:pt>
                <c:pt idx="241">
                  <c:v>2.69</c:v>
                </c:pt>
                <c:pt idx="242">
                  <c:v>2.79</c:v>
                </c:pt>
                <c:pt idx="243">
                  <c:v>2.93</c:v>
                </c:pt>
                <c:pt idx="244">
                  <c:v>2.58</c:v>
                </c:pt>
                <c:pt idx="245">
                  <c:v>2.64</c:v>
                </c:pt>
                <c:pt idx="246">
                  <c:v>3.03</c:v>
                </c:pt>
                <c:pt idx="247">
                  <c:v>2.61</c:v>
                </c:pt>
                <c:pt idx="248">
                  <c:v>2.58</c:v>
                </c:pt>
                <c:pt idx="249">
                  <c:v>2.79</c:v>
                </c:pt>
                <c:pt idx="250">
                  <c:v>2.95</c:v>
                </c:pt>
                <c:pt idx="251">
                  <c:v>2.36</c:v>
                </c:pt>
                <c:pt idx="252">
                  <c:v>3.15</c:v>
                </c:pt>
                <c:pt idx="253">
                  <c:v>2.79</c:v>
                </c:pt>
                <c:pt idx="254">
                  <c:v>3.21</c:v>
                </c:pt>
                <c:pt idx="255">
                  <c:v>2.85</c:v>
                </c:pt>
                <c:pt idx="256">
                  <c:v>3.09</c:v>
                </c:pt>
                <c:pt idx="257">
                  <c:v>3.29</c:v>
                </c:pt>
                <c:pt idx="258">
                  <c:v>3.33</c:v>
                </c:pt>
                <c:pt idx="259">
                  <c:v>2.69</c:v>
                </c:pt>
                <c:pt idx="260">
                  <c:v>2.71</c:v>
                </c:pt>
                <c:pt idx="261">
                  <c:v>2.46</c:v>
                </c:pt>
                <c:pt idx="262">
                  <c:v>2.81</c:v>
                </c:pt>
                <c:pt idx="263">
                  <c:v>3.35</c:v>
                </c:pt>
                <c:pt idx="264">
                  <c:v>3.79</c:v>
                </c:pt>
                <c:pt idx="265">
                  <c:v>2.2999999999999998</c:v>
                </c:pt>
                <c:pt idx="266">
                  <c:v>2.77</c:v>
                </c:pt>
                <c:pt idx="267">
                  <c:v>2.97</c:v>
                </c:pt>
                <c:pt idx="268">
                  <c:v>3.19</c:v>
                </c:pt>
                <c:pt idx="269">
                  <c:v>2.99</c:v>
                </c:pt>
                <c:pt idx="270">
                  <c:v>2.88</c:v>
                </c:pt>
                <c:pt idx="271">
                  <c:v>2.86</c:v>
                </c:pt>
                <c:pt idx="272">
                  <c:v>2.97</c:v>
                </c:pt>
                <c:pt idx="273">
                  <c:v>2.99</c:v>
                </c:pt>
                <c:pt idx="274">
                  <c:v>3.14</c:v>
                </c:pt>
                <c:pt idx="275">
                  <c:v>3.12</c:v>
                </c:pt>
                <c:pt idx="276">
                  <c:v>3.07</c:v>
                </c:pt>
                <c:pt idx="277">
                  <c:v>2.84</c:v>
                </c:pt>
                <c:pt idx="278">
                  <c:v>2.79</c:v>
                </c:pt>
                <c:pt idx="279">
                  <c:v>2.89</c:v>
                </c:pt>
                <c:pt idx="280">
                  <c:v>2.85</c:v>
                </c:pt>
                <c:pt idx="281">
                  <c:v>2.88</c:v>
                </c:pt>
                <c:pt idx="282">
                  <c:v>2.79</c:v>
                </c:pt>
                <c:pt idx="283">
                  <c:v>2.58</c:v>
                </c:pt>
                <c:pt idx="284">
                  <c:v>2.79</c:v>
                </c:pt>
                <c:pt idx="285">
                  <c:v>2.87</c:v>
                </c:pt>
                <c:pt idx="286">
                  <c:v>2.91</c:v>
                </c:pt>
                <c:pt idx="287">
                  <c:v>2.44</c:v>
                </c:pt>
                <c:pt idx="288">
                  <c:v>2.65</c:v>
                </c:pt>
                <c:pt idx="289">
                  <c:v>2.5099999999999998</c:v>
                </c:pt>
                <c:pt idx="290">
                  <c:v>2.67</c:v>
                </c:pt>
                <c:pt idx="291">
                  <c:v>2.66</c:v>
                </c:pt>
                <c:pt idx="292">
                  <c:v>2.79</c:v>
                </c:pt>
                <c:pt idx="293">
                  <c:v>2.84</c:v>
                </c:pt>
                <c:pt idx="294">
                  <c:v>3.29</c:v>
                </c:pt>
                <c:pt idx="295">
                  <c:v>2.3199999999999998</c:v>
                </c:pt>
                <c:pt idx="296">
                  <c:v>2.92</c:v>
                </c:pt>
                <c:pt idx="297">
                  <c:v>2.89</c:v>
                </c:pt>
                <c:pt idx="298">
                  <c:v>2.59</c:v>
                </c:pt>
                <c:pt idx="299">
                  <c:v>2.59</c:v>
                </c:pt>
                <c:pt idx="300">
                  <c:v>2.79</c:v>
                </c:pt>
                <c:pt idx="301">
                  <c:v>2.83</c:v>
                </c:pt>
                <c:pt idx="302">
                  <c:v>2.85</c:v>
                </c:pt>
                <c:pt idx="303">
                  <c:v>2.79</c:v>
                </c:pt>
                <c:pt idx="304">
                  <c:v>2.75</c:v>
                </c:pt>
                <c:pt idx="305">
                  <c:v>2.4500000000000002</c:v>
                </c:pt>
                <c:pt idx="306">
                  <c:v>2.46</c:v>
                </c:pt>
                <c:pt idx="307">
                  <c:v>2.65</c:v>
                </c:pt>
                <c:pt idx="308">
                  <c:v>4.09</c:v>
                </c:pt>
                <c:pt idx="309">
                  <c:v>2.85</c:v>
                </c:pt>
                <c:pt idx="310">
                  <c:v>2.4900000000000002</c:v>
                </c:pt>
                <c:pt idx="311">
                  <c:v>3.29</c:v>
                </c:pt>
                <c:pt idx="312">
                  <c:v>2.59</c:v>
                </c:pt>
                <c:pt idx="313">
                  <c:v>2.94</c:v>
                </c:pt>
                <c:pt idx="314">
                  <c:v>3.05</c:v>
                </c:pt>
                <c:pt idx="315">
                  <c:v>2.75</c:v>
                </c:pt>
                <c:pt idx="316">
                  <c:v>2.58</c:v>
                </c:pt>
                <c:pt idx="317">
                  <c:v>2.71</c:v>
                </c:pt>
                <c:pt idx="318">
                  <c:v>2.75</c:v>
                </c:pt>
                <c:pt idx="319">
                  <c:v>2.67</c:v>
                </c:pt>
                <c:pt idx="320">
                  <c:v>2.89</c:v>
                </c:pt>
                <c:pt idx="321">
                  <c:v>2.74</c:v>
                </c:pt>
                <c:pt idx="322">
                  <c:v>3.49</c:v>
                </c:pt>
                <c:pt idx="323">
                  <c:v>2.99</c:v>
                </c:pt>
                <c:pt idx="324">
                  <c:v>3.15</c:v>
                </c:pt>
                <c:pt idx="325">
                  <c:v>3.05</c:v>
                </c:pt>
                <c:pt idx="326">
                  <c:v>2.59</c:v>
                </c:pt>
                <c:pt idx="327">
                  <c:v>2.95</c:v>
                </c:pt>
                <c:pt idx="328">
                  <c:v>2.74</c:v>
                </c:pt>
                <c:pt idx="329">
                  <c:v>2.95</c:v>
                </c:pt>
                <c:pt idx="330">
                  <c:v>2.91</c:v>
                </c:pt>
                <c:pt idx="331">
                  <c:v>2.99</c:v>
                </c:pt>
                <c:pt idx="332">
                  <c:v>3.09</c:v>
                </c:pt>
                <c:pt idx="333">
                  <c:v>2.63</c:v>
                </c:pt>
                <c:pt idx="334">
                  <c:v>2.59</c:v>
                </c:pt>
                <c:pt idx="335">
                  <c:v>2.74</c:v>
                </c:pt>
                <c:pt idx="336">
                  <c:v>2.57</c:v>
                </c:pt>
                <c:pt idx="337">
                  <c:v>2.79</c:v>
                </c:pt>
                <c:pt idx="338">
                  <c:v>3.07</c:v>
                </c:pt>
                <c:pt idx="339">
                  <c:v>2.75</c:v>
                </c:pt>
                <c:pt idx="340">
                  <c:v>3.19</c:v>
                </c:pt>
                <c:pt idx="341">
                  <c:v>2.85</c:v>
                </c:pt>
                <c:pt idx="342">
                  <c:v>2.79</c:v>
                </c:pt>
                <c:pt idx="343">
                  <c:v>3.17</c:v>
                </c:pt>
                <c:pt idx="344">
                  <c:v>2.4900000000000002</c:v>
                </c:pt>
                <c:pt idx="345">
                  <c:v>2.99</c:v>
                </c:pt>
                <c:pt idx="346">
                  <c:v>2.79</c:v>
                </c:pt>
                <c:pt idx="347">
                  <c:v>2.99</c:v>
                </c:pt>
                <c:pt idx="348">
                  <c:v>2.83</c:v>
                </c:pt>
                <c:pt idx="349">
                  <c:v>3.29</c:v>
                </c:pt>
                <c:pt idx="350">
                  <c:v>2.69</c:v>
                </c:pt>
                <c:pt idx="351">
                  <c:v>2.83</c:v>
                </c:pt>
                <c:pt idx="352">
                  <c:v>2.95</c:v>
                </c:pt>
                <c:pt idx="353">
                  <c:v>3.09</c:v>
                </c:pt>
                <c:pt idx="354">
                  <c:v>2.67</c:v>
                </c:pt>
                <c:pt idx="355">
                  <c:v>3.29</c:v>
                </c:pt>
                <c:pt idx="356">
                  <c:v>3.15</c:v>
                </c:pt>
                <c:pt idx="357">
                  <c:v>2.73</c:v>
                </c:pt>
                <c:pt idx="358">
                  <c:v>2.75</c:v>
                </c:pt>
                <c:pt idx="359">
                  <c:v>2.99</c:v>
                </c:pt>
                <c:pt idx="360">
                  <c:v>3.47</c:v>
                </c:pt>
                <c:pt idx="361">
                  <c:v>2.79</c:v>
                </c:pt>
                <c:pt idx="362">
                  <c:v>2.59</c:v>
                </c:pt>
                <c:pt idx="363">
                  <c:v>2.99</c:v>
                </c:pt>
                <c:pt idx="364">
                  <c:v>3.49</c:v>
                </c:pt>
                <c:pt idx="365">
                  <c:v>2.87</c:v>
                </c:pt>
                <c:pt idx="366">
                  <c:v>2.99</c:v>
                </c:pt>
                <c:pt idx="367">
                  <c:v>3.03</c:v>
                </c:pt>
                <c:pt idx="368">
                  <c:v>2.89</c:v>
                </c:pt>
                <c:pt idx="369">
                  <c:v>2.75</c:v>
                </c:pt>
                <c:pt idx="370">
                  <c:v>2.79</c:v>
                </c:pt>
                <c:pt idx="371">
                  <c:v>3.01</c:v>
                </c:pt>
                <c:pt idx="372">
                  <c:v>3.43</c:v>
                </c:pt>
                <c:pt idx="373">
                  <c:v>3.34</c:v>
                </c:pt>
                <c:pt idx="374">
                  <c:v>2.69</c:v>
                </c:pt>
                <c:pt idx="375">
                  <c:v>3.09</c:v>
                </c:pt>
                <c:pt idx="376">
                  <c:v>2.82</c:v>
                </c:pt>
                <c:pt idx="377">
                  <c:v>2.95</c:v>
                </c:pt>
                <c:pt idx="378">
                  <c:v>2.59</c:v>
                </c:pt>
                <c:pt idx="379">
                  <c:v>2.56</c:v>
                </c:pt>
                <c:pt idx="380">
                  <c:v>2.64</c:v>
                </c:pt>
                <c:pt idx="381">
                  <c:v>2.7</c:v>
                </c:pt>
                <c:pt idx="382">
                  <c:v>2.69</c:v>
                </c:pt>
                <c:pt idx="383">
                  <c:v>2.61</c:v>
                </c:pt>
                <c:pt idx="384">
                  <c:v>2.79</c:v>
                </c:pt>
                <c:pt idx="385">
                  <c:v>2.5499999999999998</c:v>
                </c:pt>
                <c:pt idx="386">
                  <c:v>2.54</c:v>
                </c:pt>
                <c:pt idx="387">
                  <c:v>3.19</c:v>
                </c:pt>
                <c:pt idx="388">
                  <c:v>2.5099999999999998</c:v>
                </c:pt>
                <c:pt idx="389">
                  <c:v>2.7</c:v>
                </c:pt>
                <c:pt idx="390">
                  <c:v>2.5</c:v>
                </c:pt>
                <c:pt idx="391">
                  <c:v>2.84</c:v>
                </c:pt>
                <c:pt idx="392">
                  <c:v>2.36</c:v>
                </c:pt>
                <c:pt idx="393">
                  <c:v>2.89</c:v>
                </c:pt>
                <c:pt idx="394">
                  <c:v>2.87</c:v>
                </c:pt>
                <c:pt idx="395">
                  <c:v>3.69</c:v>
                </c:pt>
                <c:pt idx="396">
                  <c:v>2.95</c:v>
                </c:pt>
                <c:pt idx="397">
                  <c:v>2.4900000000000002</c:v>
                </c:pt>
                <c:pt idx="398">
                  <c:v>2.95</c:v>
                </c:pt>
                <c:pt idx="399">
                  <c:v>2.91</c:v>
                </c:pt>
                <c:pt idx="400">
                  <c:v>3.59</c:v>
                </c:pt>
                <c:pt idx="401">
                  <c:v>2.58</c:v>
                </c:pt>
                <c:pt idx="402">
                  <c:v>2.85</c:v>
                </c:pt>
                <c:pt idx="403">
                  <c:v>2.73</c:v>
                </c:pt>
                <c:pt idx="404">
                  <c:v>2.79</c:v>
                </c:pt>
                <c:pt idx="405">
                  <c:v>2.96</c:v>
                </c:pt>
                <c:pt idx="406">
                  <c:v>2.57</c:v>
                </c:pt>
                <c:pt idx="407">
                  <c:v>2.59</c:v>
                </c:pt>
                <c:pt idx="408">
                  <c:v>2.4900000000000002</c:v>
                </c:pt>
                <c:pt idx="409">
                  <c:v>2.79</c:v>
                </c:pt>
                <c:pt idx="410">
                  <c:v>2.8</c:v>
                </c:pt>
                <c:pt idx="411">
                  <c:v>2.67</c:v>
                </c:pt>
                <c:pt idx="412">
                  <c:v>3.19</c:v>
                </c:pt>
                <c:pt idx="413">
                  <c:v>2.88</c:v>
                </c:pt>
                <c:pt idx="414">
                  <c:v>2.79</c:v>
                </c:pt>
                <c:pt idx="415">
                  <c:v>3.15</c:v>
                </c:pt>
                <c:pt idx="416">
                  <c:v>2.84</c:v>
                </c:pt>
                <c:pt idx="417">
                  <c:v>2.4700000000000002</c:v>
                </c:pt>
                <c:pt idx="418">
                  <c:v>2.86</c:v>
                </c:pt>
                <c:pt idx="419">
                  <c:v>2.79</c:v>
                </c:pt>
                <c:pt idx="420">
                  <c:v>3.09</c:v>
                </c:pt>
                <c:pt idx="421">
                  <c:v>2.79</c:v>
                </c:pt>
                <c:pt idx="422">
                  <c:v>3.15</c:v>
                </c:pt>
                <c:pt idx="423">
                  <c:v>2.99</c:v>
                </c:pt>
                <c:pt idx="424">
                  <c:v>2.79</c:v>
                </c:pt>
                <c:pt idx="425">
                  <c:v>2.97</c:v>
                </c:pt>
                <c:pt idx="426">
                  <c:v>2.99</c:v>
                </c:pt>
                <c:pt idx="427">
                  <c:v>2.95</c:v>
                </c:pt>
                <c:pt idx="428">
                  <c:v>2.75</c:v>
                </c:pt>
                <c:pt idx="429">
                  <c:v>3.23</c:v>
                </c:pt>
                <c:pt idx="430">
                  <c:v>2.69</c:v>
                </c:pt>
                <c:pt idx="431">
                  <c:v>3.14</c:v>
                </c:pt>
                <c:pt idx="432">
                  <c:v>3.49</c:v>
                </c:pt>
                <c:pt idx="433">
                  <c:v>2.79</c:v>
                </c:pt>
                <c:pt idx="434">
                  <c:v>2.79</c:v>
                </c:pt>
                <c:pt idx="435">
                  <c:v>2.69</c:v>
                </c:pt>
                <c:pt idx="436">
                  <c:v>3.05</c:v>
                </c:pt>
                <c:pt idx="437">
                  <c:v>2.57</c:v>
                </c:pt>
                <c:pt idx="438">
                  <c:v>2.59</c:v>
                </c:pt>
              </c:numCache>
            </c:numRef>
          </c:xVal>
          <c:yVal>
            <c:numRef>
              <c:f>Sheet1!$B$2:$B$1048237</c:f>
              <c:numCache>
                <c:formatCode>General</c:formatCode>
                <c:ptCount val="1048236"/>
                <c:pt idx="0">
                  <c:v>2.7989999999999999</c:v>
                </c:pt>
                <c:pt idx="1">
                  <c:v>2.7189999999999999</c:v>
                </c:pt>
                <c:pt idx="2">
                  <c:v>2.7589999999999999</c:v>
                </c:pt>
                <c:pt idx="3">
                  <c:v>2.7789999999999999</c:v>
                </c:pt>
                <c:pt idx="4">
                  <c:v>2.7090000000000001</c:v>
                </c:pt>
                <c:pt idx="5">
                  <c:v>2.7989999999999999</c:v>
                </c:pt>
                <c:pt idx="6">
                  <c:v>2.9790000000000001</c:v>
                </c:pt>
                <c:pt idx="7">
                  <c:v>2.7989999999999999</c:v>
                </c:pt>
                <c:pt idx="8">
                  <c:v>2.819</c:v>
                </c:pt>
                <c:pt idx="9">
                  <c:v>3.1589999999999998</c:v>
                </c:pt>
                <c:pt idx="10">
                  <c:v>2.9489999999999998</c:v>
                </c:pt>
                <c:pt idx="11">
                  <c:v>2.5990000000000002</c:v>
                </c:pt>
                <c:pt idx="12">
                  <c:v>3.1989999999999998</c:v>
                </c:pt>
                <c:pt idx="13">
                  <c:v>3.4590000000000001</c:v>
                </c:pt>
                <c:pt idx="14">
                  <c:v>3.359</c:v>
                </c:pt>
                <c:pt idx="15">
                  <c:v>3.1190000000000002</c:v>
                </c:pt>
                <c:pt idx="16">
                  <c:v>2.649</c:v>
                </c:pt>
                <c:pt idx="17">
                  <c:v>2.4689999999999999</c:v>
                </c:pt>
                <c:pt idx="18">
                  <c:v>2.9390000000000001</c:v>
                </c:pt>
                <c:pt idx="19">
                  <c:v>2.7490000000000001</c:v>
                </c:pt>
                <c:pt idx="20">
                  <c:v>2.3490000000000002</c:v>
                </c:pt>
                <c:pt idx="21">
                  <c:v>2.9790000000000001</c:v>
                </c:pt>
                <c:pt idx="22">
                  <c:v>3.0590000000000002</c:v>
                </c:pt>
                <c:pt idx="23">
                  <c:v>2.9590000000000001</c:v>
                </c:pt>
                <c:pt idx="24">
                  <c:v>2.859</c:v>
                </c:pt>
                <c:pt idx="25">
                  <c:v>2.8889999999999998</c:v>
                </c:pt>
                <c:pt idx="26">
                  <c:v>3.419</c:v>
                </c:pt>
                <c:pt idx="27">
                  <c:v>2.5790000000000002</c:v>
                </c:pt>
                <c:pt idx="28">
                  <c:v>2.7589999999999999</c:v>
                </c:pt>
                <c:pt idx="29">
                  <c:v>2.5390000000000001</c:v>
                </c:pt>
                <c:pt idx="30">
                  <c:v>2.6989999999999998</c:v>
                </c:pt>
                <c:pt idx="31">
                  <c:v>2.7989999999999999</c:v>
                </c:pt>
                <c:pt idx="32">
                  <c:v>3.0990000000000002</c:v>
                </c:pt>
                <c:pt idx="33">
                  <c:v>2.9089999999999998</c:v>
                </c:pt>
                <c:pt idx="34">
                  <c:v>2.7989999999999999</c:v>
                </c:pt>
                <c:pt idx="35">
                  <c:v>2.8490000000000002</c:v>
                </c:pt>
                <c:pt idx="36">
                  <c:v>2.5489999999999999</c:v>
                </c:pt>
                <c:pt idx="37">
                  <c:v>2.9590000000000001</c:v>
                </c:pt>
                <c:pt idx="38">
                  <c:v>3.2989999999999999</c:v>
                </c:pt>
                <c:pt idx="39">
                  <c:v>2.6989999999999998</c:v>
                </c:pt>
                <c:pt idx="40">
                  <c:v>2.7989999999999999</c:v>
                </c:pt>
                <c:pt idx="41">
                  <c:v>2.859</c:v>
                </c:pt>
                <c:pt idx="42">
                  <c:v>2.8889999999999998</c:v>
                </c:pt>
                <c:pt idx="43">
                  <c:v>2.669</c:v>
                </c:pt>
                <c:pt idx="44">
                  <c:v>2.7789999999999999</c:v>
                </c:pt>
                <c:pt idx="45">
                  <c:v>2.7189999999999999</c:v>
                </c:pt>
                <c:pt idx="46">
                  <c:v>3.4790000000000001</c:v>
                </c:pt>
                <c:pt idx="47">
                  <c:v>2.9889999999999999</c:v>
                </c:pt>
                <c:pt idx="48">
                  <c:v>2.5990000000000002</c:v>
                </c:pt>
                <c:pt idx="49">
                  <c:v>2.629</c:v>
                </c:pt>
                <c:pt idx="50">
                  <c:v>2.669</c:v>
                </c:pt>
                <c:pt idx="51">
                  <c:v>3.0489999999999999</c:v>
                </c:pt>
                <c:pt idx="52">
                  <c:v>2.9990000000000001</c:v>
                </c:pt>
                <c:pt idx="53">
                  <c:v>3.0790000000000002</c:v>
                </c:pt>
                <c:pt idx="54">
                  <c:v>2.9489999999999998</c:v>
                </c:pt>
                <c:pt idx="55">
                  <c:v>2.7690000000000001</c:v>
                </c:pt>
                <c:pt idx="56">
                  <c:v>2.649</c:v>
                </c:pt>
                <c:pt idx="57">
                  <c:v>2.7589999999999999</c:v>
                </c:pt>
                <c:pt idx="58">
                  <c:v>2.8290000000000002</c:v>
                </c:pt>
                <c:pt idx="59">
                  <c:v>2.7389999999999999</c:v>
                </c:pt>
                <c:pt idx="60">
                  <c:v>2.7389999999999999</c:v>
                </c:pt>
                <c:pt idx="61">
                  <c:v>2.5990000000000002</c:v>
                </c:pt>
                <c:pt idx="62">
                  <c:v>2.5489999999999999</c:v>
                </c:pt>
                <c:pt idx="63">
                  <c:v>2.4489999999999998</c:v>
                </c:pt>
                <c:pt idx="64">
                  <c:v>2.4689999999999999</c:v>
                </c:pt>
                <c:pt idx="65">
                  <c:v>2.6190000000000002</c:v>
                </c:pt>
                <c:pt idx="66">
                  <c:v>2.589</c:v>
                </c:pt>
                <c:pt idx="67">
                  <c:v>2.9990000000000001</c:v>
                </c:pt>
                <c:pt idx="68">
                  <c:v>2.9990000000000001</c:v>
                </c:pt>
                <c:pt idx="69">
                  <c:v>2.7189999999999999</c:v>
                </c:pt>
                <c:pt idx="70">
                  <c:v>2.7989999999999999</c:v>
                </c:pt>
                <c:pt idx="71">
                  <c:v>2.859</c:v>
                </c:pt>
                <c:pt idx="72">
                  <c:v>2.859</c:v>
                </c:pt>
                <c:pt idx="73">
                  <c:v>2.899</c:v>
                </c:pt>
                <c:pt idx="74">
                  <c:v>2.859</c:v>
                </c:pt>
                <c:pt idx="75">
                  <c:v>3.0390000000000001</c:v>
                </c:pt>
                <c:pt idx="76">
                  <c:v>2.899</c:v>
                </c:pt>
                <c:pt idx="77">
                  <c:v>3.0990000000000002</c:v>
                </c:pt>
                <c:pt idx="78">
                  <c:v>2.859</c:v>
                </c:pt>
                <c:pt idx="79">
                  <c:v>2.7989999999999999</c:v>
                </c:pt>
                <c:pt idx="80">
                  <c:v>2.7389999999999999</c:v>
                </c:pt>
                <c:pt idx="81">
                  <c:v>2.379</c:v>
                </c:pt>
                <c:pt idx="82">
                  <c:v>2.9489999999999998</c:v>
                </c:pt>
                <c:pt idx="83">
                  <c:v>2.7389999999999999</c:v>
                </c:pt>
                <c:pt idx="84">
                  <c:v>3.1989999999999998</c:v>
                </c:pt>
                <c:pt idx="85">
                  <c:v>2.5990000000000002</c:v>
                </c:pt>
                <c:pt idx="86">
                  <c:v>2.6389999999999998</c:v>
                </c:pt>
                <c:pt idx="87">
                  <c:v>2.899</c:v>
                </c:pt>
                <c:pt idx="88">
                  <c:v>3.399</c:v>
                </c:pt>
                <c:pt idx="89">
                  <c:v>2.7989999999999999</c:v>
                </c:pt>
                <c:pt idx="90">
                  <c:v>2.9590000000000001</c:v>
                </c:pt>
                <c:pt idx="91">
                  <c:v>3.4790000000000001</c:v>
                </c:pt>
                <c:pt idx="92">
                  <c:v>3.6589999999999998</c:v>
                </c:pt>
                <c:pt idx="93">
                  <c:v>2.9990000000000001</c:v>
                </c:pt>
                <c:pt idx="94">
                  <c:v>2.8290000000000002</c:v>
                </c:pt>
                <c:pt idx="95">
                  <c:v>3.1589999999999998</c:v>
                </c:pt>
                <c:pt idx="96">
                  <c:v>2.6989999999999998</c:v>
                </c:pt>
                <c:pt idx="97">
                  <c:v>2.899</c:v>
                </c:pt>
                <c:pt idx="98">
                  <c:v>2.819</c:v>
                </c:pt>
                <c:pt idx="99">
                  <c:v>2.899</c:v>
                </c:pt>
                <c:pt idx="100">
                  <c:v>2.8490000000000002</c:v>
                </c:pt>
                <c:pt idx="101">
                  <c:v>2.8690000000000002</c:v>
                </c:pt>
                <c:pt idx="102">
                  <c:v>2.8490000000000002</c:v>
                </c:pt>
                <c:pt idx="103">
                  <c:v>2.859</c:v>
                </c:pt>
                <c:pt idx="104">
                  <c:v>2.899</c:v>
                </c:pt>
                <c:pt idx="105">
                  <c:v>2.859</c:v>
                </c:pt>
                <c:pt idx="106">
                  <c:v>2.879</c:v>
                </c:pt>
                <c:pt idx="107">
                  <c:v>2.6989999999999998</c:v>
                </c:pt>
                <c:pt idx="108">
                  <c:v>2.5990000000000002</c:v>
                </c:pt>
                <c:pt idx="109">
                  <c:v>2.5990000000000002</c:v>
                </c:pt>
                <c:pt idx="110">
                  <c:v>3.1589999999999998</c:v>
                </c:pt>
                <c:pt idx="111">
                  <c:v>2.6589999999999998</c:v>
                </c:pt>
                <c:pt idx="112">
                  <c:v>2.6190000000000002</c:v>
                </c:pt>
                <c:pt idx="113">
                  <c:v>2.7090000000000001</c:v>
                </c:pt>
                <c:pt idx="114">
                  <c:v>2.3490000000000002</c:v>
                </c:pt>
                <c:pt idx="115">
                  <c:v>2.9889999999999999</c:v>
                </c:pt>
                <c:pt idx="116">
                  <c:v>2.899</c:v>
                </c:pt>
                <c:pt idx="117">
                  <c:v>2.819</c:v>
                </c:pt>
                <c:pt idx="118">
                  <c:v>3.1789999999999998</c:v>
                </c:pt>
                <c:pt idx="119">
                  <c:v>2.5990000000000002</c:v>
                </c:pt>
                <c:pt idx="120">
                  <c:v>3.419</c:v>
                </c:pt>
                <c:pt idx="121">
                  <c:v>3.1589999999999998</c:v>
                </c:pt>
                <c:pt idx="122">
                  <c:v>2.7290000000000001</c:v>
                </c:pt>
                <c:pt idx="123">
                  <c:v>2.8690000000000002</c:v>
                </c:pt>
                <c:pt idx="124">
                  <c:v>2.6589999999999998</c:v>
                </c:pt>
                <c:pt idx="125">
                  <c:v>2.7290000000000001</c:v>
                </c:pt>
                <c:pt idx="126">
                  <c:v>3.0990000000000002</c:v>
                </c:pt>
                <c:pt idx="127">
                  <c:v>2.899</c:v>
                </c:pt>
                <c:pt idx="128">
                  <c:v>2.589</c:v>
                </c:pt>
                <c:pt idx="129">
                  <c:v>2.339</c:v>
                </c:pt>
                <c:pt idx="130">
                  <c:v>2.5390000000000001</c:v>
                </c:pt>
                <c:pt idx="131">
                  <c:v>3.169</c:v>
                </c:pt>
                <c:pt idx="132">
                  <c:v>3.1989999999999998</c:v>
                </c:pt>
                <c:pt idx="133">
                  <c:v>2.899</c:v>
                </c:pt>
                <c:pt idx="134">
                  <c:v>2.899</c:v>
                </c:pt>
                <c:pt idx="135">
                  <c:v>2.569</c:v>
                </c:pt>
                <c:pt idx="136">
                  <c:v>2.649</c:v>
                </c:pt>
                <c:pt idx="137">
                  <c:v>2.9289999999999998</c:v>
                </c:pt>
                <c:pt idx="138">
                  <c:v>3.4990000000000001</c:v>
                </c:pt>
                <c:pt idx="139">
                  <c:v>3.1989999999999998</c:v>
                </c:pt>
                <c:pt idx="140">
                  <c:v>2.6989999999999998</c:v>
                </c:pt>
                <c:pt idx="141">
                  <c:v>2.3889999999999998</c:v>
                </c:pt>
                <c:pt idx="142">
                  <c:v>3.2189999999999999</c:v>
                </c:pt>
                <c:pt idx="143">
                  <c:v>2.8290000000000002</c:v>
                </c:pt>
                <c:pt idx="144">
                  <c:v>2.9990000000000001</c:v>
                </c:pt>
                <c:pt idx="145">
                  <c:v>2.5489999999999999</c:v>
                </c:pt>
                <c:pt idx="146">
                  <c:v>2.7989999999999999</c:v>
                </c:pt>
                <c:pt idx="147">
                  <c:v>2.8090000000000002</c:v>
                </c:pt>
                <c:pt idx="148">
                  <c:v>3.7989999999999999</c:v>
                </c:pt>
                <c:pt idx="149">
                  <c:v>2.899</c:v>
                </c:pt>
                <c:pt idx="150">
                  <c:v>3.1190000000000002</c:v>
                </c:pt>
                <c:pt idx="151">
                  <c:v>2.7490000000000001</c:v>
                </c:pt>
                <c:pt idx="152">
                  <c:v>2.9289999999999998</c:v>
                </c:pt>
                <c:pt idx="153">
                  <c:v>3.2989999999999999</c:v>
                </c:pt>
                <c:pt idx="154">
                  <c:v>3.1989999999999998</c:v>
                </c:pt>
                <c:pt idx="155">
                  <c:v>2.9990000000000001</c:v>
                </c:pt>
                <c:pt idx="156">
                  <c:v>2.839</c:v>
                </c:pt>
                <c:pt idx="157">
                  <c:v>2.9590000000000001</c:v>
                </c:pt>
                <c:pt idx="158">
                  <c:v>2.6190000000000002</c:v>
                </c:pt>
                <c:pt idx="159">
                  <c:v>2.899</c:v>
                </c:pt>
                <c:pt idx="160">
                  <c:v>3.319</c:v>
                </c:pt>
                <c:pt idx="161">
                  <c:v>2.649</c:v>
                </c:pt>
                <c:pt idx="162">
                  <c:v>2.7490000000000001</c:v>
                </c:pt>
                <c:pt idx="163">
                  <c:v>2.609</c:v>
                </c:pt>
                <c:pt idx="164">
                  <c:v>2.899</c:v>
                </c:pt>
                <c:pt idx="165">
                  <c:v>2.6789999999999998</c:v>
                </c:pt>
                <c:pt idx="166">
                  <c:v>2.4990000000000001</c:v>
                </c:pt>
                <c:pt idx="167">
                  <c:v>2.9990000000000001</c:v>
                </c:pt>
                <c:pt idx="168">
                  <c:v>2.879</c:v>
                </c:pt>
                <c:pt idx="169">
                  <c:v>2.6789999999999998</c:v>
                </c:pt>
                <c:pt idx="170">
                  <c:v>3.0990000000000002</c:v>
                </c:pt>
                <c:pt idx="171">
                  <c:v>3.1989999999999998</c:v>
                </c:pt>
                <c:pt idx="172">
                  <c:v>3.0390000000000001</c:v>
                </c:pt>
                <c:pt idx="173">
                  <c:v>2.899</c:v>
                </c:pt>
                <c:pt idx="174">
                  <c:v>3.0590000000000002</c:v>
                </c:pt>
                <c:pt idx="175">
                  <c:v>2.9990000000000001</c:v>
                </c:pt>
                <c:pt idx="176">
                  <c:v>3.0990000000000002</c:v>
                </c:pt>
                <c:pt idx="177">
                  <c:v>3.0790000000000002</c:v>
                </c:pt>
                <c:pt idx="178">
                  <c:v>2.839</c:v>
                </c:pt>
                <c:pt idx="179">
                  <c:v>2.7989999999999999</c:v>
                </c:pt>
                <c:pt idx="180">
                  <c:v>2.8490000000000002</c:v>
                </c:pt>
                <c:pt idx="181">
                  <c:v>2.8690000000000002</c:v>
                </c:pt>
                <c:pt idx="182">
                  <c:v>2.7989999999999999</c:v>
                </c:pt>
                <c:pt idx="183">
                  <c:v>2.8690000000000002</c:v>
                </c:pt>
                <c:pt idx="184">
                  <c:v>2.7989999999999999</c:v>
                </c:pt>
                <c:pt idx="185">
                  <c:v>2.899</c:v>
                </c:pt>
                <c:pt idx="186">
                  <c:v>2.899</c:v>
                </c:pt>
                <c:pt idx="187">
                  <c:v>2.7989999999999999</c:v>
                </c:pt>
                <c:pt idx="188">
                  <c:v>2.839</c:v>
                </c:pt>
                <c:pt idx="189">
                  <c:v>2.899</c:v>
                </c:pt>
                <c:pt idx="190">
                  <c:v>2.899</c:v>
                </c:pt>
                <c:pt idx="191">
                  <c:v>2.6989999999999998</c:v>
                </c:pt>
                <c:pt idx="192">
                  <c:v>3.359</c:v>
                </c:pt>
                <c:pt idx="193">
                  <c:v>2.9790000000000001</c:v>
                </c:pt>
                <c:pt idx="194">
                  <c:v>2.879</c:v>
                </c:pt>
                <c:pt idx="195">
                  <c:v>2.6989999999999998</c:v>
                </c:pt>
                <c:pt idx="196">
                  <c:v>2.879</c:v>
                </c:pt>
                <c:pt idx="197">
                  <c:v>2.649</c:v>
                </c:pt>
                <c:pt idx="198">
                  <c:v>2.3889999999999998</c:v>
                </c:pt>
                <c:pt idx="199">
                  <c:v>2.5489999999999999</c:v>
                </c:pt>
                <c:pt idx="200">
                  <c:v>2.419</c:v>
                </c:pt>
                <c:pt idx="201">
                  <c:v>2.5590000000000002</c:v>
                </c:pt>
                <c:pt idx="202">
                  <c:v>2.5990000000000002</c:v>
                </c:pt>
                <c:pt idx="203">
                  <c:v>2.4590000000000001</c:v>
                </c:pt>
                <c:pt idx="204">
                  <c:v>2.4590000000000001</c:v>
                </c:pt>
                <c:pt idx="205">
                  <c:v>2.4990000000000001</c:v>
                </c:pt>
                <c:pt idx="206">
                  <c:v>2.879</c:v>
                </c:pt>
                <c:pt idx="207">
                  <c:v>3.6989999999999998</c:v>
                </c:pt>
                <c:pt idx="208">
                  <c:v>2.7789999999999999</c:v>
                </c:pt>
                <c:pt idx="209">
                  <c:v>2.629</c:v>
                </c:pt>
                <c:pt idx="210">
                  <c:v>2.9390000000000001</c:v>
                </c:pt>
                <c:pt idx="211">
                  <c:v>2.6890000000000001</c:v>
                </c:pt>
                <c:pt idx="212">
                  <c:v>2.839</c:v>
                </c:pt>
                <c:pt idx="213">
                  <c:v>2.7789999999999999</c:v>
                </c:pt>
                <c:pt idx="214">
                  <c:v>2.899</c:v>
                </c:pt>
                <c:pt idx="215">
                  <c:v>2.7789999999999999</c:v>
                </c:pt>
                <c:pt idx="216">
                  <c:v>2.7389999999999999</c:v>
                </c:pt>
                <c:pt idx="217">
                  <c:v>2.7789999999999999</c:v>
                </c:pt>
                <c:pt idx="218">
                  <c:v>2.839</c:v>
                </c:pt>
                <c:pt idx="219">
                  <c:v>3.0289999999999999</c:v>
                </c:pt>
                <c:pt idx="220">
                  <c:v>2.4590000000000001</c:v>
                </c:pt>
                <c:pt idx="221">
                  <c:v>2.7389999999999999</c:v>
                </c:pt>
                <c:pt idx="222">
                  <c:v>2.5790000000000002</c:v>
                </c:pt>
                <c:pt idx="223">
                  <c:v>2.6389999999999998</c:v>
                </c:pt>
                <c:pt idx="224">
                  <c:v>2.6989999999999998</c:v>
                </c:pt>
                <c:pt idx="225">
                  <c:v>2.6789999999999998</c:v>
                </c:pt>
                <c:pt idx="226">
                  <c:v>2.6589999999999998</c:v>
                </c:pt>
                <c:pt idx="227">
                  <c:v>2.5990000000000002</c:v>
                </c:pt>
                <c:pt idx="228">
                  <c:v>2.5990000000000002</c:v>
                </c:pt>
                <c:pt idx="229">
                  <c:v>2.6389999999999998</c:v>
                </c:pt>
                <c:pt idx="230">
                  <c:v>2.6589999999999998</c:v>
                </c:pt>
                <c:pt idx="231">
                  <c:v>2.7589999999999999</c:v>
                </c:pt>
                <c:pt idx="232">
                  <c:v>2.5990000000000002</c:v>
                </c:pt>
                <c:pt idx="233">
                  <c:v>2.6890000000000001</c:v>
                </c:pt>
                <c:pt idx="234">
                  <c:v>2.6789999999999998</c:v>
                </c:pt>
                <c:pt idx="235">
                  <c:v>2.5990000000000002</c:v>
                </c:pt>
                <c:pt idx="236">
                  <c:v>2.5990000000000002</c:v>
                </c:pt>
                <c:pt idx="237">
                  <c:v>3.0489999999999999</c:v>
                </c:pt>
                <c:pt idx="238">
                  <c:v>3.2989999999999999</c:v>
                </c:pt>
                <c:pt idx="239">
                  <c:v>2.9790000000000001</c:v>
                </c:pt>
                <c:pt idx="240">
                  <c:v>3.0790000000000002</c:v>
                </c:pt>
                <c:pt idx="241">
                  <c:v>2.6989999999999998</c:v>
                </c:pt>
                <c:pt idx="242">
                  <c:v>2.7989999999999999</c:v>
                </c:pt>
                <c:pt idx="243">
                  <c:v>2.9390000000000001</c:v>
                </c:pt>
                <c:pt idx="244">
                  <c:v>2.589</c:v>
                </c:pt>
                <c:pt idx="245">
                  <c:v>2.649</c:v>
                </c:pt>
                <c:pt idx="246">
                  <c:v>3.0390000000000001</c:v>
                </c:pt>
                <c:pt idx="247">
                  <c:v>2.6190000000000002</c:v>
                </c:pt>
                <c:pt idx="248">
                  <c:v>2.589</c:v>
                </c:pt>
                <c:pt idx="249">
                  <c:v>2.7989999999999999</c:v>
                </c:pt>
                <c:pt idx="250">
                  <c:v>2.899</c:v>
                </c:pt>
                <c:pt idx="251">
                  <c:v>2.3690000000000002</c:v>
                </c:pt>
                <c:pt idx="252">
                  <c:v>3.2589999999999999</c:v>
                </c:pt>
                <c:pt idx="253">
                  <c:v>2.7989999999999999</c:v>
                </c:pt>
                <c:pt idx="254">
                  <c:v>3.2189999999999999</c:v>
                </c:pt>
                <c:pt idx="255">
                  <c:v>3.0990000000000002</c:v>
                </c:pt>
                <c:pt idx="256">
                  <c:v>3.0990000000000002</c:v>
                </c:pt>
                <c:pt idx="257">
                  <c:v>3.2989999999999999</c:v>
                </c:pt>
                <c:pt idx="258">
                  <c:v>3.339</c:v>
                </c:pt>
                <c:pt idx="259">
                  <c:v>2.4489999999999998</c:v>
                </c:pt>
                <c:pt idx="260">
                  <c:v>2.7189999999999999</c:v>
                </c:pt>
                <c:pt idx="261">
                  <c:v>2.4889999999999999</c:v>
                </c:pt>
                <c:pt idx="262">
                  <c:v>2.819</c:v>
                </c:pt>
                <c:pt idx="263">
                  <c:v>3.359</c:v>
                </c:pt>
                <c:pt idx="264">
                  <c:v>3.7989999999999999</c:v>
                </c:pt>
                <c:pt idx="265">
                  <c:v>2.359</c:v>
                </c:pt>
                <c:pt idx="266">
                  <c:v>2.7789999999999999</c:v>
                </c:pt>
                <c:pt idx="267">
                  <c:v>2.9790000000000001</c:v>
                </c:pt>
                <c:pt idx="268">
                  <c:v>3.1989999999999998</c:v>
                </c:pt>
                <c:pt idx="269">
                  <c:v>2.9990000000000001</c:v>
                </c:pt>
                <c:pt idx="270">
                  <c:v>2.8889999999999998</c:v>
                </c:pt>
                <c:pt idx="271">
                  <c:v>3.0390000000000001</c:v>
                </c:pt>
                <c:pt idx="272">
                  <c:v>2.9790000000000001</c:v>
                </c:pt>
                <c:pt idx="273">
                  <c:v>2.9689999999999999</c:v>
                </c:pt>
                <c:pt idx="274">
                  <c:v>3.0990000000000002</c:v>
                </c:pt>
                <c:pt idx="275">
                  <c:v>3.129</c:v>
                </c:pt>
                <c:pt idx="276">
                  <c:v>3.0790000000000002</c:v>
                </c:pt>
                <c:pt idx="277">
                  <c:v>2.8490000000000002</c:v>
                </c:pt>
                <c:pt idx="278">
                  <c:v>2.7989999999999999</c:v>
                </c:pt>
                <c:pt idx="279">
                  <c:v>2.899</c:v>
                </c:pt>
                <c:pt idx="280">
                  <c:v>2.859</c:v>
                </c:pt>
                <c:pt idx="281">
                  <c:v>2.8290000000000002</c:v>
                </c:pt>
                <c:pt idx="282">
                  <c:v>2.7989999999999999</c:v>
                </c:pt>
                <c:pt idx="283">
                  <c:v>2.6789999999999998</c:v>
                </c:pt>
                <c:pt idx="284">
                  <c:v>2.7989999999999999</c:v>
                </c:pt>
                <c:pt idx="285">
                  <c:v>2.879</c:v>
                </c:pt>
                <c:pt idx="286">
                  <c:v>2.919</c:v>
                </c:pt>
                <c:pt idx="287">
                  <c:v>2.4489999999999998</c:v>
                </c:pt>
                <c:pt idx="288">
                  <c:v>2.5390000000000001</c:v>
                </c:pt>
                <c:pt idx="289">
                  <c:v>2.5190000000000001</c:v>
                </c:pt>
                <c:pt idx="290">
                  <c:v>2.7189999999999999</c:v>
                </c:pt>
                <c:pt idx="291">
                  <c:v>2.669</c:v>
                </c:pt>
                <c:pt idx="292">
                  <c:v>2.7989999999999999</c:v>
                </c:pt>
                <c:pt idx="293">
                  <c:v>2.8490000000000002</c:v>
                </c:pt>
                <c:pt idx="294">
                  <c:v>3.2989999999999999</c:v>
                </c:pt>
                <c:pt idx="295">
                  <c:v>2.3290000000000002</c:v>
                </c:pt>
                <c:pt idx="296">
                  <c:v>2.9289999999999998</c:v>
                </c:pt>
                <c:pt idx="297">
                  <c:v>2.8490000000000002</c:v>
                </c:pt>
                <c:pt idx="298">
                  <c:v>2.5990000000000002</c:v>
                </c:pt>
                <c:pt idx="299">
                  <c:v>2.5990000000000002</c:v>
                </c:pt>
                <c:pt idx="300">
                  <c:v>2.7989999999999999</c:v>
                </c:pt>
                <c:pt idx="301">
                  <c:v>2.9390000000000001</c:v>
                </c:pt>
                <c:pt idx="302">
                  <c:v>2.859</c:v>
                </c:pt>
                <c:pt idx="303">
                  <c:v>2.7989999999999999</c:v>
                </c:pt>
                <c:pt idx="304">
                  <c:v>2.859</c:v>
                </c:pt>
                <c:pt idx="305">
                  <c:v>2.4590000000000001</c:v>
                </c:pt>
                <c:pt idx="306">
                  <c:v>2.4689999999999999</c:v>
                </c:pt>
                <c:pt idx="307">
                  <c:v>2.6589999999999998</c:v>
                </c:pt>
                <c:pt idx="308">
                  <c:v>4.0990000000000002</c:v>
                </c:pt>
                <c:pt idx="309">
                  <c:v>2.9390000000000001</c:v>
                </c:pt>
                <c:pt idx="310">
                  <c:v>2.4990000000000001</c:v>
                </c:pt>
                <c:pt idx="311">
                  <c:v>3.399</c:v>
                </c:pt>
                <c:pt idx="312">
                  <c:v>2.5990000000000002</c:v>
                </c:pt>
                <c:pt idx="313">
                  <c:v>2.9990000000000001</c:v>
                </c:pt>
                <c:pt idx="314">
                  <c:v>3.0590000000000002</c:v>
                </c:pt>
                <c:pt idx="315">
                  <c:v>2.7589999999999999</c:v>
                </c:pt>
                <c:pt idx="316">
                  <c:v>2.589</c:v>
                </c:pt>
                <c:pt idx="317">
                  <c:v>2.7189999999999999</c:v>
                </c:pt>
                <c:pt idx="318">
                  <c:v>2.7589999999999999</c:v>
                </c:pt>
                <c:pt idx="319">
                  <c:v>2.6789999999999998</c:v>
                </c:pt>
                <c:pt idx="320">
                  <c:v>2.899</c:v>
                </c:pt>
                <c:pt idx="321">
                  <c:v>2.7490000000000001</c:v>
                </c:pt>
                <c:pt idx="322">
                  <c:v>3.4990000000000001</c:v>
                </c:pt>
                <c:pt idx="323">
                  <c:v>2.9990000000000001</c:v>
                </c:pt>
                <c:pt idx="324">
                  <c:v>3.1589999999999998</c:v>
                </c:pt>
                <c:pt idx="325">
                  <c:v>3.0089999999999999</c:v>
                </c:pt>
                <c:pt idx="326">
                  <c:v>2.5990000000000002</c:v>
                </c:pt>
                <c:pt idx="327">
                  <c:v>2.9590000000000001</c:v>
                </c:pt>
                <c:pt idx="328">
                  <c:v>2.7490000000000001</c:v>
                </c:pt>
                <c:pt idx="329">
                  <c:v>2.9590000000000001</c:v>
                </c:pt>
                <c:pt idx="330">
                  <c:v>2.919</c:v>
                </c:pt>
                <c:pt idx="331">
                  <c:v>2.9990000000000001</c:v>
                </c:pt>
                <c:pt idx="332">
                  <c:v>3.0990000000000002</c:v>
                </c:pt>
                <c:pt idx="333">
                  <c:v>2.6389999999999998</c:v>
                </c:pt>
                <c:pt idx="334">
                  <c:v>2.5990000000000002</c:v>
                </c:pt>
                <c:pt idx="335">
                  <c:v>2.7490000000000001</c:v>
                </c:pt>
                <c:pt idx="336">
                  <c:v>2.6789999999999998</c:v>
                </c:pt>
                <c:pt idx="337">
                  <c:v>2.879</c:v>
                </c:pt>
                <c:pt idx="338">
                  <c:v>3.1789999999999998</c:v>
                </c:pt>
                <c:pt idx="339">
                  <c:v>2.7589999999999999</c:v>
                </c:pt>
                <c:pt idx="340">
                  <c:v>3.1989999999999998</c:v>
                </c:pt>
                <c:pt idx="341">
                  <c:v>2.899</c:v>
                </c:pt>
                <c:pt idx="342">
                  <c:v>2.899</c:v>
                </c:pt>
                <c:pt idx="343">
                  <c:v>3.2389999999999999</c:v>
                </c:pt>
                <c:pt idx="344">
                  <c:v>2.4990000000000001</c:v>
                </c:pt>
                <c:pt idx="345">
                  <c:v>2.9990000000000001</c:v>
                </c:pt>
                <c:pt idx="346">
                  <c:v>2.7989999999999999</c:v>
                </c:pt>
                <c:pt idx="347">
                  <c:v>3.0990000000000002</c:v>
                </c:pt>
                <c:pt idx="348">
                  <c:v>2.7989999999999999</c:v>
                </c:pt>
                <c:pt idx="349">
                  <c:v>3.2989999999999999</c:v>
                </c:pt>
                <c:pt idx="350">
                  <c:v>2.6989999999999998</c:v>
                </c:pt>
                <c:pt idx="351">
                  <c:v>2.899</c:v>
                </c:pt>
                <c:pt idx="352">
                  <c:v>2.9990000000000001</c:v>
                </c:pt>
                <c:pt idx="353">
                  <c:v>3.0990000000000002</c:v>
                </c:pt>
                <c:pt idx="354">
                  <c:v>2.6789999999999998</c:v>
                </c:pt>
                <c:pt idx="355">
                  <c:v>3.2989999999999999</c:v>
                </c:pt>
                <c:pt idx="356">
                  <c:v>3.1589999999999998</c:v>
                </c:pt>
                <c:pt idx="357">
                  <c:v>2.7389999999999999</c:v>
                </c:pt>
                <c:pt idx="358">
                  <c:v>2.7589999999999999</c:v>
                </c:pt>
                <c:pt idx="359">
                  <c:v>2.9990000000000001</c:v>
                </c:pt>
                <c:pt idx="360">
                  <c:v>3.399</c:v>
                </c:pt>
                <c:pt idx="361">
                  <c:v>2.899</c:v>
                </c:pt>
                <c:pt idx="362">
                  <c:v>2.5990000000000002</c:v>
                </c:pt>
                <c:pt idx="363">
                  <c:v>2.9990000000000001</c:v>
                </c:pt>
                <c:pt idx="364">
                  <c:v>3.4990000000000001</c:v>
                </c:pt>
                <c:pt idx="365">
                  <c:v>2.879</c:v>
                </c:pt>
                <c:pt idx="366">
                  <c:v>2.9990000000000001</c:v>
                </c:pt>
                <c:pt idx="367">
                  <c:v>3.0390000000000001</c:v>
                </c:pt>
                <c:pt idx="368">
                  <c:v>2.899</c:v>
                </c:pt>
                <c:pt idx="369">
                  <c:v>2.7589999999999999</c:v>
                </c:pt>
                <c:pt idx="370">
                  <c:v>2.7989999999999999</c:v>
                </c:pt>
                <c:pt idx="371">
                  <c:v>3.0190000000000001</c:v>
                </c:pt>
                <c:pt idx="372">
                  <c:v>3.4390000000000001</c:v>
                </c:pt>
                <c:pt idx="373">
                  <c:v>3.3490000000000002</c:v>
                </c:pt>
                <c:pt idx="374">
                  <c:v>2.6989999999999998</c:v>
                </c:pt>
                <c:pt idx="375">
                  <c:v>3.1989999999999998</c:v>
                </c:pt>
                <c:pt idx="376">
                  <c:v>2.9289999999999998</c:v>
                </c:pt>
                <c:pt idx="377">
                  <c:v>3.1389999999999998</c:v>
                </c:pt>
                <c:pt idx="378">
                  <c:v>2.5990000000000002</c:v>
                </c:pt>
                <c:pt idx="379">
                  <c:v>2.569</c:v>
                </c:pt>
                <c:pt idx="380">
                  <c:v>2.649</c:v>
                </c:pt>
                <c:pt idx="381">
                  <c:v>2.6389999999999998</c:v>
                </c:pt>
                <c:pt idx="382">
                  <c:v>2.6989999999999998</c:v>
                </c:pt>
                <c:pt idx="383">
                  <c:v>2.569</c:v>
                </c:pt>
                <c:pt idx="384">
                  <c:v>2.839</c:v>
                </c:pt>
                <c:pt idx="385">
                  <c:v>2.5590000000000002</c:v>
                </c:pt>
                <c:pt idx="386">
                  <c:v>2.5489999999999999</c:v>
                </c:pt>
                <c:pt idx="387">
                  <c:v>3.2989999999999999</c:v>
                </c:pt>
                <c:pt idx="388">
                  <c:v>2.5190000000000001</c:v>
                </c:pt>
                <c:pt idx="389">
                  <c:v>2.7090000000000001</c:v>
                </c:pt>
                <c:pt idx="390">
                  <c:v>2.5089999999999999</c:v>
                </c:pt>
                <c:pt idx="391">
                  <c:v>2.8490000000000002</c:v>
                </c:pt>
                <c:pt idx="392">
                  <c:v>2.3690000000000002</c:v>
                </c:pt>
                <c:pt idx="393">
                  <c:v>2.9590000000000001</c:v>
                </c:pt>
                <c:pt idx="394">
                  <c:v>2.879</c:v>
                </c:pt>
                <c:pt idx="395">
                  <c:v>3.7989999999999999</c:v>
                </c:pt>
                <c:pt idx="396">
                  <c:v>2.9590000000000001</c:v>
                </c:pt>
                <c:pt idx="397">
                  <c:v>2.4990000000000001</c:v>
                </c:pt>
                <c:pt idx="398">
                  <c:v>2.9590000000000001</c:v>
                </c:pt>
                <c:pt idx="399">
                  <c:v>2.919</c:v>
                </c:pt>
                <c:pt idx="400">
                  <c:v>3.5990000000000002</c:v>
                </c:pt>
                <c:pt idx="401">
                  <c:v>2.5790000000000002</c:v>
                </c:pt>
                <c:pt idx="402">
                  <c:v>2.6989999999999998</c:v>
                </c:pt>
                <c:pt idx="403">
                  <c:v>2.6989999999999998</c:v>
                </c:pt>
                <c:pt idx="404">
                  <c:v>2.7989999999999999</c:v>
                </c:pt>
                <c:pt idx="405">
                  <c:v>2.9689999999999999</c:v>
                </c:pt>
                <c:pt idx="406">
                  <c:v>2.5790000000000002</c:v>
                </c:pt>
                <c:pt idx="407">
                  <c:v>2.5990000000000002</c:v>
                </c:pt>
                <c:pt idx="408">
                  <c:v>2.4990000000000001</c:v>
                </c:pt>
                <c:pt idx="409">
                  <c:v>2.7989999999999999</c:v>
                </c:pt>
                <c:pt idx="410">
                  <c:v>2.7989999999999999</c:v>
                </c:pt>
                <c:pt idx="411">
                  <c:v>2.6789999999999998</c:v>
                </c:pt>
                <c:pt idx="412">
                  <c:v>3.1989999999999998</c:v>
                </c:pt>
                <c:pt idx="413">
                  <c:v>2.8889999999999998</c:v>
                </c:pt>
                <c:pt idx="414">
                  <c:v>2.7989999999999999</c:v>
                </c:pt>
                <c:pt idx="415">
                  <c:v>3.1589999999999998</c:v>
                </c:pt>
                <c:pt idx="416">
                  <c:v>2.8490000000000002</c:v>
                </c:pt>
                <c:pt idx="417">
                  <c:v>2.4790000000000001</c:v>
                </c:pt>
                <c:pt idx="418">
                  <c:v>2.8690000000000002</c:v>
                </c:pt>
                <c:pt idx="419">
                  <c:v>2.7989999999999999</c:v>
                </c:pt>
                <c:pt idx="420">
                  <c:v>3.0990000000000002</c:v>
                </c:pt>
                <c:pt idx="421">
                  <c:v>2.7989999999999999</c:v>
                </c:pt>
                <c:pt idx="422">
                  <c:v>3.1589999999999998</c:v>
                </c:pt>
                <c:pt idx="423">
                  <c:v>2.9990000000000001</c:v>
                </c:pt>
                <c:pt idx="424">
                  <c:v>2.7989999999999999</c:v>
                </c:pt>
                <c:pt idx="425">
                  <c:v>2.9790000000000001</c:v>
                </c:pt>
                <c:pt idx="426">
                  <c:v>2.859</c:v>
                </c:pt>
                <c:pt idx="427">
                  <c:v>2.9990000000000001</c:v>
                </c:pt>
                <c:pt idx="428">
                  <c:v>2.7589999999999999</c:v>
                </c:pt>
                <c:pt idx="429">
                  <c:v>3.2690000000000001</c:v>
                </c:pt>
                <c:pt idx="430">
                  <c:v>2.5990000000000002</c:v>
                </c:pt>
                <c:pt idx="431">
                  <c:v>3.149</c:v>
                </c:pt>
                <c:pt idx="432">
                  <c:v>3.4990000000000001</c:v>
                </c:pt>
                <c:pt idx="433">
                  <c:v>2.7989999999999999</c:v>
                </c:pt>
                <c:pt idx="434">
                  <c:v>2.7989999999999999</c:v>
                </c:pt>
                <c:pt idx="435">
                  <c:v>2.6989999999999998</c:v>
                </c:pt>
                <c:pt idx="436">
                  <c:v>3.1589999999999998</c:v>
                </c:pt>
                <c:pt idx="437">
                  <c:v>2.5790000000000002</c:v>
                </c:pt>
                <c:pt idx="438">
                  <c:v>2.6589999999999998</c:v>
                </c:pt>
              </c:numCache>
            </c:numRef>
          </c:yVal>
          <c:smooth val="0"/>
        </c:ser>
        <c:dLbls>
          <c:showLegendKey val="0"/>
          <c:showVal val="0"/>
          <c:showCatName val="0"/>
          <c:showSerName val="0"/>
          <c:showPercent val="0"/>
          <c:showBubbleSize val="0"/>
        </c:dLbls>
        <c:axId val="69250048"/>
        <c:axId val="69252224"/>
      </c:scatterChart>
      <c:valAx>
        <c:axId val="69250048"/>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GasBuddy</a:t>
                </a:r>
                <a:r>
                  <a:rPr lang="en-US" baseline="0"/>
                  <a:t> ($)</a:t>
                </a:r>
                <a:endParaRPr lang="en-US"/>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52224"/>
        <c:crosses val="autoZero"/>
        <c:crossBetween val="midCat"/>
      </c:valAx>
      <c:valAx>
        <c:axId val="69252224"/>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OPIS</a:t>
                </a:r>
                <a:r>
                  <a:rPr lang="en-US" baseline="0"/>
                  <a:t> ($)</a:t>
                </a:r>
                <a:endParaRPr lang="en-US"/>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50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NYC_2!$A$9</c:f>
              <c:strCache>
                <c:ptCount val="1"/>
                <c:pt idx="0">
                  <c:v>OPIS (Census)</c:v>
                </c:pt>
              </c:strCache>
            </c:strRef>
          </c:tx>
          <c:spPr>
            <a:ln>
              <a:solidFill>
                <a:schemeClr val="accent1"/>
              </a:solidFill>
            </a:ln>
          </c:spPr>
          <c:marker>
            <c:symbol val="none"/>
          </c:marker>
          <c:cat>
            <c:numRef>
              <c:f>NYC_2!$B$8:$M$8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NYC_2!$B$9:$M$9</c:f>
              <c:numCache>
                <c:formatCode>0.000</c:formatCode>
                <c:ptCount val="12"/>
                <c:pt idx="0">
                  <c:v>2.7721846435100543</c:v>
                </c:pt>
                <c:pt idx="1">
                  <c:v>2.7706274729376661</c:v>
                </c:pt>
                <c:pt idx="2">
                  <c:v>2.779607068607076</c:v>
                </c:pt>
                <c:pt idx="3">
                  <c:v>2.7855678842177896</c:v>
                </c:pt>
                <c:pt idx="4">
                  <c:v>2.7632545871559642</c:v>
                </c:pt>
                <c:pt idx="5">
                  <c:v>2.7571163708086903</c:v>
                </c:pt>
                <c:pt idx="6">
                  <c:v>2.7415221674876826</c:v>
                </c:pt>
                <c:pt idx="7">
                  <c:v>2.7290722495894797</c:v>
                </c:pt>
                <c:pt idx="8">
                  <c:v>2.7284367333763648</c:v>
                </c:pt>
                <c:pt idx="9">
                  <c:v>2.7187823999999963</c:v>
                </c:pt>
                <c:pt idx="10">
                  <c:v>2.7343889071217653</c:v>
                </c:pt>
                <c:pt idx="11">
                  <c:v>2.7540064432989699</c:v>
                </c:pt>
              </c:numCache>
            </c:numRef>
          </c:val>
          <c:smooth val="0"/>
        </c:ser>
        <c:ser>
          <c:idx val="1"/>
          <c:order val="1"/>
          <c:tx>
            <c:strRef>
              <c:f>NYC_2!$A$10</c:f>
              <c:strCache>
                <c:ptCount val="1"/>
                <c:pt idx="0">
                  <c:v>EIA (Matched Sample)</c:v>
                </c:pt>
              </c:strCache>
            </c:strRef>
          </c:tx>
          <c:spPr>
            <a:ln>
              <a:solidFill>
                <a:schemeClr val="accent2"/>
              </a:solidFill>
            </a:ln>
          </c:spPr>
          <c:marker>
            <c:symbol val="none"/>
          </c:marker>
          <c:cat>
            <c:numRef>
              <c:f>NYC_2!$B$8:$M$8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NYC_2!$B$10:$M$10</c:f>
              <c:numCache>
                <c:formatCode>0.000</c:formatCode>
                <c:ptCount val="12"/>
                <c:pt idx="0">
                  <c:v>2.7434333333333338</c:v>
                </c:pt>
                <c:pt idx="1">
                  <c:v>2.7388000000000003</c:v>
                </c:pt>
                <c:pt idx="2">
                  <c:v>2.7495000000000003</c:v>
                </c:pt>
                <c:pt idx="3">
                  <c:v>2.748766666666667</c:v>
                </c:pt>
                <c:pt idx="4">
                  <c:v>2.7447999999999997</c:v>
                </c:pt>
                <c:pt idx="5">
                  <c:v>2.7288000000000001</c:v>
                </c:pt>
                <c:pt idx="6">
                  <c:v>2.7069333333333336</c:v>
                </c:pt>
                <c:pt idx="7">
                  <c:v>2.6969333333333334</c:v>
                </c:pt>
                <c:pt idx="8">
                  <c:v>2.696766666666667</c:v>
                </c:pt>
                <c:pt idx="9">
                  <c:v>2.6941333333333337</c:v>
                </c:pt>
                <c:pt idx="10">
                  <c:v>2.7092000000000005</c:v>
                </c:pt>
                <c:pt idx="11">
                  <c:v>2.721965517241379</c:v>
                </c:pt>
              </c:numCache>
            </c:numRef>
          </c:val>
          <c:smooth val="0"/>
        </c:ser>
        <c:ser>
          <c:idx val="2"/>
          <c:order val="2"/>
          <c:tx>
            <c:strRef>
              <c:f>NYC_2!$A$11</c:f>
              <c:strCache>
                <c:ptCount val="1"/>
                <c:pt idx="0">
                  <c:v>OPIS (Matched Sample)</c:v>
                </c:pt>
              </c:strCache>
            </c:strRef>
          </c:tx>
          <c:spPr>
            <a:ln>
              <a:solidFill>
                <a:schemeClr val="accent3"/>
              </a:solidFill>
            </a:ln>
          </c:spPr>
          <c:marker>
            <c:symbol val="none"/>
          </c:marker>
          <c:cat>
            <c:numRef>
              <c:f>NYC_2!$B$8:$M$8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NYC_2!$B$11:$M$11</c:f>
              <c:numCache>
                <c:formatCode>0.000</c:formatCode>
                <c:ptCount val="12"/>
                <c:pt idx="0">
                  <c:v>2.7331176470588234</c:v>
                </c:pt>
                <c:pt idx="1">
                  <c:v>2.7154705882352945</c:v>
                </c:pt>
                <c:pt idx="2">
                  <c:v>2.8401111111111113</c:v>
                </c:pt>
                <c:pt idx="3">
                  <c:v>2.7468947368421048</c:v>
                </c:pt>
                <c:pt idx="4">
                  <c:v>2.7363684210526311</c:v>
                </c:pt>
                <c:pt idx="5">
                  <c:v>2.7028095238095236</c:v>
                </c:pt>
                <c:pt idx="6">
                  <c:v>2.7277500000000003</c:v>
                </c:pt>
                <c:pt idx="7">
                  <c:v>2.6715</c:v>
                </c:pt>
                <c:pt idx="8">
                  <c:v>2.6742631578947367</c:v>
                </c:pt>
                <c:pt idx="9">
                  <c:v>2.694</c:v>
                </c:pt>
                <c:pt idx="10">
                  <c:v>2.7109047619047622</c:v>
                </c:pt>
                <c:pt idx="11">
                  <c:v>2.7055000000000002</c:v>
                </c:pt>
              </c:numCache>
            </c:numRef>
          </c:val>
          <c:smooth val="0"/>
        </c:ser>
        <c:ser>
          <c:idx val="3"/>
          <c:order val="3"/>
          <c:tx>
            <c:strRef>
              <c:f>NYC_2!$A$12</c:f>
              <c:strCache>
                <c:ptCount val="1"/>
                <c:pt idx="0">
                  <c:v>AAA</c:v>
                </c:pt>
              </c:strCache>
            </c:strRef>
          </c:tx>
          <c:spPr>
            <a:ln>
              <a:solidFill>
                <a:schemeClr val="accent4"/>
              </a:solidFill>
            </a:ln>
          </c:spPr>
          <c:marker>
            <c:symbol val="none"/>
          </c:marker>
          <c:cat>
            <c:numRef>
              <c:f>NYC_2!$B$8:$M$8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NYC_2!$B$12:$M$12</c:f>
              <c:numCache>
                <c:formatCode>0.000</c:formatCode>
                <c:ptCount val="12"/>
                <c:pt idx="0">
                  <c:v>2.8849999999999998</c:v>
                </c:pt>
                <c:pt idx="1">
                  <c:v>2.8889999999999998</c:v>
                </c:pt>
                <c:pt idx="2">
                  <c:v>2.8780000000000001</c:v>
                </c:pt>
                <c:pt idx="3">
                  <c:v>2.8879999999999999</c:v>
                </c:pt>
                <c:pt idx="4">
                  <c:v>2.87</c:v>
                </c:pt>
                <c:pt idx="5">
                  <c:v>2.855</c:v>
                </c:pt>
                <c:pt idx="6">
                  <c:v>2.843</c:v>
                </c:pt>
                <c:pt idx="7">
                  <c:v>2.83</c:v>
                </c:pt>
                <c:pt idx="8">
                  <c:v>2.8279999999999998</c:v>
                </c:pt>
                <c:pt idx="9">
                  <c:v>2.8220000000000001</c:v>
                </c:pt>
                <c:pt idx="10">
                  <c:v>2.8359999999999999</c:v>
                </c:pt>
                <c:pt idx="11">
                  <c:v>2.8479999999999999</c:v>
                </c:pt>
              </c:numCache>
            </c:numRef>
          </c:val>
          <c:smooth val="0"/>
        </c:ser>
        <c:dLbls>
          <c:showLegendKey val="0"/>
          <c:showVal val="0"/>
          <c:showCatName val="0"/>
          <c:showSerName val="0"/>
          <c:showPercent val="0"/>
          <c:showBubbleSize val="0"/>
        </c:dLbls>
        <c:marker val="1"/>
        <c:smooth val="0"/>
        <c:axId val="82825600"/>
        <c:axId val="82827136"/>
      </c:lineChart>
      <c:dateAx>
        <c:axId val="82825600"/>
        <c:scaling>
          <c:orientation val="minMax"/>
        </c:scaling>
        <c:delete val="0"/>
        <c:axPos val="b"/>
        <c:numFmt formatCode="m/d/yyyy" sourceLinked="1"/>
        <c:majorTickMark val="none"/>
        <c:minorTickMark val="none"/>
        <c:tickLblPos val="nextTo"/>
        <c:spPr>
          <a:ln w="12700">
            <a:solidFill>
              <a:schemeClr val="tx1"/>
            </a:solidFill>
          </a:ln>
        </c:spPr>
        <c:txPr>
          <a:bodyPr/>
          <a:lstStyle/>
          <a:p>
            <a:pPr>
              <a:defRPr sz="900"/>
            </a:pPr>
            <a:endParaRPr lang="en-US"/>
          </a:p>
        </c:txPr>
        <c:crossAx val="82827136"/>
        <c:crosses val="autoZero"/>
        <c:auto val="1"/>
        <c:lblOffset val="100"/>
        <c:baseTimeUnit val="days"/>
        <c:majorUnit val="7"/>
        <c:majorTimeUnit val="days"/>
      </c:dateAx>
      <c:valAx>
        <c:axId val="82827136"/>
        <c:scaling>
          <c:orientation val="minMax"/>
        </c:scaling>
        <c:delete val="0"/>
        <c:axPos val="l"/>
        <c:majorGridlines>
          <c:spPr>
            <a:ln>
              <a:solidFill>
                <a:schemeClr val="bg1">
                  <a:lumMod val="65000"/>
                </a:schemeClr>
              </a:solidFill>
            </a:ln>
          </c:spPr>
        </c:majorGridlines>
        <c:numFmt formatCode="0.00" sourceLinked="0"/>
        <c:majorTickMark val="none"/>
        <c:minorTickMark val="none"/>
        <c:tickLblPos val="nextTo"/>
        <c:spPr>
          <a:ln>
            <a:noFill/>
          </a:ln>
        </c:spPr>
        <c:txPr>
          <a:bodyPr/>
          <a:lstStyle/>
          <a:p>
            <a:pPr>
              <a:defRPr sz="900"/>
            </a:pPr>
            <a:endParaRPr lang="en-US"/>
          </a:p>
        </c:txPr>
        <c:crossAx val="82825600"/>
        <c:crosses val="autoZero"/>
        <c:crossBetween val="between"/>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sz="1400"/>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NYC_2!$A$16</c:f>
              <c:strCache>
                <c:ptCount val="1"/>
                <c:pt idx="0">
                  <c:v>OPIS (Census)</c:v>
                </c:pt>
              </c:strCache>
            </c:strRef>
          </c:tx>
          <c:spPr>
            <a:ln>
              <a:solidFill>
                <a:schemeClr val="accent1"/>
              </a:solidFill>
            </a:ln>
          </c:spPr>
          <c:marker>
            <c:symbol val="none"/>
          </c:marker>
          <c:cat>
            <c:numRef>
              <c:f>NYC_2!$B$15:$M$15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NYC_2!$B$16:$M$16</c:f>
              <c:numCache>
                <c:formatCode>0.000</c:formatCode>
                <c:ptCount val="12"/>
                <c:pt idx="0">
                  <c:v>2.9547970505618109</c:v>
                </c:pt>
                <c:pt idx="1">
                  <c:v>2.9530952047602508</c:v>
                </c:pt>
                <c:pt idx="2">
                  <c:v>2.9648401702786455</c:v>
                </c:pt>
                <c:pt idx="3">
                  <c:v>2.9700259740259871</c:v>
                </c:pt>
                <c:pt idx="4">
                  <c:v>2.9444387865655521</c:v>
                </c:pt>
                <c:pt idx="5">
                  <c:v>2.9421800182759887</c:v>
                </c:pt>
                <c:pt idx="6">
                  <c:v>2.9259422492401406</c:v>
                </c:pt>
                <c:pt idx="7">
                  <c:v>2.9157265964042374</c:v>
                </c:pt>
                <c:pt idx="8">
                  <c:v>2.9093971393792013</c:v>
                </c:pt>
                <c:pt idx="9">
                  <c:v>2.9036686567164383</c:v>
                </c:pt>
                <c:pt idx="10">
                  <c:v>2.9168476308454823</c:v>
                </c:pt>
                <c:pt idx="11">
                  <c:v>2.9338423980222639</c:v>
                </c:pt>
              </c:numCache>
            </c:numRef>
          </c:val>
          <c:smooth val="0"/>
        </c:ser>
        <c:ser>
          <c:idx val="1"/>
          <c:order val="1"/>
          <c:tx>
            <c:strRef>
              <c:f>NYC_2!$A$17</c:f>
              <c:strCache>
                <c:ptCount val="1"/>
                <c:pt idx="0">
                  <c:v>EIA (Matched Sample)</c:v>
                </c:pt>
              </c:strCache>
            </c:strRef>
          </c:tx>
          <c:spPr>
            <a:ln>
              <a:solidFill>
                <a:schemeClr val="accent2"/>
              </a:solidFill>
            </a:ln>
          </c:spPr>
          <c:marker>
            <c:symbol val="none"/>
          </c:marker>
          <c:cat>
            <c:numRef>
              <c:f>NYC_2!$B$15:$M$15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NYC_2!$B$17:$M$17</c:f>
              <c:numCache>
                <c:formatCode>0.000</c:formatCode>
                <c:ptCount val="12"/>
                <c:pt idx="0">
                  <c:v>2.9611000000000005</c:v>
                </c:pt>
                <c:pt idx="1">
                  <c:v>2.9581333333333335</c:v>
                </c:pt>
                <c:pt idx="2">
                  <c:v>2.9731666666666667</c:v>
                </c:pt>
                <c:pt idx="3">
                  <c:v>2.9727666666666668</c:v>
                </c:pt>
                <c:pt idx="4">
                  <c:v>2.9674666666666663</c:v>
                </c:pt>
                <c:pt idx="5">
                  <c:v>2.9507999999999996</c:v>
                </c:pt>
                <c:pt idx="6">
                  <c:v>2.9256000000000006</c:v>
                </c:pt>
                <c:pt idx="7">
                  <c:v>2.9224000000000006</c:v>
                </c:pt>
                <c:pt idx="8">
                  <c:v>2.9215999999999998</c:v>
                </c:pt>
                <c:pt idx="9">
                  <c:v>2.9121666666666659</c:v>
                </c:pt>
                <c:pt idx="10">
                  <c:v>2.9182666666666668</c:v>
                </c:pt>
                <c:pt idx="11">
                  <c:v>2.9340344827586207</c:v>
                </c:pt>
              </c:numCache>
            </c:numRef>
          </c:val>
          <c:smooth val="0"/>
        </c:ser>
        <c:ser>
          <c:idx val="2"/>
          <c:order val="2"/>
          <c:tx>
            <c:strRef>
              <c:f>NYC_2!$A$18</c:f>
              <c:strCache>
                <c:ptCount val="1"/>
                <c:pt idx="0">
                  <c:v>OPIS (Matched Sample)</c:v>
                </c:pt>
              </c:strCache>
            </c:strRef>
          </c:tx>
          <c:spPr>
            <a:ln>
              <a:solidFill>
                <a:schemeClr val="accent3"/>
              </a:solidFill>
            </a:ln>
          </c:spPr>
          <c:marker>
            <c:symbol val="none"/>
          </c:marker>
          <c:cat>
            <c:numRef>
              <c:f>NYC_2!$B$15:$M$15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NYC_2!$B$18:$M$18</c:f>
              <c:numCache>
                <c:formatCode>0.000</c:formatCode>
                <c:ptCount val="12"/>
                <c:pt idx="0">
                  <c:v>2.9223333333333334</c:v>
                </c:pt>
                <c:pt idx="1">
                  <c:v>2.9390000000000005</c:v>
                </c:pt>
                <c:pt idx="2">
                  <c:v>2.957235294117647</c:v>
                </c:pt>
                <c:pt idx="3">
                  <c:v>2.9737619047619051</c:v>
                </c:pt>
                <c:pt idx="4">
                  <c:v>2.9509047619047615</c:v>
                </c:pt>
                <c:pt idx="5">
                  <c:v>2.9346521739130429</c:v>
                </c:pt>
                <c:pt idx="6">
                  <c:v>2.918545454545455</c:v>
                </c:pt>
                <c:pt idx="7">
                  <c:v>2.9220000000000002</c:v>
                </c:pt>
                <c:pt idx="8">
                  <c:v>2.9126363636363637</c:v>
                </c:pt>
                <c:pt idx="9">
                  <c:v>2.8871818181818187</c:v>
                </c:pt>
                <c:pt idx="10">
                  <c:v>2.8766190476190476</c:v>
                </c:pt>
                <c:pt idx="11">
                  <c:v>2.8821578947368418</c:v>
                </c:pt>
              </c:numCache>
            </c:numRef>
          </c:val>
          <c:smooth val="0"/>
        </c:ser>
        <c:ser>
          <c:idx val="3"/>
          <c:order val="3"/>
          <c:tx>
            <c:strRef>
              <c:f>NYC_2!$A$19</c:f>
              <c:strCache>
                <c:ptCount val="1"/>
                <c:pt idx="0">
                  <c:v>AAA</c:v>
                </c:pt>
              </c:strCache>
            </c:strRef>
          </c:tx>
          <c:spPr>
            <a:ln>
              <a:solidFill>
                <a:schemeClr val="accent4"/>
              </a:solidFill>
            </a:ln>
          </c:spPr>
          <c:marker>
            <c:symbol val="none"/>
          </c:marker>
          <c:cat>
            <c:numRef>
              <c:f>NYC_2!$B$15:$M$15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NYC_2!$B$19:$M$19</c:f>
              <c:numCache>
                <c:formatCode>0.000</c:formatCode>
                <c:ptCount val="12"/>
                <c:pt idx="0">
                  <c:v>3.0720000000000001</c:v>
                </c:pt>
                <c:pt idx="1">
                  <c:v>3.077</c:v>
                </c:pt>
                <c:pt idx="2">
                  <c:v>3.0720000000000001</c:v>
                </c:pt>
                <c:pt idx="3">
                  <c:v>3.081</c:v>
                </c:pt>
                <c:pt idx="4">
                  <c:v>3.0649999999999999</c:v>
                </c:pt>
                <c:pt idx="5">
                  <c:v>3.0489999999999999</c:v>
                </c:pt>
                <c:pt idx="6">
                  <c:v>3.03</c:v>
                </c:pt>
                <c:pt idx="7">
                  <c:v>3.0209999999999999</c:v>
                </c:pt>
                <c:pt idx="8">
                  <c:v>3.0169999999999999</c:v>
                </c:pt>
                <c:pt idx="9">
                  <c:v>3.0089999999999999</c:v>
                </c:pt>
                <c:pt idx="10">
                  <c:v>3.0179999999999998</c:v>
                </c:pt>
                <c:pt idx="11">
                  <c:v>3.0289999999999999</c:v>
                </c:pt>
              </c:numCache>
            </c:numRef>
          </c:val>
          <c:smooth val="0"/>
        </c:ser>
        <c:dLbls>
          <c:showLegendKey val="0"/>
          <c:showVal val="0"/>
          <c:showCatName val="0"/>
          <c:showSerName val="0"/>
          <c:showPercent val="0"/>
          <c:showBubbleSize val="0"/>
        </c:dLbls>
        <c:marker val="1"/>
        <c:smooth val="0"/>
        <c:axId val="83976192"/>
        <c:axId val="83977728"/>
      </c:lineChart>
      <c:dateAx>
        <c:axId val="83976192"/>
        <c:scaling>
          <c:orientation val="minMax"/>
        </c:scaling>
        <c:delete val="0"/>
        <c:axPos val="b"/>
        <c:numFmt formatCode="m/d/yyyy" sourceLinked="1"/>
        <c:majorTickMark val="none"/>
        <c:minorTickMark val="none"/>
        <c:tickLblPos val="nextTo"/>
        <c:spPr>
          <a:ln w="12700">
            <a:solidFill>
              <a:schemeClr val="tx1"/>
            </a:solidFill>
          </a:ln>
        </c:spPr>
        <c:txPr>
          <a:bodyPr/>
          <a:lstStyle/>
          <a:p>
            <a:pPr>
              <a:defRPr sz="900"/>
            </a:pPr>
            <a:endParaRPr lang="en-US"/>
          </a:p>
        </c:txPr>
        <c:crossAx val="83977728"/>
        <c:crosses val="autoZero"/>
        <c:auto val="1"/>
        <c:lblOffset val="100"/>
        <c:baseTimeUnit val="days"/>
        <c:majorUnit val="7"/>
        <c:majorTimeUnit val="days"/>
      </c:dateAx>
      <c:valAx>
        <c:axId val="83977728"/>
        <c:scaling>
          <c:orientation val="minMax"/>
        </c:scaling>
        <c:delete val="0"/>
        <c:axPos val="l"/>
        <c:majorGridlines>
          <c:spPr>
            <a:ln>
              <a:solidFill>
                <a:schemeClr val="bg1">
                  <a:lumMod val="65000"/>
                </a:schemeClr>
              </a:solidFill>
            </a:ln>
          </c:spPr>
        </c:majorGridlines>
        <c:numFmt formatCode="0.00" sourceLinked="0"/>
        <c:majorTickMark val="none"/>
        <c:minorTickMark val="none"/>
        <c:tickLblPos val="nextTo"/>
        <c:spPr>
          <a:ln>
            <a:noFill/>
          </a:ln>
        </c:spPr>
        <c:txPr>
          <a:bodyPr/>
          <a:lstStyle/>
          <a:p>
            <a:pPr>
              <a:defRPr sz="900"/>
            </a:pPr>
            <a:endParaRPr lang="en-US"/>
          </a:p>
        </c:txPr>
        <c:crossAx val="83976192"/>
        <c:crosses val="autoZero"/>
        <c:crossBetween val="between"/>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sz="14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CHIC_2!$A$9</c:f>
              <c:strCache>
                <c:ptCount val="1"/>
                <c:pt idx="0">
                  <c:v>OPIS (Census)</c:v>
                </c:pt>
              </c:strCache>
            </c:strRef>
          </c:tx>
          <c:spPr>
            <a:ln>
              <a:solidFill>
                <a:schemeClr val="accent1"/>
              </a:solidFill>
            </a:ln>
          </c:spPr>
          <c:marker>
            <c:symbol val="none"/>
          </c:marker>
          <c:cat>
            <c:numRef>
              <c:f>CHIC_2!$B$8:$M$8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CHIC_2!$B$9:$M$9</c:f>
              <c:numCache>
                <c:formatCode>0.000</c:formatCode>
                <c:ptCount val="12"/>
                <c:pt idx="0">
                  <c:v>2.8684285714285651</c:v>
                </c:pt>
                <c:pt idx="1">
                  <c:v>2.8804988814317629</c:v>
                </c:pt>
                <c:pt idx="2">
                  <c:v>2.9139513451631336</c:v>
                </c:pt>
                <c:pt idx="3">
                  <c:v>2.8687051520794431</c:v>
                </c:pt>
                <c:pt idx="4">
                  <c:v>2.7971094808126322</c:v>
                </c:pt>
                <c:pt idx="5">
                  <c:v>2.8226432843936906</c:v>
                </c:pt>
                <c:pt idx="6">
                  <c:v>2.7764115755626904</c:v>
                </c:pt>
                <c:pt idx="7">
                  <c:v>2.8029413680781654</c:v>
                </c:pt>
                <c:pt idx="8">
                  <c:v>2.8468331497797186</c:v>
                </c:pt>
                <c:pt idx="9">
                  <c:v>2.7873814713896339</c:v>
                </c:pt>
                <c:pt idx="10">
                  <c:v>2.7996125738849957</c:v>
                </c:pt>
                <c:pt idx="11">
                  <c:v>2.8544803493449691</c:v>
                </c:pt>
              </c:numCache>
            </c:numRef>
          </c:val>
          <c:smooth val="0"/>
        </c:ser>
        <c:ser>
          <c:idx val="1"/>
          <c:order val="1"/>
          <c:tx>
            <c:strRef>
              <c:f>CHIC_2!$A$10</c:f>
              <c:strCache>
                <c:ptCount val="1"/>
                <c:pt idx="0">
                  <c:v>EIA (Matched Sample)</c:v>
                </c:pt>
              </c:strCache>
            </c:strRef>
          </c:tx>
          <c:spPr>
            <a:ln>
              <a:solidFill>
                <a:schemeClr val="accent2"/>
              </a:solidFill>
            </a:ln>
          </c:spPr>
          <c:marker>
            <c:symbol val="none"/>
          </c:marker>
          <c:cat>
            <c:numRef>
              <c:f>CHIC_2!$B$8:$M$8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CHIC_2!$B$10:$M$10</c:f>
              <c:numCache>
                <c:formatCode>0.000</c:formatCode>
                <c:ptCount val="12"/>
                <c:pt idx="0">
                  <c:v>2.8628918918918917</c:v>
                </c:pt>
                <c:pt idx="1">
                  <c:v>2.9078333333333339</c:v>
                </c:pt>
                <c:pt idx="2">
                  <c:v>2.9004722222222221</c:v>
                </c:pt>
                <c:pt idx="3">
                  <c:v>2.8546666666666676</c:v>
                </c:pt>
                <c:pt idx="4">
                  <c:v>2.7804166666666674</c:v>
                </c:pt>
                <c:pt idx="5">
                  <c:v>2.780166666666668</c:v>
                </c:pt>
                <c:pt idx="6">
                  <c:v>2.7020833333333325</c:v>
                </c:pt>
                <c:pt idx="7">
                  <c:v>2.7454444444444448</c:v>
                </c:pt>
                <c:pt idx="8">
                  <c:v>2.8223055555555563</c:v>
                </c:pt>
                <c:pt idx="9">
                  <c:v>2.7376666666666667</c:v>
                </c:pt>
                <c:pt idx="10">
                  <c:v>2.7348333333333334</c:v>
                </c:pt>
                <c:pt idx="11">
                  <c:v>2.8190000000000004</c:v>
                </c:pt>
              </c:numCache>
            </c:numRef>
          </c:val>
          <c:smooth val="0"/>
        </c:ser>
        <c:ser>
          <c:idx val="2"/>
          <c:order val="2"/>
          <c:tx>
            <c:strRef>
              <c:f>CHIC_2!$A$11</c:f>
              <c:strCache>
                <c:ptCount val="1"/>
                <c:pt idx="0">
                  <c:v>OPIS (Matched Sample to EIA)</c:v>
                </c:pt>
              </c:strCache>
            </c:strRef>
          </c:tx>
          <c:spPr>
            <a:ln>
              <a:solidFill>
                <a:schemeClr val="accent3"/>
              </a:solidFill>
            </a:ln>
          </c:spPr>
          <c:marker>
            <c:symbol val="none"/>
          </c:marker>
          <c:cat>
            <c:numRef>
              <c:f>CHIC_2!$B$8:$M$8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CHIC_2!$B$11:$M$11</c:f>
              <c:numCache>
                <c:formatCode>0.000</c:formatCode>
                <c:ptCount val="12"/>
                <c:pt idx="0">
                  <c:v>2.8438484848484857</c:v>
                </c:pt>
                <c:pt idx="1">
                  <c:v>2.8434827586206897</c:v>
                </c:pt>
                <c:pt idx="2">
                  <c:v>2.8810689655172412</c:v>
                </c:pt>
                <c:pt idx="3">
                  <c:v>2.8108750000000007</c:v>
                </c:pt>
                <c:pt idx="4">
                  <c:v>2.7464193548387099</c:v>
                </c:pt>
                <c:pt idx="5">
                  <c:v>2.7879999999999998</c:v>
                </c:pt>
                <c:pt idx="6">
                  <c:v>2.7096060606060606</c:v>
                </c:pt>
                <c:pt idx="7">
                  <c:v>2.7707142857142864</c:v>
                </c:pt>
                <c:pt idx="8">
                  <c:v>2.8236875000000006</c:v>
                </c:pt>
                <c:pt idx="9">
                  <c:v>2.7139999999999995</c:v>
                </c:pt>
                <c:pt idx="10">
                  <c:v>2.7290000000000005</c:v>
                </c:pt>
                <c:pt idx="11">
                  <c:v>2.8243125000000004</c:v>
                </c:pt>
              </c:numCache>
            </c:numRef>
          </c:val>
          <c:smooth val="0"/>
        </c:ser>
        <c:ser>
          <c:idx val="3"/>
          <c:order val="3"/>
          <c:tx>
            <c:strRef>
              <c:f>CHIC_2!$A$12</c:f>
              <c:strCache>
                <c:ptCount val="1"/>
                <c:pt idx="0">
                  <c:v>AAA (Chicago Metro)</c:v>
                </c:pt>
              </c:strCache>
            </c:strRef>
          </c:tx>
          <c:spPr>
            <a:ln>
              <a:solidFill>
                <a:schemeClr val="accent4"/>
              </a:solidFill>
            </a:ln>
          </c:spPr>
          <c:marker>
            <c:symbol val="none"/>
          </c:marker>
          <c:cat>
            <c:numRef>
              <c:f>CHIC_2!$B$8:$M$8</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CHIC_2!$B$12:$M$12</c:f>
              <c:numCache>
                <c:formatCode>0.000</c:formatCode>
                <c:ptCount val="12"/>
                <c:pt idx="0">
                  <c:v>2.9060000000000001</c:v>
                </c:pt>
                <c:pt idx="1">
                  <c:v>2.9380000000000002</c:v>
                </c:pt>
                <c:pt idx="2">
                  <c:v>2.9430000000000001</c:v>
                </c:pt>
                <c:pt idx="3">
                  <c:v>2.895</c:v>
                </c:pt>
                <c:pt idx="4">
                  <c:v>2.8330000000000002</c:v>
                </c:pt>
                <c:pt idx="5">
                  <c:v>2.8650000000000002</c:v>
                </c:pt>
                <c:pt idx="6">
                  <c:v>2.8109999999999999</c:v>
                </c:pt>
                <c:pt idx="7">
                  <c:v>2.84</c:v>
                </c:pt>
                <c:pt idx="8">
                  <c:v>2.8769999999999998</c:v>
                </c:pt>
                <c:pt idx="9">
                  <c:v>2.8180000000000001</c:v>
                </c:pt>
                <c:pt idx="10">
                  <c:v>2.8210000000000002</c:v>
                </c:pt>
                <c:pt idx="11">
                  <c:v>2.88</c:v>
                </c:pt>
              </c:numCache>
            </c:numRef>
          </c:val>
          <c:smooth val="0"/>
        </c:ser>
        <c:dLbls>
          <c:showLegendKey val="0"/>
          <c:showVal val="0"/>
          <c:showCatName val="0"/>
          <c:showSerName val="0"/>
          <c:showPercent val="0"/>
          <c:showBubbleSize val="0"/>
        </c:dLbls>
        <c:marker val="1"/>
        <c:smooth val="0"/>
        <c:axId val="84086144"/>
        <c:axId val="84092032"/>
      </c:lineChart>
      <c:dateAx>
        <c:axId val="84086144"/>
        <c:scaling>
          <c:orientation val="minMax"/>
        </c:scaling>
        <c:delete val="0"/>
        <c:axPos val="b"/>
        <c:numFmt formatCode="m/d/yyyy" sourceLinked="1"/>
        <c:majorTickMark val="none"/>
        <c:minorTickMark val="none"/>
        <c:tickLblPos val="nextTo"/>
        <c:spPr>
          <a:ln w="12700">
            <a:solidFill>
              <a:schemeClr val="tx1"/>
            </a:solidFill>
          </a:ln>
        </c:spPr>
        <c:txPr>
          <a:bodyPr/>
          <a:lstStyle/>
          <a:p>
            <a:pPr>
              <a:defRPr sz="900"/>
            </a:pPr>
            <a:endParaRPr lang="en-US"/>
          </a:p>
        </c:txPr>
        <c:crossAx val="84092032"/>
        <c:crosses val="autoZero"/>
        <c:auto val="1"/>
        <c:lblOffset val="100"/>
        <c:baseTimeUnit val="days"/>
        <c:majorUnit val="7"/>
        <c:majorTimeUnit val="days"/>
      </c:dateAx>
      <c:valAx>
        <c:axId val="84092032"/>
        <c:scaling>
          <c:orientation val="minMax"/>
        </c:scaling>
        <c:delete val="0"/>
        <c:axPos val="l"/>
        <c:majorGridlines>
          <c:spPr>
            <a:ln>
              <a:solidFill>
                <a:schemeClr val="bg1">
                  <a:lumMod val="65000"/>
                </a:schemeClr>
              </a:solidFill>
            </a:ln>
          </c:spPr>
        </c:majorGridlines>
        <c:numFmt formatCode="0.00" sourceLinked="0"/>
        <c:majorTickMark val="none"/>
        <c:minorTickMark val="none"/>
        <c:tickLblPos val="nextTo"/>
        <c:spPr>
          <a:ln>
            <a:noFill/>
          </a:ln>
        </c:spPr>
        <c:txPr>
          <a:bodyPr/>
          <a:lstStyle/>
          <a:p>
            <a:pPr>
              <a:defRPr sz="900"/>
            </a:pPr>
            <a:endParaRPr lang="en-US"/>
          </a:p>
        </c:txPr>
        <c:crossAx val="84086144"/>
        <c:crosses val="autoZero"/>
        <c:crossBetween val="between"/>
      </c:valAx>
    </c:plotArea>
    <c:legend>
      <c:legendPos val="b"/>
      <c:layout>
        <c:manualLayout>
          <c:xMode val="edge"/>
          <c:yMode val="edge"/>
          <c:x val="3.5191129954909486E-2"/>
          <c:y val="0.8301586961030416"/>
          <c:w val="0.93816474863718957"/>
          <c:h val="0.13805202142647702"/>
        </c:manualLayout>
      </c:layout>
      <c:overlay val="0"/>
      <c:txPr>
        <a:bodyPr/>
        <a:lstStyle/>
        <a:p>
          <a:pPr>
            <a:defRPr sz="900"/>
          </a:pPr>
          <a:endParaRPr lang="en-US"/>
        </a:p>
      </c:txPr>
    </c:legend>
    <c:plotVisOnly val="1"/>
    <c:dispBlanksAs val="gap"/>
    <c:showDLblsOverMax val="0"/>
  </c:chart>
  <c:spPr>
    <a:ln>
      <a:noFill/>
    </a:ln>
  </c:spPr>
  <c:txPr>
    <a:bodyPr/>
    <a:lstStyle/>
    <a:p>
      <a:pPr>
        <a:defRPr sz="1400"/>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CHIC_2!$A$16</c:f>
              <c:strCache>
                <c:ptCount val="1"/>
                <c:pt idx="0">
                  <c:v>OPIS (Census)</c:v>
                </c:pt>
              </c:strCache>
            </c:strRef>
          </c:tx>
          <c:spPr>
            <a:ln>
              <a:solidFill>
                <a:schemeClr val="accent1"/>
              </a:solidFill>
            </a:ln>
          </c:spPr>
          <c:marker>
            <c:symbol val="none"/>
          </c:marker>
          <c:cat>
            <c:numRef>
              <c:f>CHIC_2!$B$15:$M$15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CHIC_2!$B$16:$M$16</c:f>
              <c:numCache>
                <c:formatCode>0.000</c:formatCode>
                <c:ptCount val="12"/>
                <c:pt idx="0">
                  <c:v>3.2637223780145788</c:v>
                </c:pt>
                <c:pt idx="1">
                  <c:v>3.2711200224340939</c:v>
                </c:pt>
                <c:pt idx="2">
                  <c:v>3.3022834101382528</c:v>
                </c:pt>
                <c:pt idx="3">
                  <c:v>3.2562684605757179</c:v>
                </c:pt>
                <c:pt idx="4">
                  <c:v>3.1917374929735729</c:v>
                </c:pt>
                <c:pt idx="5">
                  <c:v>3.2107774176120953</c:v>
                </c:pt>
                <c:pt idx="6">
                  <c:v>3.1626206896551703</c:v>
                </c:pt>
                <c:pt idx="7">
                  <c:v>3.1911041214750493</c:v>
                </c:pt>
                <c:pt idx="8">
                  <c:v>3.2368821917808206</c:v>
                </c:pt>
                <c:pt idx="9">
                  <c:v>3.1804045553145284</c:v>
                </c:pt>
                <c:pt idx="10">
                  <c:v>3.195584833606099</c:v>
                </c:pt>
                <c:pt idx="11">
                  <c:v>3.2430043407487767</c:v>
                </c:pt>
              </c:numCache>
            </c:numRef>
          </c:val>
          <c:smooth val="0"/>
        </c:ser>
        <c:ser>
          <c:idx val="1"/>
          <c:order val="1"/>
          <c:tx>
            <c:strRef>
              <c:f>CHIC_2!$A$17</c:f>
              <c:strCache>
                <c:ptCount val="1"/>
                <c:pt idx="0">
                  <c:v>EIA (Matched Sample)</c:v>
                </c:pt>
              </c:strCache>
            </c:strRef>
          </c:tx>
          <c:spPr>
            <a:ln>
              <a:solidFill>
                <a:schemeClr val="accent2"/>
              </a:solidFill>
            </a:ln>
          </c:spPr>
          <c:marker>
            <c:symbol val="none"/>
          </c:marker>
          <c:cat>
            <c:numRef>
              <c:f>CHIC_2!$B$15:$M$15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CHIC_2!$B$17:$M$17</c:f>
              <c:numCache>
                <c:formatCode>0.000</c:formatCode>
                <c:ptCount val="12"/>
                <c:pt idx="0">
                  <c:v>3.2490000000000006</c:v>
                </c:pt>
                <c:pt idx="1">
                  <c:v>3.2962777777777781</c:v>
                </c:pt>
                <c:pt idx="2">
                  <c:v>3.2935277777777778</c:v>
                </c:pt>
                <c:pt idx="3">
                  <c:v>3.2439722222222223</c:v>
                </c:pt>
                <c:pt idx="4">
                  <c:v>3.1710277777777778</c:v>
                </c:pt>
                <c:pt idx="5">
                  <c:v>3.1676666666666673</c:v>
                </c:pt>
                <c:pt idx="6">
                  <c:v>3.0945833333333344</c:v>
                </c:pt>
                <c:pt idx="7">
                  <c:v>3.1337777777777784</c:v>
                </c:pt>
                <c:pt idx="8">
                  <c:v>3.2071111111111126</c:v>
                </c:pt>
                <c:pt idx="9">
                  <c:v>3.1251666666666673</c:v>
                </c:pt>
                <c:pt idx="10">
                  <c:v>3.1231944444444446</c:v>
                </c:pt>
                <c:pt idx="11">
                  <c:v>3.2115000000000009</c:v>
                </c:pt>
              </c:numCache>
            </c:numRef>
          </c:val>
          <c:smooth val="0"/>
        </c:ser>
        <c:ser>
          <c:idx val="2"/>
          <c:order val="2"/>
          <c:tx>
            <c:strRef>
              <c:f>CHIC_2!$A$18</c:f>
              <c:strCache>
                <c:ptCount val="1"/>
                <c:pt idx="0">
                  <c:v>OPIS (Matched Sample to EIA)</c:v>
                </c:pt>
              </c:strCache>
            </c:strRef>
          </c:tx>
          <c:spPr>
            <a:ln>
              <a:solidFill>
                <a:schemeClr val="accent3"/>
              </a:solidFill>
            </a:ln>
          </c:spPr>
          <c:marker>
            <c:symbol val="none"/>
          </c:marker>
          <c:cat>
            <c:numRef>
              <c:f>CHIC_2!$B$15:$M$15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CHIC_2!$B$18:$M$18</c:f>
              <c:numCache>
                <c:formatCode>0.000</c:formatCode>
                <c:ptCount val="12"/>
                <c:pt idx="0">
                  <c:v>3.2419411764705885</c:v>
                </c:pt>
                <c:pt idx="1">
                  <c:v>3.242548387096774</c:v>
                </c:pt>
                <c:pt idx="2">
                  <c:v>3.2715806451612903</c:v>
                </c:pt>
                <c:pt idx="3">
                  <c:v>3.2214242424242423</c:v>
                </c:pt>
                <c:pt idx="4">
                  <c:v>3.1305624999999981</c:v>
                </c:pt>
                <c:pt idx="5">
                  <c:v>3.1674848484848499</c:v>
                </c:pt>
                <c:pt idx="6">
                  <c:v>3.0725294117647057</c:v>
                </c:pt>
                <c:pt idx="7">
                  <c:v>3.148142857142858</c:v>
                </c:pt>
                <c:pt idx="8">
                  <c:v>3.2102500000000003</c:v>
                </c:pt>
                <c:pt idx="9">
                  <c:v>3.0913529411764706</c:v>
                </c:pt>
                <c:pt idx="10">
                  <c:v>3.1252857142857144</c:v>
                </c:pt>
                <c:pt idx="11">
                  <c:v>3.1935454545454549</c:v>
                </c:pt>
              </c:numCache>
            </c:numRef>
          </c:val>
          <c:smooth val="0"/>
        </c:ser>
        <c:ser>
          <c:idx val="3"/>
          <c:order val="3"/>
          <c:tx>
            <c:strRef>
              <c:f>CHIC_2!$A$19</c:f>
              <c:strCache>
                <c:ptCount val="1"/>
                <c:pt idx="0">
                  <c:v>AAA (Chicago Metro)</c:v>
                </c:pt>
              </c:strCache>
            </c:strRef>
          </c:tx>
          <c:spPr>
            <a:ln>
              <a:solidFill>
                <a:schemeClr val="accent4"/>
              </a:solidFill>
            </a:ln>
          </c:spPr>
          <c:marker>
            <c:symbol val="none"/>
          </c:marker>
          <c:cat>
            <c:numRef>
              <c:f>CHIC_2!$B$15:$M$15</c:f>
              <c:numCache>
                <c:formatCode>m/d/yyyy</c:formatCode>
                <c:ptCount val="12"/>
                <c:pt idx="0">
                  <c:v>42870</c:v>
                </c:pt>
                <c:pt idx="1">
                  <c:v>42877</c:v>
                </c:pt>
                <c:pt idx="2">
                  <c:v>42884</c:v>
                </c:pt>
                <c:pt idx="3">
                  <c:v>42891</c:v>
                </c:pt>
                <c:pt idx="4">
                  <c:v>42898</c:v>
                </c:pt>
                <c:pt idx="5">
                  <c:v>42905</c:v>
                </c:pt>
                <c:pt idx="6">
                  <c:v>42912</c:v>
                </c:pt>
                <c:pt idx="7">
                  <c:v>42919</c:v>
                </c:pt>
                <c:pt idx="8">
                  <c:v>42926</c:v>
                </c:pt>
                <c:pt idx="9">
                  <c:v>42933</c:v>
                </c:pt>
                <c:pt idx="10">
                  <c:v>42940</c:v>
                </c:pt>
                <c:pt idx="11">
                  <c:v>42947</c:v>
                </c:pt>
              </c:numCache>
            </c:numRef>
          </c:cat>
          <c:val>
            <c:numRef>
              <c:f>CHIC_2!$B$19:$M$19</c:f>
              <c:numCache>
                <c:formatCode>0.000</c:formatCode>
                <c:ptCount val="12"/>
                <c:pt idx="0">
                  <c:v>3.3149999999999999</c:v>
                </c:pt>
                <c:pt idx="1">
                  <c:v>3.343</c:v>
                </c:pt>
                <c:pt idx="2">
                  <c:v>3.3439999999999999</c:v>
                </c:pt>
                <c:pt idx="3">
                  <c:v>3.3</c:v>
                </c:pt>
                <c:pt idx="4">
                  <c:v>3.2389999999999999</c:v>
                </c:pt>
                <c:pt idx="5">
                  <c:v>3.2639999999999998</c:v>
                </c:pt>
                <c:pt idx="6">
                  <c:v>3.2090000000000001</c:v>
                </c:pt>
                <c:pt idx="7">
                  <c:v>3.242</c:v>
                </c:pt>
                <c:pt idx="8">
                  <c:v>3.2770000000000001</c:v>
                </c:pt>
                <c:pt idx="9">
                  <c:v>3.2280000000000002</c:v>
                </c:pt>
                <c:pt idx="10">
                  <c:v>3.2290000000000001</c:v>
                </c:pt>
                <c:pt idx="11">
                  <c:v>3.28</c:v>
                </c:pt>
              </c:numCache>
            </c:numRef>
          </c:val>
          <c:smooth val="0"/>
        </c:ser>
        <c:dLbls>
          <c:showLegendKey val="0"/>
          <c:showVal val="0"/>
          <c:showCatName val="0"/>
          <c:showSerName val="0"/>
          <c:showPercent val="0"/>
          <c:showBubbleSize val="0"/>
        </c:dLbls>
        <c:marker val="1"/>
        <c:smooth val="0"/>
        <c:axId val="84118528"/>
        <c:axId val="84136704"/>
      </c:lineChart>
      <c:dateAx>
        <c:axId val="84118528"/>
        <c:scaling>
          <c:orientation val="minMax"/>
        </c:scaling>
        <c:delete val="0"/>
        <c:axPos val="b"/>
        <c:numFmt formatCode="m/d/yyyy" sourceLinked="1"/>
        <c:majorTickMark val="none"/>
        <c:minorTickMark val="none"/>
        <c:tickLblPos val="nextTo"/>
        <c:spPr>
          <a:ln w="12700">
            <a:solidFill>
              <a:schemeClr val="tx1"/>
            </a:solidFill>
          </a:ln>
        </c:spPr>
        <c:txPr>
          <a:bodyPr/>
          <a:lstStyle/>
          <a:p>
            <a:pPr>
              <a:defRPr sz="900"/>
            </a:pPr>
            <a:endParaRPr lang="en-US"/>
          </a:p>
        </c:txPr>
        <c:crossAx val="84136704"/>
        <c:crosses val="autoZero"/>
        <c:auto val="1"/>
        <c:lblOffset val="100"/>
        <c:baseTimeUnit val="days"/>
        <c:majorUnit val="7"/>
        <c:majorTimeUnit val="days"/>
      </c:dateAx>
      <c:valAx>
        <c:axId val="84136704"/>
        <c:scaling>
          <c:orientation val="minMax"/>
        </c:scaling>
        <c:delete val="0"/>
        <c:axPos val="l"/>
        <c:majorGridlines>
          <c:spPr>
            <a:ln>
              <a:solidFill>
                <a:schemeClr val="bg1">
                  <a:lumMod val="65000"/>
                </a:schemeClr>
              </a:solidFill>
            </a:ln>
          </c:spPr>
        </c:majorGridlines>
        <c:numFmt formatCode="0.00" sourceLinked="0"/>
        <c:majorTickMark val="none"/>
        <c:minorTickMark val="none"/>
        <c:tickLblPos val="nextTo"/>
        <c:spPr>
          <a:ln>
            <a:noFill/>
          </a:ln>
        </c:spPr>
        <c:txPr>
          <a:bodyPr/>
          <a:lstStyle/>
          <a:p>
            <a:pPr>
              <a:defRPr sz="900"/>
            </a:pPr>
            <a:endParaRPr lang="en-US"/>
          </a:p>
        </c:txPr>
        <c:crossAx val="84118528"/>
        <c:crosses val="autoZero"/>
        <c:crossBetween val="between"/>
      </c:valAx>
    </c:plotArea>
    <c:legend>
      <c:legendPos val="b"/>
      <c:layout>
        <c:manualLayout>
          <c:xMode val="edge"/>
          <c:yMode val="edge"/>
          <c:x val="0"/>
          <c:y val="0.84398176117398094"/>
          <c:w val="0.99585705632949728"/>
          <c:h val="0.13030027911748923"/>
        </c:manualLayout>
      </c:layout>
      <c:overlay val="0"/>
      <c:txPr>
        <a:bodyPr/>
        <a:lstStyle/>
        <a:p>
          <a:pPr>
            <a:defRPr sz="900"/>
          </a:pPr>
          <a:endParaRPr lang="en-US"/>
        </a:p>
      </c:txPr>
    </c:legend>
    <c:plotVisOnly val="1"/>
    <c:dispBlanksAs val="gap"/>
    <c:showDLblsOverMax val="0"/>
  </c:chart>
  <c:spPr>
    <a:ln>
      <a:noFill/>
    </a:ln>
  </c:spPr>
  <c:txPr>
    <a:bodyPr/>
    <a:lstStyle/>
    <a:p>
      <a:pPr>
        <a:defRPr sz="14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8339594343159"/>
          <c:y val="6.4498675254245699E-2"/>
          <c:w val="0.81115267831340088"/>
          <c:h val="0.7483886500003103"/>
        </c:manualLayout>
      </c:layout>
      <c:scatterChart>
        <c:scatterStyle val="smoothMarker"/>
        <c:varyColors val="0"/>
        <c:ser>
          <c:idx val="0"/>
          <c:order val="0"/>
          <c:tx>
            <c:v>8 AM to 12 PM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Unleaded!$G$4:$G$11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Unleaded!$I$4:$I$11</c:f>
              <c:numCache>
                <c:formatCode>"$"#,##0.00</c:formatCode>
                <c:ptCount val="8"/>
                <c:pt idx="0">
                  <c:v>0.88</c:v>
                </c:pt>
                <c:pt idx="1">
                  <c:v>0.8</c:v>
                </c:pt>
                <c:pt idx="2">
                  <c:v>0.8</c:v>
                </c:pt>
                <c:pt idx="3">
                  <c:v>0.85</c:v>
                </c:pt>
                <c:pt idx="5">
                  <c:v>0.9</c:v>
                </c:pt>
                <c:pt idx="6">
                  <c:v>0.9</c:v>
                </c:pt>
                <c:pt idx="7">
                  <c:v>0.72</c:v>
                </c:pt>
              </c:numCache>
            </c:numRef>
          </c:yVal>
          <c:smooth val="1"/>
        </c:ser>
        <c:ser>
          <c:idx val="1"/>
          <c:order val="1"/>
          <c:tx>
            <c:v>8 AM to 4 PM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Unleaded!$G$12:$G$18</c:f>
              <c:numCache>
                <c:formatCode>m/d/yyyy</c:formatCode>
                <c:ptCount val="7"/>
                <c:pt idx="0">
                  <c:v>42898</c:v>
                </c:pt>
                <c:pt idx="1">
                  <c:v>42905</c:v>
                </c:pt>
                <c:pt idx="2">
                  <c:v>42912</c:v>
                </c:pt>
                <c:pt idx="3">
                  <c:v>42919</c:v>
                </c:pt>
                <c:pt idx="4">
                  <c:v>42926</c:v>
                </c:pt>
                <c:pt idx="5">
                  <c:v>42933</c:v>
                </c:pt>
                <c:pt idx="6">
                  <c:v>42941</c:v>
                </c:pt>
              </c:numCache>
            </c:numRef>
          </c:xVal>
          <c:yVal>
            <c:numRef>
              <c:f>Unleaded!$I$12:$I$19</c:f>
              <c:numCache>
                <c:formatCode>"$"#,##0.00</c:formatCode>
                <c:ptCount val="8"/>
                <c:pt idx="0">
                  <c:v>0.88</c:v>
                </c:pt>
                <c:pt idx="1">
                  <c:v>0.8</c:v>
                </c:pt>
                <c:pt idx="2">
                  <c:v>0.8</c:v>
                </c:pt>
                <c:pt idx="6">
                  <c:v>0.8</c:v>
                </c:pt>
                <c:pt idx="7">
                  <c:v>0.85</c:v>
                </c:pt>
              </c:numCache>
            </c:numRef>
          </c:yVal>
          <c:smooth val="1"/>
        </c:ser>
        <c:ser>
          <c:idx val="2"/>
          <c:order val="2"/>
          <c:tx>
            <c:v>8 AM to 8 PM</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Unleaded!$G$20:$G$27</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Unleaded!$I$20:$I$27</c:f>
              <c:numCache>
                <c:formatCode>"$"#,##0.00</c:formatCode>
                <c:ptCount val="8"/>
                <c:pt idx="0">
                  <c:v>1</c:v>
                </c:pt>
                <c:pt idx="1">
                  <c:v>0.85</c:v>
                </c:pt>
                <c:pt idx="2">
                  <c:v>0.8</c:v>
                </c:pt>
                <c:pt idx="3">
                  <c:v>0.85</c:v>
                </c:pt>
                <c:pt idx="5">
                  <c:v>0.95</c:v>
                </c:pt>
                <c:pt idx="6">
                  <c:v>0.8</c:v>
                </c:pt>
                <c:pt idx="7">
                  <c:v>0.89</c:v>
                </c:pt>
              </c:numCache>
            </c:numRef>
          </c:yVal>
          <c:smooth val="1"/>
        </c:ser>
        <c:ser>
          <c:idx val="3"/>
          <c:order val="3"/>
          <c:tx>
            <c:v>12 PM to 4 PM</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Unleaded!$G$28:$G$35</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Unleaded!$I$28:$I$35</c:f>
              <c:numCache>
                <c:formatCode>"$"#,##0.00</c:formatCode>
                <c:ptCount val="8"/>
                <c:pt idx="0">
                  <c:v>0.79</c:v>
                </c:pt>
                <c:pt idx="1">
                  <c:v>0.74</c:v>
                </c:pt>
                <c:pt idx="2" formatCode="General">
                  <c:v>0.76</c:v>
                </c:pt>
                <c:pt idx="4">
                  <c:v>0.7</c:v>
                </c:pt>
                <c:pt idx="6">
                  <c:v>0.8</c:v>
                </c:pt>
                <c:pt idx="7">
                  <c:v>0.85</c:v>
                </c:pt>
              </c:numCache>
            </c:numRef>
          </c:yVal>
          <c:smooth val="1"/>
        </c:ser>
        <c:ser>
          <c:idx val="4"/>
          <c:order val="4"/>
          <c:tx>
            <c:v>12 PM to 8 PM</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Unleaded!$G$36:$G$43</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Unleaded!$I$36:$I$43</c:f>
              <c:numCache>
                <c:formatCode>"$"#,##0.00</c:formatCode>
                <c:ptCount val="8"/>
                <c:pt idx="0">
                  <c:v>1</c:v>
                </c:pt>
                <c:pt idx="1">
                  <c:v>1.19</c:v>
                </c:pt>
                <c:pt idx="2" formatCode="General">
                  <c:v>0.73</c:v>
                </c:pt>
                <c:pt idx="3">
                  <c:v>0.82</c:v>
                </c:pt>
                <c:pt idx="4">
                  <c:v>0.86</c:v>
                </c:pt>
                <c:pt idx="5">
                  <c:v>0.98</c:v>
                </c:pt>
                <c:pt idx="6">
                  <c:v>0.8</c:v>
                </c:pt>
                <c:pt idx="7">
                  <c:v>1.01</c:v>
                </c:pt>
              </c:numCache>
            </c:numRef>
          </c:yVal>
          <c:smooth val="1"/>
        </c:ser>
        <c:ser>
          <c:idx val="5"/>
          <c:order val="5"/>
          <c:tx>
            <c:v>4 PM to 8 PM</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Unleaded!$G$44:$G$51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Unleaded!$I$44:$I$51</c:f>
              <c:numCache>
                <c:formatCode>"$"#,##0.00</c:formatCode>
                <c:ptCount val="8"/>
                <c:pt idx="0">
                  <c:v>1</c:v>
                </c:pt>
                <c:pt idx="1">
                  <c:v>1.19</c:v>
                </c:pt>
                <c:pt idx="2">
                  <c:v>0.76</c:v>
                </c:pt>
                <c:pt idx="4">
                  <c:v>0.86</c:v>
                </c:pt>
                <c:pt idx="6">
                  <c:v>0.7</c:v>
                </c:pt>
                <c:pt idx="7">
                  <c:v>0.89</c:v>
                </c:pt>
              </c:numCache>
            </c:numRef>
          </c:yVal>
          <c:smooth val="1"/>
        </c:ser>
        <c:dLbls>
          <c:showLegendKey val="0"/>
          <c:showVal val="0"/>
          <c:showCatName val="0"/>
          <c:showSerName val="0"/>
          <c:showPercent val="0"/>
          <c:showBubbleSize val="0"/>
        </c:dLbls>
        <c:axId val="56062720"/>
        <c:axId val="56064640"/>
      </c:scatterChart>
      <c:valAx>
        <c:axId val="56062720"/>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out"/>
        <c:minorTickMark val="none"/>
        <c:tickLblPos val="nextTo"/>
        <c:spPr>
          <a:noFill/>
          <a:ln w="9525" cap="flat" cmpd="sng" algn="ctr">
            <a:solidFill>
              <a:schemeClr val="tx1">
                <a:lumMod val="25000"/>
                <a:lumOff val="75000"/>
              </a:schemeClr>
            </a:solidFill>
            <a:round/>
          </a:ln>
          <a:effectLst/>
        </c:spPr>
        <c:txPr>
          <a:bodyPr rot="-258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064640"/>
        <c:crossesAt val="0"/>
        <c:crossBetween val="midCat"/>
      </c:valAx>
      <c:valAx>
        <c:axId val="56064640"/>
        <c:scaling>
          <c:orientation val="minMax"/>
          <c:max val="1.3"/>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Observed differences in price of regular</a:t>
                </a:r>
                <a:r>
                  <a:rPr lang="en-US" baseline="0"/>
                  <a:t> gasoline</a:t>
                </a:r>
                <a:r>
                  <a:rPr lang="en-US"/>
                  <a:t> ($)</a:t>
                </a:r>
              </a:p>
            </c:rich>
          </c:tx>
          <c:layout>
            <c:manualLayout>
              <c:xMode val="edge"/>
              <c:yMode val="edge"/>
              <c:x val="3.4090031198930323E-2"/>
              <c:y val="0.14120699565434985"/>
            </c:manualLayout>
          </c:layout>
          <c:overlay val="0"/>
          <c:spPr>
            <a:noFill/>
            <a:ln>
              <a:noFill/>
            </a:ln>
            <a:effectLst/>
          </c:spPr>
        </c:title>
        <c:numFmt formatCode="&quot;$&quot;#,##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62720"/>
        <c:crosses val="autoZero"/>
        <c:crossBetween val="midCat"/>
      </c:valAx>
      <c:spPr>
        <a:noFill/>
        <a:ln>
          <a:noFill/>
        </a:ln>
        <a:effectLst/>
      </c:spPr>
    </c:plotArea>
    <c:legend>
      <c:legendPos val="b"/>
      <c:layout>
        <c:manualLayout>
          <c:xMode val="edge"/>
          <c:yMode val="edge"/>
          <c:x val="0.13246143609964772"/>
          <c:y val="0.93003070370920604"/>
          <c:w val="0.80972720556120226"/>
          <c:h val="6.36799881146932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Unleaded!$H$4</c:f>
              <c:strCache>
                <c:ptCount val="1"/>
                <c:pt idx="0">
                  <c:v>8 AM to 12 PM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Unleaded!$G$4:$G$11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Unleaded!$J$4:$J$11</c:f>
              <c:numCache>
                <c:formatCode>#,##0</c:formatCode>
                <c:ptCount val="8"/>
                <c:pt idx="0">
                  <c:v>11243</c:v>
                </c:pt>
                <c:pt idx="1">
                  <c:v>11523</c:v>
                </c:pt>
                <c:pt idx="2">
                  <c:v>11549</c:v>
                </c:pt>
                <c:pt idx="3">
                  <c:v>8226</c:v>
                </c:pt>
                <c:pt idx="5">
                  <c:v>9740</c:v>
                </c:pt>
                <c:pt idx="6">
                  <c:v>9357</c:v>
                </c:pt>
                <c:pt idx="7">
                  <c:v>11288</c:v>
                </c:pt>
              </c:numCache>
            </c:numRef>
          </c:yVal>
          <c:smooth val="1"/>
        </c:ser>
        <c:ser>
          <c:idx val="1"/>
          <c:order val="1"/>
          <c:tx>
            <c:strRef>
              <c:f>Unleaded!$H$12</c:f>
              <c:strCache>
                <c:ptCount val="1"/>
                <c:pt idx="0">
                  <c:v>8 AM to 4 PM</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Unleaded!$G$12:$G$19</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Unleaded!$J$12:$J$19</c:f>
              <c:numCache>
                <c:formatCode>#,##0</c:formatCode>
                <c:ptCount val="8"/>
                <c:pt idx="0">
                  <c:v>18545</c:v>
                </c:pt>
                <c:pt idx="1">
                  <c:v>19747</c:v>
                </c:pt>
                <c:pt idx="2">
                  <c:v>19683</c:v>
                </c:pt>
                <c:pt idx="6">
                  <c:v>15652</c:v>
                </c:pt>
                <c:pt idx="7">
                  <c:v>20154</c:v>
                </c:pt>
              </c:numCache>
            </c:numRef>
          </c:yVal>
          <c:smooth val="1"/>
        </c:ser>
        <c:ser>
          <c:idx val="2"/>
          <c:order val="2"/>
          <c:tx>
            <c:strRef>
              <c:f>Unleaded!$H$20</c:f>
              <c:strCache>
                <c:ptCount val="1"/>
                <c:pt idx="0">
                  <c:v>8 AM to 8 PM</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Unleaded!$G$20:$G$27</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Unleaded!$J$20:$J$27</c:f>
              <c:numCache>
                <c:formatCode>#,##0</c:formatCode>
                <c:ptCount val="8"/>
                <c:pt idx="0">
                  <c:v>23024</c:v>
                </c:pt>
                <c:pt idx="1">
                  <c:v>24715</c:v>
                </c:pt>
                <c:pt idx="2">
                  <c:v>24789</c:v>
                </c:pt>
                <c:pt idx="3">
                  <c:v>16430</c:v>
                </c:pt>
                <c:pt idx="5">
                  <c:v>22284</c:v>
                </c:pt>
                <c:pt idx="6">
                  <c:v>19223</c:v>
                </c:pt>
                <c:pt idx="7">
                  <c:v>25403</c:v>
                </c:pt>
              </c:numCache>
            </c:numRef>
          </c:yVal>
          <c:smooth val="1"/>
        </c:ser>
        <c:ser>
          <c:idx val="3"/>
          <c:order val="3"/>
          <c:tx>
            <c:strRef>
              <c:f>Unleaded!$H$28</c:f>
              <c:strCache>
                <c:ptCount val="1"/>
                <c:pt idx="0">
                  <c:v>12 PM to 4 PM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Unleaded!$G$28:$G$35</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Unleaded!$J$28:$J$35</c:f>
              <c:numCache>
                <c:formatCode>#,##0</c:formatCode>
                <c:ptCount val="8"/>
                <c:pt idx="0">
                  <c:v>11282</c:v>
                </c:pt>
                <c:pt idx="1">
                  <c:v>11837</c:v>
                </c:pt>
                <c:pt idx="2">
                  <c:v>11772</c:v>
                </c:pt>
                <c:pt idx="4">
                  <c:v>8952</c:v>
                </c:pt>
                <c:pt idx="6">
                  <c:v>9376</c:v>
                </c:pt>
                <c:pt idx="7">
                  <c:v>12407</c:v>
                </c:pt>
              </c:numCache>
            </c:numRef>
          </c:yVal>
          <c:smooth val="1"/>
        </c:ser>
        <c:ser>
          <c:idx val="4"/>
          <c:order val="4"/>
          <c:tx>
            <c:strRef>
              <c:f>Unleaded!$H$36</c:f>
              <c:strCache>
                <c:ptCount val="1"/>
                <c:pt idx="0">
                  <c:v>12 PM to 8 PM</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Unleaded!$G$36:$G$43</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Unleaded!$J$36:$J$43</c:f>
              <c:numCache>
                <c:formatCode>#,##0</c:formatCode>
                <c:ptCount val="8"/>
                <c:pt idx="0">
                  <c:v>16907</c:v>
                </c:pt>
                <c:pt idx="1">
                  <c:v>17767</c:v>
                </c:pt>
                <c:pt idx="2">
                  <c:v>17828</c:v>
                </c:pt>
                <c:pt idx="3">
                  <c:v>11824</c:v>
                </c:pt>
                <c:pt idx="4">
                  <c:v>15092</c:v>
                </c:pt>
                <c:pt idx="5">
                  <c:v>16849</c:v>
                </c:pt>
                <c:pt idx="6">
                  <c:v>13738</c:v>
                </c:pt>
                <c:pt idx="7">
                  <c:v>18554</c:v>
                </c:pt>
              </c:numCache>
            </c:numRef>
          </c:yVal>
          <c:smooth val="1"/>
        </c:ser>
        <c:ser>
          <c:idx val="5"/>
          <c:order val="5"/>
          <c:tx>
            <c:strRef>
              <c:f>Unleaded!$H$44</c:f>
              <c:strCache>
                <c:ptCount val="1"/>
                <c:pt idx="0">
                  <c:v>4 PM to 8 PM</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Unleaded!$G$44:$G$51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Unleaded!$J$44:$J$51</c:f>
              <c:numCache>
                <c:formatCode>#,##0</c:formatCode>
                <c:ptCount val="8"/>
                <c:pt idx="0">
                  <c:v>9341</c:v>
                </c:pt>
                <c:pt idx="1">
                  <c:v>9345</c:v>
                </c:pt>
                <c:pt idx="2">
                  <c:v>9465</c:v>
                </c:pt>
                <c:pt idx="4">
                  <c:v>8740</c:v>
                </c:pt>
                <c:pt idx="6">
                  <c:v>7320</c:v>
                </c:pt>
                <c:pt idx="7">
                  <c:v>9611</c:v>
                </c:pt>
              </c:numCache>
            </c:numRef>
          </c:yVal>
          <c:smooth val="1"/>
        </c:ser>
        <c:dLbls>
          <c:showLegendKey val="0"/>
          <c:showVal val="0"/>
          <c:showCatName val="0"/>
          <c:showSerName val="0"/>
          <c:showPercent val="0"/>
          <c:showBubbleSize val="0"/>
        </c:dLbls>
        <c:axId val="57223424"/>
        <c:axId val="57233792"/>
      </c:scatterChart>
      <c:valAx>
        <c:axId val="5722342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58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233792"/>
        <c:crosses val="autoZero"/>
        <c:crossBetween val="midCat"/>
      </c:valAx>
      <c:valAx>
        <c:axId val="5723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Instances of Observed</a:t>
                </a:r>
                <a:r>
                  <a:rPr lang="en-US" baseline="0"/>
                  <a:t> Occurence</a:t>
                </a:r>
                <a:endParaRPr lang="en-US"/>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234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8339594343159"/>
          <c:y val="6.2119851840949786E-2"/>
          <c:w val="0.82097700474007917"/>
          <c:h val="0.75076753256310247"/>
        </c:manualLayout>
      </c:layout>
      <c:scatterChart>
        <c:scatterStyle val="smoothMarker"/>
        <c:varyColors val="0"/>
        <c:ser>
          <c:idx val="6"/>
          <c:order val="0"/>
          <c:tx>
            <c:strRef>
              <c:f>Mid!$H$4</c:f>
              <c:strCache>
                <c:ptCount val="1"/>
                <c:pt idx="0">
                  <c:v>8 AM to 12 PM</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Mid!$G$4:$G$11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Mid!$I$4:$I$11</c:f>
              <c:numCache>
                <c:formatCode>"$"#,##0.00</c:formatCode>
                <c:ptCount val="8"/>
                <c:pt idx="0">
                  <c:v>0.55000000000000004</c:v>
                </c:pt>
                <c:pt idx="1">
                  <c:v>0.8</c:v>
                </c:pt>
                <c:pt idx="2">
                  <c:v>0.7</c:v>
                </c:pt>
                <c:pt idx="3">
                  <c:v>0.89</c:v>
                </c:pt>
                <c:pt idx="5">
                  <c:v>0.74</c:v>
                </c:pt>
                <c:pt idx="6">
                  <c:v>0.7</c:v>
                </c:pt>
                <c:pt idx="7">
                  <c:v>0.71</c:v>
                </c:pt>
              </c:numCache>
            </c:numRef>
          </c:yVal>
          <c:smooth val="1"/>
        </c:ser>
        <c:ser>
          <c:idx val="7"/>
          <c:order val="1"/>
          <c:tx>
            <c:v>8 AM to 4 PM</c:v>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Mid!$G$12:$G$19</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Mid!$I$12:$I$19</c:f>
              <c:numCache>
                <c:formatCode>"$"#,##0.00</c:formatCode>
                <c:ptCount val="8"/>
                <c:pt idx="0">
                  <c:v>0.7</c:v>
                </c:pt>
                <c:pt idx="1">
                  <c:v>0.79</c:v>
                </c:pt>
                <c:pt idx="2">
                  <c:v>0.77</c:v>
                </c:pt>
                <c:pt idx="6">
                  <c:v>0.7</c:v>
                </c:pt>
                <c:pt idx="7" formatCode="General">
                  <c:v>0.8</c:v>
                </c:pt>
              </c:numCache>
            </c:numRef>
          </c:yVal>
          <c:smooth val="1"/>
        </c:ser>
        <c:ser>
          <c:idx val="8"/>
          <c:order val="2"/>
          <c:tx>
            <c:strRef>
              <c:f>Mid!$H$20</c:f>
              <c:strCache>
                <c:ptCount val="1"/>
                <c:pt idx="0">
                  <c:v>8 AM to 8 PM</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Mid!$G$20:$G$27</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Mid!$I$20:$I$27</c:f>
              <c:numCache>
                <c:formatCode>"$"#,##0.00</c:formatCode>
                <c:ptCount val="8"/>
                <c:pt idx="0">
                  <c:v>0.7</c:v>
                </c:pt>
                <c:pt idx="1">
                  <c:v>0.79</c:v>
                </c:pt>
                <c:pt idx="2">
                  <c:v>0.77</c:v>
                </c:pt>
                <c:pt idx="3">
                  <c:v>0.89</c:v>
                </c:pt>
                <c:pt idx="5">
                  <c:v>0.74</c:v>
                </c:pt>
                <c:pt idx="6">
                  <c:v>0.71</c:v>
                </c:pt>
                <c:pt idx="7" formatCode="General">
                  <c:v>0.8</c:v>
                </c:pt>
              </c:numCache>
            </c:numRef>
          </c:yVal>
          <c:smooth val="1"/>
        </c:ser>
        <c:ser>
          <c:idx val="9"/>
          <c:order val="3"/>
          <c:tx>
            <c:strRef>
              <c:f>Mid!$H$28</c:f>
              <c:strCache>
                <c:ptCount val="1"/>
                <c:pt idx="0">
                  <c:v>12 PM to 4 PM</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f>Mid!$G$28:$G$35</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Mid!$I$28:$I$35</c:f>
              <c:numCache>
                <c:formatCode>"$"#,##0.00</c:formatCode>
                <c:ptCount val="8"/>
                <c:pt idx="0">
                  <c:v>0.64</c:v>
                </c:pt>
                <c:pt idx="1">
                  <c:v>0.8</c:v>
                </c:pt>
                <c:pt idx="2">
                  <c:v>0.8</c:v>
                </c:pt>
                <c:pt idx="4">
                  <c:v>0.7</c:v>
                </c:pt>
                <c:pt idx="6">
                  <c:v>0.6</c:v>
                </c:pt>
                <c:pt idx="7">
                  <c:v>0.8</c:v>
                </c:pt>
              </c:numCache>
            </c:numRef>
          </c:yVal>
          <c:smooth val="1"/>
        </c:ser>
        <c:ser>
          <c:idx val="10"/>
          <c:order val="4"/>
          <c:tx>
            <c:strRef>
              <c:f>Mid!$H$36</c:f>
              <c:strCache>
                <c:ptCount val="1"/>
                <c:pt idx="0">
                  <c:v>12 PM to 8 PM</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f>Mid!$G$36:$G$43</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Mid!$I$36:$I$43</c:f>
              <c:numCache>
                <c:formatCode>"$"#,##0.00</c:formatCode>
                <c:ptCount val="8"/>
                <c:pt idx="0">
                  <c:v>0.64</c:v>
                </c:pt>
                <c:pt idx="1">
                  <c:v>0.8</c:v>
                </c:pt>
                <c:pt idx="2">
                  <c:v>0.8</c:v>
                </c:pt>
                <c:pt idx="3">
                  <c:v>0.7</c:v>
                </c:pt>
                <c:pt idx="4">
                  <c:v>0.7</c:v>
                </c:pt>
                <c:pt idx="5">
                  <c:v>0.65</c:v>
                </c:pt>
                <c:pt idx="6">
                  <c:v>0.71</c:v>
                </c:pt>
                <c:pt idx="7">
                  <c:v>0.8</c:v>
                </c:pt>
              </c:numCache>
            </c:numRef>
          </c:yVal>
          <c:smooth val="1"/>
        </c:ser>
        <c:ser>
          <c:idx val="11"/>
          <c:order val="5"/>
          <c:tx>
            <c:strRef>
              <c:f>Mid!$H$44</c:f>
              <c:strCache>
                <c:ptCount val="1"/>
                <c:pt idx="0">
                  <c:v>4 PM to 8 PM</c:v>
                </c:pt>
              </c:strCache>
            </c:strRef>
          </c:tx>
          <c:spPr>
            <a:ln w="19050"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xVal>
            <c:numRef>
              <c:f>Mid!$G$44:$G$51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Mid!$I$44:$I$51</c:f>
              <c:numCache>
                <c:formatCode>"$"#,##0.00</c:formatCode>
                <c:ptCount val="8"/>
                <c:pt idx="0">
                  <c:v>0.6</c:v>
                </c:pt>
                <c:pt idx="1">
                  <c:v>0.7</c:v>
                </c:pt>
                <c:pt idx="2">
                  <c:v>0.61</c:v>
                </c:pt>
                <c:pt idx="4">
                  <c:v>0.7</c:v>
                </c:pt>
                <c:pt idx="6">
                  <c:v>0.71</c:v>
                </c:pt>
                <c:pt idx="7">
                  <c:v>0.61</c:v>
                </c:pt>
              </c:numCache>
            </c:numRef>
          </c:yVal>
          <c:smooth val="1"/>
        </c:ser>
        <c:dLbls>
          <c:showLegendKey val="0"/>
          <c:showVal val="0"/>
          <c:showCatName val="0"/>
          <c:showSerName val="0"/>
          <c:showPercent val="0"/>
          <c:showBubbleSize val="0"/>
        </c:dLbls>
        <c:axId val="57282560"/>
        <c:axId val="57284480"/>
        <c:extLst>
          <c:ext xmlns:c15="http://schemas.microsoft.com/office/drawing/2012/chart" uri="{02D57815-91ED-43cb-92C2-25804820EDAC}">
            <c15:filteredScatterSeries>
              <c15:ser>
                <c:idx val="0"/>
                <c:order val="6"/>
                <c:tx>
                  <c:v>8 AM to 12 PM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Unleaded!$G$4:$G$11</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c:ext uri="{02D57815-91ED-43cb-92C2-25804820EDAC}">
                        <c15:formulaRef>
                          <c15:sqref>Unleaded!$I$4:$I$11</c15:sqref>
                        </c15:formulaRef>
                      </c:ext>
                    </c:extLst>
                    <c:numCache>
                      <c:formatCode>"$"#,##0.00</c:formatCode>
                      <c:ptCount val="8"/>
                      <c:pt idx="0">
                        <c:v>0.88</c:v>
                      </c:pt>
                      <c:pt idx="1">
                        <c:v>0.8</c:v>
                      </c:pt>
                      <c:pt idx="2">
                        <c:v>0.8</c:v>
                      </c:pt>
                      <c:pt idx="3">
                        <c:v>0.85</c:v>
                      </c:pt>
                      <c:pt idx="5">
                        <c:v>0.9</c:v>
                      </c:pt>
                      <c:pt idx="6">
                        <c:v>0.9</c:v>
                      </c:pt>
                      <c:pt idx="7">
                        <c:v>0.72</c:v>
                      </c:pt>
                    </c:numCache>
                  </c:numRef>
                </c:yVal>
                <c:smooth val="1"/>
              </c15:ser>
            </c15:filteredScatterSeries>
            <c15:filteredScatterSeries>
              <c15:ser>
                <c:idx val="1"/>
                <c:order val="7"/>
                <c:tx>
                  <c:v>8 AM to 4 PM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Unleaded!$G$12:$G$18</c15:sqref>
                        </c15:formulaRef>
                      </c:ext>
                    </c:extLst>
                    <c:numCache>
                      <c:formatCode>m/d/yyyy</c:formatCode>
                      <c:ptCount val="7"/>
                      <c:pt idx="0">
                        <c:v>42898</c:v>
                      </c:pt>
                      <c:pt idx="1">
                        <c:v>42905</c:v>
                      </c:pt>
                      <c:pt idx="2">
                        <c:v>42912</c:v>
                      </c:pt>
                      <c:pt idx="3">
                        <c:v>42919</c:v>
                      </c:pt>
                      <c:pt idx="4">
                        <c:v>42926</c:v>
                      </c:pt>
                      <c:pt idx="5">
                        <c:v>42933</c:v>
                      </c:pt>
                      <c:pt idx="6">
                        <c:v>42941</c:v>
                      </c:pt>
                    </c:numCache>
                  </c:numRef>
                </c:xVal>
                <c:yVal>
                  <c:numRef>
                    <c:extLst xmlns:c15="http://schemas.microsoft.com/office/drawing/2012/chart">
                      <c:ext xmlns:c15="http://schemas.microsoft.com/office/drawing/2012/chart" uri="{02D57815-91ED-43cb-92C2-25804820EDAC}">
                        <c15:formulaRef>
                          <c15:sqref>Unleaded!$I$12:$I$19</c15:sqref>
                        </c15:formulaRef>
                      </c:ext>
                    </c:extLst>
                    <c:numCache>
                      <c:formatCode>"$"#,##0.00</c:formatCode>
                      <c:ptCount val="8"/>
                      <c:pt idx="0">
                        <c:v>0.88</c:v>
                      </c:pt>
                      <c:pt idx="1">
                        <c:v>0.8</c:v>
                      </c:pt>
                      <c:pt idx="2">
                        <c:v>0.8</c:v>
                      </c:pt>
                      <c:pt idx="6">
                        <c:v>0.8</c:v>
                      </c:pt>
                      <c:pt idx="7">
                        <c:v>0.85</c:v>
                      </c:pt>
                    </c:numCache>
                  </c:numRef>
                </c:yVal>
                <c:smooth val="1"/>
              </c15:ser>
            </c15:filteredScatterSeries>
            <c15:filteredScatterSeries>
              <c15:ser>
                <c:idx val="2"/>
                <c:order val="8"/>
                <c:tx>
                  <c:v>8 AM to 8 PM</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Unleaded!$G$20:$G$27</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Unleaded!$I$20:$I$27</c15:sqref>
                        </c15:formulaRef>
                      </c:ext>
                    </c:extLst>
                    <c:numCache>
                      <c:formatCode>"$"#,##0.00</c:formatCode>
                      <c:ptCount val="8"/>
                      <c:pt idx="0">
                        <c:v>1</c:v>
                      </c:pt>
                      <c:pt idx="1">
                        <c:v>0.85</c:v>
                      </c:pt>
                      <c:pt idx="2">
                        <c:v>0.8</c:v>
                      </c:pt>
                      <c:pt idx="3">
                        <c:v>0.85</c:v>
                      </c:pt>
                      <c:pt idx="5">
                        <c:v>0.95</c:v>
                      </c:pt>
                      <c:pt idx="6">
                        <c:v>0.8</c:v>
                      </c:pt>
                      <c:pt idx="7">
                        <c:v>0.89</c:v>
                      </c:pt>
                    </c:numCache>
                  </c:numRef>
                </c:yVal>
                <c:smooth val="1"/>
              </c15:ser>
            </c15:filteredScatterSeries>
            <c15:filteredScatterSeries>
              <c15:ser>
                <c:idx val="3"/>
                <c:order val="9"/>
                <c:tx>
                  <c:v>12 PM to 4 PM</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Unleaded!$G$28:$G$35</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Unleaded!$I$28:$I$35</c15:sqref>
                        </c15:formulaRef>
                      </c:ext>
                    </c:extLst>
                    <c:numCache>
                      <c:formatCode>"$"#,##0.00</c:formatCode>
                      <c:ptCount val="8"/>
                      <c:pt idx="0">
                        <c:v>0.79</c:v>
                      </c:pt>
                      <c:pt idx="1">
                        <c:v>0.74</c:v>
                      </c:pt>
                      <c:pt idx="2" formatCode="General">
                        <c:v>0.76</c:v>
                      </c:pt>
                      <c:pt idx="4">
                        <c:v>0.7</c:v>
                      </c:pt>
                      <c:pt idx="6">
                        <c:v>0.8</c:v>
                      </c:pt>
                      <c:pt idx="7">
                        <c:v>0.85</c:v>
                      </c:pt>
                    </c:numCache>
                  </c:numRef>
                </c:yVal>
                <c:smooth val="1"/>
              </c15:ser>
            </c15:filteredScatterSeries>
            <c15:filteredScatterSeries>
              <c15:ser>
                <c:idx val="4"/>
                <c:order val="10"/>
                <c:tx>
                  <c:v>12 PM to 8 PM</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Unleaded!$G$36:$G$43</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Unleaded!$I$36:$I$43</c15:sqref>
                        </c15:formulaRef>
                      </c:ext>
                    </c:extLst>
                    <c:numCache>
                      <c:formatCode>"$"#,##0.00</c:formatCode>
                      <c:ptCount val="8"/>
                      <c:pt idx="0">
                        <c:v>1</c:v>
                      </c:pt>
                      <c:pt idx="1">
                        <c:v>1.19</c:v>
                      </c:pt>
                      <c:pt idx="2" formatCode="General">
                        <c:v>0.73</c:v>
                      </c:pt>
                      <c:pt idx="3">
                        <c:v>0.82</c:v>
                      </c:pt>
                      <c:pt idx="4">
                        <c:v>0.86</c:v>
                      </c:pt>
                      <c:pt idx="5">
                        <c:v>0.98</c:v>
                      </c:pt>
                      <c:pt idx="6">
                        <c:v>0.8</c:v>
                      </c:pt>
                      <c:pt idx="7">
                        <c:v>1.01</c:v>
                      </c:pt>
                    </c:numCache>
                  </c:numRef>
                </c:yVal>
                <c:smooth val="1"/>
              </c15:ser>
            </c15:filteredScatterSeries>
            <c15:filteredScatterSeries>
              <c15:ser>
                <c:idx val="5"/>
                <c:order val="11"/>
                <c:tx>
                  <c:v>4 PM to 8 PM</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Unleaded!$G$44:$G$51</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Unleaded!$I$44:$I$51</c15:sqref>
                        </c15:formulaRef>
                      </c:ext>
                    </c:extLst>
                    <c:numCache>
                      <c:formatCode>"$"#,##0.00</c:formatCode>
                      <c:ptCount val="8"/>
                      <c:pt idx="0">
                        <c:v>1</c:v>
                      </c:pt>
                      <c:pt idx="1">
                        <c:v>1.19</c:v>
                      </c:pt>
                      <c:pt idx="2">
                        <c:v>0.76</c:v>
                      </c:pt>
                      <c:pt idx="4">
                        <c:v>0.86</c:v>
                      </c:pt>
                      <c:pt idx="6">
                        <c:v>0.7</c:v>
                      </c:pt>
                      <c:pt idx="7">
                        <c:v>0.89</c:v>
                      </c:pt>
                    </c:numCache>
                  </c:numRef>
                </c:yVal>
                <c:smooth val="1"/>
              </c15:ser>
            </c15:filteredScatterSeries>
          </c:ext>
        </c:extLst>
      </c:scatterChart>
      <c:valAx>
        <c:axId val="57282560"/>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out"/>
        <c:minorTickMark val="none"/>
        <c:tickLblPos val="nextTo"/>
        <c:spPr>
          <a:noFill/>
          <a:ln w="9525" cap="flat" cmpd="sng" algn="ctr">
            <a:solidFill>
              <a:schemeClr val="tx1">
                <a:lumMod val="25000"/>
                <a:lumOff val="75000"/>
              </a:schemeClr>
            </a:solidFill>
            <a:round/>
          </a:ln>
          <a:effectLst/>
        </c:spPr>
        <c:txPr>
          <a:bodyPr rot="-258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284480"/>
        <c:crossesAt val="0"/>
        <c:crossBetween val="midCat"/>
      </c:valAx>
      <c:valAx>
        <c:axId val="57284480"/>
        <c:scaling>
          <c:orientation val="minMax"/>
          <c:max val="1.3"/>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Observed differences in price of regular</a:t>
                </a:r>
                <a:r>
                  <a:rPr lang="en-US" baseline="0"/>
                  <a:t> gasoline</a:t>
                </a:r>
                <a:r>
                  <a:rPr lang="en-US"/>
                  <a:t> ($)</a:t>
                </a:r>
              </a:p>
            </c:rich>
          </c:tx>
          <c:layout>
            <c:manualLayout>
              <c:xMode val="edge"/>
              <c:yMode val="edge"/>
              <c:x val="3.4090031198930323E-2"/>
              <c:y val="0.14120699565434985"/>
            </c:manualLayout>
          </c:layout>
          <c:overlay val="0"/>
          <c:spPr>
            <a:noFill/>
            <a:ln>
              <a:noFill/>
            </a:ln>
            <a:effectLst/>
          </c:spPr>
        </c:title>
        <c:numFmt formatCode="&quot;$&quot;#,##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82560"/>
        <c:crosses val="autoZero"/>
        <c:crossBetween val="midCat"/>
      </c:valAx>
      <c:spPr>
        <a:noFill/>
        <a:ln>
          <a:noFill/>
        </a:ln>
        <a:effectLst/>
      </c:spPr>
    </c:plotArea>
    <c:legend>
      <c:legendPos val="b"/>
      <c:layout>
        <c:manualLayout>
          <c:xMode val="edge"/>
          <c:yMode val="edge"/>
          <c:x val="5.1898512685914264E-2"/>
          <c:y val="0.92336216495665291"/>
          <c:w val="0.90157931871419295"/>
          <c:h val="7.6637835043346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Mid!$H$4</c:f>
              <c:strCache>
                <c:ptCount val="1"/>
                <c:pt idx="0">
                  <c:v>8 AM to 12 PM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Mid!$G$4:$G$11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Mid!$J$4:$J$11</c:f>
              <c:numCache>
                <c:formatCode>#,##0</c:formatCode>
                <c:ptCount val="8"/>
                <c:pt idx="0">
                  <c:v>7101</c:v>
                </c:pt>
                <c:pt idx="1">
                  <c:v>6156</c:v>
                </c:pt>
                <c:pt idx="2">
                  <c:v>6208</c:v>
                </c:pt>
                <c:pt idx="3">
                  <c:v>4348</c:v>
                </c:pt>
                <c:pt idx="5">
                  <c:v>5524</c:v>
                </c:pt>
                <c:pt idx="6">
                  <c:v>5583</c:v>
                </c:pt>
                <c:pt idx="7">
                  <c:v>6328</c:v>
                </c:pt>
              </c:numCache>
            </c:numRef>
          </c:yVal>
          <c:smooth val="1"/>
        </c:ser>
        <c:ser>
          <c:idx val="1"/>
          <c:order val="1"/>
          <c:tx>
            <c:strRef>
              <c:f>Mid!$H$12</c:f>
              <c:strCache>
                <c:ptCount val="1"/>
                <c:pt idx="0">
                  <c:v>8 AM to 4 PM</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Mid!$G$12:$G$19</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Mid!$J$12:$J$19</c:f>
              <c:numCache>
                <c:formatCode>#,##0</c:formatCode>
                <c:ptCount val="8"/>
                <c:pt idx="0">
                  <c:v>13082</c:v>
                </c:pt>
                <c:pt idx="1">
                  <c:v>11448</c:v>
                </c:pt>
                <c:pt idx="2">
                  <c:v>11131</c:v>
                </c:pt>
                <c:pt idx="6">
                  <c:v>10370</c:v>
                </c:pt>
                <c:pt idx="7">
                  <c:v>12146</c:v>
                </c:pt>
              </c:numCache>
            </c:numRef>
          </c:yVal>
          <c:smooth val="1"/>
        </c:ser>
        <c:ser>
          <c:idx val="2"/>
          <c:order val="2"/>
          <c:tx>
            <c:strRef>
              <c:f>Mid!$H$20</c:f>
              <c:strCache>
                <c:ptCount val="1"/>
                <c:pt idx="0">
                  <c:v>8 AM to 8 PM</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Mid!$G$20:$G$27</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Mid!$J$20:$J$27</c:f>
              <c:numCache>
                <c:formatCode>#,##0</c:formatCode>
                <c:ptCount val="8"/>
                <c:pt idx="0">
                  <c:v>17126</c:v>
                </c:pt>
                <c:pt idx="1">
                  <c:v>15382</c:v>
                </c:pt>
                <c:pt idx="2">
                  <c:v>15847</c:v>
                </c:pt>
                <c:pt idx="3">
                  <c:v>11699</c:v>
                </c:pt>
                <c:pt idx="5">
                  <c:v>14812</c:v>
                </c:pt>
                <c:pt idx="6">
                  <c:v>14172</c:v>
                </c:pt>
                <c:pt idx="7">
                  <c:v>16364</c:v>
                </c:pt>
              </c:numCache>
            </c:numRef>
          </c:yVal>
          <c:smooth val="1"/>
        </c:ser>
        <c:ser>
          <c:idx val="3"/>
          <c:order val="3"/>
          <c:tx>
            <c:strRef>
              <c:f>Mid!$H$28</c:f>
              <c:strCache>
                <c:ptCount val="1"/>
                <c:pt idx="0">
                  <c:v>12 PM to 4 PM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Mid!$G$28:$G$35</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Mid!$J$28:$J$35</c:f>
              <c:numCache>
                <c:formatCode>#,##0</c:formatCode>
                <c:ptCount val="8"/>
                <c:pt idx="0">
                  <c:v>7417</c:v>
                </c:pt>
                <c:pt idx="1">
                  <c:v>6458</c:v>
                </c:pt>
                <c:pt idx="2">
                  <c:v>6047</c:v>
                </c:pt>
                <c:pt idx="4">
                  <c:v>4508</c:v>
                </c:pt>
                <c:pt idx="6">
                  <c:v>5579</c:v>
                </c:pt>
                <c:pt idx="7">
                  <c:v>6978</c:v>
                </c:pt>
              </c:numCache>
            </c:numRef>
          </c:yVal>
          <c:smooth val="1"/>
        </c:ser>
        <c:ser>
          <c:idx val="4"/>
          <c:order val="4"/>
          <c:tx>
            <c:strRef>
              <c:f>Mid!$H$36</c:f>
              <c:strCache>
                <c:ptCount val="1"/>
                <c:pt idx="0">
                  <c:v>12 PM to 8 PM</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Mid!$G$36:$G$43</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Mid!$J$36:$J$43</c:f>
              <c:numCache>
                <c:formatCode>#,##0</c:formatCode>
                <c:ptCount val="8"/>
                <c:pt idx="0">
                  <c:v>11961</c:v>
                </c:pt>
                <c:pt idx="1">
                  <c:v>10846</c:v>
                </c:pt>
                <c:pt idx="2">
                  <c:v>11275</c:v>
                </c:pt>
                <c:pt idx="3">
                  <c:v>8461</c:v>
                </c:pt>
                <c:pt idx="4">
                  <c:v>8910</c:v>
                </c:pt>
                <c:pt idx="5">
                  <c:v>10716</c:v>
                </c:pt>
                <c:pt idx="6">
                  <c:v>9969</c:v>
                </c:pt>
                <c:pt idx="7">
                  <c:v>11736</c:v>
                </c:pt>
              </c:numCache>
            </c:numRef>
          </c:yVal>
          <c:smooth val="1"/>
        </c:ser>
        <c:ser>
          <c:idx val="5"/>
          <c:order val="5"/>
          <c:tx>
            <c:strRef>
              <c:f>Mid!$H$44</c:f>
              <c:strCache>
                <c:ptCount val="1"/>
                <c:pt idx="0">
                  <c:v>4 PM to 8 PM</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Mid!$G$44:$G$51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Mid!$J$44:$J$51</c:f>
              <c:numCache>
                <c:formatCode>#,##0</c:formatCode>
                <c:ptCount val="8"/>
                <c:pt idx="0">
                  <c:v>5791</c:v>
                </c:pt>
                <c:pt idx="1">
                  <c:v>5579</c:v>
                </c:pt>
                <c:pt idx="2">
                  <c:v>6201</c:v>
                </c:pt>
                <c:pt idx="4">
                  <c:v>5163</c:v>
                </c:pt>
                <c:pt idx="6">
                  <c:v>5199</c:v>
                </c:pt>
                <c:pt idx="7">
                  <c:v>5874</c:v>
                </c:pt>
              </c:numCache>
            </c:numRef>
          </c:yVal>
          <c:smooth val="1"/>
        </c:ser>
        <c:dLbls>
          <c:showLegendKey val="0"/>
          <c:showVal val="0"/>
          <c:showCatName val="0"/>
          <c:showSerName val="0"/>
          <c:showPercent val="0"/>
          <c:showBubbleSize val="0"/>
        </c:dLbls>
        <c:axId val="57341824"/>
        <c:axId val="57942016"/>
      </c:scatterChart>
      <c:valAx>
        <c:axId val="5734182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4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42016"/>
        <c:crosses val="autoZero"/>
        <c:crossBetween val="midCat"/>
      </c:valAx>
      <c:valAx>
        <c:axId val="5794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Instances of Observed Occurence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41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8339594343159"/>
          <c:y val="4.7985767888799095E-2"/>
          <c:w val="0.81901659153592343"/>
          <c:h val="0.76490130857747796"/>
        </c:manualLayout>
      </c:layout>
      <c:scatterChart>
        <c:scatterStyle val="smoothMarker"/>
        <c:varyColors val="0"/>
        <c:ser>
          <c:idx val="12"/>
          <c:order val="0"/>
          <c:tx>
            <c:strRef>
              <c:f>Premium!$H$4</c:f>
              <c:strCache>
                <c:ptCount val="1"/>
                <c:pt idx="0">
                  <c:v>8 AM to 12 PM</c:v>
                </c:pt>
              </c:strCache>
            </c:strRef>
          </c:tx>
          <c:spPr>
            <a:ln w="19050"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f>Premium!$G$4:$G$11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Premium!$I$4:$I$11</c:f>
              <c:numCache>
                <c:formatCode>"$"#,##0.00</c:formatCode>
                <c:ptCount val="8"/>
                <c:pt idx="0">
                  <c:v>0.79</c:v>
                </c:pt>
                <c:pt idx="1">
                  <c:v>0.81</c:v>
                </c:pt>
                <c:pt idx="2">
                  <c:v>0.93</c:v>
                </c:pt>
                <c:pt idx="3">
                  <c:v>0.68</c:v>
                </c:pt>
                <c:pt idx="5">
                  <c:v>0.91</c:v>
                </c:pt>
                <c:pt idx="6">
                  <c:v>0.8</c:v>
                </c:pt>
                <c:pt idx="7">
                  <c:v>0.7</c:v>
                </c:pt>
              </c:numCache>
            </c:numRef>
          </c:yVal>
          <c:smooth val="1"/>
        </c:ser>
        <c:ser>
          <c:idx val="13"/>
          <c:order val="1"/>
          <c:tx>
            <c:strRef>
              <c:f>Premium!$H$12</c:f>
              <c:strCache>
                <c:ptCount val="1"/>
                <c:pt idx="0">
                  <c:v>8 AM to 4 PM</c:v>
                </c:pt>
              </c:strCache>
            </c:strRef>
          </c:tx>
          <c:spPr>
            <a:ln w="19050"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xVal>
            <c:numRef>
              <c:f>Premium!$G$12:$G$19</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Premium!$I$12:$I$19</c:f>
              <c:numCache>
                <c:formatCode>"$"#,##0.00</c:formatCode>
                <c:ptCount val="8"/>
                <c:pt idx="0">
                  <c:v>0.77</c:v>
                </c:pt>
                <c:pt idx="1">
                  <c:v>1.08</c:v>
                </c:pt>
                <c:pt idx="2">
                  <c:v>0.93</c:v>
                </c:pt>
                <c:pt idx="6">
                  <c:v>0.91</c:v>
                </c:pt>
                <c:pt idx="7">
                  <c:v>0.77</c:v>
                </c:pt>
              </c:numCache>
            </c:numRef>
          </c:yVal>
          <c:smooth val="1"/>
        </c:ser>
        <c:ser>
          <c:idx val="14"/>
          <c:order val="2"/>
          <c:tx>
            <c:strRef>
              <c:f>Premium!$H$20</c:f>
              <c:strCache>
                <c:ptCount val="1"/>
                <c:pt idx="0">
                  <c:v>8 AM to 8 PM</c:v>
                </c:pt>
              </c:strCache>
            </c:strRef>
          </c:tx>
          <c:spPr>
            <a:ln w="19050"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xVal>
            <c:numRef>
              <c:f>Premium!$G$20:$G$27</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Premium!$I$20:$I$27</c:f>
              <c:numCache>
                <c:formatCode>"$"#,##0.00</c:formatCode>
                <c:ptCount val="8"/>
                <c:pt idx="0">
                  <c:v>0.84</c:v>
                </c:pt>
                <c:pt idx="1">
                  <c:v>1.08</c:v>
                </c:pt>
                <c:pt idx="2">
                  <c:v>0.9</c:v>
                </c:pt>
                <c:pt idx="3">
                  <c:v>0.89</c:v>
                </c:pt>
                <c:pt idx="5">
                  <c:v>0.91</c:v>
                </c:pt>
                <c:pt idx="6">
                  <c:v>0.8</c:v>
                </c:pt>
                <c:pt idx="7">
                  <c:v>0.76</c:v>
                </c:pt>
              </c:numCache>
            </c:numRef>
          </c:yVal>
          <c:smooth val="1"/>
        </c:ser>
        <c:ser>
          <c:idx val="15"/>
          <c:order val="3"/>
          <c:tx>
            <c:strRef>
              <c:f>Premium!$H$28</c:f>
              <c:strCache>
                <c:ptCount val="1"/>
                <c:pt idx="0">
                  <c:v>12 PM to 4 PM</c:v>
                </c:pt>
              </c:strCache>
            </c:strRef>
          </c:tx>
          <c:spPr>
            <a:ln w="19050"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xVal>
            <c:numRef>
              <c:f>Premium!$G$28:$G$35</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Premium!$I$28:$I$35</c:f>
              <c:numCache>
                <c:formatCode>"$"#,##0.00</c:formatCode>
                <c:ptCount val="8"/>
                <c:pt idx="0">
                  <c:v>0.79</c:v>
                </c:pt>
                <c:pt idx="1">
                  <c:v>1.08</c:v>
                </c:pt>
                <c:pt idx="2">
                  <c:v>0.83</c:v>
                </c:pt>
                <c:pt idx="4">
                  <c:v>0.8</c:v>
                </c:pt>
                <c:pt idx="6">
                  <c:v>0.91</c:v>
                </c:pt>
                <c:pt idx="7">
                  <c:v>0.77</c:v>
                </c:pt>
              </c:numCache>
            </c:numRef>
          </c:yVal>
          <c:smooth val="1"/>
        </c:ser>
        <c:ser>
          <c:idx val="16"/>
          <c:order val="4"/>
          <c:tx>
            <c:strRef>
              <c:f>Premium!$H$36</c:f>
              <c:strCache>
                <c:ptCount val="1"/>
                <c:pt idx="0">
                  <c:v>12 PM to 8 PM</c:v>
                </c:pt>
              </c:strCache>
            </c:strRef>
          </c:tx>
          <c:spPr>
            <a:ln w="19050"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xVal>
            <c:numRef>
              <c:f>Premium!$G$36:$G$43</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Premium!$I$36:$I$43</c:f>
              <c:numCache>
                <c:formatCode>"$"#,##0.00</c:formatCode>
                <c:ptCount val="8"/>
                <c:pt idx="0">
                  <c:v>0.84</c:v>
                </c:pt>
                <c:pt idx="1">
                  <c:v>1.08</c:v>
                </c:pt>
                <c:pt idx="2">
                  <c:v>0.93</c:v>
                </c:pt>
                <c:pt idx="3">
                  <c:v>0.89</c:v>
                </c:pt>
                <c:pt idx="4">
                  <c:v>0.95</c:v>
                </c:pt>
                <c:pt idx="5">
                  <c:v>0.8</c:v>
                </c:pt>
                <c:pt idx="6">
                  <c:v>0.8</c:v>
                </c:pt>
                <c:pt idx="7">
                  <c:v>0.76</c:v>
                </c:pt>
              </c:numCache>
            </c:numRef>
          </c:yVal>
          <c:smooth val="1"/>
        </c:ser>
        <c:ser>
          <c:idx val="17"/>
          <c:order val="5"/>
          <c:tx>
            <c:strRef>
              <c:f>Premium!$H$44</c:f>
              <c:strCache>
                <c:ptCount val="1"/>
                <c:pt idx="0">
                  <c:v>4 PM to 8 PM</c:v>
                </c:pt>
              </c:strCache>
            </c:strRef>
          </c:tx>
          <c:spPr>
            <a:ln w="19050"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xVal>
            <c:numRef>
              <c:f>Premium!$G$44:$G$51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Premium!$I$44:$I$51</c:f>
              <c:numCache>
                <c:formatCode>"$"#,##0.00</c:formatCode>
                <c:ptCount val="8"/>
                <c:pt idx="0">
                  <c:v>0.84</c:v>
                </c:pt>
                <c:pt idx="1">
                  <c:v>0.8</c:v>
                </c:pt>
                <c:pt idx="2">
                  <c:v>0.93</c:v>
                </c:pt>
                <c:pt idx="4">
                  <c:v>0.95</c:v>
                </c:pt>
                <c:pt idx="6">
                  <c:v>0.91</c:v>
                </c:pt>
                <c:pt idx="7">
                  <c:v>0.78</c:v>
                </c:pt>
              </c:numCache>
            </c:numRef>
          </c:yVal>
          <c:smooth val="1"/>
        </c:ser>
        <c:dLbls>
          <c:showLegendKey val="0"/>
          <c:showVal val="0"/>
          <c:showCatName val="0"/>
          <c:showSerName val="0"/>
          <c:showPercent val="0"/>
          <c:showBubbleSize val="0"/>
        </c:dLbls>
        <c:axId val="57986048"/>
        <c:axId val="57996416"/>
        <c:extLst>
          <c:ext xmlns:c15="http://schemas.microsoft.com/office/drawing/2012/chart" uri="{02D57815-91ED-43cb-92C2-25804820EDAC}">
            <c15:filteredScatterSeries>
              <c15:ser>
                <c:idx val="6"/>
                <c:order val="6"/>
                <c:tx>
                  <c:strRef>
                    <c:extLst>
                      <c:ext uri="{02D57815-91ED-43cb-92C2-25804820EDAC}">
                        <c15:formulaRef>
                          <c15:sqref>Mid!$H$4</c15:sqref>
                        </c15:formulaRef>
                      </c:ext>
                    </c:extLst>
                    <c:strCache>
                      <c:ptCount val="1"/>
                      <c:pt idx="0">
                        <c:v>8 AM to 12 PM</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extLst>
                      <c:ext uri="{02D57815-91ED-43cb-92C2-25804820EDAC}">
                        <c15:formulaRef>
                          <c15:sqref>Mid!$G$4:$G$11</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c:ext uri="{02D57815-91ED-43cb-92C2-25804820EDAC}">
                        <c15:formulaRef>
                          <c15:sqref>Mid!$I$4:$I$11</c15:sqref>
                        </c15:formulaRef>
                      </c:ext>
                    </c:extLst>
                    <c:numCache>
                      <c:formatCode>"$"#,##0.00</c:formatCode>
                      <c:ptCount val="8"/>
                      <c:pt idx="0">
                        <c:v>0.55000000000000004</c:v>
                      </c:pt>
                      <c:pt idx="1">
                        <c:v>0.8</c:v>
                      </c:pt>
                      <c:pt idx="2">
                        <c:v>0.7</c:v>
                      </c:pt>
                      <c:pt idx="3">
                        <c:v>0.89</c:v>
                      </c:pt>
                      <c:pt idx="5">
                        <c:v>0.74</c:v>
                      </c:pt>
                      <c:pt idx="6">
                        <c:v>0.7</c:v>
                      </c:pt>
                      <c:pt idx="7">
                        <c:v>0.71</c:v>
                      </c:pt>
                    </c:numCache>
                  </c:numRef>
                </c:yVal>
                <c:smooth val="1"/>
              </c15:ser>
            </c15:filteredScatterSeries>
            <c15:filteredScatterSeries>
              <c15:ser>
                <c:idx val="7"/>
                <c:order val="7"/>
                <c:tx>
                  <c:v>8 AM to 4 PM</c:v>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extLst xmlns:c15="http://schemas.microsoft.com/office/drawing/2012/chart">
                      <c:ext xmlns:c15="http://schemas.microsoft.com/office/drawing/2012/chart" uri="{02D57815-91ED-43cb-92C2-25804820EDAC}">
                        <c15:formulaRef>
                          <c15:sqref>Mid!$G$12:$G$19</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Mid!$I$12:$I$19</c15:sqref>
                        </c15:formulaRef>
                      </c:ext>
                    </c:extLst>
                    <c:numCache>
                      <c:formatCode>"$"#,##0.00</c:formatCode>
                      <c:ptCount val="8"/>
                      <c:pt idx="0">
                        <c:v>0.7</c:v>
                      </c:pt>
                      <c:pt idx="1">
                        <c:v>0.79</c:v>
                      </c:pt>
                      <c:pt idx="2">
                        <c:v>0.77</c:v>
                      </c:pt>
                      <c:pt idx="6">
                        <c:v>0.7</c:v>
                      </c:pt>
                      <c:pt idx="7" formatCode="General">
                        <c:v>0.8</c:v>
                      </c:pt>
                    </c:numCache>
                  </c:numRef>
                </c:yVal>
                <c:smooth val="1"/>
              </c15:ser>
            </c15:filteredScatterSeries>
            <c15:filteredScatterSeries>
              <c15:ser>
                <c:idx val="8"/>
                <c:order val="8"/>
                <c:tx>
                  <c:strRef>
                    <c:extLst xmlns:c15="http://schemas.microsoft.com/office/drawing/2012/chart">
                      <c:ext xmlns:c15="http://schemas.microsoft.com/office/drawing/2012/chart" uri="{02D57815-91ED-43cb-92C2-25804820EDAC}">
                        <c15:formulaRef>
                          <c15:sqref>Mid!$H$20</c15:sqref>
                        </c15:formulaRef>
                      </c:ext>
                    </c:extLst>
                    <c:strCache>
                      <c:ptCount val="1"/>
                      <c:pt idx="0">
                        <c:v>8 AM to 8 PM</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extLst xmlns:c15="http://schemas.microsoft.com/office/drawing/2012/chart">
                      <c:ext xmlns:c15="http://schemas.microsoft.com/office/drawing/2012/chart" uri="{02D57815-91ED-43cb-92C2-25804820EDAC}">
                        <c15:formulaRef>
                          <c15:sqref>Mid!$G$20:$G$27</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Mid!$I$20:$I$27</c15:sqref>
                        </c15:formulaRef>
                      </c:ext>
                    </c:extLst>
                    <c:numCache>
                      <c:formatCode>"$"#,##0.00</c:formatCode>
                      <c:ptCount val="8"/>
                      <c:pt idx="0">
                        <c:v>0.7</c:v>
                      </c:pt>
                      <c:pt idx="1">
                        <c:v>0.79</c:v>
                      </c:pt>
                      <c:pt idx="2">
                        <c:v>0.77</c:v>
                      </c:pt>
                      <c:pt idx="3">
                        <c:v>0.89</c:v>
                      </c:pt>
                      <c:pt idx="5">
                        <c:v>0.74</c:v>
                      </c:pt>
                      <c:pt idx="6">
                        <c:v>0.71</c:v>
                      </c:pt>
                      <c:pt idx="7" formatCode="General">
                        <c:v>0.8</c:v>
                      </c:pt>
                    </c:numCache>
                  </c:numRef>
                </c:yVal>
                <c:smooth val="1"/>
              </c15:ser>
            </c15:filteredScatterSeries>
            <c15:filteredScatterSeries>
              <c15:ser>
                <c:idx val="9"/>
                <c:order val="9"/>
                <c:tx>
                  <c:strRef>
                    <c:extLst xmlns:c15="http://schemas.microsoft.com/office/drawing/2012/chart">
                      <c:ext xmlns:c15="http://schemas.microsoft.com/office/drawing/2012/chart" uri="{02D57815-91ED-43cb-92C2-25804820EDAC}">
                        <c15:formulaRef>
                          <c15:sqref>Mid!$H$28</c15:sqref>
                        </c15:formulaRef>
                      </c:ext>
                    </c:extLst>
                    <c:strCache>
                      <c:ptCount val="1"/>
                      <c:pt idx="0">
                        <c:v>12 PM to 4 PM</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Mid!$G$28:$G$35</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Mid!$I$28:$I$35</c15:sqref>
                        </c15:formulaRef>
                      </c:ext>
                    </c:extLst>
                    <c:numCache>
                      <c:formatCode>"$"#,##0.00</c:formatCode>
                      <c:ptCount val="8"/>
                      <c:pt idx="0">
                        <c:v>0.64</c:v>
                      </c:pt>
                      <c:pt idx="1">
                        <c:v>0.8</c:v>
                      </c:pt>
                      <c:pt idx="2">
                        <c:v>0.8</c:v>
                      </c:pt>
                      <c:pt idx="4">
                        <c:v>0.7</c:v>
                      </c:pt>
                      <c:pt idx="6">
                        <c:v>0.6</c:v>
                      </c:pt>
                      <c:pt idx="7">
                        <c:v>0.8</c:v>
                      </c:pt>
                    </c:numCache>
                  </c:numRef>
                </c:yVal>
                <c:smooth val="1"/>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Mid!$H$36</c15:sqref>
                        </c15:formulaRef>
                      </c:ext>
                    </c:extLst>
                    <c:strCache>
                      <c:ptCount val="1"/>
                      <c:pt idx="0">
                        <c:v>12 PM to 8 PM</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extLst xmlns:c15="http://schemas.microsoft.com/office/drawing/2012/chart">
                      <c:ext xmlns:c15="http://schemas.microsoft.com/office/drawing/2012/chart" uri="{02D57815-91ED-43cb-92C2-25804820EDAC}">
                        <c15:formulaRef>
                          <c15:sqref>Mid!$G$36:$G$43</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Mid!$I$36:$I$43</c15:sqref>
                        </c15:formulaRef>
                      </c:ext>
                    </c:extLst>
                    <c:numCache>
                      <c:formatCode>"$"#,##0.00</c:formatCode>
                      <c:ptCount val="8"/>
                      <c:pt idx="0">
                        <c:v>0.64</c:v>
                      </c:pt>
                      <c:pt idx="1">
                        <c:v>0.8</c:v>
                      </c:pt>
                      <c:pt idx="2">
                        <c:v>0.8</c:v>
                      </c:pt>
                      <c:pt idx="3">
                        <c:v>0.7</c:v>
                      </c:pt>
                      <c:pt idx="4">
                        <c:v>0.7</c:v>
                      </c:pt>
                      <c:pt idx="5">
                        <c:v>0.65</c:v>
                      </c:pt>
                      <c:pt idx="6">
                        <c:v>0.71</c:v>
                      </c:pt>
                      <c:pt idx="7">
                        <c:v>0.8</c:v>
                      </c:pt>
                    </c:numCache>
                  </c:numRef>
                </c:yVal>
                <c:smooth val="1"/>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Mid!$H$44</c15:sqref>
                        </c15:formulaRef>
                      </c:ext>
                    </c:extLst>
                    <c:strCache>
                      <c:ptCount val="1"/>
                      <c:pt idx="0">
                        <c:v>4 PM to 8 PM</c:v>
                      </c:pt>
                    </c:strCache>
                  </c:strRef>
                </c:tx>
                <c:spPr>
                  <a:ln w="19050"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xVal>
                  <c:numRef>
                    <c:extLst xmlns:c15="http://schemas.microsoft.com/office/drawing/2012/chart">
                      <c:ext xmlns:c15="http://schemas.microsoft.com/office/drawing/2012/chart" uri="{02D57815-91ED-43cb-92C2-25804820EDAC}">
                        <c15:formulaRef>
                          <c15:sqref>Mid!$G$44:$G$51</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Mid!$I$44:$I$51</c15:sqref>
                        </c15:formulaRef>
                      </c:ext>
                    </c:extLst>
                    <c:numCache>
                      <c:formatCode>"$"#,##0.00</c:formatCode>
                      <c:ptCount val="8"/>
                      <c:pt idx="0">
                        <c:v>0.6</c:v>
                      </c:pt>
                      <c:pt idx="1">
                        <c:v>0.7</c:v>
                      </c:pt>
                      <c:pt idx="2">
                        <c:v>0.61</c:v>
                      </c:pt>
                      <c:pt idx="4">
                        <c:v>0.7</c:v>
                      </c:pt>
                      <c:pt idx="6">
                        <c:v>0.71</c:v>
                      </c:pt>
                      <c:pt idx="7">
                        <c:v>0.61</c:v>
                      </c:pt>
                    </c:numCache>
                  </c:numRef>
                </c:yVal>
                <c:smooth val="1"/>
              </c15:ser>
            </c15:filteredScatterSeries>
            <c15:filteredScatterSeries>
              <c15:ser>
                <c:idx val="0"/>
                <c:order val="12"/>
                <c:tx>
                  <c:v>8 AM to 12 PM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xmlns:c15="http://schemas.microsoft.com/office/drawing/2012/chart">
                      <c:ext xmlns:c15="http://schemas.microsoft.com/office/drawing/2012/chart" uri="{02D57815-91ED-43cb-92C2-25804820EDAC}">
                        <c15:formulaRef>
                          <c15:sqref>Unleaded!$G$4:$G$11</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Unleaded!$I$4:$I$11</c15:sqref>
                        </c15:formulaRef>
                      </c:ext>
                    </c:extLst>
                    <c:numCache>
                      <c:formatCode>"$"#,##0.00</c:formatCode>
                      <c:ptCount val="8"/>
                      <c:pt idx="0">
                        <c:v>0.88</c:v>
                      </c:pt>
                      <c:pt idx="1">
                        <c:v>0.8</c:v>
                      </c:pt>
                      <c:pt idx="2">
                        <c:v>0.8</c:v>
                      </c:pt>
                      <c:pt idx="3">
                        <c:v>0.85</c:v>
                      </c:pt>
                      <c:pt idx="5">
                        <c:v>0.9</c:v>
                      </c:pt>
                      <c:pt idx="6">
                        <c:v>0.9</c:v>
                      </c:pt>
                      <c:pt idx="7">
                        <c:v>0.72</c:v>
                      </c:pt>
                    </c:numCache>
                  </c:numRef>
                </c:yVal>
                <c:smooth val="1"/>
              </c15:ser>
            </c15:filteredScatterSeries>
            <c15:filteredScatterSeries>
              <c15:ser>
                <c:idx val="1"/>
                <c:order val="13"/>
                <c:tx>
                  <c:v>8 AM to 4 PM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Unleaded!$G$12:$G$18</c15:sqref>
                        </c15:formulaRef>
                      </c:ext>
                    </c:extLst>
                    <c:numCache>
                      <c:formatCode>m/d/yyyy</c:formatCode>
                      <c:ptCount val="7"/>
                      <c:pt idx="0">
                        <c:v>42898</c:v>
                      </c:pt>
                      <c:pt idx="1">
                        <c:v>42905</c:v>
                      </c:pt>
                      <c:pt idx="2">
                        <c:v>42912</c:v>
                      </c:pt>
                      <c:pt idx="3">
                        <c:v>42919</c:v>
                      </c:pt>
                      <c:pt idx="4">
                        <c:v>42926</c:v>
                      </c:pt>
                      <c:pt idx="5">
                        <c:v>42933</c:v>
                      </c:pt>
                      <c:pt idx="6">
                        <c:v>42941</c:v>
                      </c:pt>
                    </c:numCache>
                  </c:numRef>
                </c:xVal>
                <c:yVal>
                  <c:numRef>
                    <c:extLst xmlns:c15="http://schemas.microsoft.com/office/drawing/2012/chart">
                      <c:ext xmlns:c15="http://schemas.microsoft.com/office/drawing/2012/chart" uri="{02D57815-91ED-43cb-92C2-25804820EDAC}">
                        <c15:formulaRef>
                          <c15:sqref>Unleaded!$I$12:$I$19</c15:sqref>
                        </c15:formulaRef>
                      </c:ext>
                    </c:extLst>
                    <c:numCache>
                      <c:formatCode>"$"#,##0.00</c:formatCode>
                      <c:ptCount val="8"/>
                      <c:pt idx="0">
                        <c:v>0.88</c:v>
                      </c:pt>
                      <c:pt idx="1">
                        <c:v>0.8</c:v>
                      </c:pt>
                      <c:pt idx="2">
                        <c:v>0.8</c:v>
                      </c:pt>
                      <c:pt idx="6">
                        <c:v>0.8</c:v>
                      </c:pt>
                      <c:pt idx="7">
                        <c:v>0.85</c:v>
                      </c:pt>
                    </c:numCache>
                  </c:numRef>
                </c:yVal>
                <c:smooth val="1"/>
              </c15:ser>
            </c15:filteredScatterSeries>
            <c15:filteredScatterSeries>
              <c15:ser>
                <c:idx val="2"/>
                <c:order val="14"/>
                <c:tx>
                  <c:v>8 AM to 8 PM</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Unleaded!$G$20:$G$27</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Unleaded!$I$20:$I$27</c15:sqref>
                        </c15:formulaRef>
                      </c:ext>
                    </c:extLst>
                    <c:numCache>
                      <c:formatCode>"$"#,##0.00</c:formatCode>
                      <c:ptCount val="8"/>
                      <c:pt idx="0">
                        <c:v>1</c:v>
                      </c:pt>
                      <c:pt idx="1">
                        <c:v>0.85</c:v>
                      </c:pt>
                      <c:pt idx="2">
                        <c:v>0.8</c:v>
                      </c:pt>
                      <c:pt idx="3">
                        <c:v>0.85</c:v>
                      </c:pt>
                      <c:pt idx="5">
                        <c:v>0.95</c:v>
                      </c:pt>
                      <c:pt idx="6">
                        <c:v>0.8</c:v>
                      </c:pt>
                      <c:pt idx="7">
                        <c:v>0.89</c:v>
                      </c:pt>
                    </c:numCache>
                  </c:numRef>
                </c:yVal>
                <c:smooth val="1"/>
              </c15:ser>
            </c15:filteredScatterSeries>
            <c15:filteredScatterSeries>
              <c15:ser>
                <c:idx val="3"/>
                <c:order val="15"/>
                <c:tx>
                  <c:v>12 PM to 4 PM</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Unleaded!$G$28:$G$35</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Unleaded!$I$28:$I$35</c15:sqref>
                        </c15:formulaRef>
                      </c:ext>
                    </c:extLst>
                    <c:numCache>
                      <c:formatCode>"$"#,##0.00</c:formatCode>
                      <c:ptCount val="8"/>
                      <c:pt idx="0">
                        <c:v>0.79</c:v>
                      </c:pt>
                      <c:pt idx="1">
                        <c:v>0.74</c:v>
                      </c:pt>
                      <c:pt idx="2" formatCode="General">
                        <c:v>0.76</c:v>
                      </c:pt>
                      <c:pt idx="4">
                        <c:v>0.7</c:v>
                      </c:pt>
                      <c:pt idx="6">
                        <c:v>0.8</c:v>
                      </c:pt>
                      <c:pt idx="7">
                        <c:v>0.85</c:v>
                      </c:pt>
                    </c:numCache>
                  </c:numRef>
                </c:yVal>
                <c:smooth val="1"/>
              </c15:ser>
            </c15:filteredScatterSeries>
            <c15:filteredScatterSeries>
              <c15:ser>
                <c:idx val="4"/>
                <c:order val="16"/>
                <c:tx>
                  <c:v>12 PM to 8 PM</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Unleaded!$G$36:$G$43</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Unleaded!$I$36:$I$43</c15:sqref>
                        </c15:formulaRef>
                      </c:ext>
                    </c:extLst>
                    <c:numCache>
                      <c:formatCode>"$"#,##0.00</c:formatCode>
                      <c:ptCount val="8"/>
                      <c:pt idx="0">
                        <c:v>1</c:v>
                      </c:pt>
                      <c:pt idx="1">
                        <c:v>1.19</c:v>
                      </c:pt>
                      <c:pt idx="2" formatCode="General">
                        <c:v>0.73</c:v>
                      </c:pt>
                      <c:pt idx="3">
                        <c:v>0.82</c:v>
                      </c:pt>
                      <c:pt idx="4">
                        <c:v>0.86</c:v>
                      </c:pt>
                      <c:pt idx="5">
                        <c:v>0.98</c:v>
                      </c:pt>
                      <c:pt idx="6">
                        <c:v>0.8</c:v>
                      </c:pt>
                      <c:pt idx="7">
                        <c:v>1.01</c:v>
                      </c:pt>
                    </c:numCache>
                  </c:numRef>
                </c:yVal>
                <c:smooth val="1"/>
              </c15:ser>
            </c15:filteredScatterSeries>
            <c15:filteredScatterSeries>
              <c15:ser>
                <c:idx val="5"/>
                <c:order val="17"/>
                <c:tx>
                  <c:v>4 PM to 8 PM</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Unleaded!$G$44:$G$51</c15:sqref>
                        </c15:formulaRef>
                      </c:ext>
                    </c:extLst>
                    <c:numCache>
                      <c:formatCode>m/d/yyyy</c:formatCode>
                      <c:ptCount val="8"/>
                      <c:pt idx="0">
                        <c:v>42898</c:v>
                      </c:pt>
                      <c:pt idx="1">
                        <c:v>42905</c:v>
                      </c:pt>
                      <c:pt idx="2">
                        <c:v>42912</c:v>
                      </c:pt>
                      <c:pt idx="3">
                        <c:v>42919</c:v>
                      </c:pt>
                      <c:pt idx="4">
                        <c:v>42926</c:v>
                      </c:pt>
                      <c:pt idx="5">
                        <c:v>42933</c:v>
                      </c:pt>
                      <c:pt idx="6">
                        <c:v>42941</c:v>
                      </c:pt>
                      <c:pt idx="7">
                        <c:v>42948</c:v>
                      </c:pt>
                    </c:numCache>
                  </c:numRef>
                </c:xVal>
                <c:yVal>
                  <c:numRef>
                    <c:extLst xmlns:c15="http://schemas.microsoft.com/office/drawing/2012/chart">
                      <c:ext xmlns:c15="http://schemas.microsoft.com/office/drawing/2012/chart" uri="{02D57815-91ED-43cb-92C2-25804820EDAC}">
                        <c15:formulaRef>
                          <c15:sqref>Unleaded!$I$44:$I$51</c15:sqref>
                        </c15:formulaRef>
                      </c:ext>
                    </c:extLst>
                    <c:numCache>
                      <c:formatCode>"$"#,##0.00</c:formatCode>
                      <c:ptCount val="8"/>
                      <c:pt idx="0">
                        <c:v>1</c:v>
                      </c:pt>
                      <c:pt idx="1">
                        <c:v>1.19</c:v>
                      </c:pt>
                      <c:pt idx="2">
                        <c:v>0.76</c:v>
                      </c:pt>
                      <c:pt idx="4">
                        <c:v>0.86</c:v>
                      </c:pt>
                      <c:pt idx="6">
                        <c:v>0.7</c:v>
                      </c:pt>
                      <c:pt idx="7">
                        <c:v>0.89</c:v>
                      </c:pt>
                    </c:numCache>
                  </c:numRef>
                </c:yVal>
                <c:smooth val="1"/>
              </c15:ser>
            </c15:filteredScatterSeries>
          </c:ext>
        </c:extLst>
      </c:scatterChart>
      <c:valAx>
        <c:axId val="57986048"/>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out"/>
        <c:minorTickMark val="none"/>
        <c:tickLblPos val="nextTo"/>
        <c:spPr>
          <a:noFill/>
          <a:ln w="9525" cap="flat" cmpd="sng" algn="ctr">
            <a:solidFill>
              <a:schemeClr val="tx1">
                <a:lumMod val="25000"/>
                <a:lumOff val="75000"/>
              </a:schemeClr>
            </a:solidFill>
            <a:round/>
          </a:ln>
          <a:effectLst/>
        </c:spPr>
        <c:txPr>
          <a:bodyPr rot="-258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996416"/>
        <c:crossesAt val="0"/>
        <c:crossBetween val="midCat"/>
      </c:valAx>
      <c:valAx>
        <c:axId val="57996416"/>
        <c:scaling>
          <c:orientation val="minMax"/>
          <c:max val="1.3"/>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Observed differences in price of regular</a:t>
                </a:r>
                <a:r>
                  <a:rPr lang="en-US" baseline="0"/>
                  <a:t> gasoline</a:t>
                </a:r>
                <a:r>
                  <a:rPr lang="en-US"/>
                  <a:t> ($)</a:t>
                </a:r>
              </a:p>
            </c:rich>
          </c:tx>
          <c:layout>
            <c:manualLayout>
              <c:xMode val="edge"/>
              <c:yMode val="edge"/>
              <c:x val="3.4090031198930323E-2"/>
              <c:y val="0.14120699565434985"/>
            </c:manualLayout>
          </c:layout>
          <c:overlay val="0"/>
          <c:spPr>
            <a:noFill/>
            <a:ln>
              <a:noFill/>
            </a:ln>
            <a:effectLst/>
          </c:spPr>
        </c:title>
        <c:numFmt formatCode="&quot;$&quot;#,##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86048"/>
        <c:crosses val="autoZero"/>
        <c:crossBetween val="midCat"/>
      </c:valAx>
      <c:spPr>
        <a:noFill/>
        <a:ln>
          <a:noFill/>
        </a:ln>
        <a:effectLst/>
      </c:spPr>
    </c:plotArea>
    <c:legend>
      <c:legendPos val="b"/>
      <c:layout>
        <c:manualLayout>
          <c:xMode val="edge"/>
          <c:yMode val="edge"/>
          <c:x val="5.1898512685914264E-2"/>
          <c:y val="0.92336216495665291"/>
          <c:w val="0.90157931871419295"/>
          <c:h val="7.6637835043346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Premium!$H$4</c:f>
              <c:strCache>
                <c:ptCount val="1"/>
                <c:pt idx="0">
                  <c:v>8 AM to 12 PM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Premium!$G$4:$G$11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Premium!$J$4:$J$11</c:f>
              <c:numCache>
                <c:formatCode>#,##0</c:formatCode>
                <c:ptCount val="8"/>
                <c:pt idx="0">
                  <c:v>6959</c:v>
                </c:pt>
                <c:pt idx="1">
                  <c:v>6057</c:v>
                </c:pt>
                <c:pt idx="2">
                  <c:v>6085</c:v>
                </c:pt>
                <c:pt idx="3">
                  <c:v>4356</c:v>
                </c:pt>
                <c:pt idx="5">
                  <c:v>5512</c:v>
                </c:pt>
                <c:pt idx="6">
                  <c:v>5530</c:v>
                </c:pt>
                <c:pt idx="7">
                  <c:v>6296</c:v>
                </c:pt>
              </c:numCache>
            </c:numRef>
          </c:yVal>
          <c:smooth val="1"/>
        </c:ser>
        <c:ser>
          <c:idx val="1"/>
          <c:order val="1"/>
          <c:tx>
            <c:strRef>
              <c:f>Premium!$H$12</c:f>
              <c:strCache>
                <c:ptCount val="1"/>
                <c:pt idx="0">
                  <c:v>8 AM to 4 PM</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Premium!$G$12:$G$19</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Premium!$J$12:$J$19</c:f>
              <c:numCache>
                <c:formatCode>#,##0</c:formatCode>
                <c:ptCount val="8"/>
                <c:pt idx="0">
                  <c:v>13086</c:v>
                </c:pt>
                <c:pt idx="1">
                  <c:v>11455</c:v>
                </c:pt>
                <c:pt idx="2">
                  <c:v>11007</c:v>
                </c:pt>
                <c:pt idx="6">
                  <c:v>10235</c:v>
                </c:pt>
                <c:pt idx="7">
                  <c:v>12133</c:v>
                </c:pt>
              </c:numCache>
            </c:numRef>
          </c:yVal>
          <c:smooth val="1"/>
        </c:ser>
        <c:ser>
          <c:idx val="2"/>
          <c:order val="2"/>
          <c:tx>
            <c:strRef>
              <c:f>Premium!$H$20</c:f>
              <c:strCache>
                <c:ptCount val="1"/>
                <c:pt idx="0">
                  <c:v>8 AM to 8 PM</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Premium!$G$20:$G$27</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Premium!$J$20:$J$27</c:f>
              <c:numCache>
                <c:formatCode>#,##0</c:formatCode>
                <c:ptCount val="8"/>
                <c:pt idx="0">
                  <c:v>16936</c:v>
                </c:pt>
                <c:pt idx="1">
                  <c:v>15438</c:v>
                </c:pt>
                <c:pt idx="2">
                  <c:v>15655</c:v>
                </c:pt>
                <c:pt idx="3">
                  <c:v>11638</c:v>
                </c:pt>
                <c:pt idx="5">
                  <c:v>14738</c:v>
                </c:pt>
                <c:pt idx="6">
                  <c:v>13968</c:v>
                </c:pt>
                <c:pt idx="7">
                  <c:v>16359</c:v>
                </c:pt>
              </c:numCache>
            </c:numRef>
          </c:yVal>
          <c:smooth val="1"/>
        </c:ser>
        <c:ser>
          <c:idx val="3"/>
          <c:order val="3"/>
          <c:tx>
            <c:strRef>
              <c:f>Premium!$H$28</c:f>
              <c:strCache>
                <c:ptCount val="1"/>
                <c:pt idx="0">
                  <c:v>12 PM to 4 PM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Premium!$G$28:$G$35</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Premium!$J$28:$J$35</c:f>
              <c:numCache>
                <c:formatCode>#,##0</c:formatCode>
                <c:ptCount val="8"/>
                <c:pt idx="0">
                  <c:v>7551</c:v>
                </c:pt>
                <c:pt idx="1">
                  <c:v>6500</c:v>
                </c:pt>
                <c:pt idx="2">
                  <c:v>6039</c:v>
                </c:pt>
                <c:pt idx="4">
                  <c:v>4618</c:v>
                </c:pt>
                <c:pt idx="6">
                  <c:v>5513</c:v>
                </c:pt>
                <c:pt idx="7">
                  <c:v>7032</c:v>
                </c:pt>
              </c:numCache>
            </c:numRef>
          </c:yVal>
          <c:smooth val="1"/>
        </c:ser>
        <c:ser>
          <c:idx val="4"/>
          <c:order val="4"/>
          <c:tx>
            <c:strRef>
              <c:f>Premium!$H$36</c:f>
              <c:strCache>
                <c:ptCount val="1"/>
                <c:pt idx="0">
                  <c:v>12 PM to 8 PM</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Premium!$G$36:$G$43</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Premium!$J$36:$J$43</c:f>
              <c:numCache>
                <c:formatCode>#,##0</c:formatCode>
                <c:ptCount val="8"/>
                <c:pt idx="0">
                  <c:v>11878</c:v>
                </c:pt>
                <c:pt idx="1">
                  <c:v>10971</c:v>
                </c:pt>
                <c:pt idx="2">
                  <c:v>11205</c:v>
                </c:pt>
                <c:pt idx="3">
                  <c:v>8529</c:v>
                </c:pt>
                <c:pt idx="4">
                  <c:v>9034</c:v>
                </c:pt>
                <c:pt idx="5">
                  <c:v>10667</c:v>
                </c:pt>
                <c:pt idx="6">
                  <c:v>9815</c:v>
                </c:pt>
                <c:pt idx="7">
                  <c:v>11772</c:v>
                </c:pt>
              </c:numCache>
            </c:numRef>
          </c:yVal>
          <c:smooth val="1"/>
        </c:ser>
        <c:ser>
          <c:idx val="5"/>
          <c:order val="5"/>
          <c:tx>
            <c:strRef>
              <c:f>Premium!$H$44</c:f>
              <c:strCache>
                <c:ptCount val="1"/>
                <c:pt idx="0">
                  <c:v>4 PM to 8 PM</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Premium!$G$44:$G$51</c:f>
              <c:numCache>
                <c:formatCode>m/d/yyyy</c:formatCode>
                <c:ptCount val="8"/>
                <c:pt idx="0">
                  <c:v>42898</c:v>
                </c:pt>
                <c:pt idx="1">
                  <c:v>42905</c:v>
                </c:pt>
                <c:pt idx="2">
                  <c:v>42912</c:v>
                </c:pt>
                <c:pt idx="3">
                  <c:v>42919</c:v>
                </c:pt>
                <c:pt idx="4">
                  <c:v>42926</c:v>
                </c:pt>
                <c:pt idx="5">
                  <c:v>42933</c:v>
                </c:pt>
                <c:pt idx="6">
                  <c:v>42941</c:v>
                </c:pt>
                <c:pt idx="7">
                  <c:v>42948</c:v>
                </c:pt>
              </c:numCache>
            </c:numRef>
          </c:xVal>
          <c:yVal>
            <c:numRef>
              <c:f>Premium!$J$44:$J$51</c:f>
              <c:numCache>
                <c:formatCode>#,##0</c:formatCode>
                <c:ptCount val="8"/>
                <c:pt idx="0">
                  <c:v>5601</c:v>
                </c:pt>
                <c:pt idx="1">
                  <c:v>5639</c:v>
                </c:pt>
                <c:pt idx="2">
                  <c:v>6235</c:v>
                </c:pt>
                <c:pt idx="4">
                  <c:v>5192</c:v>
                </c:pt>
                <c:pt idx="6">
                  <c:v>5141</c:v>
                </c:pt>
                <c:pt idx="7">
                  <c:v>5902</c:v>
                </c:pt>
              </c:numCache>
            </c:numRef>
          </c:yVal>
          <c:smooth val="1"/>
        </c:ser>
        <c:dLbls>
          <c:showLegendKey val="0"/>
          <c:showVal val="0"/>
          <c:showCatName val="0"/>
          <c:showSerName val="0"/>
          <c:showPercent val="0"/>
          <c:showBubbleSize val="0"/>
        </c:dLbls>
        <c:axId val="58028800"/>
        <c:axId val="58030720"/>
      </c:scatterChart>
      <c:valAx>
        <c:axId val="58028800"/>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5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30720"/>
        <c:crosses val="autoZero"/>
        <c:crossBetween val="midCat"/>
      </c:valAx>
      <c:valAx>
        <c:axId val="5803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Instances of Observed occurrence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288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Sheet2!$B$3</c:f>
              <c:strCache>
                <c:ptCount val="1"/>
                <c:pt idx="0">
                  <c:v>Brand A </c:v>
                </c:pt>
              </c:strCache>
            </c:strRef>
          </c:tx>
          <c:spPr>
            <a:ln w="28575" cap="rnd">
              <a:solidFill>
                <a:srgbClr val="0070C0"/>
              </a:solidFill>
              <a:round/>
            </a:ln>
            <a:effectLst/>
          </c:spPr>
          <c:marker>
            <c:symbol val="none"/>
          </c:marker>
          <c:cat>
            <c:strRef>
              <c:f>Sheet2!$A$4:$A$15</c:f>
              <c:strCache>
                <c:ptCount val="12"/>
                <c:pt idx="0">
                  <c:v>05/15/2017</c:v>
                </c:pt>
                <c:pt idx="1">
                  <c:v>05/22/2017</c:v>
                </c:pt>
                <c:pt idx="2">
                  <c:v>05/29/2017</c:v>
                </c:pt>
                <c:pt idx="3">
                  <c:v>06/05/2017</c:v>
                </c:pt>
                <c:pt idx="4">
                  <c:v>06/12/2017</c:v>
                </c:pt>
                <c:pt idx="5">
                  <c:v>06/19/2017</c:v>
                </c:pt>
                <c:pt idx="6">
                  <c:v>06/26/2017</c:v>
                </c:pt>
                <c:pt idx="7">
                  <c:v>07/03/2017</c:v>
                </c:pt>
                <c:pt idx="8">
                  <c:v>07/10/2017</c:v>
                </c:pt>
                <c:pt idx="9">
                  <c:v>07/17/2017</c:v>
                </c:pt>
                <c:pt idx="10">
                  <c:v>07/24/2017</c:v>
                </c:pt>
                <c:pt idx="11">
                  <c:v>07/31/2017</c:v>
                </c:pt>
              </c:strCache>
            </c:strRef>
          </c:cat>
          <c:val>
            <c:numRef>
              <c:f>Sheet2!$B$4:$B$15</c:f>
              <c:numCache>
                <c:formatCode>General</c:formatCode>
                <c:ptCount val="12"/>
                <c:pt idx="0">
                  <c:v>2</c:v>
                </c:pt>
                <c:pt idx="1">
                  <c:v>1</c:v>
                </c:pt>
                <c:pt idx="2">
                  <c:v>5</c:v>
                </c:pt>
                <c:pt idx="3">
                  <c:v>5</c:v>
                </c:pt>
                <c:pt idx="4">
                  <c:v>4</c:v>
                </c:pt>
                <c:pt idx="5">
                  <c:v>0</c:v>
                </c:pt>
                <c:pt idx="6">
                  <c:v>0</c:v>
                </c:pt>
                <c:pt idx="7">
                  <c:v>0</c:v>
                </c:pt>
                <c:pt idx="8">
                  <c:v>0</c:v>
                </c:pt>
                <c:pt idx="9">
                  <c:v>0</c:v>
                </c:pt>
                <c:pt idx="10">
                  <c:v>0</c:v>
                </c:pt>
                <c:pt idx="11">
                  <c:v>1</c:v>
                </c:pt>
              </c:numCache>
            </c:numRef>
          </c:val>
          <c:smooth val="0"/>
        </c:ser>
        <c:dLbls>
          <c:showLegendKey val="0"/>
          <c:showVal val="0"/>
          <c:showCatName val="0"/>
          <c:showSerName val="0"/>
          <c:showPercent val="0"/>
          <c:showBubbleSize val="0"/>
        </c:dLbls>
        <c:marker val="1"/>
        <c:smooth val="0"/>
        <c:axId val="59270272"/>
        <c:axId val="59271808"/>
      </c:lineChart>
      <c:lineChart>
        <c:grouping val="stacked"/>
        <c:varyColors val="0"/>
        <c:ser>
          <c:idx val="1"/>
          <c:order val="1"/>
          <c:tx>
            <c:strRef>
              <c:f>Sheet2!$C$3</c:f>
              <c:strCache>
                <c:ptCount val="1"/>
                <c:pt idx="0">
                  <c:v>All Brands</c:v>
                </c:pt>
              </c:strCache>
            </c:strRef>
          </c:tx>
          <c:spPr>
            <a:ln w="28575" cap="rnd">
              <a:solidFill>
                <a:schemeClr val="accent3">
                  <a:lumMod val="75000"/>
                </a:schemeClr>
              </a:solidFill>
              <a:round/>
            </a:ln>
            <a:effectLst/>
          </c:spPr>
          <c:marker>
            <c:symbol val="none"/>
          </c:marker>
          <c:cat>
            <c:strRef>
              <c:f>Sheet2!$A$4:$A$15</c:f>
              <c:strCache>
                <c:ptCount val="12"/>
                <c:pt idx="0">
                  <c:v>05/15/2017</c:v>
                </c:pt>
                <c:pt idx="1">
                  <c:v>05/22/2017</c:v>
                </c:pt>
                <c:pt idx="2">
                  <c:v>05/29/2017</c:v>
                </c:pt>
                <c:pt idx="3">
                  <c:v>06/05/2017</c:v>
                </c:pt>
                <c:pt idx="4">
                  <c:v>06/12/2017</c:v>
                </c:pt>
                <c:pt idx="5">
                  <c:v>06/19/2017</c:v>
                </c:pt>
                <c:pt idx="6">
                  <c:v>06/26/2017</c:v>
                </c:pt>
                <c:pt idx="7">
                  <c:v>07/03/2017</c:v>
                </c:pt>
                <c:pt idx="8">
                  <c:v>07/10/2017</c:v>
                </c:pt>
                <c:pt idx="9">
                  <c:v>07/17/2017</c:v>
                </c:pt>
                <c:pt idx="10">
                  <c:v>07/24/2017</c:v>
                </c:pt>
                <c:pt idx="11">
                  <c:v>07/31/2017</c:v>
                </c:pt>
              </c:strCache>
            </c:strRef>
          </c:cat>
          <c:val>
            <c:numRef>
              <c:f>Sheet2!$C$4:$C$15</c:f>
              <c:numCache>
                <c:formatCode>General</c:formatCode>
                <c:ptCount val="12"/>
                <c:pt idx="0">
                  <c:v>80</c:v>
                </c:pt>
                <c:pt idx="1">
                  <c:v>74</c:v>
                </c:pt>
                <c:pt idx="2">
                  <c:v>93</c:v>
                </c:pt>
                <c:pt idx="3">
                  <c:v>92</c:v>
                </c:pt>
                <c:pt idx="4">
                  <c:v>86</c:v>
                </c:pt>
                <c:pt idx="5">
                  <c:v>89</c:v>
                </c:pt>
                <c:pt idx="6">
                  <c:v>98</c:v>
                </c:pt>
                <c:pt idx="7">
                  <c:v>89</c:v>
                </c:pt>
                <c:pt idx="8">
                  <c:v>89</c:v>
                </c:pt>
                <c:pt idx="9">
                  <c:v>91</c:v>
                </c:pt>
                <c:pt idx="10">
                  <c:v>84</c:v>
                </c:pt>
                <c:pt idx="11">
                  <c:v>99</c:v>
                </c:pt>
              </c:numCache>
            </c:numRef>
          </c:val>
          <c:smooth val="0"/>
        </c:ser>
        <c:dLbls>
          <c:showLegendKey val="0"/>
          <c:showVal val="0"/>
          <c:showCatName val="0"/>
          <c:showSerName val="0"/>
          <c:showPercent val="0"/>
          <c:showBubbleSize val="0"/>
        </c:dLbls>
        <c:marker val="1"/>
        <c:smooth val="0"/>
        <c:axId val="59279616"/>
        <c:axId val="59278080"/>
      </c:lineChart>
      <c:catAx>
        <c:axId val="5927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1808"/>
        <c:crosses val="autoZero"/>
        <c:auto val="1"/>
        <c:lblAlgn val="ctr"/>
        <c:lblOffset val="100"/>
        <c:noMultiLvlLbl val="0"/>
      </c:catAx>
      <c:valAx>
        <c:axId val="5927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Instances</a:t>
                </a:r>
                <a:r>
                  <a:rPr lang="en-US" baseline="0"/>
                  <a:t> of Over $0.05 Price Difference</a:t>
                </a:r>
                <a:endParaRPr lang="en-US"/>
              </a:p>
            </c:rich>
          </c:tx>
          <c:layout>
            <c:manualLayout>
              <c:xMode val="edge"/>
              <c:yMode val="edge"/>
              <c:x val="1.9478411427334703E-2"/>
              <c:y val="8.390646492434662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0272"/>
        <c:crosses val="autoZero"/>
        <c:crossBetween val="between"/>
      </c:valAx>
      <c:valAx>
        <c:axId val="592780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9616"/>
        <c:crosses val="max"/>
        <c:crossBetween val="between"/>
      </c:valAx>
      <c:catAx>
        <c:axId val="59279616"/>
        <c:scaling>
          <c:orientation val="minMax"/>
        </c:scaling>
        <c:delete val="1"/>
        <c:axPos val="b"/>
        <c:numFmt formatCode="General" sourceLinked="1"/>
        <c:majorTickMark val="out"/>
        <c:minorTickMark val="none"/>
        <c:tickLblPos val="nextTo"/>
        <c:crossAx val="59278080"/>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ia">
  <a:themeElements>
    <a:clrScheme name="EIA">
      <a:dk1>
        <a:srgbClr val="000000"/>
      </a:dk1>
      <a:lt1>
        <a:srgbClr val="FFFFFF"/>
      </a:lt1>
      <a:dk2>
        <a:srgbClr val="003953"/>
      </a:dk2>
      <a:lt2>
        <a:srgbClr val="333333"/>
      </a:lt2>
      <a:accent1>
        <a:srgbClr val="0096D7"/>
      </a:accent1>
      <a:accent2>
        <a:srgbClr val="BD732A"/>
      </a:accent2>
      <a:accent3>
        <a:srgbClr val="5D9732"/>
      </a:accent3>
      <a:accent4>
        <a:srgbClr val="FFC702"/>
      </a:accent4>
      <a:accent5>
        <a:srgbClr val="A33340"/>
      </a:accent5>
      <a:accent6>
        <a:srgbClr val="675005"/>
      </a:accent6>
      <a:hlink>
        <a:srgbClr val="0096D7"/>
      </a:hlink>
      <a:folHlink>
        <a:srgbClr val="5D9732"/>
      </a:folHlink>
    </a:clrScheme>
    <a:fontScheme name="EIA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Arial" pitchFamily="-112" charset="0"/>
            <a:ea typeface="ＭＳ Ｐゴシック" pitchFamily="-112" charset="-128"/>
            <a:cs typeface="ＭＳ Ｐゴシック" pitchFamily="-112"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Arial" pitchFamily="-112" charset="0"/>
            <a:ea typeface="ＭＳ Ｐゴシック" pitchFamily="-112" charset="-128"/>
            <a:cs typeface="ＭＳ Ｐゴシック" pitchFamily="-112" charset="-128"/>
          </a:defRPr>
        </a:defPPr>
      </a:lstStyle>
    </a:lnDef>
    <a:txDef>
      <a:spPr bwMode="auto">
        <a:noFill/>
        <a:ln w="9525">
          <a:noFill/>
          <a:miter lim="800000"/>
          <a:headEnd/>
          <a:tailEnd/>
        </a:ln>
      </a:spPr>
      <a:bodyPr lIns="0" tIns="0" rIns="0">
        <a:prstTxWarp prst="textNoShape">
          <a:avLst/>
        </a:prstTxWarp>
      </a:bodyPr>
      <a:lstStyle>
        <a:defPPr eaLnBrk="0" hangingPunct="0">
          <a:defRPr sz="1600" i="1" dirty="0" smtClean="0">
            <a:solidFill>
              <a:srgbClr val="333333"/>
            </a:solidFill>
            <a:latin typeface="Times New Roman" charset="0"/>
            <a:ea typeface="Times New Roman" charset="0"/>
            <a:cs typeface="Times New Roman" charset="0"/>
          </a:defRPr>
        </a:defPPr>
      </a:lstStyle>
    </a:tx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IA">
    <a:dk1>
      <a:srgbClr val="000000"/>
    </a:dk1>
    <a:lt1>
      <a:srgbClr val="FFFFFF"/>
    </a:lt1>
    <a:dk2>
      <a:srgbClr val="003953"/>
    </a:dk2>
    <a:lt2>
      <a:srgbClr val="333333"/>
    </a:lt2>
    <a:accent1>
      <a:srgbClr val="0096D7"/>
    </a:accent1>
    <a:accent2>
      <a:srgbClr val="BD732A"/>
    </a:accent2>
    <a:accent3>
      <a:srgbClr val="5D9732"/>
    </a:accent3>
    <a:accent4>
      <a:srgbClr val="FFC702"/>
    </a:accent4>
    <a:accent5>
      <a:srgbClr val="A33340"/>
    </a:accent5>
    <a:accent6>
      <a:srgbClr val="675005"/>
    </a:accent6>
    <a:hlink>
      <a:srgbClr val="0096D7"/>
    </a:hlink>
    <a:folHlink>
      <a:srgbClr val="5D9732"/>
    </a:folHlink>
  </a:clrScheme>
  <a:fontScheme name="EIA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IA">
    <a:dk1>
      <a:srgbClr val="000000"/>
    </a:dk1>
    <a:lt1>
      <a:srgbClr val="FFFFFF"/>
    </a:lt1>
    <a:dk2>
      <a:srgbClr val="003953"/>
    </a:dk2>
    <a:lt2>
      <a:srgbClr val="333333"/>
    </a:lt2>
    <a:accent1>
      <a:srgbClr val="0096D7"/>
    </a:accent1>
    <a:accent2>
      <a:srgbClr val="BD732A"/>
    </a:accent2>
    <a:accent3>
      <a:srgbClr val="5D9732"/>
    </a:accent3>
    <a:accent4>
      <a:srgbClr val="FFC702"/>
    </a:accent4>
    <a:accent5>
      <a:srgbClr val="A33340"/>
    </a:accent5>
    <a:accent6>
      <a:srgbClr val="675005"/>
    </a:accent6>
    <a:hlink>
      <a:srgbClr val="0096D7"/>
    </a:hlink>
    <a:folHlink>
      <a:srgbClr val="5D9732"/>
    </a:folHlink>
  </a:clrScheme>
  <a:fontScheme name="EIA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IA">
    <a:dk1>
      <a:srgbClr val="000000"/>
    </a:dk1>
    <a:lt1>
      <a:srgbClr val="FFFFFF"/>
    </a:lt1>
    <a:dk2>
      <a:srgbClr val="003953"/>
    </a:dk2>
    <a:lt2>
      <a:srgbClr val="333333"/>
    </a:lt2>
    <a:accent1>
      <a:srgbClr val="0096D7"/>
    </a:accent1>
    <a:accent2>
      <a:srgbClr val="BD732A"/>
    </a:accent2>
    <a:accent3>
      <a:srgbClr val="5D9732"/>
    </a:accent3>
    <a:accent4>
      <a:srgbClr val="FFC702"/>
    </a:accent4>
    <a:accent5>
      <a:srgbClr val="A33340"/>
    </a:accent5>
    <a:accent6>
      <a:srgbClr val="675005"/>
    </a:accent6>
    <a:hlink>
      <a:srgbClr val="0096D7"/>
    </a:hlink>
    <a:folHlink>
      <a:srgbClr val="5D9732"/>
    </a:folHlink>
  </a:clrScheme>
  <a:fontScheme name="EIA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IA">
    <a:dk1>
      <a:srgbClr val="000000"/>
    </a:dk1>
    <a:lt1>
      <a:srgbClr val="FFFFFF"/>
    </a:lt1>
    <a:dk2>
      <a:srgbClr val="003953"/>
    </a:dk2>
    <a:lt2>
      <a:srgbClr val="333333"/>
    </a:lt2>
    <a:accent1>
      <a:srgbClr val="0096D7"/>
    </a:accent1>
    <a:accent2>
      <a:srgbClr val="BD732A"/>
    </a:accent2>
    <a:accent3>
      <a:srgbClr val="5D9732"/>
    </a:accent3>
    <a:accent4>
      <a:srgbClr val="FFC702"/>
    </a:accent4>
    <a:accent5>
      <a:srgbClr val="A33340"/>
    </a:accent5>
    <a:accent6>
      <a:srgbClr val="675005"/>
    </a:accent6>
    <a:hlink>
      <a:srgbClr val="0096D7"/>
    </a:hlink>
    <a:folHlink>
      <a:srgbClr val="5D9732"/>
    </a:folHlink>
  </a:clrScheme>
  <a:fontScheme name="EIA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IA">
    <a:dk1>
      <a:srgbClr val="000000"/>
    </a:dk1>
    <a:lt1>
      <a:srgbClr val="FFFFFF"/>
    </a:lt1>
    <a:dk2>
      <a:srgbClr val="003953"/>
    </a:dk2>
    <a:lt2>
      <a:srgbClr val="333333"/>
    </a:lt2>
    <a:accent1>
      <a:srgbClr val="0096D7"/>
    </a:accent1>
    <a:accent2>
      <a:srgbClr val="BD732A"/>
    </a:accent2>
    <a:accent3>
      <a:srgbClr val="5D9732"/>
    </a:accent3>
    <a:accent4>
      <a:srgbClr val="FFC702"/>
    </a:accent4>
    <a:accent5>
      <a:srgbClr val="A33340"/>
    </a:accent5>
    <a:accent6>
      <a:srgbClr val="675005"/>
    </a:accent6>
    <a:hlink>
      <a:srgbClr val="0096D7"/>
    </a:hlink>
    <a:folHlink>
      <a:srgbClr val="5D9732"/>
    </a:folHlink>
  </a:clrScheme>
  <a:fontScheme name="EIA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IA">
    <a:dk1>
      <a:srgbClr val="000000"/>
    </a:dk1>
    <a:lt1>
      <a:srgbClr val="FFFFFF"/>
    </a:lt1>
    <a:dk2>
      <a:srgbClr val="003953"/>
    </a:dk2>
    <a:lt2>
      <a:srgbClr val="333333"/>
    </a:lt2>
    <a:accent1>
      <a:srgbClr val="0096D7"/>
    </a:accent1>
    <a:accent2>
      <a:srgbClr val="BD732A"/>
    </a:accent2>
    <a:accent3>
      <a:srgbClr val="5D9732"/>
    </a:accent3>
    <a:accent4>
      <a:srgbClr val="FFC702"/>
    </a:accent4>
    <a:accent5>
      <a:srgbClr val="A33340"/>
    </a:accent5>
    <a:accent6>
      <a:srgbClr val="675005"/>
    </a:accent6>
    <a:hlink>
      <a:srgbClr val="0096D7"/>
    </a:hlink>
    <a:folHlink>
      <a:srgbClr val="5D9732"/>
    </a:folHlink>
  </a:clrScheme>
  <a:fontScheme name="EIA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76E773-ADEE-4BBA-B15C-44ACF9C8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14719</Words>
  <Characters>83901</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Evaluation of Alternative Sources of Motor Gasoline Prices and Volumes</vt:lpstr>
    </vt:vector>
  </TitlesOfParts>
  <Company/>
  <LinksUpToDate>false</LinksUpToDate>
  <CharactersWithSpaces>98424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Alternative Sources of Motor Gasoline Prices and Volumes</dc:title>
  <dc:subject>Evaluation of Alternative Sources for Motor Gasoline Prices and Volumes</dc:subject>
  <dc:creator>Lu, Ruey-Pyng</dc:creator>
  <cp:keywords/>
  <dc:description/>
  <cp:lastModifiedBy>SYSTEM</cp:lastModifiedBy>
  <cp:revision>2</cp:revision>
  <cp:lastPrinted>2017-10-30T19:40:00Z</cp:lastPrinted>
  <dcterms:created xsi:type="dcterms:W3CDTF">2017-11-06T18:45:00Z</dcterms:created>
  <dcterms:modified xsi:type="dcterms:W3CDTF">2017-11-06T18:45:00Z</dcterms:modified>
</cp:coreProperties>
</file>