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D1042" w14:textId="77777777" w:rsidR="00D7442B" w:rsidRDefault="00D7442B" w:rsidP="00BD621C">
      <w:pPr>
        <w:pStyle w:val="BodyText"/>
        <w:rPr>
          <w:noProof/>
        </w:rPr>
      </w:pPr>
      <w:bookmarkStart w:id="0" w:name="_GoBack"/>
      <w:bookmarkEnd w:id="0"/>
    </w:p>
    <w:p w14:paraId="54A58ECA" w14:textId="77777777" w:rsidR="00D7442B" w:rsidRDefault="00D7442B" w:rsidP="00BD621C">
      <w:pPr>
        <w:pStyle w:val="BodyText"/>
        <w:rPr>
          <w:noProof/>
        </w:rPr>
      </w:pPr>
    </w:p>
    <w:p w14:paraId="6E63BAEA" w14:textId="77777777" w:rsidR="00D7442B" w:rsidRDefault="00D7442B" w:rsidP="00BD621C">
      <w:pPr>
        <w:pStyle w:val="BodyText"/>
        <w:rPr>
          <w:noProof/>
        </w:rPr>
      </w:pPr>
    </w:p>
    <w:p w14:paraId="0306938E" w14:textId="77777777" w:rsidR="00D7442B" w:rsidRDefault="00D7442B" w:rsidP="00BD621C">
      <w:pPr>
        <w:pStyle w:val="BodyText"/>
        <w:rPr>
          <w:noProof/>
        </w:rPr>
      </w:pPr>
    </w:p>
    <w:p w14:paraId="2E575B78" w14:textId="77777777" w:rsidR="00D7442B" w:rsidRDefault="00D7442B" w:rsidP="00BD621C">
      <w:pPr>
        <w:pStyle w:val="BodyText"/>
        <w:rPr>
          <w:noProof/>
        </w:rPr>
      </w:pPr>
    </w:p>
    <w:p w14:paraId="685CDCDD" w14:textId="77777777" w:rsidR="00D7442B" w:rsidRDefault="00D7442B" w:rsidP="00BD621C">
      <w:pPr>
        <w:pStyle w:val="BodyText"/>
        <w:rPr>
          <w:noProof/>
        </w:rPr>
      </w:pPr>
    </w:p>
    <w:p w14:paraId="4D920C0F" w14:textId="77777777" w:rsidR="00D7442B" w:rsidRDefault="00D7442B" w:rsidP="00BD621C">
      <w:pPr>
        <w:pStyle w:val="BodyText"/>
        <w:rPr>
          <w:noProof/>
        </w:rPr>
      </w:pPr>
    </w:p>
    <w:p w14:paraId="25FF06BA" w14:textId="77777777" w:rsidR="00B81F4B" w:rsidRDefault="00B81F4B" w:rsidP="00B81F4B">
      <w:pPr>
        <w:pStyle w:val="CoverTextRed16pt"/>
        <w:ind w:left="0"/>
        <w:jc w:val="center"/>
        <w:rPr>
          <w:noProof/>
        </w:rPr>
      </w:pPr>
      <w:r>
        <w:rPr>
          <w:noProof/>
        </w:rPr>
        <w:t>Supporting Statement for</w:t>
      </w:r>
    </w:p>
    <w:p w14:paraId="43B1E204" w14:textId="77777777" w:rsidR="00B81F4B" w:rsidRDefault="00B81F4B" w:rsidP="00B81F4B">
      <w:pPr>
        <w:pStyle w:val="CoverTextRed16pt"/>
        <w:ind w:left="0"/>
        <w:jc w:val="center"/>
        <w:rPr>
          <w:noProof/>
        </w:rPr>
      </w:pPr>
      <w:r>
        <w:rPr>
          <w:noProof/>
        </w:rPr>
        <w:t>Paper Reduction Act Submission</w:t>
      </w:r>
    </w:p>
    <w:p w14:paraId="081E943E" w14:textId="2D75A05C" w:rsidR="001E2CF1" w:rsidRDefault="00907D0A" w:rsidP="00CC4CE6">
      <w:pPr>
        <w:pStyle w:val="CoverTextRed16pt"/>
        <w:ind w:left="0"/>
        <w:jc w:val="center"/>
        <w:rPr>
          <w:noProof/>
        </w:rPr>
      </w:pPr>
      <w:r>
        <w:rPr>
          <w:noProof/>
        </w:rPr>
        <w:t>E</w:t>
      </w:r>
      <w:r w:rsidRPr="008E0E93">
        <w:rPr>
          <w:noProof/>
        </w:rPr>
        <w:t>valuation of the Section 811 Project Rental Assistance (PRA) Program</w:t>
      </w:r>
      <w:r>
        <w:rPr>
          <w:noProof/>
        </w:rPr>
        <w:t xml:space="preserve"> – Phase II</w:t>
      </w:r>
    </w:p>
    <w:p w14:paraId="1495B926" w14:textId="5CB2723A" w:rsidR="00B81F4B" w:rsidRDefault="00B81F4B" w:rsidP="00CC4CE6">
      <w:pPr>
        <w:pStyle w:val="CoverTextRed16pt"/>
        <w:ind w:left="0"/>
        <w:jc w:val="center"/>
        <w:rPr>
          <w:noProof/>
        </w:rPr>
      </w:pPr>
      <w:r>
        <w:rPr>
          <w:noProof/>
        </w:rPr>
        <w:t>OMB Number 2528-0309</w:t>
      </w:r>
    </w:p>
    <w:p w14:paraId="1829C78C" w14:textId="77777777" w:rsidR="00BD621C" w:rsidRDefault="00BD621C" w:rsidP="00CC4CE6">
      <w:pPr>
        <w:pStyle w:val="BodyText"/>
        <w:jc w:val="center"/>
        <w:rPr>
          <w:noProof/>
        </w:rPr>
      </w:pPr>
    </w:p>
    <w:p w14:paraId="538685AD" w14:textId="68D5F1A7" w:rsidR="00907D0A" w:rsidRDefault="00FA688A" w:rsidP="00CC4CE6">
      <w:pPr>
        <w:pStyle w:val="CoverTextRed16pt"/>
        <w:ind w:left="0"/>
        <w:jc w:val="center"/>
        <w:rPr>
          <w:noProof/>
        </w:rPr>
      </w:pPr>
      <w:r>
        <w:rPr>
          <w:noProof/>
        </w:rPr>
        <w:t>Part B</w:t>
      </w:r>
    </w:p>
    <w:p w14:paraId="6AC313B7" w14:textId="77777777" w:rsidR="00907D0A" w:rsidRDefault="00907D0A" w:rsidP="00CC4CE6">
      <w:pPr>
        <w:pStyle w:val="CoverTextRed16pt"/>
        <w:ind w:left="0"/>
        <w:jc w:val="center"/>
        <w:rPr>
          <w:noProof/>
        </w:rPr>
      </w:pPr>
    </w:p>
    <w:p w14:paraId="58D83376" w14:textId="0F2E85CA" w:rsidR="00907D0A" w:rsidRDefault="003D6B5D" w:rsidP="00CC4CE6">
      <w:pPr>
        <w:pStyle w:val="CoverTextRed16pt"/>
        <w:ind w:left="0"/>
        <w:jc w:val="center"/>
        <w:rPr>
          <w:noProof/>
        </w:rPr>
      </w:pPr>
      <w:r>
        <w:rPr>
          <w:noProof/>
        </w:rPr>
        <w:t xml:space="preserve">November </w:t>
      </w:r>
      <w:r w:rsidR="00D21697">
        <w:rPr>
          <w:noProof/>
        </w:rPr>
        <w:t>2</w:t>
      </w:r>
      <w:r>
        <w:rPr>
          <w:noProof/>
        </w:rPr>
        <w:t>7</w:t>
      </w:r>
      <w:r w:rsidR="00907D0A">
        <w:rPr>
          <w:noProof/>
        </w:rPr>
        <w:t>, 2017</w:t>
      </w:r>
    </w:p>
    <w:p w14:paraId="793B29DA" w14:textId="77777777" w:rsidR="001956E8" w:rsidRDefault="001956E8" w:rsidP="00CC4CE6">
      <w:pPr>
        <w:pStyle w:val="BodyText"/>
        <w:jc w:val="center"/>
        <w:rPr>
          <w:noProof/>
        </w:rPr>
      </w:pPr>
    </w:p>
    <w:p w14:paraId="6DC1974A" w14:textId="77777777" w:rsidR="001956E8" w:rsidRDefault="001956E8" w:rsidP="00CC4CE6">
      <w:pPr>
        <w:pStyle w:val="BodyText"/>
        <w:jc w:val="center"/>
        <w:rPr>
          <w:noProof/>
        </w:rPr>
      </w:pPr>
    </w:p>
    <w:p w14:paraId="36D5DEE8" w14:textId="77777777" w:rsidR="001956E8" w:rsidRDefault="001956E8" w:rsidP="00CC4CE6">
      <w:pPr>
        <w:pStyle w:val="BodyText"/>
        <w:jc w:val="center"/>
        <w:rPr>
          <w:noProof/>
        </w:rPr>
      </w:pPr>
    </w:p>
    <w:p w14:paraId="45D528D9" w14:textId="77777777" w:rsidR="009565D4" w:rsidRDefault="009565D4" w:rsidP="00CC4CE6">
      <w:pPr>
        <w:pStyle w:val="BodyText"/>
        <w:jc w:val="center"/>
        <w:rPr>
          <w:noProof/>
        </w:rPr>
      </w:pPr>
    </w:p>
    <w:p w14:paraId="1D8CDA03" w14:textId="77777777" w:rsidR="00D7442B" w:rsidRPr="001E2CF1" w:rsidRDefault="00D7442B" w:rsidP="00D7442B">
      <w:pPr>
        <w:pStyle w:val="CoverText-Address"/>
        <w:tabs>
          <w:tab w:val="clear" w:pos="6660"/>
        </w:tabs>
        <w:ind w:left="0" w:right="0"/>
        <w:jc w:val="left"/>
      </w:pPr>
    </w:p>
    <w:p w14:paraId="3F945C03" w14:textId="77777777" w:rsidR="00157E04" w:rsidRDefault="00157E04" w:rsidP="00D7442B">
      <w:pPr>
        <w:sectPr w:rsidR="00157E04" w:rsidSect="000B4A32">
          <w:footerReference w:type="default" r:id="rId9"/>
          <w:pgSz w:w="12240" w:h="15840" w:code="1"/>
          <w:pgMar w:top="1440" w:right="1440" w:bottom="1440" w:left="1800" w:header="432" w:footer="432" w:gutter="0"/>
          <w:pgNumType w:fmt="lowerRoman" w:start="1"/>
          <w:cols w:space="720"/>
          <w:docGrid w:linePitch="299"/>
        </w:sectPr>
      </w:pPr>
    </w:p>
    <w:p w14:paraId="399ABE66" w14:textId="77777777" w:rsidR="00AD7ADA" w:rsidRPr="007E78C1" w:rsidRDefault="00AD7ADA" w:rsidP="00AD7ADA">
      <w:pPr>
        <w:pStyle w:val="Header"/>
      </w:pPr>
      <w:r>
        <w:lastRenderedPageBreak/>
        <w:t>Table of Contents</w:t>
      </w:r>
    </w:p>
    <w:p w14:paraId="00872AB2" w14:textId="236183D5" w:rsidR="00590D37" w:rsidRDefault="00CD2213">
      <w:pPr>
        <w:pStyle w:val="TOC1"/>
        <w:rPr>
          <w:rFonts w:asciiTheme="minorHAnsi" w:eastAsiaTheme="minorEastAsia" w:hAnsiTheme="minorHAnsi" w:cstheme="minorBidi"/>
          <w:b w:val="0"/>
          <w:szCs w:val="22"/>
        </w:rPr>
      </w:pPr>
      <w:r>
        <w:rPr>
          <w:b w:val="0"/>
        </w:rPr>
        <w:fldChar w:fldCharType="begin"/>
      </w:r>
      <w:r>
        <w:rPr>
          <w:b w:val="0"/>
        </w:rPr>
        <w:instrText xml:space="preserve"> TOC \o "1-3" \h \z \u </w:instrText>
      </w:r>
      <w:r>
        <w:rPr>
          <w:b w:val="0"/>
        </w:rPr>
        <w:fldChar w:fldCharType="separate"/>
      </w:r>
      <w:hyperlink w:anchor="_Toc482280935" w:history="1">
        <w:r w:rsidR="00590D37" w:rsidRPr="0001551F">
          <w:rPr>
            <w:rStyle w:val="Hyperlink"/>
            <w:rFonts w:ascii="Arial" w:hAnsi="Arial" w:cs="Arial"/>
          </w:rPr>
          <w:t>B.</w:t>
        </w:r>
        <w:r w:rsidR="00590D37">
          <w:rPr>
            <w:rFonts w:asciiTheme="minorHAnsi" w:eastAsiaTheme="minorEastAsia" w:hAnsiTheme="minorHAnsi" w:cstheme="minorBidi"/>
            <w:b w:val="0"/>
            <w:szCs w:val="22"/>
          </w:rPr>
          <w:tab/>
        </w:r>
        <w:r w:rsidR="00590D37" w:rsidRPr="0001551F">
          <w:rPr>
            <w:rStyle w:val="Hyperlink"/>
          </w:rPr>
          <w:t>Collections of Information Employing Statistical Methods</w:t>
        </w:r>
        <w:r w:rsidR="00590D37">
          <w:rPr>
            <w:webHidden/>
          </w:rPr>
          <w:tab/>
        </w:r>
        <w:r w:rsidR="00590D37">
          <w:rPr>
            <w:webHidden/>
          </w:rPr>
          <w:fldChar w:fldCharType="begin"/>
        </w:r>
        <w:r w:rsidR="00590D37">
          <w:rPr>
            <w:webHidden/>
          </w:rPr>
          <w:instrText xml:space="preserve"> PAGEREF _Toc482280935 \h </w:instrText>
        </w:r>
        <w:r w:rsidR="00590D37">
          <w:rPr>
            <w:webHidden/>
          </w:rPr>
        </w:r>
        <w:r w:rsidR="00590D37">
          <w:rPr>
            <w:webHidden/>
          </w:rPr>
          <w:fldChar w:fldCharType="separate"/>
        </w:r>
        <w:r w:rsidR="00C44D2D">
          <w:rPr>
            <w:webHidden/>
          </w:rPr>
          <w:t>2</w:t>
        </w:r>
        <w:r w:rsidR="00590D37">
          <w:rPr>
            <w:webHidden/>
          </w:rPr>
          <w:fldChar w:fldCharType="end"/>
        </w:r>
      </w:hyperlink>
    </w:p>
    <w:p w14:paraId="5C7DA7C2" w14:textId="18E3727F" w:rsidR="00590D37" w:rsidRDefault="00C05F6D">
      <w:pPr>
        <w:pStyle w:val="TOC1"/>
        <w:rPr>
          <w:rFonts w:asciiTheme="minorHAnsi" w:eastAsiaTheme="minorEastAsia" w:hAnsiTheme="minorHAnsi" w:cstheme="minorBidi"/>
          <w:b w:val="0"/>
          <w:szCs w:val="22"/>
        </w:rPr>
      </w:pPr>
      <w:hyperlink w:anchor="_Toc482280936" w:history="1">
        <w:r w:rsidR="00590D37" w:rsidRPr="0001551F">
          <w:rPr>
            <w:rStyle w:val="Hyperlink"/>
            <w:rFonts w:ascii="Arial" w:hAnsi="Arial" w:cs="Arial"/>
          </w:rPr>
          <w:t>1.</w:t>
        </w:r>
        <w:r w:rsidR="00590D37">
          <w:rPr>
            <w:rFonts w:asciiTheme="minorHAnsi" w:eastAsiaTheme="minorEastAsia" w:hAnsiTheme="minorHAnsi" w:cstheme="minorBidi"/>
            <w:b w:val="0"/>
            <w:szCs w:val="22"/>
          </w:rPr>
          <w:tab/>
        </w:r>
        <w:r w:rsidR="00590D37" w:rsidRPr="0001551F">
          <w:rPr>
            <w:rStyle w:val="Hyperlink"/>
          </w:rPr>
          <w:t>Identification of Appropriate Respondents</w:t>
        </w:r>
        <w:r w:rsidR="00590D37">
          <w:rPr>
            <w:webHidden/>
          </w:rPr>
          <w:tab/>
        </w:r>
        <w:r w:rsidR="00590D37">
          <w:rPr>
            <w:webHidden/>
          </w:rPr>
          <w:fldChar w:fldCharType="begin"/>
        </w:r>
        <w:r w:rsidR="00590D37">
          <w:rPr>
            <w:webHidden/>
          </w:rPr>
          <w:instrText xml:space="preserve"> PAGEREF _Toc482280936 \h </w:instrText>
        </w:r>
        <w:r w:rsidR="00590D37">
          <w:rPr>
            <w:webHidden/>
          </w:rPr>
        </w:r>
        <w:r w:rsidR="00590D37">
          <w:rPr>
            <w:webHidden/>
          </w:rPr>
          <w:fldChar w:fldCharType="separate"/>
        </w:r>
        <w:r w:rsidR="00C44D2D">
          <w:rPr>
            <w:webHidden/>
          </w:rPr>
          <w:t>2</w:t>
        </w:r>
        <w:r w:rsidR="00590D37">
          <w:rPr>
            <w:webHidden/>
          </w:rPr>
          <w:fldChar w:fldCharType="end"/>
        </w:r>
      </w:hyperlink>
    </w:p>
    <w:p w14:paraId="5B99A70D" w14:textId="30B2B81F" w:rsidR="00590D37" w:rsidRDefault="00C05F6D">
      <w:pPr>
        <w:pStyle w:val="TOC1"/>
        <w:rPr>
          <w:rFonts w:asciiTheme="minorHAnsi" w:eastAsiaTheme="minorEastAsia" w:hAnsiTheme="minorHAnsi" w:cstheme="minorBidi"/>
          <w:b w:val="0"/>
          <w:szCs w:val="22"/>
        </w:rPr>
      </w:pPr>
      <w:hyperlink w:anchor="_Toc482280937" w:history="1">
        <w:r w:rsidR="00590D37" w:rsidRPr="0001551F">
          <w:rPr>
            <w:rStyle w:val="Hyperlink"/>
            <w:rFonts w:ascii="Arial" w:hAnsi="Arial" w:cs="Arial"/>
          </w:rPr>
          <w:t>2.</w:t>
        </w:r>
        <w:r w:rsidR="00590D37">
          <w:rPr>
            <w:rFonts w:asciiTheme="minorHAnsi" w:eastAsiaTheme="minorEastAsia" w:hAnsiTheme="minorHAnsi" w:cstheme="minorBidi"/>
            <w:b w:val="0"/>
            <w:szCs w:val="22"/>
          </w:rPr>
          <w:tab/>
        </w:r>
        <w:r w:rsidR="00590D37" w:rsidRPr="0001551F">
          <w:rPr>
            <w:rStyle w:val="Hyperlink"/>
          </w:rPr>
          <w:t>Administration of the Survey</w:t>
        </w:r>
        <w:r w:rsidR="00590D37">
          <w:rPr>
            <w:webHidden/>
          </w:rPr>
          <w:tab/>
        </w:r>
        <w:r w:rsidR="00590D37">
          <w:rPr>
            <w:webHidden/>
          </w:rPr>
          <w:fldChar w:fldCharType="begin"/>
        </w:r>
        <w:r w:rsidR="00590D37">
          <w:rPr>
            <w:webHidden/>
          </w:rPr>
          <w:instrText xml:space="preserve"> PAGEREF _Toc482280937 \h </w:instrText>
        </w:r>
        <w:r w:rsidR="00590D37">
          <w:rPr>
            <w:webHidden/>
          </w:rPr>
        </w:r>
        <w:r w:rsidR="00590D37">
          <w:rPr>
            <w:webHidden/>
          </w:rPr>
          <w:fldChar w:fldCharType="separate"/>
        </w:r>
        <w:r w:rsidR="00C44D2D">
          <w:rPr>
            <w:webHidden/>
          </w:rPr>
          <w:t>5</w:t>
        </w:r>
        <w:r w:rsidR="00590D37">
          <w:rPr>
            <w:webHidden/>
          </w:rPr>
          <w:fldChar w:fldCharType="end"/>
        </w:r>
      </w:hyperlink>
    </w:p>
    <w:p w14:paraId="30AA8068" w14:textId="7BDE3B3D" w:rsidR="00590D37" w:rsidRDefault="00C05F6D">
      <w:pPr>
        <w:pStyle w:val="TOC1"/>
        <w:rPr>
          <w:rFonts w:asciiTheme="minorHAnsi" w:eastAsiaTheme="minorEastAsia" w:hAnsiTheme="minorHAnsi" w:cstheme="minorBidi"/>
          <w:b w:val="0"/>
          <w:szCs w:val="22"/>
        </w:rPr>
      </w:pPr>
      <w:hyperlink w:anchor="_Toc482280938" w:history="1">
        <w:r w:rsidR="00590D37" w:rsidRPr="0001551F">
          <w:rPr>
            <w:rStyle w:val="Hyperlink"/>
            <w:rFonts w:ascii="Arial" w:hAnsi="Arial" w:cs="Arial"/>
          </w:rPr>
          <w:t>3.</w:t>
        </w:r>
        <w:r w:rsidR="00590D37">
          <w:rPr>
            <w:rFonts w:asciiTheme="minorHAnsi" w:eastAsiaTheme="minorEastAsia" w:hAnsiTheme="minorHAnsi" w:cstheme="minorBidi"/>
            <w:b w:val="0"/>
            <w:szCs w:val="22"/>
          </w:rPr>
          <w:tab/>
        </w:r>
        <w:r w:rsidR="00590D37" w:rsidRPr="0001551F">
          <w:rPr>
            <w:rStyle w:val="Hyperlink"/>
          </w:rPr>
          <w:t>Maximizing the Response Rate and Minimizing Non-Response Risk</w:t>
        </w:r>
        <w:r w:rsidR="00590D37">
          <w:rPr>
            <w:webHidden/>
          </w:rPr>
          <w:tab/>
        </w:r>
        <w:r w:rsidR="00590D37">
          <w:rPr>
            <w:webHidden/>
          </w:rPr>
          <w:fldChar w:fldCharType="begin"/>
        </w:r>
        <w:r w:rsidR="00590D37">
          <w:rPr>
            <w:webHidden/>
          </w:rPr>
          <w:instrText xml:space="preserve"> PAGEREF _Toc482280938 \h </w:instrText>
        </w:r>
        <w:r w:rsidR="00590D37">
          <w:rPr>
            <w:webHidden/>
          </w:rPr>
        </w:r>
        <w:r w:rsidR="00590D37">
          <w:rPr>
            <w:webHidden/>
          </w:rPr>
          <w:fldChar w:fldCharType="separate"/>
        </w:r>
        <w:r w:rsidR="00C44D2D">
          <w:rPr>
            <w:webHidden/>
          </w:rPr>
          <w:t>8</w:t>
        </w:r>
        <w:r w:rsidR="00590D37">
          <w:rPr>
            <w:webHidden/>
          </w:rPr>
          <w:fldChar w:fldCharType="end"/>
        </w:r>
      </w:hyperlink>
    </w:p>
    <w:p w14:paraId="180CD1BA" w14:textId="14639EB5" w:rsidR="00590D37" w:rsidRDefault="00C05F6D">
      <w:pPr>
        <w:pStyle w:val="TOC1"/>
        <w:rPr>
          <w:rFonts w:asciiTheme="minorHAnsi" w:eastAsiaTheme="minorEastAsia" w:hAnsiTheme="minorHAnsi" w:cstheme="minorBidi"/>
          <w:b w:val="0"/>
          <w:szCs w:val="22"/>
        </w:rPr>
      </w:pPr>
      <w:hyperlink w:anchor="_Toc482280939" w:history="1">
        <w:r w:rsidR="00590D37" w:rsidRPr="0001551F">
          <w:rPr>
            <w:rStyle w:val="Hyperlink"/>
            <w:rFonts w:ascii="Arial" w:hAnsi="Arial" w:cs="Arial"/>
          </w:rPr>
          <w:t>4.</w:t>
        </w:r>
        <w:r w:rsidR="00590D37">
          <w:rPr>
            <w:rFonts w:asciiTheme="minorHAnsi" w:eastAsiaTheme="minorEastAsia" w:hAnsiTheme="minorHAnsi" w:cstheme="minorBidi"/>
            <w:b w:val="0"/>
            <w:szCs w:val="22"/>
          </w:rPr>
          <w:tab/>
        </w:r>
        <w:r w:rsidR="00590D37" w:rsidRPr="0001551F">
          <w:rPr>
            <w:rStyle w:val="Hyperlink"/>
          </w:rPr>
          <w:t>Test of Procedures</w:t>
        </w:r>
        <w:r w:rsidR="00590D37">
          <w:rPr>
            <w:webHidden/>
          </w:rPr>
          <w:tab/>
        </w:r>
        <w:r w:rsidR="00590D37">
          <w:rPr>
            <w:webHidden/>
          </w:rPr>
          <w:fldChar w:fldCharType="begin"/>
        </w:r>
        <w:r w:rsidR="00590D37">
          <w:rPr>
            <w:webHidden/>
          </w:rPr>
          <w:instrText xml:space="preserve"> PAGEREF _Toc482280939 \h </w:instrText>
        </w:r>
        <w:r w:rsidR="00590D37">
          <w:rPr>
            <w:webHidden/>
          </w:rPr>
        </w:r>
        <w:r w:rsidR="00590D37">
          <w:rPr>
            <w:webHidden/>
          </w:rPr>
          <w:fldChar w:fldCharType="separate"/>
        </w:r>
        <w:r w:rsidR="00C44D2D">
          <w:rPr>
            <w:webHidden/>
          </w:rPr>
          <w:t>9</w:t>
        </w:r>
        <w:r w:rsidR="00590D37">
          <w:rPr>
            <w:webHidden/>
          </w:rPr>
          <w:fldChar w:fldCharType="end"/>
        </w:r>
      </w:hyperlink>
    </w:p>
    <w:p w14:paraId="3ED68C09" w14:textId="51C4FDB7" w:rsidR="00590D37" w:rsidRDefault="00C05F6D">
      <w:pPr>
        <w:pStyle w:val="TOC1"/>
        <w:rPr>
          <w:rFonts w:asciiTheme="minorHAnsi" w:eastAsiaTheme="minorEastAsia" w:hAnsiTheme="minorHAnsi" w:cstheme="minorBidi"/>
          <w:b w:val="0"/>
          <w:szCs w:val="22"/>
        </w:rPr>
      </w:pPr>
      <w:hyperlink w:anchor="_Toc482280940" w:history="1">
        <w:r w:rsidR="00590D37" w:rsidRPr="0001551F">
          <w:rPr>
            <w:rStyle w:val="Hyperlink"/>
            <w:rFonts w:ascii="Arial" w:hAnsi="Arial" w:cs="Arial"/>
          </w:rPr>
          <w:t>5.</w:t>
        </w:r>
        <w:r w:rsidR="00590D37">
          <w:rPr>
            <w:rFonts w:asciiTheme="minorHAnsi" w:eastAsiaTheme="minorEastAsia" w:hAnsiTheme="minorHAnsi" w:cstheme="minorBidi"/>
            <w:b w:val="0"/>
            <w:szCs w:val="22"/>
          </w:rPr>
          <w:tab/>
        </w:r>
        <w:r w:rsidR="00590D37" w:rsidRPr="0001551F">
          <w:rPr>
            <w:rStyle w:val="Hyperlink"/>
          </w:rPr>
          <w:t>Individuals Consulted on Statistical Aspects of the Design</w:t>
        </w:r>
        <w:r w:rsidR="00590D37">
          <w:rPr>
            <w:webHidden/>
          </w:rPr>
          <w:tab/>
        </w:r>
        <w:r w:rsidR="00590D37">
          <w:rPr>
            <w:webHidden/>
          </w:rPr>
          <w:fldChar w:fldCharType="begin"/>
        </w:r>
        <w:r w:rsidR="00590D37">
          <w:rPr>
            <w:webHidden/>
          </w:rPr>
          <w:instrText xml:space="preserve"> PAGEREF _Toc482280940 \h </w:instrText>
        </w:r>
        <w:r w:rsidR="00590D37">
          <w:rPr>
            <w:webHidden/>
          </w:rPr>
        </w:r>
        <w:r w:rsidR="00590D37">
          <w:rPr>
            <w:webHidden/>
          </w:rPr>
          <w:fldChar w:fldCharType="separate"/>
        </w:r>
        <w:r w:rsidR="00C44D2D">
          <w:rPr>
            <w:webHidden/>
          </w:rPr>
          <w:t>9</w:t>
        </w:r>
        <w:r w:rsidR="00590D37">
          <w:rPr>
            <w:webHidden/>
          </w:rPr>
          <w:fldChar w:fldCharType="end"/>
        </w:r>
      </w:hyperlink>
    </w:p>
    <w:p w14:paraId="47C70957" w14:textId="77777777" w:rsidR="002D5525" w:rsidRDefault="00CD2213" w:rsidP="00D979EA">
      <w:pPr>
        <w:pStyle w:val="BodyText"/>
        <w:rPr>
          <w:b/>
          <w:noProof/>
        </w:rPr>
      </w:pPr>
      <w:r>
        <w:rPr>
          <w:b/>
          <w:noProof/>
        </w:rPr>
        <w:fldChar w:fldCharType="end"/>
      </w:r>
    </w:p>
    <w:p w14:paraId="39BE20CD" w14:textId="77777777" w:rsidR="00D50B60" w:rsidRDefault="00D50B60" w:rsidP="00D979EA">
      <w:pPr>
        <w:pStyle w:val="BodyText"/>
        <w:rPr>
          <w:b/>
          <w:noProof/>
        </w:rPr>
      </w:pPr>
    </w:p>
    <w:p w14:paraId="4DFD3C47" w14:textId="77777777" w:rsidR="00D50B60" w:rsidRDefault="00D50B60" w:rsidP="00D979EA">
      <w:pPr>
        <w:pStyle w:val="BodyText"/>
        <w:sectPr w:rsidR="00D50B60" w:rsidSect="000B4A32">
          <w:headerReference w:type="default" r:id="rId10"/>
          <w:footerReference w:type="default" r:id="rId11"/>
          <w:pgSz w:w="12240" w:h="15840" w:code="1"/>
          <w:pgMar w:top="1440" w:right="1440" w:bottom="1440" w:left="1800" w:header="432" w:footer="432" w:gutter="0"/>
          <w:pgNumType w:fmt="lowerRoman" w:start="1"/>
          <w:cols w:space="720"/>
          <w:docGrid w:linePitch="299"/>
        </w:sectPr>
      </w:pPr>
    </w:p>
    <w:p w14:paraId="06FE478A" w14:textId="77777777" w:rsidR="008E603D" w:rsidRPr="00B901BE" w:rsidRDefault="008E603D" w:rsidP="004C0146">
      <w:pPr>
        <w:pStyle w:val="Heading1ES"/>
      </w:pPr>
      <w:bookmarkStart w:id="1" w:name="_Toc482280935"/>
      <w:r w:rsidRPr="00B901BE">
        <w:lastRenderedPageBreak/>
        <w:t>Collections of Information Employing Statistical Methods</w:t>
      </w:r>
      <w:bookmarkEnd w:id="1"/>
    </w:p>
    <w:p w14:paraId="640B2125" w14:textId="77777777" w:rsidR="003A5266" w:rsidRDefault="003A5266" w:rsidP="003C012E">
      <w:pPr>
        <w:pStyle w:val="Heading1"/>
        <w:numPr>
          <w:ilvl w:val="0"/>
          <w:numId w:val="20"/>
        </w:numPr>
      </w:pPr>
      <w:bookmarkStart w:id="2" w:name="_Toc482280936"/>
      <w:r>
        <w:t>Identification of Appropriate Respondents</w:t>
      </w:r>
      <w:bookmarkEnd w:id="2"/>
    </w:p>
    <w:p w14:paraId="1A036222" w14:textId="46427667" w:rsidR="009B5447" w:rsidRPr="00AB4476" w:rsidRDefault="009B5447" w:rsidP="009B5447">
      <w:pPr>
        <w:keepNext/>
        <w:rPr>
          <w:szCs w:val="22"/>
        </w:rPr>
      </w:pPr>
      <w:r>
        <w:t xml:space="preserve">The </w:t>
      </w:r>
      <w:r w:rsidRPr="00AB4476">
        <w:rPr>
          <w:szCs w:val="22"/>
        </w:rPr>
        <w:t xml:space="preserve">Phase II evaluation </w:t>
      </w:r>
      <w:r w:rsidR="00BF6B86">
        <w:rPr>
          <w:szCs w:val="22"/>
        </w:rPr>
        <w:t xml:space="preserve">of the Section 811 Project Rental Assistance </w:t>
      </w:r>
      <w:r w:rsidR="00181153">
        <w:rPr>
          <w:szCs w:val="22"/>
        </w:rPr>
        <w:t xml:space="preserve">(PRA) </w:t>
      </w:r>
      <w:r w:rsidR="00BF6B86">
        <w:rPr>
          <w:szCs w:val="22"/>
        </w:rPr>
        <w:t xml:space="preserve">program </w:t>
      </w:r>
      <w:r w:rsidRPr="00AB4476">
        <w:rPr>
          <w:szCs w:val="22"/>
        </w:rPr>
        <w:t xml:space="preserve">has </w:t>
      </w:r>
      <w:r w:rsidR="00181153">
        <w:rPr>
          <w:szCs w:val="22"/>
        </w:rPr>
        <w:t>three</w:t>
      </w:r>
      <w:r w:rsidR="00181153" w:rsidRPr="00AB4476">
        <w:rPr>
          <w:szCs w:val="22"/>
        </w:rPr>
        <w:t xml:space="preserve"> </w:t>
      </w:r>
      <w:r w:rsidRPr="00AB4476">
        <w:rPr>
          <w:szCs w:val="22"/>
        </w:rPr>
        <w:t>components:</w:t>
      </w:r>
      <w:r>
        <w:rPr>
          <w:szCs w:val="22"/>
        </w:rPr>
        <w:t xml:space="preserve"> </w:t>
      </w:r>
    </w:p>
    <w:p w14:paraId="0ED87617" w14:textId="77777777" w:rsidR="009B5447" w:rsidRDefault="009B5447" w:rsidP="009B5447">
      <w:pPr>
        <w:numPr>
          <w:ilvl w:val="0"/>
          <w:numId w:val="8"/>
        </w:numPr>
        <w:overflowPunct w:val="0"/>
        <w:autoSpaceDE w:val="0"/>
        <w:autoSpaceDN w:val="0"/>
        <w:adjustRightInd w:val="0"/>
        <w:textAlignment w:val="baseline"/>
        <w:rPr>
          <w:szCs w:val="22"/>
        </w:rPr>
      </w:pPr>
      <w:r w:rsidRPr="00AB4476">
        <w:rPr>
          <w:szCs w:val="22"/>
        </w:rPr>
        <w:t xml:space="preserve">An </w:t>
      </w:r>
      <w:r w:rsidRPr="00AB4476">
        <w:rPr>
          <w:b/>
          <w:szCs w:val="22"/>
        </w:rPr>
        <w:t>Implementation Study</w:t>
      </w:r>
      <w:r w:rsidRPr="00AB4476">
        <w:rPr>
          <w:szCs w:val="22"/>
        </w:rPr>
        <w:t xml:space="preserve"> to document the implementation of the PRA program based on interviews with key program administrators and review of PRA program documents and data; </w:t>
      </w:r>
    </w:p>
    <w:p w14:paraId="57C5C69A" w14:textId="77777777" w:rsidR="009B5447" w:rsidRPr="00AB4476" w:rsidRDefault="009B5447" w:rsidP="009B5447">
      <w:pPr>
        <w:numPr>
          <w:ilvl w:val="0"/>
          <w:numId w:val="8"/>
        </w:numPr>
        <w:overflowPunct w:val="0"/>
        <w:autoSpaceDE w:val="0"/>
        <w:autoSpaceDN w:val="0"/>
        <w:adjustRightInd w:val="0"/>
        <w:textAlignment w:val="baseline"/>
        <w:rPr>
          <w:szCs w:val="22"/>
        </w:rPr>
      </w:pPr>
      <w:r w:rsidRPr="00AB4476">
        <w:rPr>
          <w:szCs w:val="22"/>
        </w:rPr>
        <w:t xml:space="preserve">An </w:t>
      </w:r>
      <w:r w:rsidRPr="00AB4476">
        <w:rPr>
          <w:b/>
          <w:szCs w:val="22"/>
        </w:rPr>
        <w:t>Impact Study</w:t>
      </w:r>
      <w:r w:rsidRPr="00AB4476">
        <w:rPr>
          <w:szCs w:val="22"/>
        </w:rPr>
        <w:t xml:space="preserve"> to assess the effects of the PRA program on participants’ quality of life and care, housing and neighborhood, and utilization and access to health services and supports compared to three matched comparison groups</w:t>
      </w:r>
      <w:r w:rsidR="00181153">
        <w:rPr>
          <w:szCs w:val="22"/>
        </w:rPr>
        <w:t xml:space="preserve">. The impact study includes a </w:t>
      </w:r>
      <w:r w:rsidR="00181153">
        <w:rPr>
          <w:b/>
          <w:szCs w:val="22"/>
        </w:rPr>
        <w:t xml:space="preserve">Descriptive Analysis </w:t>
      </w:r>
      <w:r w:rsidR="00181153" w:rsidRPr="007447FC">
        <w:rPr>
          <w:szCs w:val="22"/>
        </w:rPr>
        <w:t xml:space="preserve">of PRA program outputs for all </w:t>
      </w:r>
      <w:r w:rsidR="00181153">
        <w:rPr>
          <w:szCs w:val="22"/>
        </w:rPr>
        <w:t>28</w:t>
      </w:r>
      <w:r w:rsidR="00181153" w:rsidRPr="007447FC">
        <w:rPr>
          <w:szCs w:val="22"/>
        </w:rPr>
        <w:t xml:space="preserve"> </w:t>
      </w:r>
      <w:r w:rsidR="00181153">
        <w:rPr>
          <w:szCs w:val="22"/>
        </w:rPr>
        <w:t xml:space="preserve">Section 811 PRA </w:t>
      </w:r>
      <w:r w:rsidR="00181153" w:rsidRPr="007447FC">
        <w:rPr>
          <w:szCs w:val="22"/>
        </w:rPr>
        <w:t>grant</w:t>
      </w:r>
      <w:r w:rsidR="00181153">
        <w:rPr>
          <w:szCs w:val="22"/>
        </w:rPr>
        <w:t>ee</w:t>
      </w:r>
      <w:r w:rsidR="00181153" w:rsidRPr="007447FC">
        <w:rPr>
          <w:szCs w:val="22"/>
        </w:rPr>
        <w:t>s</w:t>
      </w:r>
      <w:r w:rsidR="00181153">
        <w:rPr>
          <w:szCs w:val="22"/>
        </w:rPr>
        <w:t>,</w:t>
      </w:r>
      <w:r w:rsidR="00181153" w:rsidRPr="007447FC">
        <w:rPr>
          <w:szCs w:val="22"/>
        </w:rPr>
        <w:t xml:space="preserve"> </w:t>
      </w:r>
      <w:r w:rsidR="00181153">
        <w:rPr>
          <w:szCs w:val="22"/>
        </w:rPr>
        <w:t>based on HUD administrative data</w:t>
      </w:r>
      <w:r w:rsidRPr="00AB4476">
        <w:rPr>
          <w:szCs w:val="22"/>
        </w:rPr>
        <w:t xml:space="preserve">; and </w:t>
      </w:r>
    </w:p>
    <w:p w14:paraId="5960D4BD" w14:textId="77777777" w:rsidR="009B5447" w:rsidRDefault="009B5447" w:rsidP="009B5447">
      <w:pPr>
        <w:numPr>
          <w:ilvl w:val="0"/>
          <w:numId w:val="8"/>
        </w:numPr>
        <w:overflowPunct w:val="0"/>
        <w:autoSpaceDE w:val="0"/>
        <w:autoSpaceDN w:val="0"/>
        <w:adjustRightInd w:val="0"/>
        <w:textAlignment w:val="baseline"/>
        <w:rPr>
          <w:szCs w:val="22"/>
        </w:rPr>
      </w:pPr>
      <w:r w:rsidRPr="00AB4476">
        <w:rPr>
          <w:szCs w:val="22"/>
        </w:rPr>
        <w:t xml:space="preserve">An </w:t>
      </w:r>
      <w:r w:rsidRPr="00AB4476">
        <w:rPr>
          <w:b/>
          <w:szCs w:val="22"/>
        </w:rPr>
        <w:t>Economic Study</w:t>
      </w:r>
      <w:r w:rsidRPr="00AB4476">
        <w:rPr>
          <w:szCs w:val="22"/>
        </w:rPr>
        <w:t xml:space="preserve"> to measure the costs of housing and supportive services provided by the Section 811 PRA program and to attempt to measure the costs of healthcare utilization</w:t>
      </w:r>
      <w:r>
        <w:rPr>
          <w:szCs w:val="22"/>
        </w:rPr>
        <w:t xml:space="preserve"> </w:t>
      </w:r>
      <w:r w:rsidRPr="00AB4476">
        <w:rPr>
          <w:szCs w:val="22"/>
        </w:rPr>
        <w:t>potentially affected by the PRA program, to compare these costs to other HUD assisted housing programs</w:t>
      </w:r>
      <w:r>
        <w:rPr>
          <w:szCs w:val="22"/>
        </w:rPr>
        <w:t xml:space="preserve"> with</w:t>
      </w:r>
      <w:r w:rsidRPr="00AB4476">
        <w:rPr>
          <w:szCs w:val="22"/>
        </w:rPr>
        <w:t xml:space="preserve"> and without structured access to services, and to compare costs to measured impacts.</w:t>
      </w:r>
      <w:r>
        <w:rPr>
          <w:szCs w:val="22"/>
        </w:rPr>
        <w:t xml:space="preserve"> </w:t>
      </w:r>
    </w:p>
    <w:p w14:paraId="72CE4BD8" w14:textId="77777777" w:rsidR="009B5447" w:rsidRDefault="009B5447" w:rsidP="009B5447">
      <w:r>
        <w:t>The data collection includes:</w:t>
      </w:r>
    </w:p>
    <w:p w14:paraId="6F40A0F7" w14:textId="77777777" w:rsidR="00BF6B86" w:rsidRDefault="00F010C7" w:rsidP="009B5447">
      <w:pPr>
        <w:numPr>
          <w:ilvl w:val="0"/>
          <w:numId w:val="10"/>
        </w:numPr>
        <w:overflowPunct w:val="0"/>
        <w:autoSpaceDE w:val="0"/>
        <w:autoSpaceDN w:val="0"/>
        <w:adjustRightInd w:val="0"/>
        <w:textAlignment w:val="baseline"/>
        <w:rPr>
          <w:sz w:val="24"/>
          <w:szCs w:val="24"/>
        </w:rPr>
      </w:pPr>
      <w:r>
        <w:rPr>
          <w:sz w:val="24"/>
          <w:szCs w:val="24"/>
        </w:rPr>
        <w:t>In-person surveys of:</w:t>
      </w:r>
    </w:p>
    <w:p w14:paraId="1D6C1B8B" w14:textId="75265E4D" w:rsidR="00BF6B86" w:rsidRPr="00BF6B86" w:rsidRDefault="00BF6B86" w:rsidP="00BF6B86">
      <w:pPr>
        <w:numPr>
          <w:ilvl w:val="1"/>
          <w:numId w:val="10"/>
        </w:numPr>
        <w:overflowPunct w:val="0"/>
        <w:autoSpaceDE w:val="0"/>
        <w:autoSpaceDN w:val="0"/>
        <w:adjustRightInd w:val="0"/>
        <w:textAlignment w:val="baseline"/>
        <w:rPr>
          <w:b/>
          <w:sz w:val="24"/>
          <w:szCs w:val="24"/>
        </w:rPr>
      </w:pPr>
      <w:r w:rsidRPr="00BF6B86">
        <w:rPr>
          <w:b/>
          <w:sz w:val="24"/>
          <w:szCs w:val="24"/>
        </w:rPr>
        <w:t xml:space="preserve">240 </w:t>
      </w:r>
      <w:r w:rsidR="009B5447" w:rsidRPr="00BF6B86">
        <w:rPr>
          <w:b/>
          <w:sz w:val="24"/>
          <w:szCs w:val="24"/>
        </w:rPr>
        <w:t>Section 811 PRA</w:t>
      </w:r>
      <w:r>
        <w:rPr>
          <w:b/>
          <w:sz w:val="24"/>
          <w:szCs w:val="24"/>
        </w:rPr>
        <w:t xml:space="preserve"> program</w:t>
      </w:r>
      <w:r w:rsidR="009B5447" w:rsidRPr="00BF6B86">
        <w:rPr>
          <w:b/>
          <w:sz w:val="24"/>
          <w:szCs w:val="24"/>
        </w:rPr>
        <w:t xml:space="preserve"> residents</w:t>
      </w:r>
    </w:p>
    <w:p w14:paraId="5769680E" w14:textId="2C5CE059" w:rsidR="009B5447" w:rsidRPr="00BF6B86" w:rsidRDefault="00BF6B86" w:rsidP="00BF6B86">
      <w:pPr>
        <w:numPr>
          <w:ilvl w:val="1"/>
          <w:numId w:val="10"/>
        </w:numPr>
        <w:overflowPunct w:val="0"/>
        <w:autoSpaceDE w:val="0"/>
        <w:autoSpaceDN w:val="0"/>
        <w:adjustRightInd w:val="0"/>
        <w:textAlignment w:val="baseline"/>
        <w:rPr>
          <w:b/>
          <w:sz w:val="24"/>
          <w:szCs w:val="24"/>
        </w:rPr>
      </w:pPr>
      <w:r w:rsidRPr="00BF6B86">
        <w:rPr>
          <w:b/>
          <w:sz w:val="24"/>
          <w:szCs w:val="24"/>
        </w:rPr>
        <w:t xml:space="preserve">240 </w:t>
      </w:r>
      <w:r w:rsidR="009B5447" w:rsidRPr="00BF6B86">
        <w:rPr>
          <w:b/>
          <w:sz w:val="24"/>
          <w:szCs w:val="24"/>
        </w:rPr>
        <w:t>Section 811 Project Rental Assistance Contract (PRAC) Program residents</w:t>
      </w:r>
    </w:p>
    <w:p w14:paraId="01C9C2A6" w14:textId="092EC28D" w:rsidR="00BF6B86" w:rsidRDefault="009B5447" w:rsidP="009B5447">
      <w:pPr>
        <w:numPr>
          <w:ilvl w:val="0"/>
          <w:numId w:val="10"/>
        </w:numPr>
        <w:overflowPunct w:val="0"/>
        <w:autoSpaceDE w:val="0"/>
        <w:autoSpaceDN w:val="0"/>
        <w:adjustRightInd w:val="0"/>
        <w:textAlignment w:val="baseline"/>
        <w:rPr>
          <w:sz w:val="24"/>
          <w:szCs w:val="24"/>
        </w:rPr>
      </w:pPr>
      <w:r>
        <w:rPr>
          <w:sz w:val="24"/>
          <w:szCs w:val="24"/>
        </w:rPr>
        <w:t>In-person and telephone interviews with</w:t>
      </w:r>
      <w:r w:rsidR="00F010C7">
        <w:rPr>
          <w:sz w:val="24"/>
          <w:szCs w:val="24"/>
        </w:rPr>
        <w:t>:</w:t>
      </w:r>
    </w:p>
    <w:p w14:paraId="343CFA73" w14:textId="77777777" w:rsidR="00BF6B86" w:rsidRPr="00BF6B86" w:rsidRDefault="00BF6B86" w:rsidP="00BF6B86">
      <w:pPr>
        <w:numPr>
          <w:ilvl w:val="1"/>
          <w:numId w:val="10"/>
        </w:numPr>
        <w:overflowPunct w:val="0"/>
        <w:autoSpaceDE w:val="0"/>
        <w:autoSpaceDN w:val="0"/>
        <w:adjustRightInd w:val="0"/>
        <w:textAlignment w:val="baseline"/>
        <w:rPr>
          <w:b/>
          <w:sz w:val="24"/>
          <w:szCs w:val="24"/>
        </w:rPr>
      </w:pPr>
      <w:r w:rsidRPr="00BF6B86">
        <w:rPr>
          <w:b/>
          <w:sz w:val="24"/>
          <w:szCs w:val="24"/>
        </w:rPr>
        <w:t xml:space="preserve">24 </w:t>
      </w:r>
      <w:r w:rsidR="009B5447" w:rsidRPr="00BF6B86">
        <w:rPr>
          <w:b/>
          <w:sz w:val="24"/>
          <w:szCs w:val="24"/>
        </w:rPr>
        <w:t>property owners and managers</w:t>
      </w:r>
    </w:p>
    <w:p w14:paraId="2260E4B3" w14:textId="77777777" w:rsidR="00BF6B86" w:rsidRPr="00BF6B86" w:rsidRDefault="00BF6B86" w:rsidP="00BF6B86">
      <w:pPr>
        <w:numPr>
          <w:ilvl w:val="1"/>
          <w:numId w:val="10"/>
        </w:numPr>
        <w:overflowPunct w:val="0"/>
        <w:autoSpaceDE w:val="0"/>
        <w:autoSpaceDN w:val="0"/>
        <w:adjustRightInd w:val="0"/>
        <w:textAlignment w:val="baseline"/>
        <w:rPr>
          <w:b/>
          <w:sz w:val="24"/>
          <w:szCs w:val="24"/>
        </w:rPr>
      </w:pPr>
      <w:r w:rsidRPr="00BF6B86">
        <w:rPr>
          <w:b/>
          <w:sz w:val="24"/>
          <w:szCs w:val="24"/>
        </w:rPr>
        <w:t xml:space="preserve">48 </w:t>
      </w:r>
      <w:r w:rsidR="009B5447" w:rsidRPr="00BF6B86">
        <w:rPr>
          <w:b/>
          <w:sz w:val="24"/>
          <w:szCs w:val="24"/>
        </w:rPr>
        <w:t>service provider</w:t>
      </w:r>
      <w:r w:rsidR="00F010C7">
        <w:rPr>
          <w:b/>
          <w:sz w:val="24"/>
          <w:szCs w:val="24"/>
        </w:rPr>
        <w:t>s</w:t>
      </w:r>
    </w:p>
    <w:p w14:paraId="7A32661D" w14:textId="3292D3DB" w:rsidR="009B5447" w:rsidRPr="00BF6B86" w:rsidRDefault="00BF6B86" w:rsidP="00BF6B86">
      <w:pPr>
        <w:numPr>
          <w:ilvl w:val="1"/>
          <w:numId w:val="10"/>
        </w:numPr>
        <w:overflowPunct w:val="0"/>
        <w:autoSpaceDE w:val="0"/>
        <w:autoSpaceDN w:val="0"/>
        <w:adjustRightInd w:val="0"/>
        <w:textAlignment w:val="baseline"/>
        <w:rPr>
          <w:b/>
          <w:sz w:val="24"/>
          <w:szCs w:val="24"/>
        </w:rPr>
      </w:pPr>
      <w:r w:rsidRPr="00BF6B86">
        <w:rPr>
          <w:b/>
          <w:sz w:val="24"/>
          <w:szCs w:val="24"/>
        </w:rPr>
        <w:t xml:space="preserve">12 </w:t>
      </w:r>
      <w:r w:rsidR="009B5447" w:rsidRPr="00BF6B86">
        <w:rPr>
          <w:b/>
          <w:sz w:val="24"/>
          <w:szCs w:val="24"/>
        </w:rPr>
        <w:t>public housing authority (PHA) staff</w:t>
      </w:r>
      <w:r w:rsidR="00FA688A">
        <w:rPr>
          <w:b/>
          <w:sz w:val="24"/>
          <w:szCs w:val="24"/>
        </w:rPr>
        <w:t xml:space="preserve"> and managers</w:t>
      </w:r>
    </w:p>
    <w:p w14:paraId="7A84647D" w14:textId="77777777" w:rsidR="009B5447" w:rsidRDefault="009B5447" w:rsidP="003A5266">
      <w:pPr>
        <w:rPr>
          <w:noProof/>
        </w:rPr>
      </w:pPr>
      <w:r w:rsidRPr="009B5447">
        <w:rPr>
          <w:noProof/>
        </w:rPr>
        <w:t>The remainder of the study’s data collection methods involves secondary administrative data or primary data collection and highly-tailored discussions with representatives of the six grantee state housing agencies and their partner state Medicaid agencies, each of which do not involve standardized data collection with more than nine respondents.</w:t>
      </w:r>
    </w:p>
    <w:p w14:paraId="440FF649" w14:textId="77777777" w:rsidR="00DC43B4" w:rsidRPr="00C01A77" w:rsidRDefault="00DC43B4" w:rsidP="00DC43B4">
      <w:pPr>
        <w:rPr>
          <w:b/>
          <w:noProof/>
        </w:rPr>
      </w:pPr>
      <w:r w:rsidRPr="00C01A77">
        <w:rPr>
          <w:b/>
          <w:noProof/>
        </w:rPr>
        <w:t xml:space="preserve">This data collection effort does not employ statistical methods.  The research team will select respondents for interviews and surveys purposively.   </w:t>
      </w:r>
    </w:p>
    <w:p w14:paraId="3368377F" w14:textId="77777777" w:rsidR="009B5447" w:rsidRPr="00DC43B4" w:rsidRDefault="009B5447" w:rsidP="003A5266">
      <w:pPr>
        <w:rPr>
          <w:b/>
        </w:rPr>
      </w:pPr>
      <w:r w:rsidRPr="00DC43B4">
        <w:rPr>
          <w:b/>
        </w:rPr>
        <w:t xml:space="preserve">Selection of </w:t>
      </w:r>
      <w:r w:rsidR="00C01A77" w:rsidRPr="00DC43B4">
        <w:rPr>
          <w:b/>
        </w:rPr>
        <w:t xml:space="preserve">State </w:t>
      </w:r>
      <w:r w:rsidRPr="00DC43B4">
        <w:rPr>
          <w:b/>
        </w:rPr>
        <w:t>PRA Programs</w:t>
      </w:r>
    </w:p>
    <w:p w14:paraId="4025C8F8" w14:textId="75A2E411" w:rsidR="009B5447" w:rsidRDefault="002362C5" w:rsidP="00B76168">
      <w:r>
        <w:t xml:space="preserve">Through two rounds of funding, the </w:t>
      </w:r>
      <w:r w:rsidR="00B76168" w:rsidRPr="00B76168">
        <w:t xml:space="preserve">Section 811 </w:t>
      </w:r>
      <w:r>
        <w:t>Supportive Housing for Persons w</w:t>
      </w:r>
      <w:r w:rsidR="00B76168" w:rsidRPr="00B76168">
        <w:t>ith Disabilities Project Rental Assistance (P</w:t>
      </w:r>
      <w:r w:rsidR="00B76168">
        <w:t>RA</w:t>
      </w:r>
      <w:r w:rsidR="00B76168" w:rsidRPr="00B76168">
        <w:t>) Program</w:t>
      </w:r>
      <w:r>
        <w:t xml:space="preserve"> has awarded grants to </w:t>
      </w:r>
      <w:r w:rsidR="000C0277">
        <w:t>28 states</w:t>
      </w:r>
      <w:r w:rsidR="00FB16D9">
        <w:t>.</w:t>
      </w:r>
      <w:r w:rsidR="00FB16D9" w:rsidRPr="00755C06">
        <w:t xml:space="preserve"> </w:t>
      </w:r>
      <w:r w:rsidR="009B5447">
        <w:t xml:space="preserve">In Phase II, the evaluation’s implementation, impact, and cost studies are focused on six states selected from </w:t>
      </w:r>
      <w:r w:rsidR="00CD71F8">
        <w:t xml:space="preserve">28 </w:t>
      </w:r>
      <w:r w:rsidR="009B5447">
        <w:t xml:space="preserve">state grantees from the first and second rounds of PRA funding.  The study also includes a descriptive analysis which analysis the administrative data of all </w:t>
      </w:r>
      <w:r w:rsidR="00CD71F8">
        <w:t xml:space="preserve">28 </w:t>
      </w:r>
      <w:r w:rsidR="009B5447">
        <w:t>PRA grantees funded in both rounds.</w:t>
      </w:r>
    </w:p>
    <w:p w14:paraId="049BB707" w14:textId="77777777" w:rsidR="009B5447" w:rsidRDefault="009B5447" w:rsidP="00B76168">
      <w:r>
        <w:t xml:space="preserve">The impact and cost studies rely on </w:t>
      </w:r>
      <w:r w:rsidR="00BF6B86">
        <w:t>tenant-level data of</w:t>
      </w:r>
      <w:r>
        <w:t xml:space="preserve"> residents living in PRA-funded units</w:t>
      </w:r>
      <w:r w:rsidR="00BF6B86">
        <w:t xml:space="preserve"> and PRAC-funded units</w:t>
      </w:r>
      <w:r>
        <w:t xml:space="preserve">.  The six states were selected for participation in the evaluation based on the number of residents living in PRA-funded units expected to be assisted by PRA funds by the time the research team conducts the resident surveys, expected to be between September and December 2017. </w:t>
      </w:r>
      <w:r w:rsidR="00C01A77">
        <w:t>The number of units under lease and occupied by PRA residents is the most important consideration for choosing states for the evaluation. Leased units are a key milestone in the program. For the evaluation, leased units identify residents receiving assistance through the Section 811 PRA program and are the way to find the related entities – namely property owners and managers and service providers – who will be interviewed for the evaluation.</w:t>
      </w:r>
    </w:p>
    <w:p w14:paraId="64C92E5B" w14:textId="77777777" w:rsidR="00F010C7" w:rsidRDefault="009B5447" w:rsidP="00B76168">
      <w:r>
        <w:t xml:space="preserve">Exhibit B-1 presents the PRA grantee states with units leased to PRA residents as of March 2017, ranking the states by the number of units leased. </w:t>
      </w:r>
      <w:r w:rsidR="00BF6B86">
        <w:t xml:space="preserve">The table includes both 2012 and 2013 rounds of PRA funding. </w:t>
      </w:r>
      <w:r w:rsidR="002362C5" w:rsidRPr="009C71E4">
        <w:t>As</w:t>
      </w:r>
      <w:r w:rsidR="003B05ED" w:rsidRPr="009C71E4">
        <w:t xml:space="preserve"> shown in Exhibit B-1, as</w:t>
      </w:r>
      <w:r w:rsidR="000C0277" w:rsidRPr="009C71E4">
        <w:t xml:space="preserve"> of </w:t>
      </w:r>
      <w:r w:rsidR="009C71E4" w:rsidRPr="009C71E4">
        <w:t>March</w:t>
      </w:r>
      <w:r w:rsidR="000C0277" w:rsidRPr="009C71E4">
        <w:t xml:space="preserve"> 31,</w:t>
      </w:r>
      <w:r w:rsidR="002362C5" w:rsidRPr="009C71E4">
        <w:t xml:space="preserve"> </w:t>
      </w:r>
      <w:r w:rsidR="000C0277" w:rsidRPr="009C71E4">
        <w:t>201</w:t>
      </w:r>
      <w:r w:rsidR="009C71E4" w:rsidRPr="009C71E4">
        <w:t>7</w:t>
      </w:r>
      <w:r w:rsidR="000C0277" w:rsidRPr="009C71E4">
        <w:t xml:space="preserve">, there were </w:t>
      </w:r>
      <w:r w:rsidR="00566207" w:rsidRPr="009C71E4">
        <w:t>381</w:t>
      </w:r>
      <w:r w:rsidR="000C0277" w:rsidRPr="009C71E4">
        <w:t xml:space="preserve"> </w:t>
      </w:r>
      <w:r w:rsidR="00FB16D9" w:rsidRPr="009C71E4">
        <w:t xml:space="preserve">residents </w:t>
      </w:r>
      <w:r w:rsidR="000C0277" w:rsidRPr="009C71E4">
        <w:t>living in PRA-funded units in 1</w:t>
      </w:r>
      <w:r w:rsidR="009C71E4" w:rsidRPr="009C71E4">
        <w:t>4</w:t>
      </w:r>
      <w:r w:rsidR="00FB16D9" w:rsidRPr="009C71E4">
        <w:t xml:space="preserve"> grantee states.</w:t>
      </w:r>
      <w:r w:rsidR="00FB16D9">
        <w:t xml:space="preserve"> </w:t>
      </w:r>
    </w:p>
    <w:p w14:paraId="15043659" w14:textId="77777777" w:rsidR="00F010C7" w:rsidRDefault="00F010C7" w:rsidP="00F010C7">
      <w:pPr>
        <w:pStyle w:val="ExhibitColumnHeader"/>
        <w:keepNext/>
        <w:keepLines/>
        <w:jc w:val="left"/>
      </w:pPr>
      <w:r>
        <w:t>Exhibit B-1</w:t>
      </w:r>
    </w:p>
    <w:p w14:paraId="5DA5AD47" w14:textId="77777777" w:rsidR="00F010C7" w:rsidRDefault="00F010C7" w:rsidP="00F010C7">
      <w:pPr>
        <w:pStyle w:val="ExhibitColumnHeader"/>
        <w:keepNext/>
        <w:keepLines/>
        <w:jc w:val="left"/>
      </w:pPr>
      <w:r>
        <w:t>PRA Grantee States by Number of Units Leased, March 2017</w:t>
      </w:r>
    </w:p>
    <w:p w14:paraId="37F5586E" w14:textId="77777777" w:rsidR="00F010C7" w:rsidRDefault="00F010C7" w:rsidP="00F010C7">
      <w:pPr>
        <w:pStyle w:val="ExhibitColumnHeader"/>
        <w:keepNext/>
        <w:keepLines/>
        <w:jc w:val="left"/>
      </w:pPr>
      <w:r>
        <w:t>By Number of Units Leased</w:t>
      </w:r>
    </w:p>
    <w:tbl>
      <w:tblPr>
        <w:tblW w:w="608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5"/>
        <w:gridCol w:w="2224"/>
        <w:gridCol w:w="1698"/>
        <w:gridCol w:w="1699"/>
      </w:tblGrid>
      <w:tr w:rsidR="00F010C7" w:rsidRPr="008B1A80" w14:paraId="24CE66BD" w14:textId="77777777" w:rsidTr="00AE35FE">
        <w:trPr>
          <w:cantSplit/>
          <w:trHeight w:val="300"/>
        </w:trPr>
        <w:tc>
          <w:tcPr>
            <w:tcW w:w="465" w:type="dxa"/>
            <w:tcBorders>
              <w:right w:val="nil"/>
            </w:tcBorders>
          </w:tcPr>
          <w:p w14:paraId="5A4E536B" w14:textId="77777777" w:rsidR="00F010C7" w:rsidRPr="008B1A80" w:rsidRDefault="00F010C7" w:rsidP="00AE35FE">
            <w:pPr>
              <w:keepNext/>
              <w:keepLines/>
              <w:spacing w:after="0" w:line="240" w:lineRule="auto"/>
              <w:jc w:val="center"/>
              <w:rPr>
                <w:rFonts w:ascii="Arial Narrow" w:hAnsi="Arial Narrow"/>
                <w:b/>
                <w:bCs/>
                <w:color w:val="000000"/>
                <w:sz w:val="20"/>
              </w:rPr>
            </w:pPr>
          </w:p>
        </w:tc>
        <w:tc>
          <w:tcPr>
            <w:tcW w:w="2224" w:type="dxa"/>
            <w:tcBorders>
              <w:left w:val="nil"/>
            </w:tcBorders>
            <w:shd w:val="clear" w:color="auto" w:fill="auto"/>
            <w:vAlign w:val="center"/>
            <w:hideMark/>
          </w:tcPr>
          <w:p w14:paraId="09E31973" w14:textId="77777777" w:rsidR="00F010C7" w:rsidRPr="008B1A80" w:rsidRDefault="00F010C7" w:rsidP="00AE35FE">
            <w:pPr>
              <w:keepNext/>
              <w:keepLines/>
              <w:spacing w:after="0" w:line="240" w:lineRule="auto"/>
              <w:rPr>
                <w:rFonts w:ascii="Arial Narrow" w:hAnsi="Arial Narrow"/>
                <w:b/>
                <w:bCs/>
                <w:color w:val="000000"/>
                <w:sz w:val="20"/>
              </w:rPr>
            </w:pPr>
            <w:r w:rsidRPr="008B1A80">
              <w:rPr>
                <w:rFonts w:ascii="Arial Narrow" w:hAnsi="Arial Narrow"/>
                <w:b/>
                <w:bCs/>
                <w:color w:val="000000"/>
                <w:sz w:val="20"/>
              </w:rPr>
              <w:t>States</w:t>
            </w:r>
          </w:p>
        </w:tc>
        <w:tc>
          <w:tcPr>
            <w:tcW w:w="1698" w:type="dxa"/>
            <w:shd w:val="clear" w:color="auto" w:fill="auto"/>
            <w:vAlign w:val="center"/>
            <w:hideMark/>
          </w:tcPr>
          <w:p w14:paraId="685401A1" w14:textId="77777777" w:rsidR="00F010C7" w:rsidRPr="008B1A80" w:rsidRDefault="00F010C7" w:rsidP="00AE35FE">
            <w:pPr>
              <w:keepNext/>
              <w:keepLines/>
              <w:spacing w:after="0" w:line="240" w:lineRule="auto"/>
              <w:jc w:val="center"/>
              <w:rPr>
                <w:rFonts w:ascii="Arial Narrow" w:hAnsi="Arial Narrow"/>
                <w:b/>
                <w:bCs/>
                <w:color w:val="000000"/>
                <w:sz w:val="20"/>
              </w:rPr>
            </w:pPr>
            <w:r w:rsidRPr="008B1A80">
              <w:rPr>
                <w:rFonts w:ascii="Arial Narrow" w:hAnsi="Arial Narrow"/>
                <w:b/>
                <w:bCs/>
                <w:color w:val="000000"/>
                <w:sz w:val="20"/>
              </w:rPr>
              <w:t xml:space="preserve">Number </w:t>
            </w:r>
            <w:r>
              <w:rPr>
                <w:rFonts w:ascii="Arial Narrow" w:hAnsi="Arial Narrow"/>
                <w:b/>
                <w:bCs/>
                <w:color w:val="000000"/>
                <w:sz w:val="20"/>
              </w:rPr>
              <w:t xml:space="preserve">of </w:t>
            </w:r>
            <w:r w:rsidRPr="008B1A80">
              <w:rPr>
                <w:rFonts w:ascii="Arial Narrow" w:hAnsi="Arial Narrow"/>
                <w:b/>
                <w:bCs/>
                <w:color w:val="000000"/>
                <w:sz w:val="20"/>
              </w:rPr>
              <w:t>Units Leased</w:t>
            </w:r>
          </w:p>
        </w:tc>
        <w:tc>
          <w:tcPr>
            <w:tcW w:w="1699" w:type="dxa"/>
            <w:shd w:val="clear" w:color="auto" w:fill="auto"/>
            <w:vAlign w:val="center"/>
            <w:hideMark/>
          </w:tcPr>
          <w:p w14:paraId="79CF67CF" w14:textId="77777777" w:rsidR="00F010C7" w:rsidRPr="008B1A80" w:rsidRDefault="00F010C7" w:rsidP="00AE35FE">
            <w:pPr>
              <w:keepNext/>
              <w:keepLines/>
              <w:spacing w:after="0" w:line="240" w:lineRule="auto"/>
              <w:jc w:val="center"/>
              <w:rPr>
                <w:rFonts w:ascii="Arial Narrow" w:hAnsi="Arial Narrow"/>
                <w:b/>
                <w:bCs/>
                <w:color w:val="000000"/>
                <w:sz w:val="20"/>
              </w:rPr>
            </w:pPr>
            <w:r w:rsidRPr="008B1A80">
              <w:rPr>
                <w:rFonts w:ascii="Arial Narrow" w:hAnsi="Arial Narrow"/>
                <w:b/>
                <w:bCs/>
                <w:color w:val="000000"/>
                <w:sz w:val="20"/>
              </w:rPr>
              <w:t>Percentage</w:t>
            </w:r>
          </w:p>
        </w:tc>
      </w:tr>
      <w:tr w:rsidR="00F010C7" w:rsidRPr="008B1A80" w14:paraId="29C4800B" w14:textId="77777777" w:rsidTr="00AE35FE">
        <w:trPr>
          <w:cantSplit/>
          <w:trHeight w:val="300"/>
        </w:trPr>
        <w:tc>
          <w:tcPr>
            <w:tcW w:w="465" w:type="dxa"/>
            <w:tcBorders>
              <w:right w:val="nil"/>
            </w:tcBorders>
            <w:vAlign w:val="center"/>
          </w:tcPr>
          <w:p w14:paraId="1D4821ED"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1</w:t>
            </w:r>
          </w:p>
        </w:tc>
        <w:tc>
          <w:tcPr>
            <w:tcW w:w="2224" w:type="dxa"/>
            <w:tcBorders>
              <w:left w:val="nil"/>
            </w:tcBorders>
            <w:shd w:val="clear" w:color="auto" w:fill="auto"/>
            <w:noWrap/>
            <w:vAlign w:val="center"/>
            <w:hideMark/>
          </w:tcPr>
          <w:p w14:paraId="734A3C97"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 xml:space="preserve">Louisiana </w:t>
            </w:r>
          </w:p>
        </w:tc>
        <w:tc>
          <w:tcPr>
            <w:tcW w:w="1698" w:type="dxa"/>
            <w:shd w:val="clear" w:color="auto" w:fill="auto"/>
            <w:noWrap/>
            <w:vAlign w:val="center"/>
          </w:tcPr>
          <w:p w14:paraId="02034F3E"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86</w:t>
            </w:r>
          </w:p>
        </w:tc>
        <w:tc>
          <w:tcPr>
            <w:tcW w:w="1699" w:type="dxa"/>
            <w:shd w:val="clear" w:color="auto" w:fill="auto"/>
            <w:noWrap/>
            <w:vAlign w:val="center"/>
          </w:tcPr>
          <w:p w14:paraId="54039DAB"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22.6%</w:t>
            </w:r>
          </w:p>
        </w:tc>
      </w:tr>
      <w:tr w:rsidR="00F010C7" w:rsidRPr="008B1A80" w14:paraId="2B413971" w14:textId="77777777" w:rsidTr="00AE35FE">
        <w:trPr>
          <w:cantSplit/>
          <w:trHeight w:val="300"/>
        </w:trPr>
        <w:tc>
          <w:tcPr>
            <w:tcW w:w="465" w:type="dxa"/>
            <w:tcBorders>
              <w:right w:val="nil"/>
            </w:tcBorders>
            <w:vAlign w:val="center"/>
          </w:tcPr>
          <w:p w14:paraId="7270E515"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2</w:t>
            </w:r>
          </w:p>
        </w:tc>
        <w:tc>
          <w:tcPr>
            <w:tcW w:w="2224" w:type="dxa"/>
            <w:tcBorders>
              <w:left w:val="nil"/>
            </w:tcBorders>
            <w:shd w:val="clear" w:color="auto" w:fill="auto"/>
            <w:noWrap/>
            <w:vAlign w:val="center"/>
            <w:hideMark/>
          </w:tcPr>
          <w:p w14:paraId="70115495"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California</w:t>
            </w:r>
          </w:p>
        </w:tc>
        <w:tc>
          <w:tcPr>
            <w:tcW w:w="1698" w:type="dxa"/>
            <w:shd w:val="clear" w:color="auto" w:fill="auto"/>
            <w:noWrap/>
            <w:vAlign w:val="center"/>
          </w:tcPr>
          <w:p w14:paraId="63E6BF01"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58</w:t>
            </w:r>
          </w:p>
        </w:tc>
        <w:tc>
          <w:tcPr>
            <w:tcW w:w="1699" w:type="dxa"/>
            <w:shd w:val="clear" w:color="auto" w:fill="auto"/>
            <w:noWrap/>
            <w:vAlign w:val="center"/>
          </w:tcPr>
          <w:p w14:paraId="263A7257"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15.2%</w:t>
            </w:r>
          </w:p>
        </w:tc>
      </w:tr>
      <w:tr w:rsidR="00F010C7" w:rsidRPr="008B1A80" w14:paraId="72AC005D" w14:textId="77777777" w:rsidTr="00AE35FE">
        <w:trPr>
          <w:cantSplit/>
          <w:trHeight w:val="300"/>
        </w:trPr>
        <w:tc>
          <w:tcPr>
            <w:tcW w:w="465" w:type="dxa"/>
            <w:tcBorders>
              <w:right w:val="nil"/>
            </w:tcBorders>
            <w:vAlign w:val="center"/>
          </w:tcPr>
          <w:p w14:paraId="0045629F"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3</w:t>
            </w:r>
          </w:p>
        </w:tc>
        <w:tc>
          <w:tcPr>
            <w:tcW w:w="2224" w:type="dxa"/>
            <w:tcBorders>
              <w:left w:val="nil"/>
            </w:tcBorders>
            <w:shd w:val="clear" w:color="auto" w:fill="auto"/>
            <w:noWrap/>
            <w:vAlign w:val="center"/>
            <w:hideMark/>
          </w:tcPr>
          <w:p w14:paraId="00E51494"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Minnesota</w:t>
            </w:r>
          </w:p>
        </w:tc>
        <w:tc>
          <w:tcPr>
            <w:tcW w:w="1698" w:type="dxa"/>
            <w:shd w:val="clear" w:color="auto" w:fill="auto"/>
            <w:noWrap/>
            <w:vAlign w:val="center"/>
          </w:tcPr>
          <w:p w14:paraId="6F5328B0"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55</w:t>
            </w:r>
          </w:p>
        </w:tc>
        <w:tc>
          <w:tcPr>
            <w:tcW w:w="1699" w:type="dxa"/>
            <w:shd w:val="clear" w:color="auto" w:fill="auto"/>
            <w:noWrap/>
            <w:vAlign w:val="center"/>
          </w:tcPr>
          <w:p w14:paraId="644CD59E"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14.4%</w:t>
            </w:r>
          </w:p>
        </w:tc>
      </w:tr>
      <w:tr w:rsidR="00F010C7" w:rsidRPr="008B1A80" w14:paraId="2C2AA918" w14:textId="77777777" w:rsidTr="00AE35FE">
        <w:trPr>
          <w:cantSplit/>
          <w:trHeight w:val="300"/>
        </w:trPr>
        <w:tc>
          <w:tcPr>
            <w:tcW w:w="465" w:type="dxa"/>
            <w:tcBorders>
              <w:right w:val="nil"/>
            </w:tcBorders>
            <w:vAlign w:val="center"/>
          </w:tcPr>
          <w:p w14:paraId="4B96D430"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4</w:t>
            </w:r>
          </w:p>
        </w:tc>
        <w:tc>
          <w:tcPr>
            <w:tcW w:w="2224" w:type="dxa"/>
            <w:tcBorders>
              <w:left w:val="nil"/>
            </w:tcBorders>
            <w:shd w:val="clear" w:color="auto" w:fill="auto"/>
            <w:noWrap/>
            <w:vAlign w:val="center"/>
            <w:hideMark/>
          </w:tcPr>
          <w:p w14:paraId="74571E8F"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Washington</w:t>
            </w:r>
          </w:p>
        </w:tc>
        <w:tc>
          <w:tcPr>
            <w:tcW w:w="1698" w:type="dxa"/>
            <w:shd w:val="clear" w:color="auto" w:fill="auto"/>
            <w:noWrap/>
            <w:vAlign w:val="center"/>
          </w:tcPr>
          <w:p w14:paraId="4D3C4E15"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46</w:t>
            </w:r>
          </w:p>
        </w:tc>
        <w:tc>
          <w:tcPr>
            <w:tcW w:w="1699" w:type="dxa"/>
            <w:shd w:val="clear" w:color="auto" w:fill="auto"/>
            <w:noWrap/>
            <w:vAlign w:val="center"/>
          </w:tcPr>
          <w:p w14:paraId="1D8C5878"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12.1%</w:t>
            </w:r>
          </w:p>
        </w:tc>
      </w:tr>
      <w:tr w:rsidR="00F010C7" w:rsidRPr="008B1A80" w14:paraId="568EE724" w14:textId="77777777" w:rsidTr="00AE35FE">
        <w:trPr>
          <w:cantSplit/>
          <w:trHeight w:val="300"/>
        </w:trPr>
        <w:tc>
          <w:tcPr>
            <w:tcW w:w="465" w:type="dxa"/>
            <w:tcBorders>
              <w:bottom w:val="single" w:sz="2" w:space="0" w:color="auto"/>
              <w:right w:val="nil"/>
            </w:tcBorders>
            <w:vAlign w:val="center"/>
          </w:tcPr>
          <w:p w14:paraId="7BA5CBB7"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5</w:t>
            </w:r>
          </w:p>
        </w:tc>
        <w:tc>
          <w:tcPr>
            <w:tcW w:w="2224" w:type="dxa"/>
            <w:tcBorders>
              <w:left w:val="nil"/>
              <w:bottom w:val="single" w:sz="2" w:space="0" w:color="auto"/>
            </w:tcBorders>
            <w:shd w:val="clear" w:color="auto" w:fill="auto"/>
            <w:noWrap/>
            <w:vAlign w:val="center"/>
            <w:hideMark/>
          </w:tcPr>
          <w:p w14:paraId="22852F0F"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Maryland</w:t>
            </w:r>
          </w:p>
        </w:tc>
        <w:tc>
          <w:tcPr>
            <w:tcW w:w="1698" w:type="dxa"/>
            <w:tcBorders>
              <w:bottom w:val="single" w:sz="2" w:space="0" w:color="auto"/>
            </w:tcBorders>
            <w:shd w:val="clear" w:color="auto" w:fill="auto"/>
            <w:noWrap/>
            <w:vAlign w:val="center"/>
          </w:tcPr>
          <w:p w14:paraId="6A6B046D"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36</w:t>
            </w:r>
          </w:p>
        </w:tc>
        <w:tc>
          <w:tcPr>
            <w:tcW w:w="1699" w:type="dxa"/>
            <w:tcBorders>
              <w:bottom w:val="single" w:sz="2" w:space="0" w:color="auto"/>
            </w:tcBorders>
            <w:shd w:val="clear" w:color="auto" w:fill="auto"/>
            <w:noWrap/>
            <w:vAlign w:val="center"/>
          </w:tcPr>
          <w:p w14:paraId="2695A95C"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9.4%</w:t>
            </w:r>
          </w:p>
        </w:tc>
      </w:tr>
      <w:tr w:rsidR="00F010C7" w:rsidRPr="008B1A80" w14:paraId="29D80A21" w14:textId="77777777" w:rsidTr="00AE35FE">
        <w:trPr>
          <w:cantSplit/>
          <w:trHeight w:val="300"/>
        </w:trPr>
        <w:tc>
          <w:tcPr>
            <w:tcW w:w="465" w:type="dxa"/>
            <w:tcBorders>
              <w:bottom w:val="single" w:sz="2" w:space="0" w:color="auto"/>
              <w:right w:val="nil"/>
            </w:tcBorders>
            <w:vAlign w:val="center"/>
          </w:tcPr>
          <w:p w14:paraId="43463D2D"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6</w:t>
            </w:r>
          </w:p>
        </w:tc>
        <w:tc>
          <w:tcPr>
            <w:tcW w:w="2224" w:type="dxa"/>
            <w:tcBorders>
              <w:left w:val="nil"/>
              <w:bottom w:val="single" w:sz="2" w:space="0" w:color="auto"/>
            </w:tcBorders>
            <w:shd w:val="clear" w:color="auto" w:fill="auto"/>
            <w:noWrap/>
            <w:vAlign w:val="center"/>
            <w:hideMark/>
          </w:tcPr>
          <w:p w14:paraId="78A5ACCE"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Delaware</w:t>
            </w:r>
          </w:p>
        </w:tc>
        <w:tc>
          <w:tcPr>
            <w:tcW w:w="1698" w:type="dxa"/>
            <w:tcBorders>
              <w:bottom w:val="single" w:sz="2" w:space="0" w:color="auto"/>
            </w:tcBorders>
            <w:shd w:val="clear" w:color="auto" w:fill="auto"/>
            <w:noWrap/>
            <w:vAlign w:val="center"/>
          </w:tcPr>
          <w:p w14:paraId="06E3434A"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30</w:t>
            </w:r>
          </w:p>
        </w:tc>
        <w:tc>
          <w:tcPr>
            <w:tcW w:w="1699" w:type="dxa"/>
            <w:tcBorders>
              <w:bottom w:val="single" w:sz="2" w:space="0" w:color="auto"/>
            </w:tcBorders>
            <w:shd w:val="clear" w:color="auto" w:fill="auto"/>
            <w:noWrap/>
            <w:vAlign w:val="center"/>
          </w:tcPr>
          <w:p w14:paraId="57992973"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7.9%</w:t>
            </w:r>
          </w:p>
        </w:tc>
      </w:tr>
      <w:tr w:rsidR="00F010C7" w:rsidRPr="008B1A80" w14:paraId="366F1AEA" w14:textId="77777777" w:rsidTr="00AE35FE">
        <w:trPr>
          <w:cantSplit/>
          <w:trHeight w:val="300"/>
        </w:trPr>
        <w:tc>
          <w:tcPr>
            <w:tcW w:w="465" w:type="dxa"/>
            <w:tcBorders>
              <w:top w:val="single" w:sz="2" w:space="0" w:color="auto"/>
              <w:bottom w:val="single" w:sz="2" w:space="0" w:color="auto"/>
              <w:right w:val="nil"/>
            </w:tcBorders>
            <w:shd w:val="clear" w:color="auto" w:fill="D3DEE4" w:themeFill="background1" w:themeFillTint="99"/>
            <w:vAlign w:val="center"/>
          </w:tcPr>
          <w:p w14:paraId="6009564C" w14:textId="77777777" w:rsidR="00F010C7" w:rsidRDefault="00F010C7" w:rsidP="00AE35FE">
            <w:pPr>
              <w:keepNext/>
              <w:keepLines/>
              <w:spacing w:after="0" w:line="240" w:lineRule="auto"/>
              <w:jc w:val="center"/>
              <w:rPr>
                <w:rFonts w:ascii="Arial Narrow" w:hAnsi="Arial Narrow"/>
                <w:color w:val="000000"/>
                <w:sz w:val="20"/>
              </w:rPr>
            </w:pPr>
          </w:p>
        </w:tc>
        <w:tc>
          <w:tcPr>
            <w:tcW w:w="2224" w:type="dxa"/>
            <w:tcBorders>
              <w:top w:val="single" w:sz="2" w:space="0" w:color="auto"/>
              <w:left w:val="nil"/>
              <w:bottom w:val="single" w:sz="2" w:space="0" w:color="auto"/>
            </w:tcBorders>
            <w:shd w:val="clear" w:color="auto" w:fill="D3DEE4" w:themeFill="background1" w:themeFillTint="99"/>
            <w:noWrap/>
            <w:vAlign w:val="center"/>
          </w:tcPr>
          <w:p w14:paraId="6140984B" w14:textId="77777777" w:rsidR="00F010C7" w:rsidRPr="003C5A98" w:rsidRDefault="00F010C7" w:rsidP="00AE35FE">
            <w:pPr>
              <w:keepNext/>
              <w:keepLines/>
              <w:spacing w:after="0" w:line="240" w:lineRule="auto"/>
              <w:rPr>
                <w:rFonts w:ascii="Arial Narrow" w:hAnsi="Arial Narrow"/>
                <w:b/>
                <w:color w:val="000000"/>
                <w:sz w:val="20"/>
              </w:rPr>
            </w:pPr>
            <w:r w:rsidRPr="003C5A98">
              <w:rPr>
                <w:rFonts w:ascii="Arial Narrow" w:hAnsi="Arial Narrow"/>
                <w:b/>
                <w:color w:val="000000"/>
                <w:sz w:val="20"/>
              </w:rPr>
              <w:t>Subtotal</w:t>
            </w:r>
          </w:p>
        </w:tc>
        <w:tc>
          <w:tcPr>
            <w:tcW w:w="1698" w:type="dxa"/>
            <w:tcBorders>
              <w:top w:val="single" w:sz="2" w:space="0" w:color="auto"/>
              <w:bottom w:val="single" w:sz="2" w:space="0" w:color="auto"/>
            </w:tcBorders>
            <w:shd w:val="clear" w:color="auto" w:fill="D3DEE4" w:themeFill="background1" w:themeFillTint="99"/>
            <w:noWrap/>
            <w:vAlign w:val="center"/>
          </w:tcPr>
          <w:p w14:paraId="061F6AAA" w14:textId="77777777" w:rsidR="00F010C7" w:rsidRPr="003C5A98" w:rsidRDefault="00F010C7" w:rsidP="00AE35FE">
            <w:pPr>
              <w:keepNext/>
              <w:keepLines/>
              <w:spacing w:after="0" w:line="240" w:lineRule="auto"/>
              <w:jc w:val="right"/>
              <w:rPr>
                <w:rFonts w:ascii="Arial Narrow" w:hAnsi="Arial Narrow"/>
                <w:b/>
                <w:color w:val="000000"/>
                <w:sz w:val="20"/>
              </w:rPr>
            </w:pPr>
            <w:r>
              <w:rPr>
                <w:rFonts w:ascii="Arial Narrow" w:hAnsi="Arial Narrow"/>
                <w:b/>
                <w:color w:val="000000"/>
                <w:sz w:val="20"/>
              </w:rPr>
              <w:t>311</w:t>
            </w:r>
          </w:p>
        </w:tc>
        <w:tc>
          <w:tcPr>
            <w:tcW w:w="1699" w:type="dxa"/>
            <w:tcBorders>
              <w:top w:val="single" w:sz="2" w:space="0" w:color="auto"/>
              <w:bottom w:val="single" w:sz="2" w:space="0" w:color="auto"/>
            </w:tcBorders>
            <w:shd w:val="clear" w:color="auto" w:fill="D3DEE4" w:themeFill="background1" w:themeFillTint="99"/>
            <w:noWrap/>
            <w:vAlign w:val="center"/>
          </w:tcPr>
          <w:p w14:paraId="7E4BA112" w14:textId="77777777" w:rsidR="00F010C7" w:rsidRPr="003C5A98" w:rsidRDefault="00F010C7" w:rsidP="00AE35FE">
            <w:pPr>
              <w:keepNext/>
              <w:keepLines/>
              <w:spacing w:after="0" w:line="240" w:lineRule="auto"/>
              <w:jc w:val="right"/>
              <w:rPr>
                <w:rFonts w:ascii="Arial Narrow" w:hAnsi="Arial Narrow"/>
                <w:b/>
                <w:color w:val="000000"/>
                <w:sz w:val="20"/>
              </w:rPr>
            </w:pPr>
            <w:r>
              <w:rPr>
                <w:rFonts w:ascii="Arial Narrow" w:hAnsi="Arial Narrow"/>
                <w:b/>
                <w:color w:val="000000"/>
                <w:sz w:val="20"/>
              </w:rPr>
              <w:t>81.6%</w:t>
            </w:r>
          </w:p>
        </w:tc>
      </w:tr>
      <w:tr w:rsidR="00F010C7" w:rsidRPr="008B1A80" w14:paraId="0212DF49" w14:textId="77777777" w:rsidTr="00AE35FE">
        <w:trPr>
          <w:cantSplit/>
          <w:trHeight w:val="300"/>
        </w:trPr>
        <w:tc>
          <w:tcPr>
            <w:tcW w:w="465" w:type="dxa"/>
            <w:tcBorders>
              <w:top w:val="single" w:sz="2" w:space="0" w:color="auto"/>
              <w:right w:val="nil"/>
            </w:tcBorders>
            <w:vAlign w:val="center"/>
          </w:tcPr>
          <w:p w14:paraId="5F6841B9"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7</w:t>
            </w:r>
          </w:p>
        </w:tc>
        <w:tc>
          <w:tcPr>
            <w:tcW w:w="2224" w:type="dxa"/>
            <w:tcBorders>
              <w:top w:val="single" w:sz="2" w:space="0" w:color="auto"/>
              <w:left w:val="nil"/>
            </w:tcBorders>
            <w:shd w:val="clear" w:color="auto" w:fill="auto"/>
            <w:noWrap/>
            <w:vAlign w:val="center"/>
            <w:hideMark/>
          </w:tcPr>
          <w:p w14:paraId="3DAE3152"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Georgia</w:t>
            </w:r>
          </w:p>
        </w:tc>
        <w:tc>
          <w:tcPr>
            <w:tcW w:w="1698" w:type="dxa"/>
            <w:tcBorders>
              <w:top w:val="single" w:sz="2" w:space="0" w:color="auto"/>
            </w:tcBorders>
            <w:shd w:val="clear" w:color="auto" w:fill="auto"/>
            <w:noWrap/>
            <w:vAlign w:val="center"/>
          </w:tcPr>
          <w:p w14:paraId="5EA6EBD5"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19</w:t>
            </w:r>
          </w:p>
        </w:tc>
        <w:tc>
          <w:tcPr>
            <w:tcW w:w="1699" w:type="dxa"/>
            <w:tcBorders>
              <w:top w:val="single" w:sz="2" w:space="0" w:color="auto"/>
            </w:tcBorders>
            <w:shd w:val="clear" w:color="auto" w:fill="auto"/>
            <w:noWrap/>
            <w:vAlign w:val="center"/>
          </w:tcPr>
          <w:p w14:paraId="44B22A70"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5.0%</w:t>
            </w:r>
          </w:p>
        </w:tc>
      </w:tr>
      <w:tr w:rsidR="00F010C7" w:rsidRPr="008B1A80" w14:paraId="35E95AF8" w14:textId="77777777" w:rsidTr="00AE35FE">
        <w:trPr>
          <w:cantSplit/>
          <w:trHeight w:val="300"/>
        </w:trPr>
        <w:tc>
          <w:tcPr>
            <w:tcW w:w="465" w:type="dxa"/>
            <w:tcBorders>
              <w:right w:val="nil"/>
            </w:tcBorders>
            <w:vAlign w:val="center"/>
          </w:tcPr>
          <w:p w14:paraId="290CA9C5"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8</w:t>
            </w:r>
          </w:p>
        </w:tc>
        <w:tc>
          <w:tcPr>
            <w:tcW w:w="2224" w:type="dxa"/>
            <w:tcBorders>
              <w:left w:val="nil"/>
            </w:tcBorders>
            <w:shd w:val="clear" w:color="auto" w:fill="auto"/>
            <w:noWrap/>
            <w:vAlign w:val="center"/>
            <w:hideMark/>
          </w:tcPr>
          <w:p w14:paraId="65D9B186"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Pennsylvania</w:t>
            </w:r>
          </w:p>
        </w:tc>
        <w:tc>
          <w:tcPr>
            <w:tcW w:w="1698" w:type="dxa"/>
            <w:shd w:val="clear" w:color="auto" w:fill="auto"/>
            <w:noWrap/>
            <w:vAlign w:val="center"/>
          </w:tcPr>
          <w:p w14:paraId="6B7C530B"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15</w:t>
            </w:r>
          </w:p>
        </w:tc>
        <w:tc>
          <w:tcPr>
            <w:tcW w:w="1699" w:type="dxa"/>
            <w:shd w:val="clear" w:color="auto" w:fill="auto"/>
            <w:noWrap/>
            <w:vAlign w:val="center"/>
          </w:tcPr>
          <w:p w14:paraId="1B8AC662"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3.9%</w:t>
            </w:r>
          </w:p>
        </w:tc>
      </w:tr>
      <w:tr w:rsidR="00F010C7" w:rsidRPr="008B1A80" w14:paraId="2239342C" w14:textId="77777777" w:rsidTr="00AE35FE">
        <w:trPr>
          <w:cantSplit/>
          <w:trHeight w:val="300"/>
        </w:trPr>
        <w:tc>
          <w:tcPr>
            <w:tcW w:w="465" w:type="dxa"/>
            <w:tcBorders>
              <w:right w:val="nil"/>
            </w:tcBorders>
            <w:vAlign w:val="center"/>
          </w:tcPr>
          <w:p w14:paraId="5453ACDE" w14:textId="77777777" w:rsidR="00F010C7"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9</w:t>
            </w:r>
          </w:p>
        </w:tc>
        <w:tc>
          <w:tcPr>
            <w:tcW w:w="2224" w:type="dxa"/>
            <w:tcBorders>
              <w:left w:val="nil"/>
            </w:tcBorders>
            <w:shd w:val="clear" w:color="auto" w:fill="auto"/>
            <w:noWrap/>
            <w:vAlign w:val="center"/>
          </w:tcPr>
          <w:p w14:paraId="291B9325"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Montana</w:t>
            </w:r>
          </w:p>
        </w:tc>
        <w:tc>
          <w:tcPr>
            <w:tcW w:w="1698" w:type="dxa"/>
            <w:shd w:val="clear" w:color="auto" w:fill="auto"/>
            <w:noWrap/>
            <w:vAlign w:val="center"/>
          </w:tcPr>
          <w:p w14:paraId="21E8CBC2"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10</w:t>
            </w:r>
          </w:p>
        </w:tc>
        <w:tc>
          <w:tcPr>
            <w:tcW w:w="1699" w:type="dxa"/>
            <w:shd w:val="clear" w:color="auto" w:fill="auto"/>
            <w:noWrap/>
            <w:vAlign w:val="center"/>
          </w:tcPr>
          <w:p w14:paraId="7ADD98BB"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2.6%</w:t>
            </w:r>
          </w:p>
        </w:tc>
      </w:tr>
      <w:tr w:rsidR="00F010C7" w:rsidRPr="008B1A80" w14:paraId="24E71B97" w14:textId="77777777" w:rsidTr="00AE35FE">
        <w:trPr>
          <w:cantSplit/>
          <w:trHeight w:val="300"/>
        </w:trPr>
        <w:tc>
          <w:tcPr>
            <w:tcW w:w="465" w:type="dxa"/>
            <w:tcBorders>
              <w:right w:val="nil"/>
            </w:tcBorders>
            <w:vAlign w:val="center"/>
          </w:tcPr>
          <w:p w14:paraId="079347BE" w14:textId="77777777" w:rsidR="00F010C7"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10</w:t>
            </w:r>
          </w:p>
        </w:tc>
        <w:tc>
          <w:tcPr>
            <w:tcW w:w="2224" w:type="dxa"/>
            <w:tcBorders>
              <w:left w:val="nil"/>
            </w:tcBorders>
            <w:shd w:val="clear" w:color="auto" w:fill="auto"/>
            <w:noWrap/>
            <w:vAlign w:val="center"/>
          </w:tcPr>
          <w:p w14:paraId="3833E9A3"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Massachusetts</w:t>
            </w:r>
          </w:p>
        </w:tc>
        <w:tc>
          <w:tcPr>
            <w:tcW w:w="1698" w:type="dxa"/>
            <w:shd w:val="clear" w:color="auto" w:fill="auto"/>
            <w:noWrap/>
            <w:vAlign w:val="center"/>
          </w:tcPr>
          <w:p w14:paraId="3A96F319"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6</w:t>
            </w:r>
          </w:p>
        </w:tc>
        <w:tc>
          <w:tcPr>
            <w:tcW w:w="1699" w:type="dxa"/>
            <w:shd w:val="clear" w:color="auto" w:fill="auto"/>
            <w:noWrap/>
            <w:vAlign w:val="center"/>
          </w:tcPr>
          <w:p w14:paraId="4BF8DA9A"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1.6%</w:t>
            </w:r>
          </w:p>
        </w:tc>
      </w:tr>
      <w:tr w:rsidR="00F010C7" w:rsidRPr="008B1A80" w14:paraId="0FEB5B54" w14:textId="77777777" w:rsidTr="00AE35FE">
        <w:trPr>
          <w:cantSplit/>
          <w:trHeight w:val="300"/>
        </w:trPr>
        <w:tc>
          <w:tcPr>
            <w:tcW w:w="465" w:type="dxa"/>
            <w:tcBorders>
              <w:right w:val="nil"/>
            </w:tcBorders>
            <w:vAlign w:val="center"/>
          </w:tcPr>
          <w:p w14:paraId="511A3AEF"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11</w:t>
            </w:r>
          </w:p>
        </w:tc>
        <w:tc>
          <w:tcPr>
            <w:tcW w:w="2224" w:type="dxa"/>
            <w:tcBorders>
              <w:left w:val="nil"/>
            </w:tcBorders>
            <w:shd w:val="clear" w:color="auto" w:fill="auto"/>
            <w:noWrap/>
            <w:vAlign w:val="center"/>
            <w:hideMark/>
          </w:tcPr>
          <w:p w14:paraId="7653BCCF"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Texas</w:t>
            </w:r>
          </w:p>
        </w:tc>
        <w:tc>
          <w:tcPr>
            <w:tcW w:w="1698" w:type="dxa"/>
            <w:shd w:val="clear" w:color="auto" w:fill="auto"/>
            <w:noWrap/>
            <w:vAlign w:val="center"/>
          </w:tcPr>
          <w:p w14:paraId="057F572D"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6</w:t>
            </w:r>
          </w:p>
        </w:tc>
        <w:tc>
          <w:tcPr>
            <w:tcW w:w="1699" w:type="dxa"/>
            <w:shd w:val="clear" w:color="auto" w:fill="auto"/>
            <w:noWrap/>
            <w:vAlign w:val="center"/>
          </w:tcPr>
          <w:p w14:paraId="01400423"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1.6%</w:t>
            </w:r>
          </w:p>
        </w:tc>
      </w:tr>
      <w:tr w:rsidR="00F010C7" w:rsidRPr="008B1A80" w14:paraId="60D6891D" w14:textId="77777777" w:rsidTr="00AE35FE">
        <w:trPr>
          <w:cantSplit/>
          <w:trHeight w:val="300"/>
        </w:trPr>
        <w:tc>
          <w:tcPr>
            <w:tcW w:w="465" w:type="dxa"/>
            <w:tcBorders>
              <w:right w:val="nil"/>
            </w:tcBorders>
            <w:vAlign w:val="center"/>
          </w:tcPr>
          <w:p w14:paraId="531B6A3A"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12</w:t>
            </w:r>
          </w:p>
        </w:tc>
        <w:tc>
          <w:tcPr>
            <w:tcW w:w="2224" w:type="dxa"/>
            <w:tcBorders>
              <w:left w:val="nil"/>
            </w:tcBorders>
            <w:shd w:val="clear" w:color="auto" w:fill="auto"/>
            <w:noWrap/>
            <w:vAlign w:val="center"/>
            <w:hideMark/>
          </w:tcPr>
          <w:p w14:paraId="5DC707B3" w14:textId="77777777" w:rsidR="00F010C7" w:rsidRPr="008B1A80" w:rsidRDefault="00F010C7" w:rsidP="00AE35FE">
            <w:pPr>
              <w:keepNext/>
              <w:keepLines/>
              <w:spacing w:after="0" w:line="240" w:lineRule="auto"/>
              <w:rPr>
                <w:rFonts w:ascii="Arial Narrow" w:hAnsi="Arial Narrow"/>
                <w:color w:val="000000"/>
                <w:sz w:val="20"/>
              </w:rPr>
            </w:pPr>
            <w:r w:rsidRPr="008B1A80">
              <w:rPr>
                <w:rFonts w:ascii="Arial Narrow" w:hAnsi="Arial Narrow"/>
                <w:color w:val="000000"/>
                <w:sz w:val="20"/>
              </w:rPr>
              <w:t>Illinois</w:t>
            </w:r>
          </w:p>
        </w:tc>
        <w:tc>
          <w:tcPr>
            <w:tcW w:w="1698" w:type="dxa"/>
            <w:shd w:val="clear" w:color="auto" w:fill="auto"/>
            <w:noWrap/>
            <w:vAlign w:val="center"/>
          </w:tcPr>
          <w:p w14:paraId="377F5145"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5</w:t>
            </w:r>
          </w:p>
        </w:tc>
        <w:tc>
          <w:tcPr>
            <w:tcW w:w="1699" w:type="dxa"/>
            <w:shd w:val="clear" w:color="auto" w:fill="auto"/>
            <w:noWrap/>
            <w:vAlign w:val="center"/>
          </w:tcPr>
          <w:p w14:paraId="2A5D857B"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1.3%</w:t>
            </w:r>
          </w:p>
        </w:tc>
      </w:tr>
      <w:tr w:rsidR="00F010C7" w:rsidRPr="008B1A80" w14:paraId="0C5F418D" w14:textId="77777777" w:rsidTr="00AE35FE">
        <w:trPr>
          <w:cantSplit/>
          <w:trHeight w:val="300"/>
        </w:trPr>
        <w:tc>
          <w:tcPr>
            <w:tcW w:w="465" w:type="dxa"/>
            <w:tcBorders>
              <w:right w:val="nil"/>
            </w:tcBorders>
            <w:vAlign w:val="center"/>
          </w:tcPr>
          <w:p w14:paraId="2156F7AD"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13</w:t>
            </w:r>
          </w:p>
        </w:tc>
        <w:tc>
          <w:tcPr>
            <w:tcW w:w="2224" w:type="dxa"/>
            <w:tcBorders>
              <w:left w:val="nil"/>
            </w:tcBorders>
            <w:shd w:val="clear" w:color="auto" w:fill="auto"/>
            <w:noWrap/>
            <w:vAlign w:val="center"/>
            <w:hideMark/>
          </w:tcPr>
          <w:p w14:paraId="20686F08" w14:textId="77777777" w:rsidR="00F010C7" w:rsidRPr="008B1A80" w:rsidRDefault="00F010C7" w:rsidP="00AE35FE">
            <w:pPr>
              <w:keepNext/>
              <w:keepLines/>
              <w:spacing w:after="0" w:line="240" w:lineRule="auto"/>
              <w:rPr>
                <w:rFonts w:ascii="Arial Narrow" w:hAnsi="Arial Narrow"/>
                <w:color w:val="000000"/>
                <w:sz w:val="20"/>
              </w:rPr>
            </w:pPr>
            <w:r>
              <w:rPr>
                <w:rFonts w:ascii="Arial Narrow" w:hAnsi="Arial Narrow"/>
                <w:color w:val="000000"/>
                <w:sz w:val="20"/>
              </w:rPr>
              <w:t>New Jersey</w:t>
            </w:r>
          </w:p>
        </w:tc>
        <w:tc>
          <w:tcPr>
            <w:tcW w:w="1698" w:type="dxa"/>
            <w:shd w:val="clear" w:color="auto" w:fill="auto"/>
            <w:noWrap/>
            <w:vAlign w:val="center"/>
          </w:tcPr>
          <w:p w14:paraId="61784ECF"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5</w:t>
            </w:r>
          </w:p>
        </w:tc>
        <w:tc>
          <w:tcPr>
            <w:tcW w:w="1699" w:type="dxa"/>
            <w:shd w:val="clear" w:color="auto" w:fill="auto"/>
            <w:noWrap/>
            <w:vAlign w:val="center"/>
          </w:tcPr>
          <w:p w14:paraId="5F745149"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1.3%</w:t>
            </w:r>
          </w:p>
        </w:tc>
      </w:tr>
      <w:tr w:rsidR="00F010C7" w:rsidRPr="008B1A80" w14:paraId="31055074" w14:textId="77777777" w:rsidTr="00AE35FE">
        <w:trPr>
          <w:cantSplit/>
          <w:trHeight w:val="300"/>
        </w:trPr>
        <w:tc>
          <w:tcPr>
            <w:tcW w:w="465" w:type="dxa"/>
            <w:tcBorders>
              <w:bottom w:val="single" w:sz="2" w:space="0" w:color="auto"/>
              <w:right w:val="nil"/>
            </w:tcBorders>
            <w:vAlign w:val="center"/>
          </w:tcPr>
          <w:p w14:paraId="3D628482" w14:textId="77777777" w:rsidR="00F010C7" w:rsidRPr="008B1A80" w:rsidRDefault="00F010C7" w:rsidP="00AE35FE">
            <w:pPr>
              <w:keepNext/>
              <w:keepLines/>
              <w:spacing w:after="0" w:line="240" w:lineRule="auto"/>
              <w:jc w:val="center"/>
              <w:rPr>
                <w:rFonts w:ascii="Arial Narrow" w:hAnsi="Arial Narrow"/>
                <w:color w:val="000000"/>
                <w:sz w:val="20"/>
              </w:rPr>
            </w:pPr>
            <w:r>
              <w:rPr>
                <w:rFonts w:ascii="Arial Narrow" w:hAnsi="Arial Narrow"/>
                <w:color w:val="000000"/>
                <w:sz w:val="20"/>
              </w:rPr>
              <w:t>14</w:t>
            </w:r>
          </w:p>
        </w:tc>
        <w:tc>
          <w:tcPr>
            <w:tcW w:w="2224" w:type="dxa"/>
            <w:tcBorders>
              <w:left w:val="nil"/>
              <w:bottom w:val="single" w:sz="2" w:space="0" w:color="auto"/>
            </w:tcBorders>
            <w:shd w:val="clear" w:color="auto" w:fill="auto"/>
            <w:noWrap/>
            <w:vAlign w:val="center"/>
            <w:hideMark/>
          </w:tcPr>
          <w:p w14:paraId="0782313E" w14:textId="77777777" w:rsidR="00F010C7" w:rsidRPr="008B1A80" w:rsidRDefault="00F010C7" w:rsidP="00AE35FE">
            <w:pPr>
              <w:keepNext/>
              <w:keepLines/>
              <w:spacing w:after="0" w:line="240" w:lineRule="auto"/>
              <w:rPr>
                <w:rFonts w:ascii="Arial Narrow" w:hAnsi="Arial Narrow"/>
                <w:color w:val="000000"/>
                <w:sz w:val="20"/>
              </w:rPr>
            </w:pPr>
            <w:r>
              <w:rPr>
                <w:rFonts w:ascii="Arial Narrow" w:hAnsi="Arial Narrow"/>
                <w:color w:val="000000"/>
                <w:sz w:val="20"/>
              </w:rPr>
              <w:t>Connecticut</w:t>
            </w:r>
          </w:p>
        </w:tc>
        <w:tc>
          <w:tcPr>
            <w:tcW w:w="1698" w:type="dxa"/>
            <w:tcBorders>
              <w:bottom w:val="single" w:sz="2" w:space="0" w:color="auto"/>
            </w:tcBorders>
            <w:shd w:val="clear" w:color="auto" w:fill="auto"/>
            <w:noWrap/>
            <w:vAlign w:val="center"/>
          </w:tcPr>
          <w:p w14:paraId="28A7CBFA"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4</w:t>
            </w:r>
          </w:p>
        </w:tc>
        <w:tc>
          <w:tcPr>
            <w:tcW w:w="1699" w:type="dxa"/>
            <w:tcBorders>
              <w:bottom w:val="single" w:sz="2" w:space="0" w:color="auto"/>
            </w:tcBorders>
            <w:shd w:val="clear" w:color="auto" w:fill="auto"/>
            <w:noWrap/>
            <w:vAlign w:val="center"/>
          </w:tcPr>
          <w:p w14:paraId="4848EEFE" w14:textId="77777777" w:rsidR="00F010C7" w:rsidRPr="008B1A80" w:rsidRDefault="00F010C7" w:rsidP="00AE35FE">
            <w:pPr>
              <w:keepNext/>
              <w:keepLines/>
              <w:spacing w:after="0" w:line="240" w:lineRule="auto"/>
              <w:jc w:val="right"/>
              <w:rPr>
                <w:rFonts w:ascii="Arial Narrow" w:hAnsi="Arial Narrow"/>
                <w:color w:val="000000"/>
                <w:sz w:val="20"/>
              </w:rPr>
            </w:pPr>
            <w:r>
              <w:rPr>
                <w:rFonts w:ascii="Arial Narrow" w:hAnsi="Arial Narrow"/>
                <w:color w:val="000000"/>
                <w:sz w:val="20"/>
              </w:rPr>
              <w:t>1.0%</w:t>
            </w:r>
          </w:p>
        </w:tc>
      </w:tr>
      <w:tr w:rsidR="00F010C7" w:rsidRPr="008B1A80" w14:paraId="47249C68" w14:textId="77777777" w:rsidTr="00AE35FE">
        <w:trPr>
          <w:cantSplit/>
          <w:trHeight w:val="300"/>
        </w:trPr>
        <w:tc>
          <w:tcPr>
            <w:tcW w:w="465" w:type="dxa"/>
            <w:tcBorders>
              <w:top w:val="single" w:sz="2" w:space="0" w:color="auto"/>
              <w:bottom w:val="single" w:sz="2" w:space="0" w:color="auto"/>
              <w:right w:val="nil"/>
            </w:tcBorders>
            <w:shd w:val="clear" w:color="auto" w:fill="D3DEE4" w:themeFill="background1" w:themeFillTint="99"/>
          </w:tcPr>
          <w:p w14:paraId="33EC453D" w14:textId="77777777" w:rsidR="00F010C7" w:rsidRPr="008B1A80" w:rsidRDefault="00F010C7" w:rsidP="00AE35FE">
            <w:pPr>
              <w:keepNext/>
              <w:keepLines/>
              <w:spacing w:after="0" w:line="240" w:lineRule="auto"/>
              <w:rPr>
                <w:rFonts w:ascii="Arial Narrow" w:hAnsi="Arial Narrow"/>
                <w:b/>
                <w:bCs/>
                <w:color w:val="000000"/>
                <w:sz w:val="20"/>
              </w:rPr>
            </w:pPr>
          </w:p>
        </w:tc>
        <w:tc>
          <w:tcPr>
            <w:tcW w:w="2224" w:type="dxa"/>
            <w:tcBorders>
              <w:top w:val="single" w:sz="2" w:space="0" w:color="auto"/>
              <w:left w:val="nil"/>
              <w:bottom w:val="single" w:sz="2" w:space="0" w:color="auto"/>
              <w:right w:val="single" w:sz="2" w:space="0" w:color="auto"/>
            </w:tcBorders>
            <w:shd w:val="clear" w:color="auto" w:fill="D3DEE4" w:themeFill="background1" w:themeFillTint="99"/>
            <w:noWrap/>
            <w:vAlign w:val="center"/>
          </w:tcPr>
          <w:p w14:paraId="0A28F980" w14:textId="77777777" w:rsidR="00F010C7" w:rsidRPr="008B1A80" w:rsidRDefault="00F010C7" w:rsidP="00AE35FE">
            <w:pPr>
              <w:keepNext/>
              <w:keepLines/>
              <w:spacing w:after="0" w:line="240" w:lineRule="auto"/>
              <w:rPr>
                <w:rFonts w:ascii="Arial Narrow" w:hAnsi="Arial Narrow"/>
                <w:b/>
                <w:bCs/>
                <w:color w:val="000000"/>
                <w:sz w:val="20"/>
              </w:rPr>
            </w:pPr>
            <w:r>
              <w:rPr>
                <w:rFonts w:ascii="Arial Narrow" w:hAnsi="Arial Narrow"/>
                <w:b/>
                <w:bCs/>
                <w:color w:val="000000"/>
                <w:sz w:val="20"/>
              </w:rPr>
              <w:t>Subtotal</w:t>
            </w:r>
          </w:p>
        </w:tc>
        <w:tc>
          <w:tcPr>
            <w:tcW w:w="1698" w:type="dxa"/>
            <w:tcBorders>
              <w:top w:val="single" w:sz="2" w:space="0" w:color="auto"/>
              <w:left w:val="single" w:sz="2" w:space="0" w:color="auto"/>
              <w:bottom w:val="single" w:sz="2" w:space="0" w:color="auto"/>
              <w:right w:val="single" w:sz="2" w:space="0" w:color="auto"/>
            </w:tcBorders>
            <w:shd w:val="clear" w:color="auto" w:fill="D3DEE4" w:themeFill="background1" w:themeFillTint="99"/>
            <w:noWrap/>
            <w:vAlign w:val="center"/>
          </w:tcPr>
          <w:p w14:paraId="60F849C9" w14:textId="77777777" w:rsidR="00F010C7" w:rsidRPr="008B1A80" w:rsidRDefault="00F010C7" w:rsidP="00AE35FE">
            <w:pPr>
              <w:keepNext/>
              <w:keepLines/>
              <w:spacing w:after="0" w:line="240" w:lineRule="auto"/>
              <w:jc w:val="right"/>
              <w:rPr>
                <w:rFonts w:ascii="Arial Narrow" w:hAnsi="Arial Narrow"/>
                <w:b/>
                <w:bCs/>
                <w:color w:val="000000"/>
                <w:sz w:val="20"/>
              </w:rPr>
            </w:pPr>
            <w:r>
              <w:rPr>
                <w:rFonts w:ascii="Arial Narrow" w:hAnsi="Arial Narrow"/>
                <w:b/>
                <w:bCs/>
                <w:color w:val="000000"/>
                <w:sz w:val="20"/>
              </w:rPr>
              <w:t>70</w:t>
            </w:r>
          </w:p>
        </w:tc>
        <w:tc>
          <w:tcPr>
            <w:tcW w:w="1699" w:type="dxa"/>
            <w:tcBorders>
              <w:top w:val="single" w:sz="2" w:space="0" w:color="auto"/>
              <w:left w:val="single" w:sz="2" w:space="0" w:color="auto"/>
              <w:bottom w:val="single" w:sz="2" w:space="0" w:color="auto"/>
            </w:tcBorders>
            <w:shd w:val="clear" w:color="auto" w:fill="D3DEE4" w:themeFill="background1" w:themeFillTint="99"/>
            <w:noWrap/>
            <w:vAlign w:val="center"/>
          </w:tcPr>
          <w:p w14:paraId="30339D41" w14:textId="77777777" w:rsidR="00F010C7" w:rsidRPr="008B1A80" w:rsidRDefault="00F010C7" w:rsidP="00AE35FE">
            <w:pPr>
              <w:keepNext/>
              <w:keepLines/>
              <w:spacing w:after="0" w:line="240" w:lineRule="auto"/>
              <w:jc w:val="right"/>
              <w:rPr>
                <w:rFonts w:ascii="Arial Narrow" w:hAnsi="Arial Narrow"/>
                <w:b/>
                <w:color w:val="000000"/>
                <w:sz w:val="20"/>
              </w:rPr>
            </w:pPr>
            <w:r>
              <w:rPr>
                <w:rFonts w:ascii="Arial Narrow" w:hAnsi="Arial Narrow"/>
                <w:b/>
                <w:color w:val="000000"/>
                <w:sz w:val="20"/>
              </w:rPr>
              <w:t>18.4%</w:t>
            </w:r>
          </w:p>
        </w:tc>
      </w:tr>
      <w:tr w:rsidR="00F010C7" w:rsidRPr="008B1A80" w14:paraId="5D655330" w14:textId="77777777" w:rsidTr="00AE35FE">
        <w:trPr>
          <w:cantSplit/>
          <w:trHeight w:val="300"/>
        </w:trPr>
        <w:tc>
          <w:tcPr>
            <w:tcW w:w="465" w:type="dxa"/>
            <w:tcBorders>
              <w:top w:val="single" w:sz="2" w:space="0" w:color="auto"/>
              <w:bottom w:val="single" w:sz="2" w:space="0" w:color="auto"/>
              <w:right w:val="nil"/>
            </w:tcBorders>
            <w:shd w:val="clear" w:color="auto" w:fill="D3DEE4" w:themeFill="background1" w:themeFillTint="99"/>
          </w:tcPr>
          <w:p w14:paraId="62911ACB" w14:textId="77777777" w:rsidR="00F010C7" w:rsidRPr="008B1A80" w:rsidRDefault="00F010C7" w:rsidP="00AE35FE">
            <w:pPr>
              <w:keepNext/>
              <w:keepLines/>
              <w:spacing w:after="0" w:line="240" w:lineRule="auto"/>
              <w:rPr>
                <w:rFonts w:ascii="Arial Narrow" w:hAnsi="Arial Narrow"/>
                <w:b/>
                <w:bCs/>
                <w:color w:val="000000"/>
                <w:sz w:val="20"/>
              </w:rPr>
            </w:pPr>
          </w:p>
        </w:tc>
        <w:tc>
          <w:tcPr>
            <w:tcW w:w="2224" w:type="dxa"/>
            <w:tcBorders>
              <w:top w:val="single" w:sz="2" w:space="0" w:color="auto"/>
              <w:left w:val="nil"/>
              <w:bottom w:val="single" w:sz="2" w:space="0" w:color="auto"/>
              <w:right w:val="single" w:sz="2" w:space="0" w:color="auto"/>
            </w:tcBorders>
            <w:shd w:val="clear" w:color="auto" w:fill="D3DEE4" w:themeFill="background1" w:themeFillTint="99"/>
            <w:noWrap/>
            <w:vAlign w:val="center"/>
            <w:hideMark/>
          </w:tcPr>
          <w:p w14:paraId="73BDD5DA" w14:textId="77777777" w:rsidR="00F010C7" w:rsidRPr="008B1A80" w:rsidRDefault="00F010C7" w:rsidP="00AE35FE">
            <w:pPr>
              <w:keepNext/>
              <w:keepLines/>
              <w:spacing w:after="0" w:line="240" w:lineRule="auto"/>
              <w:rPr>
                <w:rFonts w:ascii="Arial Narrow" w:hAnsi="Arial Narrow"/>
                <w:b/>
                <w:bCs/>
                <w:color w:val="000000"/>
                <w:sz w:val="20"/>
              </w:rPr>
            </w:pPr>
            <w:r w:rsidRPr="008B1A80">
              <w:rPr>
                <w:rFonts w:ascii="Arial Narrow" w:hAnsi="Arial Narrow"/>
                <w:b/>
                <w:bCs/>
                <w:color w:val="000000"/>
                <w:sz w:val="20"/>
              </w:rPr>
              <w:t>Total</w:t>
            </w:r>
          </w:p>
        </w:tc>
        <w:tc>
          <w:tcPr>
            <w:tcW w:w="1698" w:type="dxa"/>
            <w:tcBorders>
              <w:top w:val="single" w:sz="2" w:space="0" w:color="auto"/>
              <w:left w:val="single" w:sz="2" w:space="0" w:color="auto"/>
              <w:bottom w:val="single" w:sz="2" w:space="0" w:color="auto"/>
              <w:right w:val="single" w:sz="2" w:space="0" w:color="auto"/>
            </w:tcBorders>
            <w:shd w:val="clear" w:color="auto" w:fill="D3DEE4" w:themeFill="background1" w:themeFillTint="99"/>
            <w:noWrap/>
            <w:vAlign w:val="center"/>
          </w:tcPr>
          <w:p w14:paraId="54C212EA" w14:textId="77777777" w:rsidR="00F010C7" w:rsidRPr="008B1A80" w:rsidRDefault="00F010C7" w:rsidP="00AE35FE">
            <w:pPr>
              <w:keepNext/>
              <w:keepLines/>
              <w:spacing w:after="0" w:line="240" w:lineRule="auto"/>
              <w:jc w:val="right"/>
              <w:rPr>
                <w:rFonts w:ascii="Arial Narrow" w:hAnsi="Arial Narrow"/>
                <w:b/>
                <w:bCs/>
                <w:color w:val="000000"/>
                <w:sz w:val="20"/>
              </w:rPr>
            </w:pPr>
            <w:r>
              <w:rPr>
                <w:rFonts w:ascii="Arial Narrow" w:hAnsi="Arial Narrow"/>
                <w:b/>
                <w:bCs/>
                <w:color w:val="000000"/>
                <w:sz w:val="20"/>
              </w:rPr>
              <w:t>381</w:t>
            </w:r>
          </w:p>
        </w:tc>
        <w:tc>
          <w:tcPr>
            <w:tcW w:w="1699" w:type="dxa"/>
            <w:tcBorders>
              <w:top w:val="single" w:sz="2" w:space="0" w:color="auto"/>
              <w:left w:val="single" w:sz="2" w:space="0" w:color="auto"/>
              <w:bottom w:val="single" w:sz="2" w:space="0" w:color="auto"/>
            </w:tcBorders>
            <w:shd w:val="clear" w:color="auto" w:fill="D3DEE4" w:themeFill="background1" w:themeFillTint="99"/>
            <w:noWrap/>
            <w:vAlign w:val="center"/>
          </w:tcPr>
          <w:p w14:paraId="345C8BA0" w14:textId="77777777" w:rsidR="00F010C7" w:rsidRPr="008B1A80" w:rsidRDefault="00F010C7" w:rsidP="00AE35FE">
            <w:pPr>
              <w:keepNext/>
              <w:keepLines/>
              <w:spacing w:after="0" w:line="240" w:lineRule="auto"/>
              <w:jc w:val="right"/>
              <w:rPr>
                <w:rFonts w:ascii="Arial Narrow" w:hAnsi="Arial Narrow"/>
                <w:b/>
                <w:color w:val="000000"/>
                <w:sz w:val="20"/>
              </w:rPr>
            </w:pPr>
            <w:r>
              <w:rPr>
                <w:rFonts w:ascii="Arial Narrow" w:hAnsi="Arial Narrow"/>
                <w:b/>
                <w:color w:val="000000"/>
                <w:sz w:val="20"/>
              </w:rPr>
              <w:t>100.0%</w:t>
            </w:r>
          </w:p>
        </w:tc>
      </w:tr>
    </w:tbl>
    <w:p w14:paraId="13353F04" w14:textId="77777777" w:rsidR="00F010C7" w:rsidRDefault="00F010C7" w:rsidP="00F010C7">
      <w:pPr>
        <w:pStyle w:val="ExhibitSource"/>
      </w:pPr>
      <w:r w:rsidRPr="00EB3DEA">
        <w:t xml:space="preserve">Source: </w:t>
      </w:r>
      <w:r>
        <w:t xml:space="preserve">Section 811 </w:t>
      </w:r>
      <w:r w:rsidRPr="00EB3DEA">
        <w:t xml:space="preserve">PRA Quarterly Reports for quarter ending </w:t>
      </w:r>
      <w:r>
        <w:t>March 31, 2017</w:t>
      </w:r>
      <w:r w:rsidRPr="00EB3DEA">
        <w:t>.</w:t>
      </w:r>
    </w:p>
    <w:p w14:paraId="7CBF497A" w14:textId="77777777" w:rsidR="009B5447" w:rsidRDefault="008B1A80" w:rsidP="00935A62">
      <w:r>
        <w:t>The s</w:t>
      </w:r>
      <w:r w:rsidR="00EF0A1F">
        <w:t>ix states</w:t>
      </w:r>
      <w:r>
        <w:t xml:space="preserve"> with the highest numbers of units</w:t>
      </w:r>
      <w:r w:rsidR="00EF0A1F">
        <w:t xml:space="preserve"> </w:t>
      </w:r>
      <w:r>
        <w:t xml:space="preserve">leased </w:t>
      </w:r>
      <w:r w:rsidR="00EF0A1F">
        <w:t>have been selected for the Section 811 PRA evaluation</w:t>
      </w:r>
      <w:r w:rsidR="00F010C7">
        <w:t xml:space="preserve">: </w:t>
      </w:r>
      <w:r w:rsidR="00EF0A1F">
        <w:t>California, Delaware</w:t>
      </w:r>
      <w:r w:rsidR="00D2037A">
        <w:t>,</w:t>
      </w:r>
      <w:r w:rsidR="00EF0A1F">
        <w:t xml:space="preserve"> Louisiana, Maryland, Minnesota, and Washington.</w:t>
      </w:r>
      <w:r>
        <w:t xml:space="preserve"> </w:t>
      </w:r>
      <w:r w:rsidR="00B76168">
        <w:t xml:space="preserve">As of </w:t>
      </w:r>
      <w:r w:rsidR="00504913">
        <w:t>March 2017</w:t>
      </w:r>
      <w:r w:rsidR="00EF0A1F">
        <w:t>, these six states had</w:t>
      </w:r>
      <w:r w:rsidR="00B76168">
        <w:t xml:space="preserve"> </w:t>
      </w:r>
      <w:r w:rsidR="00566207">
        <w:t>311</w:t>
      </w:r>
      <w:r w:rsidR="00B76168">
        <w:t xml:space="preserve"> units leased, representing </w:t>
      </w:r>
      <w:r w:rsidR="00B81448">
        <w:t>82</w:t>
      </w:r>
      <w:r w:rsidR="00B76168">
        <w:t xml:space="preserve"> percent of the total PRA units leased across all grantees. </w:t>
      </w:r>
      <w:r w:rsidR="009B5447">
        <w:t xml:space="preserve">Adding an additional state to the sample of states for the evaluation would only increase the number of PRA residents in the comparison sample by less </w:t>
      </w:r>
      <w:r w:rsidR="00BF6B86">
        <w:t xml:space="preserve">than </w:t>
      </w:r>
      <w:r w:rsidR="009B5447">
        <w:t>20 (accord</w:t>
      </w:r>
      <w:r w:rsidR="00BF6B86">
        <w:t xml:space="preserve">ing to data from March 2017) while increasing the cost of field data collection.  </w:t>
      </w:r>
      <w:r w:rsidR="00935A62">
        <w:t xml:space="preserve">This study is Phase II of a </w:t>
      </w:r>
      <w:r w:rsidR="00FE3AAC">
        <w:t>multi</w:t>
      </w:r>
      <w:r w:rsidR="00935A62">
        <w:t xml:space="preserve">-phase evaluation. The Phase I evaluation was focused on the </w:t>
      </w:r>
      <w:r w:rsidR="009F6B66">
        <w:t>12</w:t>
      </w:r>
      <w:r w:rsidR="00935A62">
        <w:t xml:space="preserve"> states and the first year of implementation of the 2012 grants. </w:t>
      </w:r>
      <w:r w:rsidR="00610D42">
        <w:t>In selecting these six states</w:t>
      </w:r>
      <w:r w:rsidR="009F6B66">
        <w:t xml:space="preserve"> for the Phase II evaluation</w:t>
      </w:r>
      <w:r w:rsidR="00610D42">
        <w:t>, the</w:t>
      </w:r>
      <w:r w:rsidR="00935A62">
        <w:t xml:space="preserve"> study will build on the information colle</w:t>
      </w:r>
      <w:r w:rsidR="00BF6B86">
        <w:t xml:space="preserve">cted in the Phase I evaluation, by </w:t>
      </w:r>
      <w:r w:rsidR="00935A62">
        <w:t xml:space="preserve">further documenting the </w:t>
      </w:r>
      <w:r w:rsidR="00610D42">
        <w:t>implementation of the Section 811 PRA program</w:t>
      </w:r>
      <w:r w:rsidR="00D2037A">
        <w:t xml:space="preserve">. </w:t>
      </w:r>
    </w:p>
    <w:p w14:paraId="5172C308" w14:textId="77777777" w:rsidR="00C01A77" w:rsidRPr="00C01A77" w:rsidRDefault="00C01A77" w:rsidP="00DA585F">
      <w:pPr>
        <w:rPr>
          <w:b/>
        </w:rPr>
      </w:pPr>
      <w:r>
        <w:rPr>
          <w:b/>
        </w:rPr>
        <w:t>Identification of Section 811 PRA Resident Survey Respondents</w:t>
      </w:r>
    </w:p>
    <w:p w14:paraId="3AB0F188" w14:textId="77777777" w:rsidR="00C01A77" w:rsidRDefault="00E22880" w:rsidP="00DA585F">
      <w:r>
        <w:t>The target n</w:t>
      </w:r>
      <w:r w:rsidR="00C01A77">
        <w:t xml:space="preserve">umber of PRA residents </w:t>
      </w:r>
      <w:r>
        <w:t xml:space="preserve">to be surveyed </w:t>
      </w:r>
      <w:r w:rsidR="00E94138">
        <w:t xml:space="preserve">for the study </w:t>
      </w:r>
      <w:r>
        <w:t>is 240</w:t>
      </w:r>
      <w:r w:rsidR="00C01A77">
        <w:t xml:space="preserve">.  As the number of potential PRA residents living in the six states is 311 as of March 31, 2017, the research team will attempt to recruit the universe of PRA residents in the six states.  While the study team plans to outreach to all PRA residents, surveys will be conducted in person and it may not be economically feasible for researchers to visit the geographic locations where all residents live.  </w:t>
      </w:r>
    </w:p>
    <w:p w14:paraId="312ED044" w14:textId="77777777" w:rsidR="00C01A77" w:rsidRPr="00C01A77" w:rsidRDefault="00C01A77" w:rsidP="00C01A77">
      <w:pPr>
        <w:rPr>
          <w:b/>
        </w:rPr>
      </w:pPr>
      <w:r>
        <w:rPr>
          <w:b/>
        </w:rPr>
        <w:t>Identification of Section 811 PRAC Resident Survey Respondents</w:t>
      </w:r>
    </w:p>
    <w:p w14:paraId="6BF87CB8" w14:textId="77777777" w:rsidR="00DC43B4" w:rsidRDefault="00C01A77" w:rsidP="00DC43B4">
      <w:r>
        <w:t xml:space="preserve">The target number of PRAC residents to be surveyed for the study is 240.  </w:t>
      </w:r>
      <w:r w:rsidR="00725A51">
        <w:t>Section 811 PRAC residents will be selected based on locations and characteristics of Section 811 PRA residents in each state</w:t>
      </w:r>
      <w:r>
        <w:t xml:space="preserve">.  PRAC properties are designated to serve people with similar disabling conditions.  </w:t>
      </w:r>
      <w:r w:rsidR="00DC43B4">
        <w:t>Using HUD administrative data, t</w:t>
      </w:r>
      <w:r>
        <w:t>he research team will select</w:t>
      </w:r>
      <w:r w:rsidR="005D021C">
        <w:t xml:space="preserve"> PRAC</w:t>
      </w:r>
      <w:r>
        <w:t xml:space="preserve"> properties that are located near the leased PRA units and which serve people with similar disabling conditions as those reported for PRA residents.  </w:t>
      </w:r>
      <w:r w:rsidR="00DC43B4">
        <w:t xml:space="preserve">The locations of PRAC properties to where PRA units are located in each state will </w:t>
      </w:r>
      <w:r w:rsidR="008A738F">
        <w:t xml:space="preserve">be </w:t>
      </w:r>
      <w:r w:rsidR="00DC43B4">
        <w:t xml:space="preserve">determined individually for each state.  </w:t>
      </w:r>
    </w:p>
    <w:p w14:paraId="36D58BA4" w14:textId="77777777" w:rsidR="00DC43B4" w:rsidRDefault="00DC43B4" w:rsidP="00DC43B4">
      <w:r>
        <w:t xml:space="preserve">Exhibit B-2 shows the universe of PRAC resident in the six study states.  </w:t>
      </w:r>
      <w:r w:rsidR="005D021C">
        <w:t>A total of</w:t>
      </w:r>
      <w:r w:rsidR="00BF6B86">
        <w:t xml:space="preserve"> 360</w:t>
      </w:r>
      <w:r w:rsidR="00725A51">
        <w:t xml:space="preserve"> PRAC residents will be recruited </w:t>
      </w:r>
      <w:r w:rsidR="00B3151F">
        <w:t>to</w:t>
      </w:r>
      <w:r w:rsidR="00725A51">
        <w:t xml:space="preserve"> complete the survey</w:t>
      </w:r>
      <w:r>
        <w:t>, approximately five percent of PRAC residents in the six study states.</w:t>
      </w:r>
      <w:r w:rsidR="00C01A77">
        <w:t xml:space="preserve">  </w:t>
      </w:r>
      <w:r>
        <w:t xml:space="preserve">Based on results on initial testing of the resident survey with PRAC residents, the research team assumes a survey response rate of 66 percent.  </w:t>
      </w:r>
    </w:p>
    <w:p w14:paraId="395AE287" w14:textId="77777777" w:rsidR="00DC43B4" w:rsidRDefault="00DC43B4" w:rsidP="00DC43B4">
      <w:pPr>
        <w:pStyle w:val="ExhibitColumnHeader"/>
        <w:keepNext/>
        <w:keepLines/>
        <w:jc w:val="left"/>
      </w:pPr>
      <w:r>
        <w:t>Exhibit B-2</w:t>
      </w:r>
    </w:p>
    <w:p w14:paraId="6EB1279D" w14:textId="77777777" w:rsidR="00DC43B4" w:rsidRDefault="00DC43B4" w:rsidP="00DC43B4">
      <w:pPr>
        <w:pStyle w:val="ExhibitColumnHeader"/>
        <w:keepNext/>
        <w:keepLines/>
        <w:jc w:val="left"/>
      </w:pPr>
      <w:r>
        <w:t>Number of Units Leased through the Section 811 PRAC Program in Selected States, April 2017</w:t>
      </w:r>
    </w:p>
    <w:p w14:paraId="1D499252" w14:textId="77777777" w:rsidR="00DC43B4" w:rsidRDefault="00DC43B4" w:rsidP="00DC43B4">
      <w:pPr>
        <w:pStyle w:val="ExhibitColumnHeader"/>
        <w:keepNext/>
        <w:keepLines/>
        <w:jc w:val="left"/>
      </w:pPr>
    </w:p>
    <w:tbl>
      <w:tblPr>
        <w:tblW w:w="438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5"/>
        <w:gridCol w:w="2224"/>
        <w:gridCol w:w="1698"/>
      </w:tblGrid>
      <w:tr w:rsidR="00DC43B4" w:rsidRPr="008B1A80" w14:paraId="49FB4A82" w14:textId="77777777" w:rsidTr="00AE35FE">
        <w:trPr>
          <w:cantSplit/>
          <w:trHeight w:val="300"/>
        </w:trPr>
        <w:tc>
          <w:tcPr>
            <w:tcW w:w="465" w:type="dxa"/>
            <w:tcBorders>
              <w:right w:val="nil"/>
            </w:tcBorders>
          </w:tcPr>
          <w:p w14:paraId="2A7F1700" w14:textId="77777777" w:rsidR="00DC43B4" w:rsidRPr="008B1A80" w:rsidRDefault="00DC43B4" w:rsidP="00AE35FE">
            <w:pPr>
              <w:keepNext/>
              <w:keepLines/>
              <w:spacing w:after="0" w:line="240" w:lineRule="auto"/>
              <w:jc w:val="center"/>
              <w:rPr>
                <w:rFonts w:ascii="Arial Narrow" w:hAnsi="Arial Narrow"/>
                <w:b/>
                <w:bCs/>
                <w:color w:val="000000"/>
                <w:sz w:val="20"/>
              </w:rPr>
            </w:pPr>
          </w:p>
        </w:tc>
        <w:tc>
          <w:tcPr>
            <w:tcW w:w="2224" w:type="dxa"/>
            <w:tcBorders>
              <w:left w:val="nil"/>
            </w:tcBorders>
            <w:shd w:val="clear" w:color="auto" w:fill="auto"/>
            <w:vAlign w:val="center"/>
            <w:hideMark/>
          </w:tcPr>
          <w:p w14:paraId="68A23237" w14:textId="77777777" w:rsidR="00DC43B4" w:rsidRPr="008B1A80" w:rsidRDefault="00DC43B4" w:rsidP="00AE35FE">
            <w:pPr>
              <w:keepNext/>
              <w:keepLines/>
              <w:spacing w:after="0" w:line="240" w:lineRule="auto"/>
              <w:rPr>
                <w:rFonts w:ascii="Arial Narrow" w:hAnsi="Arial Narrow"/>
                <w:b/>
                <w:bCs/>
                <w:color w:val="000000"/>
                <w:sz w:val="20"/>
              </w:rPr>
            </w:pPr>
            <w:r w:rsidRPr="008B1A80">
              <w:rPr>
                <w:rFonts w:ascii="Arial Narrow" w:hAnsi="Arial Narrow"/>
                <w:b/>
                <w:bCs/>
                <w:color w:val="000000"/>
                <w:sz w:val="20"/>
              </w:rPr>
              <w:t>States</w:t>
            </w:r>
          </w:p>
        </w:tc>
        <w:tc>
          <w:tcPr>
            <w:tcW w:w="1698" w:type="dxa"/>
            <w:shd w:val="clear" w:color="auto" w:fill="auto"/>
            <w:vAlign w:val="center"/>
            <w:hideMark/>
          </w:tcPr>
          <w:p w14:paraId="316D524E" w14:textId="77777777" w:rsidR="00DC43B4" w:rsidRPr="008B1A80" w:rsidRDefault="00DC43B4" w:rsidP="00AE35FE">
            <w:pPr>
              <w:keepNext/>
              <w:keepLines/>
              <w:spacing w:after="0" w:line="240" w:lineRule="auto"/>
              <w:jc w:val="center"/>
              <w:rPr>
                <w:rFonts w:ascii="Arial Narrow" w:hAnsi="Arial Narrow"/>
                <w:b/>
                <w:bCs/>
                <w:color w:val="000000"/>
                <w:sz w:val="20"/>
              </w:rPr>
            </w:pPr>
            <w:r w:rsidRPr="008B1A80">
              <w:rPr>
                <w:rFonts w:ascii="Arial Narrow" w:hAnsi="Arial Narrow"/>
                <w:b/>
                <w:bCs/>
                <w:color w:val="000000"/>
                <w:sz w:val="20"/>
              </w:rPr>
              <w:t xml:space="preserve">Number </w:t>
            </w:r>
            <w:r>
              <w:rPr>
                <w:rFonts w:ascii="Arial Narrow" w:hAnsi="Arial Narrow"/>
                <w:b/>
                <w:bCs/>
                <w:color w:val="000000"/>
                <w:sz w:val="20"/>
              </w:rPr>
              <w:t xml:space="preserve">of </w:t>
            </w:r>
            <w:r w:rsidRPr="008B1A80">
              <w:rPr>
                <w:rFonts w:ascii="Arial Narrow" w:hAnsi="Arial Narrow"/>
                <w:b/>
                <w:bCs/>
                <w:color w:val="000000"/>
                <w:sz w:val="20"/>
              </w:rPr>
              <w:t>Units Leased</w:t>
            </w:r>
          </w:p>
        </w:tc>
      </w:tr>
      <w:tr w:rsidR="00DC43B4" w:rsidRPr="008B1A80" w14:paraId="22759BD6" w14:textId="77777777" w:rsidTr="00AE35FE">
        <w:trPr>
          <w:cantSplit/>
          <w:trHeight w:val="300"/>
        </w:trPr>
        <w:tc>
          <w:tcPr>
            <w:tcW w:w="465" w:type="dxa"/>
            <w:tcBorders>
              <w:right w:val="nil"/>
            </w:tcBorders>
            <w:vAlign w:val="center"/>
          </w:tcPr>
          <w:p w14:paraId="486644B4" w14:textId="77777777" w:rsidR="00DC43B4" w:rsidRPr="008B1A80" w:rsidRDefault="00DC43B4" w:rsidP="00AE35FE">
            <w:pPr>
              <w:keepNext/>
              <w:keepLines/>
              <w:spacing w:after="0" w:line="240" w:lineRule="auto"/>
              <w:jc w:val="center"/>
              <w:rPr>
                <w:rFonts w:ascii="Arial Narrow" w:hAnsi="Arial Narrow"/>
                <w:color w:val="000000"/>
                <w:sz w:val="20"/>
              </w:rPr>
            </w:pPr>
            <w:r>
              <w:rPr>
                <w:rFonts w:ascii="Arial Narrow" w:hAnsi="Arial Narrow"/>
                <w:color w:val="000000"/>
                <w:sz w:val="20"/>
              </w:rPr>
              <w:t>1</w:t>
            </w:r>
          </w:p>
        </w:tc>
        <w:tc>
          <w:tcPr>
            <w:tcW w:w="2224" w:type="dxa"/>
            <w:tcBorders>
              <w:left w:val="nil"/>
            </w:tcBorders>
            <w:shd w:val="clear" w:color="auto" w:fill="auto"/>
            <w:noWrap/>
            <w:vAlign w:val="center"/>
            <w:hideMark/>
          </w:tcPr>
          <w:p w14:paraId="16668150" w14:textId="77777777" w:rsidR="00DC43B4" w:rsidRPr="008B1A80" w:rsidRDefault="00DC43B4" w:rsidP="00AE35FE">
            <w:pPr>
              <w:keepNext/>
              <w:keepLines/>
              <w:spacing w:after="0" w:line="240" w:lineRule="auto"/>
              <w:rPr>
                <w:rFonts w:ascii="Arial Narrow" w:hAnsi="Arial Narrow"/>
                <w:color w:val="000000"/>
                <w:sz w:val="20"/>
              </w:rPr>
            </w:pPr>
            <w:r w:rsidRPr="008B1A80">
              <w:rPr>
                <w:rFonts w:ascii="Arial Narrow" w:hAnsi="Arial Narrow"/>
                <w:color w:val="000000"/>
                <w:sz w:val="20"/>
              </w:rPr>
              <w:t>California</w:t>
            </w:r>
          </w:p>
        </w:tc>
        <w:tc>
          <w:tcPr>
            <w:tcW w:w="1698" w:type="dxa"/>
            <w:shd w:val="clear" w:color="auto" w:fill="auto"/>
            <w:noWrap/>
            <w:vAlign w:val="center"/>
            <w:hideMark/>
          </w:tcPr>
          <w:p w14:paraId="757B9E52" w14:textId="77777777" w:rsidR="00DC43B4" w:rsidRPr="008B1A80" w:rsidRDefault="00DC43B4" w:rsidP="00AE35FE">
            <w:pPr>
              <w:keepNext/>
              <w:keepLines/>
              <w:spacing w:after="0" w:line="240" w:lineRule="auto"/>
              <w:jc w:val="right"/>
              <w:rPr>
                <w:rFonts w:ascii="Arial Narrow" w:hAnsi="Arial Narrow"/>
                <w:color w:val="000000"/>
                <w:sz w:val="20"/>
              </w:rPr>
            </w:pPr>
            <w:r>
              <w:rPr>
                <w:rFonts w:ascii="Arial Narrow" w:hAnsi="Arial Narrow"/>
                <w:color w:val="000000"/>
                <w:sz w:val="20"/>
              </w:rPr>
              <w:t>2,684</w:t>
            </w:r>
          </w:p>
        </w:tc>
      </w:tr>
      <w:tr w:rsidR="00DC43B4" w:rsidRPr="008B1A80" w14:paraId="7A8E8135" w14:textId="77777777" w:rsidTr="00AE35FE">
        <w:trPr>
          <w:cantSplit/>
          <w:trHeight w:val="300"/>
        </w:trPr>
        <w:tc>
          <w:tcPr>
            <w:tcW w:w="465" w:type="dxa"/>
            <w:tcBorders>
              <w:right w:val="nil"/>
            </w:tcBorders>
            <w:vAlign w:val="center"/>
          </w:tcPr>
          <w:p w14:paraId="14E837E3" w14:textId="77777777" w:rsidR="00DC43B4" w:rsidRPr="008B1A80" w:rsidRDefault="00DC43B4" w:rsidP="00AE35FE">
            <w:pPr>
              <w:keepNext/>
              <w:keepLines/>
              <w:spacing w:after="0" w:line="240" w:lineRule="auto"/>
              <w:jc w:val="center"/>
              <w:rPr>
                <w:rFonts w:ascii="Arial Narrow" w:hAnsi="Arial Narrow"/>
                <w:color w:val="000000"/>
                <w:sz w:val="20"/>
              </w:rPr>
            </w:pPr>
            <w:r>
              <w:rPr>
                <w:rFonts w:ascii="Arial Narrow" w:hAnsi="Arial Narrow"/>
                <w:color w:val="000000"/>
                <w:sz w:val="20"/>
              </w:rPr>
              <w:t>2</w:t>
            </w:r>
          </w:p>
        </w:tc>
        <w:tc>
          <w:tcPr>
            <w:tcW w:w="2224" w:type="dxa"/>
            <w:tcBorders>
              <w:left w:val="nil"/>
            </w:tcBorders>
            <w:shd w:val="clear" w:color="auto" w:fill="auto"/>
            <w:noWrap/>
            <w:vAlign w:val="center"/>
            <w:hideMark/>
          </w:tcPr>
          <w:p w14:paraId="2BB4BC75" w14:textId="77777777" w:rsidR="00DC43B4" w:rsidRPr="008B1A80" w:rsidRDefault="00DC43B4" w:rsidP="00AE35FE">
            <w:pPr>
              <w:keepNext/>
              <w:keepLines/>
              <w:spacing w:after="0" w:line="240" w:lineRule="auto"/>
              <w:rPr>
                <w:rFonts w:ascii="Arial Narrow" w:hAnsi="Arial Narrow"/>
                <w:color w:val="000000"/>
                <w:sz w:val="20"/>
              </w:rPr>
            </w:pPr>
            <w:r w:rsidRPr="008B1A80">
              <w:rPr>
                <w:rFonts w:ascii="Arial Narrow" w:hAnsi="Arial Narrow"/>
                <w:color w:val="000000"/>
                <w:sz w:val="20"/>
              </w:rPr>
              <w:t>Delaware</w:t>
            </w:r>
          </w:p>
        </w:tc>
        <w:tc>
          <w:tcPr>
            <w:tcW w:w="1698" w:type="dxa"/>
            <w:shd w:val="clear" w:color="auto" w:fill="auto"/>
            <w:noWrap/>
            <w:vAlign w:val="center"/>
            <w:hideMark/>
          </w:tcPr>
          <w:p w14:paraId="4FAEA8CC" w14:textId="77777777" w:rsidR="00DC43B4" w:rsidRPr="008B1A80" w:rsidRDefault="00DC43B4" w:rsidP="00AE35FE">
            <w:pPr>
              <w:keepNext/>
              <w:keepLines/>
              <w:spacing w:after="0" w:line="240" w:lineRule="auto"/>
              <w:jc w:val="right"/>
              <w:rPr>
                <w:rFonts w:ascii="Arial Narrow" w:hAnsi="Arial Narrow"/>
                <w:color w:val="000000"/>
                <w:sz w:val="20"/>
              </w:rPr>
            </w:pPr>
            <w:r>
              <w:rPr>
                <w:rFonts w:ascii="Arial Narrow" w:hAnsi="Arial Narrow"/>
                <w:color w:val="000000"/>
                <w:sz w:val="20"/>
              </w:rPr>
              <w:t>362</w:t>
            </w:r>
          </w:p>
        </w:tc>
      </w:tr>
      <w:tr w:rsidR="00DC43B4" w:rsidRPr="008B1A80" w14:paraId="42A30F4A" w14:textId="77777777" w:rsidTr="00AE35FE">
        <w:trPr>
          <w:cantSplit/>
          <w:trHeight w:val="300"/>
        </w:trPr>
        <w:tc>
          <w:tcPr>
            <w:tcW w:w="465" w:type="dxa"/>
            <w:tcBorders>
              <w:right w:val="nil"/>
            </w:tcBorders>
            <w:vAlign w:val="center"/>
          </w:tcPr>
          <w:p w14:paraId="47FFCC0F" w14:textId="77777777" w:rsidR="00DC43B4" w:rsidRPr="008B1A80" w:rsidRDefault="00DC43B4" w:rsidP="00AE35FE">
            <w:pPr>
              <w:keepNext/>
              <w:keepLines/>
              <w:spacing w:after="0" w:line="240" w:lineRule="auto"/>
              <w:jc w:val="center"/>
              <w:rPr>
                <w:rFonts w:ascii="Arial Narrow" w:hAnsi="Arial Narrow"/>
                <w:color w:val="000000"/>
                <w:sz w:val="20"/>
              </w:rPr>
            </w:pPr>
            <w:r>
              <w:rPr>
                <w:rFonts w:ascii="Arial Narrow" w:hAnsi="Arial Narrow"/>
                <w:color w:val="000000"/>
                <w:sz w:val="20"/>
              </w:rPr>
              <w:t>3</w:t>
            </w:r>
          </w:p>
        </w:tc>
        <w:tc>
          <w:tcPr>
            <w:tcW w:w="2224" w:type="dxa"/>
            <w:tcBorders>
              <w:left w:val="nil"/>
            </w:tcBorders>
            <w:shd w:val="clear" w:color="auto" w:fill="auto"/>
            <w:noWrap/>
            <w:vAlign w:val="center"/>
            <w:hideMark/>
          </w:tcPr>
          <w:p w14:paraId="3B443464" w14:textId="77777777" w:rsidR="00DC43B4" w:rsidRPr="008B1A80" w:rsidRDefault="00DC43B4" w:rsidP="00AE35FE">
            <w:pPr>
              <w:keepNext/>
              <w:keepLines/>
              <w:spacing w:after="0" w:line="240" w:lineRule="auto"/>
              <w:rPr>
                <w:rFonts w:ascii="Arial Narrow" w:hAnsi="Arial Narrow"/>
                <w:color w:val="000000"/>
                <w:sz w:val="20"/>
              </w:rPr>
            </w:pPr>
            <w:r w:rsidRPr="008B1A80">
              <w:rPr>
                <w:rFonts w:ascii="Arial Narrow" w:hAnsi="Arial Narrow"/>
                <w:color w:val="000000"/>
                <w:sz w:val="20"/>
              </w:rPr>
              <w:t>Louisiana</w:t>
            </w:r>
          </w:p>
        </w:tc>
        <w:tc>
          <w:tcPr>
            <w:tcW w:w="1698" w:type="dxa"/>
            <w:shd w:val="clear" w:color="auto" w:fill="auto"/>
            <w:noWrap/>
            <w:vAlign w:val="center"/>
            <w:hideMark/>
          </w:tcPr>
          <w:p w14:paraId="429AAB1B" w14:textId="77777777" w:rsidR="00DC43B4" w:rsidRPr="008B1A80" w:rsidRDefault="00DC43B4" w:rsidP="00AE35FE">
            <w:pPr>
              <w:keepNext/>
              <w:keepLines/>
              <w:spacing w:after="0" w:line="240" w:lineRule="auto"/>
              <w:jc w:val="right"/>
              <w:rPr>
                <w:rFonts w:ascii="Arial Narrow" w:hAnsi="Arial Narrow"/>
                <w:color w:val="000000"/>
                <w:sz w:val="20"/>
              </w:rPr>
            </w:pPr>
            <w:r>
              <w:rPr>
                <w:rFonts w:ascii="Arial Narrow" w:hAnsi="Arial Narrow"/>
                <w:color w:val="000000"/>
                <w:sz w:val="20"/>
              </w:rPr>
              <w:t>1,091</w:t>
            </w:r>
          </w:p>
        </w:tc>
      </w:tr>
      <w:tr w:rsidR="00DC43B4" w:rsidRPr="008B1A80" w14:paraId="43415A9E" w14:textId="77777777" w:rsidTr="00AE35FE">
        <w:trPr>
          <w:cantSplit/>
          <w:trHeight w:val="300"/>
        </w:trPr>
        <w:tc>
          <w:tcPr>
            <w:tcW w:w="465" w:type="dxa"/>
            <w:tcBorders>
              <w:right w:val="nil"/>
            </w:tcBorders>
            <w:vAlign w:val="center"/>
          </w:tcPr>
          <w:p w14:paraId="048E539E" w14:textId="77777777" w:rsidR="00DC43B4" w:rsidRPr="008B1A80" w:rsidRDefault="00DC43B4" w:rsidP="00AE35FE">
            <w:pPr>
              <w:keepNext/>
              <w:keepLines/>
              <w:spacing w:after="0" w:line="240" w:lineRule="auto"/>
              <w:jc w:val="center"/>
              <w:rPr>
                <w:rFonts w:ascii="Arial Narrow" w:hAnsi="Arial Narrow"/>
                <w:color w:val="000000"/>
                <w:sz w:val="20"/>
              </w:rPr>
            </w:pPr>
            <w:r>
              <w:rPr>
                <w:rFonts w:ascii="Arial Narrow" w:hAnsi="Arial Narrow"/>
                <w:color w:val="000000"/>
                <w:sz w:val="20"/>
              </w:rPr>
              <w:t>4</w:t>
            </w:r>
          </w:p>
        </w:tc>
        <w:tc>
          <w:tcPr>
            <w:tcW w:w="2224" w:type="dxa"/>
            <w:tcBorders>
              <w:left w:val="nil"/>
            </w:tcBorders>
            <w:shd w:val="clear" w:color="auto" w:fill="auto"/>
            <w:noWrap/>
            <w:vAlign w:val="center"/>
            <w:hideMark/>
          </w:tcPr>
          <w:p w14:paraId="632A7DAF" w14:textId="77777777" w:rsidR="00DC43B4" w:rsidRPr="008B1A80" w:rsidRDefault="00DC43B4"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Maryland</w:t>
            </w:r>
          </w:p>
        </w:tc>
        <w:tc>
          <w:tcPr>
            <w:tcW w:w="1698" w:type="dxa"/>
            <w:shd w:val="clear" w:color="auto" w:fill="auto"/>
            <w:noWrap/>
            <w:vAlign w:val="center"/>
            <w:hideMark/>
          </w:tcPr>
          <w:p w14:paraId="70247FA2" w14:textId="77777777" w:rsidR="00DC43B4" w:rsidRPr="008B1A80" w:rsidRDefault="00DC43B4" w:rsidP="00AE35FE">
            <w:pPr>
              <w:keepNext/>
              <w:keepLines/>
              <w:spacing w:after="0" w:line="240" w:lineRule="auto"/>
              <w:jc w:val="right"/>
              <w:rPr>
                <w:rFonts w:ascii="Arial Narrow" w:hAnsi="Arial Narrow"/>
                <w:color w:val="000000"/>
                <w:sz w:val="20"/>
              </w:rPr>
            </w:pPr>
            <w:r>
              <w:rPr>
                <w:rFonts w:ascii="Arial Narrow" w:hAnsi="Arial Narrow"/>
                <w:color w:val="000000"/>
                <w:sz w:val="20"/>
              </w:rPr>
              <w:t>1,510</w:t>
            </w:r>
          </w:p>
        </w:tc>
      </w:tr>
      <w:tr w:rsidR="00DC43B4" w:rsidRPr="008B1A80" w14:paraId="21068852" w14:textId="77777777" w:rsidTr="00AE35FE">
        <w:trPr>
          <w:cantSplit/>
          <w:trHeight w:val="300"/>
        </w:trPr>
        <w:tc>
          <w:tcPr>
            <w:tcW w:w="465" w:type="dxa"/>
            <w:tcBorders>
              <w:bottom w:val="single" w:sz="2" w:space="0" w:color="auto"/>
              <w:right w:val="nil"/>
            </w:tcBorders>
            <w:vAlign w:val="center"/>
          </w:tcPr>
          <w:p w14:paraId="3D3E4779" w14:textId="77777777" w:rsidR="00DC43B4" w:rsidRPr="008B1A80" w:rsidRDefault="00DC43B4" w:rsidP="00AE35FE">
            <w:pPr>
              <w:keepNext/>
              <w:keepLines/>
              <w:spacing w:after="0" w:line="240" w:lineRule="auto"/>
              <w:jc w:val="center"/>
              <w:rPr>
                <w:rFonts w:ascii="Arial Narrow" w:hAnsi="Arial Narrow"/>
                <w:color w:val="000000"/>
                <w:sz w:val="20"/>
              </w:rPr>
            </w:pPr>
            <w:r>
              <w:rPr>
                <w:rFonts w:ascii="Arial Narrow" w:hAnsi="Arial Narrow"/>
                <w:color w:val="000000"/>
                <w:sz w:val="20"/>
              </w:rPr>
              <w:t>5</w:t>
            </w:r>
          </w:p>
        </w:tc>
        <w:tc>
          <w:tcPr>
            <w:tcW w:w="2224" w:type="dxa"/>
            <w:tcBorders>
              <w:left w:val="nil"/>
              <w:bottom w:val="single" w:sz="2" w:space="0" w:color="auto"/>
            </w:tcBorders>
            <w:shd w:val="clear" w:color="auto" w:fill="auto"/>
            <w:noWrap/>
            <w:vAlign w:val="center"/>
            <w:hideMark/>
          </w:tcPr>
          <w:p w14:paraId="1948D243" w14:textId="77777777" w:rsidR="00DC43B4" w:rsidRPr="008B1A80" w:rsidRDefault="00DC43B4"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Minnesota</w:t>
            </w:r>
          </w:p>
        </w:tc>
        <w:tc>
          <w:tcPr>
            <w:tcW w:w="1698" w:type="dxa"/>
            <w:tcBorders>
              <w:bottom w:val="single" w:sz="2" w:space="0" w:color="auto"/>
            </w:tcBorders>
            <w:shd w:val="clear" w:color="auto" w:fill="auto"/>
            <w:noWrap/>
            <w:vAlign w:val="center"/>
            <w:hideMark/>
          </w:tcPr>
          <w:p w14:paraId="19B71DFF" w14:textId="77777777" w:rsidR="00DC43B4" w:rsidRPr="008B1A80" w:rsidRDefault="00DC43B4" w:rsidP="00AE35FE">
            <w:pPr>
              <w:keepNext/>
              <w:keepLines/>
              <w:spacing w:after="0" w:line="240" w:lineRule="auto"/>
              <w:jc w:val="right"/>
              <w:rPr>
                <w:rFonts w:ascii="Arial Narrow" w:hAnsi="Arial Narrow"/>
                <w:color w:val="000000"/>
                <w:sz w:val="20"/>
              </w:rPr>
            </w:pPr>
            <w:r>
              <w:rPr>
                <w:rFonts w:ascii="Arial Narrow" w:hAnsi="Arial Narrow"/>
                <w:color w:val="000000"/>
                <w:sz w:val="20"/>
              </w:rPr>
              <w:t>748</w:t>
            </w:r>
          </w:p>
        </w:tc>
      </w:tr>
      <w:tr w:rsidR="00DC43B4" w:rsidRPr="008B1A80" w14:paraId="2CD709CD" w14:textId="77777777" w:rsidTr="00AA46FD">
        <w:trPr>
          <w:cantSplit/>
          <w:trHeight w:val="300"/>
        </w:trPr>
        <w:tc>
          <w:tcPr>
            <w:tcW w:w="465" w:type="dxa"/>
            <w:tcBorders>
              <w:bottom w:val="single" w:sz="2" w:space="0" w:color="auto"/>
              <w:right w:val="nil"/>
            </w:tcBorders>
            <w:vAlign w:val="center"/>
          </w:tcPr>
          <w:p w14:paraId="12A86C9C" w14:textId="77777777" w:rsidR="00DC43B4" w:rsidRPr="008B1A80" w:rsidRDefault="00DC43B4" w:rsidP="00AE35FE">
            <w:pPr>
              <w:keepNext/>
              <w:keepLines/>
              <w:spacing w:after="0" w:line="240" w:lineRule="auto"/>
              <w:jc w:val="center"/>
              <w:rPr>
                <w:rFonts w:ascii="Arial Narrow" w:hAnsi="Arial Narrow"/>
                <w:color w:val="000000"/>
                <w:sz w:val="20"/>
              </w:rPr>
            </w:pPr>
            <w:r>
              <w:rPr>
                <w:rFonts w:ascii="Arial Narrow" w:hAnsi="Arial Narrow"/>
                <w:color w:val="000000"/>
                <w:sz w:val="20"/>
              </w:rPr>
              <w:t>6</w:t>
            </w:r>
          </w:p>
        </w:tc>
        <w:tc>
          <w:tcPr>
            <w:tcW w:w="2224" w:type="dxa"/>
            <w:tcBorders>
              <w:left w:val="nil"/>
              <w:bottom w:val="single" w:sz="2" w:space="0" w:color="auto"/>
            </w:tcBorders>
            <w:shd w:val="clear" w:color="auto" w:fill="auto"/>
            <w:noWrap/>
            <w:vAlign w:val="center"/>
            <w:hideMark/>
          </w:tcPr>
          <w:p w14:paraId="625B66B3" w14:textId="77777777" w:rsidR="00DC43B4" w:rsidRPr="008B1A80" w:rsidRDefault="00DC43B4" w:rsidP="00AE35FE">
            <w:pPr>
              <w:keepNext/>
              <w:keepLines/>
              <w:spacing w:after="0" w:line="240" w:lineRule="auto"/>
              <w:rPr>
                <w:rFonts w:ascii="Arial Narrow" w:hAnsi="Arial Narrow"/>
                <w:color w:val="000000"/>
                <w:sz w:val="20"/>
              </w:rPr>
            </w:pPr>
            <w:r w:rsidRPr="008B1A80">
              <w:rPr>
                <w:rFonts w:ascii="Arial Narrow" w:hAnsi="Arial Narrow"/>
                <w:color w:val="000000"/>
                <w:sz w:val="20"/>
              </w:rPr>
              <w:t>Washington</w:t>
            </w:r>
          </w:p>
        </w:tc>
        <w:tc>
          <w:tcPr>
            <w:tcW w:w="1698" w:type="dxa"/>
            <w:tcBorders>
              <w:bottom w:val="single" w:sz="2" w:space="0" w:color="auto"/>
            </w:tcBorders>
            <w:shd w:val="clear" w:color="auto" w:fill="auto"/>
            <w:noWrap/>
            <w:vAlign w:val="center"/>
            <w:hideMark/>
          </w:tcPr>
          <w:p w14:paraId="677FCC8C" w14:textId="77777777" w:rsidR="00DC43B4" w:rsidRPr="008B1A80" w:rsidRDefault="00DC43B4" w:rsidP="00AE35FE">
            <w:pPr>
              <w:keepNext/>
              <w:keepLines/>
              <w:spacing w:after="0" w:line="240" w:lineRule="auto"/>
              <w:jc w:val="right"/>
              <w:rPr>
                <w:rFonts w:ascii="Arial Narrow" w:hAnsi="Arial Narrow"/>
                <w:color w:val="000000"/>
                <w:sz w:val="20"/>
              </w:rPr>
            </w:pPr>
            <w:r>
              <w:rPr>
                <w:rFonts w:ascii="Arial Narrow" w:hAnsi="Arial Narrow"/>
                <w:color w:val="000000"/>
                <w:sz w:val="20"/>
              </w:rPr>
              <w:t>619</w:t>
            </w:r>
          </w:p>
        </w:tc>
      </w:tr>
      <w:tr w:rsidR="00DC43B4" w:rsidRPr="008B1A80" w14:paraId="1B00AA73" w14:textId="77777777" w:rsidTr="00AA46FD">
        <w:trPr>
          <w:cantSplit/>
          <w:trHeight w:val="300"/>
        </w:trPr>
        <w:tc>
          <w:tcPr>
            <w:tcW w:w="465" w:type="dxa"/>
            <w:tcBorders>
              <w:top w:val="single" w:sz="2" w:space="0" w:color="auto"/>
              <w:bottom w:val="single" w:sz="2" w:space="0" w:color="auto"/>
              <w:right w:val="nil"/>
            </w:tcBorders>
            <w:shd w:val="clear" w:color="auto" w:fill="D3DEE4" w:themeFill="background1" w:themeFillTint="99"/>
          </w:tcPr>
          <w:p w14:paraId="509FC960" w14:textId="77777777" w:rsidR="00DC43B4" w:rsidRPr="008B1A80" w:rsidRDefault="00DC43B4" w:rsidP="00AE35FE">
            <w:pPr>
              <w:keepNext/>
              <w:keepLines/>
              <w:spacing w:after="0" w:line="240" w:lineRule="auto"/>
              <w:rPr>
                <w:rFonts w:ascii="Arial Narrow" w:hAnsi="Arial Narrow"/>
                <w:b/>
                <w:bCs/>
                <w:color w:val="000000"/>
                <w:sz w:val="20"/>
              </w:rPr>
            </w:pPr>
          </w:p>
        </w:tc>
        <w:tc>
          <w:tcPr>
            <w:tcW w:w="2224" w:type="dxa"/>
            <w:tcBorders>
              <w:top w:val="single" w:sz="2" w:space="0" w:color="auto"/>
              <w:left w:val="nil"/>
              <w:bottom w:val="single" w:sz="2" w:space="0" w:color="auto"/>
              <w:right w:val="single" w:sz="2" w:space="0" w:color="auto"/>
            </w:tcBorders>
            <w:shd w:val="clear" w:color="auto" w:fill="D3DEE4" w:themeFill="background1" w:themeFillTint="99"/>
            <w:noWrap/>
            <w:vAlign w:val="center"/>
            <w:hideMark/>
          </w:tcPr>
          <w:p w14:paraId="1CFD41CB" w14:textId="77777777" w:rsidR="00DC43B4" w:rsidRPr="008B1A80" w:rsidRDefault="00DC43B4" w:rsidP="00AE35FE">
            <w:pPr>
              <w:keepNext/>
              <w:keepLines/>
              <w:spacing w:after="0" w:line="240" w:lineRule="auto"/>
              <w:rPr>
                <w:rFonts w:ascii="Arial Narrow" w:hAnsi="Arial Narrow"/>
                <w:b/>
                <w:bCs/>
                <w:color w:val="000000"/>
                <w:sz w:val="20"/>
              </w:rPr>
            </w:pPr>
            <w:r w:rsidRPr="008B1A80">
              <w:rPr>
                <w:rFonts w:ascii="Arial Narrow" w:hAnsi="Arial Narrow"/>
                <w:b/>
                <w:bCs/>
                <w:color w:val="000000"/>
                <w:sz w:val="20"/>
              </w:rPr>
              <w:t>Total</w:t>
            </w:r>
          </w:p>
        </w:tc>
        <w:tc>
          <w:tcPr>
            <w:tcW w:w="1698" w:type="dxa"/>
            <w:tcBorders>
              <w:top w:val="single" w:sz="2" w:space="0" w:color="auto"/>
              <w:left w:val="single" w:sz="2" w:space="0" w:color="auto"/>
              <w:bottom w:val="single" w:sz="2" w:space="0" w:color="auto"/>
              <w:right w:val="single" w:sz="2" w:space="0" w:color="auto"/>
            </w:tcBorders>
            <w:shd w:val="clear" w:color="auto" w:fill="D3DEE4" w:themeFill="background1" w:themeFillTint="99"/>
            <w:noWrap/>
            <w:vAlign w:val="center"/>
            <w:hideMark/>
          </w:tcPr>
          <w:p w14:paraId="3AD1BB06" w14:textId="77777777" w:rsidR="00DC43B4" w:rsidRPr="008B1A80" w:rsidRDefault="00DC43B4" w:rsidP="00AE35FE">
            <w:pPr>
              <w:keepNext/>
              <w:keepLines/>
              <w:spacing w:after="0" w:line="240" w:lineRule="auto"/>
              <w:jc w:val="right"/>
              <w:rPr>
                <w:rFonts w:ascii="Arial Narrow" w:hAnsi="Arial Narrow"/>
                <w:b/>
                <w:bCs/>
                <w:color w:val="000000"/>
                <w:sz w:val="20"/>
              </w:rPr>
            </w:pPr>
            <w:r>
              <w:rPr>
                <w:rFonts w:ascii="Arial Narrow" w:hAnsi="Arial Narrow"/>
                <w:b/>
                <w:bCs/>
                <w:color w:val="000000"/>
                <w:sz w:val="20"/>
              </w:rPr>
              <w:t>7,014</w:t>
            </w:r>
          </w:p>
        </w:tc>
      </w:tr>
    </w:tbl>
    <w:p w14:paraId="0397CC62" w14:textId="77777777" w:rsidR="00DC43B4" w:rsidRDefault="00DC43B4" w:rsidP="00DC43B4">
      <w:pPr>
        <w:pStyle w:val="ExhibitSource"/>
      </w:pPr>
      <w:r w:rsidRPr="00EB3DEA">
        <w:t xml:space="preserve">Source: </w:t>
      </w:r>
      <w:r>
        <w:t xml:space="preserve">HUD’s Tenant </w:t>
      </w:r>
      <w:r w:rsidRPr="00BF6B86">
        <w:t>Rental Certification Systems</w:t>
      </w:r>
    </w:p>
    <w:p w14:paraId="71886D77" w14:textId="77777777" w:rsidR="00C01A77" w:rsidRPr="00C01A77" w:rsidRDefault="00C01A77" w:rsidP="002817CA">
      <w:pPr>
        <w:rPr>
          <w:b/>
        </w:rPr>
      </w:pPr>
      <w:r>
        <w:rPr>
          <w:b/>
        </w:rPr>
        <w:t>Identification of Section 811 Property Owner Respondents</w:t>
      </w:r>
    </w:p>
    <w:p w14:paraId="19DC7255" w14:textId="051465DA" w:rsidR="00F010C7" w:rsidRDefault="00F010C7" w:rsidP="002817CA">
      <w:r>
        <w:t xml:space="preserve">Evaluators will select property owners to interview purposively using the </w:t>
      </w:r>
      <w:r w:rsidR="002817CA">
        <w:t xml:space="preserve">location </w:t>
      </w:r>
      <w:r w:rsidR="00764716">
        <w:t>of where PRA residents live</w:t>
      </w:r>
      <w:r>
        <w:t xml:space="preserve">.   </w:t>
      </w:r>
      <w:r w:rsidR="002817CA">
        <w:t xml:space="preserve"> </w:t>
      </w:r>
      <w:r>
        <w:t>T</w:t>
      </w:r>
      <w:r w:rsidR="00C01A77">
        <w:t xml:space="preserve">he </w:t>
      </w:r>
      <w:r w:rsidR="002817CA">
        <w:t>evaluation staff will</w:t>
      </w:r>
      <w:r>
        <w:t xml:space="preserve"> work with the state housing agency to</w:t>
      </w:r>
      <w:r w:rsidR="002817CA">
        <w:t xml:space="preserve"> </w:t>
      </w:r>
      <w:r w:rsidR="0031669A">
        <w:t xml:space="preserve">identify four property owners or managers per state for interviews, for a total of 24 interviews. </w:t>
      </w:r>
      <w:r>
        <w:t xml:space="preserve"> Through March 31, 2017</w:t>
      </w:r>
      <w:r w:rsidR="0067573D">
        <w:t>, the PRA grantees report</w:t>
      </w:r>
      <w:r>
        <w:t xml:space="preserve"> 56 properties with units under contract for PRA subsidies</w:t>
      </w:r>
      <w:r w:rsidR="0067573D">
        <w:t xml:space="preserve"> in the six evaluation states</w:t>
      </w:r>
      <w:r>
        <w:t>.   Properties will be selected based on the number of residents living in PRA units at the time o</w:t>
      </w:r>
      <w:r w:rsidR="00764716">
        <w:t xml:space="preserve">f the interviews and to ensure </w:t>
      </w:r>
      <w:r>
        <w:t>geographic distribution</w:t>
      </w:r>
      <w:r w:rsidR="00764716">
        <w:t xml:space="preserve">.  </w:t>
      </w:r>
      <w:r>
        <w:t xml:space="preserve"> </w:t>
      </w:r>
    </w:p>
    <w:p w14:paraId="391AE359" w14:textId="77777777" w:rsidR="00F010C7" w:rsidRPr="00C01A77" w:rsidRDefault="00F010C7" w:rsidP="00F010C7">
      <w:pPr>
        <w:rPr>
          <w:b/>
        </w:rPr>
      </w:pPr>
      <w:r>
        <w:rPr>
          <w:b/>
        </w:rPr>
        <w:t xml:space="preserve">Identification of Section 811 </w:t>
      </w:r>
      <w:r w:rsidR="00764716">
        <w:rPr>
          <w:b/>
        </w:rPr>
        <w:t>Service Provider</w:t>
      </w:r>
      <w:r>
        <w:rPr>
          <w:b/>
        </w:rPr>
        <w:t xml:space="preserve"> Respondents</w:t>
      </w:r>
    </w:p>
    <w:p w14:paraId="57909736" w14:textId="77777777" w:rsidR="00764716" w:rsidRDefault="00764716" w:rsidP="00267F43">
      <w:r>
        <w:t xml:space="preserve">Evaluators will select service providers to interview purposively based on the number of PRA residents they serve and the type of services they provide.  </w:t>
      </w:r>
      <w:r w:rsidR="00C01A77">
        <w:t>Up to eight service providers per state will be recruited for the evaluation, for up to 48 service provider interviews. Once PRA residents have been identified, e</w:t>
      </w:r>
      <w:r w:rsidR="002817CA">
        <w:t xml:space="preserve">valuation staff will work with each state’s Medicaid agency to learn about the service provider organizations that serve </w:t>
      </w:r>
      <w:r w:rsidR="00C01A77">
        <w:t xml:space="preserve">the </w:t>
      </w:r>
      <w:r w:rsidR="002817CA">
        <w:t xml:space="preserve">PRA residents. </w:t>
      </w:r>
      <w:r>
        <w:t xml:space="preserve">The universe of potential service providers will not be known until prior to field data collection.  As PRA residents can select their own service providers, the number of potential service provider organizations who work with participants in the Section 811 PRA program may be quite large. </w:t>
      </w:r>
    </w:p>
    <w:p w14:paraId="6105D033" w14:textId="77777777" w:rsidR="00764716" w:rsidRPr="00764716" w:rsidRDefault="00764716" w:rsidP="00267F43">
      <w:pPr>
        <w:rPr>
          <w:b/>
        </w:rPr>
      </w:pPr>
      <w:r>
        <w:rPr>
          <w:b/>
        </w:rPr>
        <w:t>Identification of Section 811 Property Owner Respondents</w:t>
      </w:r>
    </w:p>
    <w:p w14:paraId="37112FB6" w14:textId="77777777" w:rsidR="00764716" w:rsidRDefault="00335297" w:rsidP="00267F43">
      <w:r w:rsidRPr="00335297">
        <w:t xml:space="preserve">In the </w:t>
      </w:r>
      <w:r>
        <w:t xml:space="preserve">Section 811 PRA grantee application process, states received </w:t>
      </w:r>
      <w:r w:rsidR="00B3151F">
        <w:t>extra</w:t>
      </w:r>
      <w:r w:rsidR="00F621D1">
        <w:t xml:space="preserve"> </w:t>
      </w:r>
      <w:r w:rsidRPr="00335297">
        <w:t xml:space="preserve">points </w:t>
      </w:r>
      <w:r w:rsidR="00B3151F">
        <w:t>for</w:t>
      </w:r>
      <w:r w:rsidRPr="00335297">
        <w:t xml:space="preserve"> obtaining commitments from one or more PHAs</w:t>
      </w:r>
      <w:r w:rsidR="00F621D1">
        <w:t xml:space="preserve"> to</w:t>
      </w:r>
      <w:r w:rsidR="00F621D1" w:rsidRPr="00335297">
        <w:t xml:space="preserve"> leverag</w:t>
      </w:r>
      <w:r w:rsidR="00F621D1">
        <w:t>e</w:t>
      </w:r>
      <w:r w:rsidR="00F621D1" w:rsidRPr="00335297">
        <w:t xml:space="preserve"> other housing units for people with disabilities</w:t>
      </w:r>
      <w:r w:rsidR="00F621D1">
        <w:t>.</w:t>
      </w:r>
      <w:r w:rsidR="00F621D1" w:rsidRPr="00335297">
        <w:t xml:space="preserve"> </w:t>
      </w:r>
      <w:r w:rsidR="0067573D">
        <w:t xml:space="preserve">Twelve </w:t>
      </w:r>
      <w:r w:rsidR="00764716">
        <w:t>PHA respondents will be recruited to be interviewed.  Exhibit B-3 shows the universe of PHAs that leveraged units for the PRA program.  A total of 18 PHA</w:t>
      </w:r>
      <w:r w:rsidR="00F601AA">
        <w:t>s</w:t>
      </w:r>
      <w:r w:rsidR="00764716">
        <w:t xml:space="preserve"> leveraged units in five of the six study states.  The study team will recruit the universe of PHAs in California, Louisiana, Minnesota, and Washington, and will recruit four of the 10 PHAs that leveraged units in Maryland.   </w:t>
      </w:r>
    </w:p>
    <w:p w14:paraId="29602446" w14:textId="77777777" w:rsidR="00764716" w:rsidRDefault="00764716" w:rsidP="00764716">
      <w:pPr>
        <w:pStyle w:val="ExhibitColumnHeader"/>
        <w:keepNext/>
        <w:keepLines/>
        <w:jc w:val="left"/>
      </w:pPr>
      <w:r>
        <w:t>Exhibit B-3</w:t>
      </w:r>
    </w:p>
    <w:p w14:paraId="685C4C05" w14:textId="77777777" w:rsidR="00764716" w:rsidRDefault="00764716" w:rsidP="00764716">
      <w:pPr>
        <w:pStyle w:val="ExhibitColumnHeader"/>
        <w:keepNext/>
        <w:keepLines/>
        <w:jc w:val="left"/>
      </w:pPr>
      <w:r>
        <w:t xml:space="preserve">Number of </w:t>
      </w:r>
      <w:r w:rsidR="00F601AA">
        <w:t>Public Housing Agencies that Committed HCVs for PRA Grant Application</w:t>
      </w:r>
    </w:p>
    <w:tbl>
      <w:tblPr>
        <w:tblW w:w="438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5"/>
        <w:gridCol w:w="2224"/>
        <w:gridCol w:w="1698"/>
      </w:tblGrid>
      <w:tr w:rsidR="00764716" w:rsidRPr="008B1A80" w14:paraId="3A11D429" w14:textId="77777777" w:rsidTr="00AE35FE">
        <w:trPr>
          <w:cantSplit/>
          <w:trHeight w:val="300"/>
        </w:trPr>
        <w:tc>
          <w:tcPr>
            <w:tcW w:w="465" w:type="dxa"/>
            <w:tcBorders>
              <w:right w:val="nil"/>
            </w:tcBorders>
          </w:tcPr>
          <w:p w14:paraId="37DD5DAB" w14:textId="77777777" w:rsidR="00764716" w:rsidRPr="008B1A80" w:rsidRDefault="00764716" w:rsidP="00AE35FE">
            <w:pPr>
              <w:keepNext/>
              <w:keepLines/>
              <w:spacing w:after="0" w:line="240" w:lineRule="auto"/>
              <w:jc w:val="center"/>
              <w:rPr>
                <w:rFonts w:ascii="Arial Narrow" w:hAnsi="Arial Narrow"/>
                <w:b/>
                <w:bCs/>
                <w:color w:val="000000"/>
                <w:sz w:val="20"/>
              </w:rPr>
            </w:pPr>
          </w:p>
        </w:tc>
        <w:tc>
          <w:tcPr>
            <w:tcW w:w="2224" w:type="dxa"/>
            <w:tcBorders>
              <w:left w:val="nil"/>
            </w:tcBorders>
            <w:shd w:val="clear" w:color="auto" w:fill="auto"/>
            <w:vAlign w:val="center"/>
            <w:hideMark/>
          </w:tcPr>
          <w:p w14:paraId="425F3AA5" w14:textId="77777777" w:rsidR="00764716" w:rsidRPr="008B1A80" w:rsidRDefault="00764716" w:rsidP="00AE35FE">
            <w:pPr>
              <w:keepNext/>
              <w:keepLines/>
              <w:spacing w:after="0" w:line="240" w:lineRule="auto"/>
              <w:rPr>
                <w:rFonts w:ascii="Arial Narrow" w:hAnsi="Arial Narrow"/>
                <w:b/>
                <w:bCs/>
                <w:color w:val="000000"/>
                <w:sz w:val="20"/>
              </w:rPr>
            </w:pPr>
            <w:r w:rsidRPr="008B1A80">
              <w:rPr>
                <w:rFonts w:ascii="Arial Narrow" w:hAnsi="Arial Narrow"/>
                <w:b/>
                <w:bCs/>
                <w:color w:val="000000"/>
                <w:sz w:val="20"/>
              </w:rPr>
              <w:t>States</w:t>
            </w:r>
          </w:p>
        </w:tc>
        <w:tc>
          <w:tcPr>
            <w:tcW w:w="1698" w:type="dxa"/>
            <w:shd w:val="clear" w:color="auto" w:fill="auto"/>
            <w:vAlign w:val="center"/>
            <w:hideMark/>
          </w:tcPr>
          <w:p w14:paraId="5A599765" w14:textId="77777777" w:rsidR="00764716" w:rsidRPr="008B1A80" w:rsidRDefault="00764716" w:rsidP="00764716">
            <w:pPr>
              <w:keepNext/>
              <w:keepLines/>
              <w:spacing w:after="0" w:line="240" w:lineRule="auto"/>
              <w:jc w:val="center"/>
              <w:rPr>
                <w:rFonts w:ascii="Arial Narrow" w:hAnsi="Arial Narrow"/>
                <w:b/>
                <w:bCs/>
                <w:color w:val="000000"/>
                <w:sz w:val="20"/>
              </w:rPr>
            </w:pPr>
            <w:r w:rsidRPr="008B1A80">
              <w:rPr>
                <w:rFonts w:ascii="Arial Narrow" w:hAnsi="Arial Narrow"/>
                <w:b/>
                <w:bCs/>
                <w:color w:val="000000"/>
                <w:sz w:val="20"/>
              </w:rPr>
              <w:t xml:space="preserve">Number </w:t>
            </w:r>
            <w:r>
              <w:rPr>
                <w:rFonts w:ascii="Arial Narrow" w:hAnsi="Arial Narrow"/>
                <w:b/>
                <w:bCs/>
                <w:color w:val="000000"/>
                <w:sz w:val="20"/>
              </w:rPr>
              <w:t>of PHAs that Committed HCVs</w:t>
            </w:r>
          </w:p>
        </w:tc>
      </w:tr>
      <w:tr w:rsidR="00764716" w:rsidRPr="008B1A80" w14:paraId="01572121" w14:textId="77777777" w:rsidTr="00AE35FE">
        <w:trPr>
          <w:cantSplit/>
          <w:trHeight w:val="300"/>
        </w:trPr>
        <w:tc>
          <w:tcPr>
            <w:tcW w:w="465" w:type="dxa"/>
            <w:tcBorders>
              <w:right w:val="nil"/>
            </w:tcBorders>
            <w:vAlign w:val="center"/>
          </w:tcPr>
          <w:p w14:paraId="5904F3E6" w14:textId="77777777" w:rsidR="00764716" w:rsidRPr="008B1A80" w:rsidRDefault="00764716" w:rsidP="00AE35FE">
            <w:pPr>
              <w:keepNext/>
              <w:keepLines/>
              <w:spacing w:after="0" w:line="240" w:lineRule="auto"/>
              <w:jc w:val="center"/>
              <w:rPr>
                <w:rFonts w:ascii="Arial Narrow" w:hAnsi="Arial Narrow"/>
                <w:color w:val="000000"/>
                <w:sz w:val="20"/>
              </w:rPr>
            </w:pPr>
            <w:r>
              <w:rPr>
                <w:rFonts w:ascii="Arial Narrow" w:hAnsi="Arial Narrow"/>
                <w:color w:val="000000"/>
                <w:sz w:val="20"/>
              </w:rPr>
              <w:t>1</w:t>
            </w:r>
          </w:p>
        </w:tc>
        <w:tc>
          <w:tcPr>
            <w:tcW w:w="2224" w:type="dxa"/>
            <w:tcBorders>
              <w:left w:val="nil"/>
            </w:tcBorders>
            <w:shd w:val="clear" w:color="auto" w:fill="auto"/>
            <w:noWrap/>
            <w:vAlign w:val="center"/>
            <w:hideMark/>
          </w:tcPr>
          <w:p w14:paraId="2E0D9194" w14:textId="77777777" w:rsidR="00764716" w:rsidRPr="008B1A80" w:rsidRDefault="00764716" w:rsidP="00AE35FE">
            <w:pPr>
              <w:keepNext/>
              <w:keepLines/>
              <w:spacing w:after="0" w:line="240" w:lineRule="auto"/>
              <w:rPr>
                <w:rFonts w:ascii="Arial Narrow" w:hAnsi="Arial Narrow"/>
                <w:color w:val="000000"/>
                <w:sz w:val="20"/>
              </w:rPr>
            </w:pPr>
            <w:r w:rsidRPr="008B1A80">
              <w:rPr>
                <w:rFonts w:ascii="Arial Narrow" w:hAnsi="Arial Narrow"/>
                <w:color w:val="000000"/>
                <w:sz w:val="20"/>
              </w:rPr>
              <w:t>California</w:t>
            </w:r>
          </w:p>
        </w:tc>
        <w:tc>
          <w:tcPr>
            <w:tcW w:w="1698" w:type="dxa"/>
            <w:shd w:val="clear" w:color="auto" w:fill="auto"/>
            <w:noWrap/>
            <w:vAlign w:val="center"/>
            <w:hideMark/>
          </w:tcPr>
          <w:p w14:paraId="59969821" w14:textId="77777777" w:rsidR="00764716" w:rsidRPr="008B1A80" w:rsidRDefault="00764716" w:rsidP="00AE35FE">
            <w:pPr>
              <w:keepNext/>
              <w:keepLines/>
              <w:spacing w:after="0" w:line="240" w:lineRule="auto"/>
              <w:jc w:val="right"/>
              <w:rPr>
                <w:rFonts w:ascii="Arial Narrow" w:hAnsi="Arial Narrow"/>
                <w:color w:val="000000"/>
                <w:sz w:val="20"/>
              </w:rPr>
            </w:pPr>
            <w:r>
              <w:rPr>
                <w:rFonts w:ascii="Arial Narrow" w:hAnsi="Arial Narrow"/>
                <w:color w:val="000000"/>
                <w:sz w:val="20"/>
              </w:rPr>
              <w:t>2</w:t>
            </w:r>
          </w:p>
        </w:tc>
      </w:tr>
      <w:tr w:rsidR="00764716" w:rsidRPr="008B1A80" w14:paraId="20CABA37" w14:textId="77777777" w:rsidTr="00AE35FE">
        <w:trPr>
          <w:cantSplit/>
          <w:trHeight w:val="300"/>
        </w:trPr>
        <w:tc>
          <w:tcPr>
            <w:tcW w:w="465" w:type="dxa"/>
            <w:tcBorders>
              <w:right w:val="nil"/>
            </w:tcBorders>
            <w:vAlign w:val="center"/>
          </w:tcPr>
          <w:p w14:paraId="069E9B20" w14:textId="77777777" w:rsidR="00764716" w:rsidRPr="008B1A80" w:rsidRDefault="00764716" w:rsidP="00AE35FE">
            <w:pPr>
              <w:keepNext/>
              <w:keepLines/>
              <w:spacing w:after="0" w:line="240" w:lineRule="auto"/>
              <w:jc w:val="center"/>
              <w:rPr>
                <w:rFonts w:ascii="Arial Narrow" w:hAnsi="Arial Narrow"/>
                <w:color w:val="000000"/>
                <w:sz w:val="20"/>
              </w:rPr>
            </w:pPr>
            <w:r>
              <w:rPr>
                <w:rFonts w:ascii="Arial Narrow" w:hAnsi="Arial Narrow"/>
                <w:color w:val="000000"/>
                <w:sz w:val="20"/>
              </w:rPr>
              <w:t>2</w:t>
            </w:r>
          </w:p>
        </w:tc>
        <w:tc>
          <w:tcPr>
            <w:tcW w:w="2224" w:type="dxa"/>
            <w:tcBorders>
              <w:left w:val="nil"/>
            </w:tcBorders>
            <w:shd w:val="clear" w:color="auto" w:fill="auto"/>
            <w:noWrap/>
            <w:vAlign w:val="center"/>
            <w:hideMark/>
          </w:tcPr>
          <w:p w14:paraId="0DB1CD95" w14:textId="77777777" w:rsidR="00764716" w:rsidRPr="008B1A80" w:rsidRDefault="00764716" w:rsidP="00AE35FE">
            <w:pPr>
              <w:keepNext/>
              <w:keepLines/>
              <w:spacing w:after="0" w:line="240" w:lineRule="auto"/>
              <w:rPr>
                <w:rFonts w:ascii="Arial Narrow" w:hAnsi="Arial Narrow"/>
                <w:color w:val="000000"/>
                <w:sz w:val="20"/>
              </w:rPr>
            </w:pPr>
            <w:r w:rsidRPr="008B1A80">
              <w:rPr>
                <w:rFonts w:ascii="Arial Narrow" w:hAnsi="Arial Narrow"/>
                <w:color w:val="000000"/>
                <w:sz w:val="20"/>
              </w:rPr>
              <w:t>Delaware</w:t>
            </w:r>
          </w:p>
        </w:tc>
        <w:tc>
          <w:tcPr>
            <w:tcW w:w="1698" w:type="dxa"/>
            <w:shd w:val="clear" w:color="auto" w:fill="auto"/>
            <w:noWrap/>
            <w:vAlign w:val="center"/>
            <w:hideMark/>
          </w:tcPr>
          <w:p w14:paraId="79287984" w14:textId="77777777" w:rsidR="00764716" w:rsidRPr="008B1A80" w:rsidRDefault="00764716" w:rsidP="00AE35FE">
            <w:pPr>
              <w:keepNext/>
              <w:keepLines/>
              <w:spacing w:after="0" w:line="240" w:lineRule="auto"/>
              <w:jc w:val="right"/>
              <w:rPr>
                <w:rFonts w:ascii="Arial Narrow" w:hAnsi="Arial Narrow"/>
                <w:color w:val="000000"/>
                <w:sz w:val="20"/>
              </w:rPr>
            </w:pPr>
            <w:r>
              <w:rPr>
                <w:rFonts w:ascii="Arial Narrow" w:hAnsi="Arial Narrow"/>
                <w:color w:val="000000"/>
                <w:sz w:val="20"/>
              </w:rPr>
              <w:t>0</w:t>
            </w:r>
          </w:p>
        </w:tc>
      </w:tr>
      <w:tr w:rsidR="00764716" w:rsidRPr="008B1A80" w14:paraId="50EA3360" w14:textId="77777777" w:rsidTr="00AE35FE">
        <w:trPr>
          <w:cantSplit/>
          <w:trHeight w:val="300"/>
        </w:trPr>
        <w:tc>
          <w:tcPr>
            <w:tcW w:w="465" w:type="dxa"/>
            <w:tcBorders>
              <w:right w:val="nil"/>
            </w:tcBorders>
            <w:vAlign w:val="center"/>
          </w:tcPr>
          <w:p w14:paraId="1C56A660" w14:textId="77777777" w:rsidR="00764716" w:rsidRPr="008B1A80" w:rsidRDefault="00764716" w:rsidP="00AE35FE">
            <w:pPr>
              <w:keepNext/>
              <w:keepLines/>
              <w:spacing w:after="0" w:line="240" w:lineRule="auto"/>
              <w:jc w:val="center"/>
              <w:rPr>
                <w:rFonts w:ascii="Arial Narrow" w:hAnsi="Arial Narrow"/>
                <w:color w:val="000000"/>
                <w:sz w:val="20"/>
              </w:rPr>
            </w:pPr>
            <w:r>
              <w:rPr>
                <w:rFonts w:ascii="Arial Narrow" w:hAnsi="Arial Narrow"/>
                <w:color w:val="000000"/>
                <w:sz w:val="20"/>
              </w:rPr>
              <w:t>3</w:t>
            </w:r>
          </w:p>
        </w:tc>
        <w:tc>
          <w:tcPr>
            <w:tcW w:w="2224" w:type="dxa"/>
            <w:tcBorders>
              <w:left w:val="nil"/>
            </w:tcBorders>
            <w:shd w:val="clear" w:color="auto" w:fill="auto"/>
            <w:noWrap/>
            <w:vAlign w:val="center"/>
            <w:hideMark/>
          </w:tcPr>
          <w:p w14:paraId="433974E9" w14:textId="77777777" w:rsidR="00764716" w:rsidRPr="008B1A80" w:rsidRDefault="00764716" w:rsidP="00AE35FE">
            <w:pPr>
              <w:keepNext/>
              <w:keepLines/>
              <w:spacing w:after="0" w:line="240" w:lineRule="auto"/>
              <w:rPr>
                <w:rFonts w:ascii="Arial Narrow" w:hAnsi="Arial Narrow"/>
                <w:color w:val="000000"/>
                <w:sz w:val="20"/>
              </w:rPr>
            </w:pPr>
            <w:r w:rsidRPr="008B1A80">
              <w:rPr>
                <w:rFonts w:ascii="Arial Narrow" w:hAnsi="Arial Narrow"/>
                <w:color w:val="000000"/>
                <w:sz w:val="20"/>
              </w:rPr>
              <w:t>Louisiana</w:t>
            </w:r>
          </w:p>
        </w:tc>
        <w:tc>
          <w:tcPr>
            <w:tcW w:w="1698" w:type="dxa"/>
            <w:shd w:val="clear" w:color="auto" w:fill="auto"/>
            <w:noWrap/>
            <w:vAlign w:val="center"/>
            <w:hideMark/>
          </w:tcPr>
          <w:p w14:paraId="0E46E5CA" w14:textId="77777777" w:rsidR="00764716" w:rsidRPr="008B1A80" w:rsidRDefault="00764716" w:rsidP="00AE35FE">
            <w:pPr>
              <w:keepNext/>
              <w:keepLines/>
              <w:spacing w:after="0" w:line="240" w:lineRule="auto"/>
              <w:jc w:val="right"/>
              <w:rPr>
                <w:rFonts w:ascii="Arial Narrow" w:hAnsi="Arial Narrow"/>
                <w:color w:val="000000"/>
                <w:sz w:val="20"/>
              </w:rPr>
            </w:pPr>
            <w:r>
              <w:rPr>
                <w:rFonts w:ascii="Arial Narrow" w:hAnsi="Arial Narrow"/>
                <w:color w:val="000000"/>
                <w:sz w:val="20"/>
              </w:rPr>
              <w:t>3</w:t>
            </w:r>
          </w:p>
        </w:tc>
      </w:tr>
      <w:tr w:rsidR="00764716" w:rsidRPr="008B1A80" w14:paraId="79A2D73E" w14:textId="77777777" w:rsidTr="00AE35FE">
        <w:trPr>
          <w:cantSplit/>
          <w:trHeight w:val="300"/>
        </w:trPr>
        <w:tc>
          <w:tcPr>
            <w:tcW w:w="465" w:type="dxa"/>
            <w:tcBorders>
              <w:right w:val="nil"/>
            </w:tcBorders>
            <w:vAlign w:val="center"/>
          </w:tcPr>
          <w:p w14:paraId="43C1BE2B" w14:textId="77777777" w:rsidR="00764716" w:rsidRPr="008B1A80" w:rsidRDefault="00764716" w:rsidP="00AE35FE">
            <w:pPr>
              <w:keepNext/>
              <w:keepLines/>
              <w:spacing w:after="0" w:line="240" w:lineRule="auto"/>
              <w:jc w:val="center"/>
              <w:rPr>
                <w:rFonts w:ascii="Arial Narrow" w:hAnsi="Arial Narrow"/>
                <w:color w:val="000000"/>
                <w:sz w:val="20"/>
              </w:rPr>
            </w:pPr>
            <w:r>
              <w:rPr>
                <w:rFonts w:ascii="Arial Narrow" w:hAnsi="Arial Narrow"/>
                <w:color w:val="000000"/>
                <w:sz w:val="20"/>
              </w:rPr>
              <w:t>4</w:t>
            </w:r>
          </w:p>
        </w:tc>
        <w:tc>
          <w:tcPr>
            <w:tcW w:w="2224" w:type="dxa"/>
            <w:tcBorders>
              <w:left w:val="nil"/>
            </w:tcBorders>
            <w:shd w:val="clear" w:color="auto" w:fill="auto"/>
            <w:noWrap/>
            <w:vAlign w:val="center"/>
            <w:hideMark/>
          </w:tcPr>
          <w:p w14:paraId="7AA95EB8" w14:textId="77777777" w:rsidR="00764716" w:rsidRPr="008B1A80" w:rsidRDefault="00764716"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Maryland</w:t>
            </w:r>
          </w:p>
        </w:tc>
        <w:tc>
          <w:tcPr>
            <w:tcW w:w="1698" w:type="dxa"/>
            <w:shd w:val="clear" w:color="auto" w:fill="auto"/>
            <w:noWrap/>
            <w:vAlign w:val="center"/>
            <w:hideMark/>
          </w:tcPr>
          <w:p w14:paraId="4EA3B6A6" w14:textId="77777777" w:rsidR="00764716" w:rsidRPr="008B1A80" w:rsidRDefault="00764716" w:rsidP="00AE35FE">
            <w:pPr>
              <w:keepNext/>
              <w:keepLines/>
              <w:spacing w:after="0" w:line="240" w:lineRule="auto"/>
              <w:jc w:val="right"/>
              <w:rPr>
                <w:rFonts w:ascii="Arial Narrow" w:hAnsi="Arial Narrow"/>
                <w:color w:val="000000"/>
                <w:sz w:val="20"/>
              </w:rPr>
            </w:pPr>
            <w:r>
              <w:rPr>
                <w:rFonts w:ascii="Arial Narrow" w:hAnsi="Arial Narrow"/>
                <w:color w:val="000000"/>
                <w:sz w:val="20"/>
              </w:rPr>
              <w:t>10</w:t>
            </w:r>
          </w:p>
        </w:tc>
      </w:tr>
      <w:tr w:rsidR="00764716" w:rsidRPr="008B1A80" w14:paraId="0F634322" w14:textId="77777777" w:rsidTr="00AE35FE">
        <w:trPr>
          <w:cantSplit/>
          <w:trHeight w:val="300"/>
        </w:trPr>
        <w:tc>
          <w:tcPr>
            <w:tcW w:w="465" w:type="dxa"/>
            <w:tcBorders>
              <w:bottom w:val="single" w:sz="2" w:space="0" w:color="auto"/>
              <w:right w:val="nil"/>
            </w:tcBorders>
            <w:vAlign w:val="center"/>
          </w:tcPr>
          <w:p w14:paraId="772856AA" w14:textId="77777777" w:rsidR="00764716" w:rsidRPr="008B1A80" w:rsidRDefault="00764716" w:rsidP="00AE35FE">
            <w:pPr>
              <w:keepNext/>
              <w:keepLines/>
              <w:spacing w:after="0" w:line="240" w:lineRule="auto"/>
              <w:jc w:val="center"/>
              <w:rPr>
                <w:rFonts w:ascii="Arial Narrow" w:hAnsi="Arial Narrow"/>
                <w:color w:val="000000"/>
                <w:sz w:val="20"/>
              </w:rPr>
            </w:pPr>
            <w:r>
              <w:rPr>
                <w:rFonts w:ascii="Arial Narrow" w:hAnsi="Arial Narrow"/>
                <w:color w:val="000000"/>
                <w:sz w:val="20"/>
              </w:rPr>
              <w:t>5</w:t>
            </w:r>
          </w:p>
        </w:tc>
        <w:tc>
          <w:tcPr>
            <w:tcW w:w="2224" w:type="dxa"/>
            <w:tcBorders>
              <w:left w:val="nil"/>
              <w:bottom w:val="single" w:sz="2" w:space="0" w:color="auto"/>
            </w:tcBorders>
            <w:shd w:val="clear" w:color="auto" w:fill="auto"/>
            <w:noWrap/>
            <w:vAlign w:val="center"/>
            <w:hideMark/>
          </w:tcPr>
          <w:p w14:paraId="61919C63" w14:textId="77777777" w:rsidR="00764716" w:rsidRPr="008B1A80" w:rsidRDefault="00764716" w:rsidP="00AE35FE">
            <w:pPr>
              <w:keepNext/>
              <w:keepLines/>
              <w:spacing w:after="0" w:line="240" w:lineRule="auto"/>
              <w:rPr>
                <w:rFonts w:ascii="Arial Narrow" w:hAnsi="Arial Narrow"/>
                <w:color w:val="000000"/>
                <w:sz w:val="20"/>
              </w:rPr>
            </w:pPr>
            <w:r w:rsidRPr="008B1A80">
              <w:rPr>
                <w:rFonts w:ascii="Arial Narrow" w:hAnsi="Arial Narrow"/>
                <w:color w:val="000000"/>
                <w:sz w:val="20"/>
              </w:rPr>
              <w:t>Minnesota</w:t>
            </w:r>
          </w:p>
        </w:tc>
        <w:tc>
          <w:tcPr>
            <w:tcW w:w="1698" w:type="dxa"/>
            <w:tcBorders>
              <w:bottom w:val="single" w:sz="2" w:space="0" w:color="auto"/>
            </w:tcBorders>
            <w:shd w:val="clear" w:color="auto" w:fill="auto"/>
            <w:noWrap/>
            <w:vAlign w:val="center"/>
            <w:hideMark/>
          </w:tcPr>
          <w:p w14:paraId="2A2959B5" w14:textId="77777777" w:rsidR="00764716" w:rsidRPr="008B1A80" w:rsidRDefault="00764716" w:rsidP="00AE35FE">
            <w:pPr>
              <w:keepNext/>
              <w:keepLines/>
              <w:spacing w:after="0" w:line="240" w:lineRule="auto"/>
              <w:jc w:val="right"/>
              <w:rPr>
                <w:rFonts w:ascii="Arial Narrow" w:hAnsi="Arial Narrow"/>
                <w:color w:val="000000"/>
                <w:sz w:val="20"/>
              </w:rPr>
            </w:pPr>
            <w:r>
              <w:rPr>
                <w:rFonts w:ascii="Arial Narrow" w:hAnsi="Arial Narrow"/>
                <w:color w:val="000000"/>
                <w:sz w:val="20"/>
              </w:rPr>
              <w:t>2</w:t>
            </w:r>
          </w:p>
        </w:tc>
      </w:tr>
      <w:tr w:rsidR="00764716" w:rsidRPr="008B1A80" w14:paraId="0DE5E96A" w14:textId="77777777" w:rsidTr="00867DE0">
        <w:trPr>
          <w:cantSplit/>
          <w:trHeight w:val="300"/>
        </w:trPr>
        <w:tc>
          <w:tcPr>
            <w:tcW w:w="465" w:type="dxa"/>
            <w:tcBorders>
              <w:bottom w:val="single" w:sz="2" w:space="0" w:color="auto"/>
              <w:right w:val="nil"/>
            </w:tcBorders>
            <w:vAlign w:val="center"/>
          </w:tcPr>
          <w:p w14:paraId="6E1322AD" w14:textId="77777777" w:rsidR="00764716" w:rsidRPr="008B1A80" w:rsidRDefault="00764716" w:rsidP="00AE35FE">
            <w:pPr>
              <w:keepNext/>
              <w:keepLines/>
              <w:spacing w:after="0" w:line="240" w:lineRule="auto"/>
              <w:jc w:val="center"/>
              <w:rPr>
                <w:rFonts w:ascii="Arial Narrow" w:hAnsi="Arial Narrow"/>
                <w:color w:val="000000"/>
                <w:sz w:val="20"/>
              </w:rPr>
            </w:pPr>
            <w:r>
              <w:rPr>
                <w:rFonts w:ascii="Arial Narrow" w:hAnsi="Arial Narrow"/>
                <w:color w:val="000000"/>
                <w:sz w:val="20"/>
              </w:rPr>
              <w:t>6</w:t>
            </w:r>
          </w:p>
        </w:tc>
        <w:tc>
          <w:tcPr>
            <w:tcW w:w="2224" w:type="dxa"/>
            <w:tcBorders>
              <w:left w:val="nil"/>
              <w:bottom w:val="single" w:sz="2" w:space="0" w:color="auto"/>
            </w:tcBorders>
            <w:shd w:val="clear" w:color="auto" w:fill="auto"/>
            <w:noWrap/>
            <w:vAlign w:val="center"/>
            <w:hideMark/>
          </w:tcPr>
          <w:p w14:paraId="6F2630F2" w14:textId="77777777" w:rsidR="00764716" w:rsidRPr="008B1A80" w:rsidRDefault="00764716" w:rsidP="00AE35FE">
            <w:pPr>
              <w:keepNext/>
              <w:keepLines/>
              <w:spacing w:after="0" w:line="240" w:lineRule="auto"/>
              <w:rPr>
                <w:rFonts w:ascii="Arial Narrow" w:hAnsi="Arial Narrow"/>
                <w:color w:val="000000"/>
                <w:sz w:val="20"/>
              </w:rPr>
            </w:pPr>
            <w:r w:rsidRPr="008B1A80">
              <w:rPr>
                <w:rFonts w:ascii="Arial Narrow" w:hAnsi="Arial Narrow"/>
                <w:color w:val="000000"/>
                <w:sz w:val="20"/>
              </w:rPr>
              <w:t>Washington</w:t>
            </w:r>
          </w:p>
        </w:tc>
        <w:tc>
          <w:tcPr>
            <w:tcW w:w="1698" w:type="dxa"/>
            <w:tcBorders>
              <w:bottom w:val="single" w:sz="2" w:space="0" w:color="auto"/>
            </w:tcBorders>
            <w:shd w:val="clear" w:color="auto" w:fill="auto"/>
            <w:noWrap/>
            <w:vAlign w:val="center"/>
            <w:hideMark/>
          </w:tcPr>
          <w:p w14:paraId="2730958C" w14:textId="77777777" w:rsidR="00764716" w:rsidRPr="008B1A80" w:rsidRDefault="00764716" w:rsidP="00AE35FE">
            <w:pPr>
              <w:keepNext/>
              <w:keepLines/>
              <w:spacing w:after="0" w:line="240" w:lineRule="auto"/>
              <w:jc w:val="right"/>
              <w:rPr>
                <w:rFonts w:ascii="Arial Narrow" w:hAnsi="Arial Narrow"/>
                <w:color w:val="000000"/>
                <w:sz w:val="20"/>
              </w:rPr>
            </w:pPr>
            <w:r>
              <w:rPr>
                <w:rFonts w:ascii="Arial Narrow" w:hAnsi="Arial Narrow"/>
                <w:color w:val="000000"/>
                <w:sz w:val="20"/>
              </w:rPr>
              <w:t>1</w:t>
            </w:r>
          </w:p>
        </w:tc>
      </w:tr>
      <w:tr w:rsidR="00764716" w:rsidRPr="008B1A80" w14:paraId="17C2F252" w14:textId="77777777" w:rsidTr="00867DE0">
        <w:trPr>
          <w:cantSplit/>
          <w:trHeight w:val="300"/>
        </w:trPr>
        <w:tc>
          <w:tcPr>
            <w:tcW w:w="465" w:type="dxa"/>
            <w:tcBorders>
              <w:top w:val="single" w:sz="2" w:space="0" w:color="auto"/>
              <w:bottom w:val="single" w:sz="2" w:space="0" w:color="auto"/>
              <w:right w:val="nil"/>
            </w:tcBorders>
            <w:shd w:val="clear" w:color="auto" w:fill="D3DEE4" w:themeFill="background1" w:themeFillTint="99"/>
          </w:tcPr>
          <w:p w14:paraId="48383AE9" w14:textId="77777777" w:rsidR="00764716" w:rsidRPr="008B1A80" w:rsidRDefault="00764716" w:rsidP="00AE35FE">
            <w:pPr>
              <w:keepNext/>
              <w:keepLines/>
              <w:spacing w:after="0" w:line="240" w:lineRule="auto"/>
              <w:rPr>
                <w:rFonts w:ascii="Arial Narrow" w:hAnsi="Arial Narrow"/>
                <w:b/>
                <w:bCs/>
                <w:color w:val="000000"/>
                <w:sz w:val="20"/>
              </w:rPr>
            </w:pPr>
          </w:p>
        </w:tc>
        <w:tc>
          <w:tcPr>
            <w:tcW w:w="2224" w:type="dxa"/>
            <w:tcBorders>
              <w:top w:val="single" w:sz="2" w:space="0" w:color="auto"/>
              <w:left w:val="nil"/>
              <w:bottom w:val="single" w:sz="2" w:space="0" w:color="auto"/>
              <w:right w:val="single" w:sz="2" w:space="0" w:color="auto"/>
            </w:tcBorders>
            <w:shd w:val="clear" w:color="auto" w:fill="D3DEE4" w:themeFill="background1" w:themeFillTint="99"/>
            <w:noWrap/>
            <w:vAlign w:val="center"/>
            <w:hideMark/>
          </w:tcPr>
          <w:p w14:paraId="3038C759" w14:textId="77777777" w:rsidR="00764716" w:rsidRPr="008B1A80" w:rsidRDefault="00764716" w:rsidP="00AE35FE">
            <w:pPr>
              <w:keepNext/>
              <w:keepLines/>
              <w:spacing w:after="0" w:line="240" w:lineRule="auto"/>
              <w:rPr>
                <w:rFonts w:ascii="Arial Narrow" w:hAnsi="Arial Narrow"/>
                <w:b/>
                <w:bCs/>
                <w:color w:val="000000"/>
                <w:sz w:val="20"/>
              </w:rPr>
            </w:pPr>
            <w:r w:rsidRPr="008B1A80">
              <w:rPr>
                <w:rFonts w:ascii="Arial Narrow" w:hAnsi="Arial Narrow"/>
                <w:b/>
                <w:bCs/>
                <w:color w:val="000000"/>
                <w:sz w:val="20"/>
              </w:rPr>
              <w:t>Total</w:t>
            </w:r>
          </w:p>
        </w:tc>
        <w:tc>
          <w:tcPr>
            <w:tcW w:w="1698" w:type="dxa"/>
            <w:tcBorders>
              <w:top w:val="single" w:sz="2" w:space="0" w:color="auto"/>
              <w:left w:val="single" w:sz="2" w:space="0" w:color="auto"/>
              <w:bottom w:val="single" w:sz="2" w:space="0" w:color="auto"/>
              <w:right w:val="single" w:sz="2" w:space="0" w:color="auto"/>
            </w:tcBorders>
            <w:shd w:val="clear" w:color="auto" w:fill="D3DEE4" w:themeFill="background1" w:themeFillTint="99"/>
            <w:noWrap/>
            <w:vAlign w:val="center"/>
            <w:hideMark/>
          </w:tcPr>
          <w:p w14:paraId="0D447ED9" w14:textId="77777777" w:rsidR="00764716" w:rsidRPr="008B1A80" w:rsidRDefault="00764716" w:rsidP="00AE35FE">
            <w:pPr>
              <w:keepNext/>
              <w:keepLines/>
              <w:spacing w:after="0" w:line="240" w:lineRule="auto"/>
              <w:jc w:val="right"/>
              <w:rPr>
                <w:rFonts w:ascii="Arial Narrow" w:hAnsi="Arial Narrow"/>
                <w:b/>
                <w:bCs/>
                <w:color w:val="000000"/>
                <w:sz w:val="20"/>
              </w:rPr>
            </w:pPr>
            <w:r>
              <w:rPr>
                <w:rFonts w:ascii="Arial Narrow" w:hAnsi="Arial Narrow"/>
                <w:b/>
                <w:bCs/>
                <w:color w:val="000000"/>
                <w:sz w:val="20"/>
              </w:rPr>
              <w:t>18</w:t>
            </w:r>
          </w:p>
        </w:tc>
      </w:tr>
    </w:tbl>
    <w:p w14:paraId="2CD70311" w14:textId="77777777" w:rsidR="00764716" w:rsidRDefault="00764716" w:rsidP="00764716">
      <w:pPr>
        <w:pStyle w:val="ExhibitSource"/>
      </w:pPr>
      <w:r w:rsidRPr="00EB3DEA">
        <w:t xml:space="preserve">Source: </w:t>
      </w:r>
      <w:r>
        <w:t>Section 811 PRA Quarterly Reports, March 2017</w:t>
      </w:r>
    </w:p>
    <w:p w14:paraId="4F9D5D65" w14:textId="77777777" w:rsidR="003A5266" w:rsidRDefault="003A5266" w:rsidP="003C012E">
      <w:pPr>
        <w:pStyle w:val="Heading1"/>
      </w:pPr>
      <w:bookmarkStart w:id="3" w:name="_Toc482280937"/>
      <w:r>
        <w:t>Administration of the Survey</w:t>
      </w:r>
      <w:bookmarkEnd w:id="3"/>
    </w:p>
    <w:p w14:paraId="6314CAB3" w14:textId="77777777" w:rsidR="00F45A7C" w:rsidRDefault="00F45A7C" w:rsidP="00DA585F">
      <w:r>
        <w:t xml:space="preserve">All six states </w:t>
      </w:r>
      <w:r w:rsidR="0067573D">
        <w:t xml:space="preserve">that are the focus of the evaluation of the Section 811 PRA Program (California, Delaware Louisiana, Maryland, Minnesota, and Washington) </w:t>
      </w:r>
      <w:r>
        <w:t xml:space="preserve">received funding in the first two rounds of funding, and together, the units leased with PRA program funds in these six states make up </w:t>
      </w:r>
      <w:r w:rsidRPr="009A7BB1">
        <w:t>8</w:t>
      </w:r>
      <w:r w:rsidR="00B81448" w:rsidRPr="009A7BB1">
        <w:t>2</w:t>
      </w:r>
      <w:r w:rsidRPr="009A7BB1">
        <w:t xml:space="preserve"> percent o</w:t>
      </w:r>
      <w:r>
        <w:t>f all units leased with PRA program funds throughout the country</w:t>
      </w:r>
      <w:r w:rsidR="009A7BB1">
        <w:t xml:space="preserve">, as of </w:t>
      </w:r>
      <w:r w:rsidR="009E7331">
        <w:t>March 2017</w:t>
      </w:r>
      <w:r>
        <w:t xml:space="preserve">. </w:t>
      </w:r>
      <w:r w:rsidR="0067573D">
        <w:t xml:space="preserve">Researchers will recruit the universe of PRA </w:t>
      </w:r>
      <w:r w:rsidR="00052D78">
        <w:t>residents</w:t>
      </w:r>
      <w:r w:rsidR="0067573D">
        <w:t xml:space="preserve"> and</w:t>
      </w:r>
      <w:r w:rsidR="00052D78">
        <w:t xml:space="preserve"> </w:t>
      </w:r>
      <w:r w:rsidR="0067573D">
        <w:t xml:space="preserve">will </w:t>
      </w:r>
      <w:r w:rsidR="00BF6B86">
        <w:t>purposively</w:t>
      </w:r>
      <w:r w:rsidR="0067573D">
        <w:t xml:space="preserve"> identify PRAC residents to </w:t>
      </w:r>
      <w:r w:rsidR="003B05ED">
        <w:t xml:space="preserve">recruit to </w:t>
      </w:r>
      <w:r w:rsidR="0067573D">
        <w:t>complete the resident survey</w:t>
      </w:r>
      <w:r w:rsidR="003B05ED">
        <w:t xml:space="preserve">. </w:t>
      </w:r>
      <w:r w:rsidR="00052D78">
        <w:t xml:space="preserve">The evaluation team will also purposively select property owners/managers, service providers, and public housing authority (PHA) representatives for semi-structured interviews designed to </w:t>
      </w:r>
      <w:r w:rsidR="0067573D">
        <w:t>learn about</w:t>
      </w:r>
      <w:r w:rsidR="00052D78">
        <w:t xml:space="preserve"> their experiences with and perspectives on the PRA program.</w:t>
      </w:r>
    </w:p>
    <w:p w14:paraId="2FB11B28" w14:textId="77777777" w:rsidR="003B05ED" w:rsidRPr="00CB2A2B" w:rsidRDefault="003B05ED" w:rsidP="003B05ED">
      <w:pPr>
        <w:pStyle w:val="Heading2ES"/>
      </w:pPr>
      <w:r>
        <w:t xml:space="preserve">Selection of </w:t>
      </w:r>
      <w:r w:rsidRPr="00CB2A2B">
        <w:t xml:space="preserve">Interview and </w:t>
      </w:r>
      <w:r w:rsidRPr="00CB2A2B">
        <w:rPr>
          <w:rStyle w:val="Strong"/>
          <w:b/>
          <w:bCs/>
        </w:rPr>
        <w:t>Survey</w:t>
      </w:r>
      <w:r w:rsidRPr="00CB2A2B">
        <w:t xml:space="preserve"> Respondents</w:t>
      </w:r>
    </w:p>
    <w:p w14:paraId="386B971D" w14:textId="77777777" w:rsidR="00132378" w:rsidRDefault="00132378" w:rsidP="002817CA">
      <w:pPr>
        <w:rPr>
          <w:rStyle w:val="Strong"/>
        </w:rPr>
      </w:pPr>
      <w:r>
        <w:rPr>
          <w:rStyle w:val="Strong"/>
        </w:rPr>
        <w:t>Section 811 PRA Residents</w:t>
      </w:r>
    </w:p>
    <w:p w14:paraId="1290F540" w14:textId="77777777" w:rsidR="003B05ED" w:rsidRDefault="0072477E" w:rsidP="002817CA">
      <w:r w:rsidRPr="009A7BB1">
        <w:t xml:space="preserve">As of </w:t>
      </w:r>
      <w:r w:rsidR="009E7331">
        <w:t xml:space="preserve">March </w:t>
      </w:r>
      <w:r w:rsidRPr="009A7BB1">
        <w:t>2017</w:t>
      </w:r>
      <w:r w:rsidR="003729F5" w:rsidRPr="009A7BB1">
        <w:t>,</w:t>
      </w:r>
      <w:r w:rsidR="003B05ED" w:rsidRPr="009A7BB1">
        <w:t xml:space="preserve"> there </w:t>
      </w:r>
      <w:r w:rsidR="003729F5" w:rsidRPr="009A7BB1">
        <w:t>are</w:t>
      </w:r>
      <w:r w:rsidR="003B05ED" w:rsidRPr="009A7BB1">
        <w:t xml:space="preserve"> </w:t>
      </w:r>
      <w:r w:rsidR="003729F5" w:rsidRPr="009A7BB1">
        <w:t>3</w:t>
      </w:r>
      <w:r w:rsidR="009E7331">
        <w:t>81</w:t>
      </w:r>
      <w:r w:rsidR="003B05ED" w:rsidRPr="009A7BB1">
        <w:t xml:space="preserve"> units leased in the Section 811 PRA Program</w:t>
      </w:r>
      <w:r w:rsidR="009A7BB1" w:rsidRPr="009A7BB1">
        <w:t>,</w:t>
      </w:r>
      <w:r w:rsidR="0067573D">
        <w:t xml:space="preserve"> and </w:t>
      </w:r>
      <w:r w:rsidR="009E7331">
        <w:t>311</w:t>
      </w:r>
      <w:r w:rsidR="009A7BB1">
        <w:t xml:space="preserve"> individuals in PRA units </w:t>
      </w:r>
      <w:r w:rsidR="0067573D">
        <w:t>in the</w:t>
      </w:r>
      <w:r w:rsidR="009A7BB1" w:rsidRPr="009A7BB1">
        <w:t xml:space="preserve"> six evaluation states</w:t>
      </w:r>
      <w:r w:rsidR="003B05ED">
        <w:t xml:space="preserve">. The target number of PRA residents to be recruited to be surveyed for the study is 240, which </w:t>
      </w:r>
      <w:r w:rsidR="003729F5">
        <w:t>is a large fraction of</w:t>
      </w:r>
      <w:r w:rsidR="003B05ED">
        <w:t xml:space="preserve"> all of the leased units in the PRA program</w:t>
      </w:r>
      <w:r w:rsidR="009A7BB1">
        <w:t xml:space="preserve"> in the six evaluation states</w:t>
      </w:r>
      <w:r w:rsidR="00764716">
        <w:t xml:space="preserve">.  As such, the research team will attempt to recruit the universe of PRA residents to complete surveys. </w:t>
      </w:r>
    </w:p>
    <w:p w14:paraId="5E1D5730" w14:textId="77777777" w:rsidR="00132378" w:rsidRDefault="003B05ED" w:rsidP="003B05ED">
      <w:pPr>
        <w:rPr>
          <w:rStyle w:val="Strong"/>
        </w:rPr>
      </w:pPr>
      <w:r w:rsidRPr="00CB2A2B">
        <w:rPr>
          <w:rStyle w:val="Strong"/>
        </w:rPr>
        <w:t>Section 811 PRA</w:t>
      </w:r>
      <w:r>
        <w:rPr>
          <w:rStyle w:val="Strong"/>
        </w:rPr>
        <w:t>C</w:t>
      </w:r>
      <w:r w:rsidR="00132378">
        <w:rPr>
          <w:rStyle w:val="Strong"/>
        </w:rPr>
        <w:t xml:space="preserve"> Residents</w:t>
      </w:r>
    </w:p>
    <w:p w14:paraId="26A6BC75" w14:textId="7B7B25B8" w:rsidR="00132378" w:rsidRDefault="003B05ED" w:rsidP="00132378">
      <w:r>
        <w:t xml:space="preserve">Surveys are also planned for residents in the </w:t>
      </w:r>
      <w:r w:rsidRPr="00755C06">
        <w:t>Section 811 Project Rental Assistance Contract (PRAC) Program. PRAC properties are primarily group homes or small apartment buildings</w:t>
      </w:r>
      <w:r w:rsidR="002D64FE">
        <w:t xml:space="preserve"> (typically not more than 24 units</w:t>
      </w:r>
      <w:r w:rsidR="00F621D1">
        <w:t>.</w:t>
      </w:r>
      <w:r w:rsidR="002D64FE">
        <w:t>)</w:t>
      </w:r>
      <w:r>
        <w:t xml:space="preserve"> </w:t>
      </w:r>
      <w:r w:rsidR="00BF6B86">
        <w:t xml:space="preserve"> </w:t>
      </w:r>
      <w:r w:rsidR="00132378">
        <w:t>We plan to survey no more than 10 residents within an individual PRAC propert</w:t>
      </w:r>
      <w:r w:rsidR="0037191F">
        <w:t>y</w:t>
      </w:r>
      <w:r w:rsidR="00132378">
        <w:t xml:space="preserve">.  </w:t>
      </w:r>
    </w:p>
    <w:p w14:paraId="65989D2F" w14:textId="62C226B5" w:rsidR="003B05ED" w:rsidRDefault="003B05ED" w:rsidP="003B05ED">
      <w:r>
        <w:t xml:space="preserve">The sample for PRAC resident surveys </w:t>
      </w:r>
      <w:r w:rsidR="0044445C">
        <w:t>will be based on HUD administrative data</w:t>
      </w:r>
      <w:r w:rsidR="00132378">
        <w:t xml:space="preserve"> including </w:t>
      </w:r>
      <w:r>
        <w:t xml:space="preserve">the proximity of PRAC properties relative to the PRA properties where </w:t>
      </w:r>
      <w:r w:rsidR="0044445C">
        <w:t>PRA residents</w:t>
      </w:r>
      <w:r w:rsidR="0067573D">
        <w:t xml:space="preserve"> live</w:t>
      </w:r>
      <w:r w:rsidR="0044445C">
        <w:t xml:space="preserve">; the disabling condition of the residents that the PRAC property serves relative to the reported disabling conditions of PRA residents; </w:t>
      </w:r>
      <w:r>
        <w:t>and the resident’s time of entry into the Section 811 program</w:t>
      </w:r>
      <w:r w:rsidR="0044445C">
        <w:t xml:space="preserve">.  PRA residents moved into PRA-funded units beginning in January 2015 but most (86 percent of residents) did not move into PRA units until 2016.  </w:t>
      </w:r>
      <w:r w:rsidR="0067573D">
        <w:t>The evaluation team expects to conduct r</w:t>
      </w:r>
      <w:r w:rsidR="0044445C">
        <w:t xml:space="preserve">esident surveys between September and December 2017.  Since most PRA residents will have fewer than two years participating in the PRA program at the time of the interview, the research team will select residents with similar program entrance times.  </w:t>
      </w:r>
      <w:r w:rsidR="003729F5">
        <w:t>Subject to obtaining medical record data, we will also identify PRAC properties where individuals have similar medical spending histories (2014-2015) and diagnoses to the sampled PRA participants.</w:t>
      </w:r>
      <w:r w:rsidR="0031669A">
        <w:rPr>
          <w:rStyle w:val="FootnoteReference"/>
        </w:rPr>
        <w:footnoteReference w:id="1"/>
      </w:r>
      <w:r w:rsidR="00C805AE">
        <w:t xml:space="preserve"> </w:t>
      </w:r>
      <w:r w:rsidR="0044445C">
        <w:t xml:space="preserve"> </w:t>
      </w:r>
    </w:p>
    <w:p w14:paraId="2AD2F542" w14:textId="27E510CE" w:rsidR="00F010C7" w:rsidRDefault="00132378" w:rsidP="0044445C">
      <w:r>
        <w:t xml:space="preserve">Based on experience surveying similar populations, we assume a response rate of 66 percent. </w:t>
      </w:r>
      <w:r w:rsidR="0044445C">
        <w:t xml:space="preserve">In total, </w:t>
      </w:r>
      <w:r w:rsidR="0067573D">
        <w:t xml:space="preserve">the evaluation team will recruit </w:t>
      </w:r>
      <w:r w:rsidR="0044445C">
        <w:t>36</w:t>
      </w:r>
      <w:r w:rsidR="00F621D1">
        <w:t xml:space="preserve">0 PRAC residents </w:t>
      </w:r>
      <w:r w:rsidR="0044445C">
        <w:t xml:space="preserve">to obtain the </w:t>
      </w:r>
      <w:r w:rsidR="009A7BB1">
        <w:t xml:space="preserve">target </w:t>
      </w:r>
      <w:r w:rsidR="00F621D1">
        <w:t xml:space="preserve">number of </w:t>
      </w:r>
      <w:r w:rsidR="0044445C">
        <w:t xml:space="preserve">240 completed surveys. </w:t>
      </w:r>
      <w:r w:rsidR="00DA585F" w:rsidRPr="00DA585F">
        <w:t xml:space="preserve">Because </w:t>
      </w:r>
      <w:r w:rsidR="001C7A55">
        <w:t>the impact and cost studies need to control for geographic regions with similar services and rental market conditions</w:t>
      </w:r>
      <w:r w:rsidR="00DA585F" w:rsidRPr="00DA585F">
        <w:t xml:space="preserve">, </w:t>
      </w:r>
      <w:r w:rsidR="0044445C">
        <w:t xml:space="preserve">to the extent possible, </w:t>
      </w:r>
      <w:r w:rsidR="00DA585F" w:rsidRPr="00DA585F">
        <w:t>w</w:t>
      </w:r>
      <w:r w:rsidR="0044445C">
        <w:t xml:space="preserve">e will </w:t>
      </w:r>
      <w:r w:rsidR="00DA585F" w:rsidRPr="00DA585F">
        <w:t xml:space="preserve">select PRAC properties that are in the same city or metropolitan area where PRA residents live. If there are no PRAC properties or sufficient properties with enough residents </w:t>
      </w:r>
      <w:r w:rsidR="0044445C">
        <w:t>that have similar characteristics (</w:t>
      </w:r>
      <w:r w:rsidR="0067573D">
        <w:t xml:space="preserve">i.e., </w:t>
      </w:r>
      <w:r w:rsidR="0044445C">
        <w:t xml:space="preserve">disabling condition, admission into the PRA program) </w:t>
      </w:r>
      <w:r w:rsidR="00DA585F" w:rsidRPr="00DA585F">
        <w:t xml:space="preserve">in these areas, we will expand the selection criteria </w:t>
      </w:r>
      <w:r w:rsidR="0067573D">
        <w:t xml:space="preserve">to geographic regions that are targets for the PRA property but have no or few PRA residents living in them. </w:t>
      </w:r>
      <w:r w:rsidR="00411B3A">
        <w:t xml:space="preserve"> </w:t>
      </w:r>
    </w:p>
    <w:p w14:paraId="7A17AF01" w14:textId="77777777" w:rsidR="00F010C7" w:rsidRPr="00F010C7" w:rsidRDefault="00F010C7" w:rsidP="00C972D0">
      <w:pPr>
        <w:pStyle w:val="BodyText"/>
        <w:rPr>
          <w:b/>
        </w:rPr>
      </w:pPr>
      <w:r>
        <w:rPr>
          <w:b/>
        </w:rPr>
        <w:t>Justification of Sample Size for PRA and PRAC Resident Surveys</w:t>
      </w:r>
    </w:p>
    <w:p w14:paraId="79A1A4E2" w14:textId="77777777" w:rsidR="00F010C7" w:rsidRDefault="00F010C7" w:rsidP="00C972D0">
      <w:pPr>
        <w:pStyle w:val="BodyText"/>
      </w:pPr>
      <w:r>
        <w:t xml:space="preserve">The research team has assumed a small target sample size </w:t>
      </w:r>
      <w:r w:rsidR="00F621D1">
        <w:t xml:space="preserve">because of the limited number of PRA participants </w:t>
      </w:r>
      <w:r>
        <w:t>in the six</w:t>
      </w:r>
      <w:r w:rsidR="00F621D1">
        <w:t xml:space="preserve"> sample sizes</w:t>
      </w:r>
      <w:r>
        <w:t xml:space="preserve"> and because</w:t>
      </w:r>
      <w:r w:rsidR="00F621D1">
        <w:t xml:space="preserve"> only modest improvements in power are achievable by expanding comparison groups while holding treatment sample fixed (the smaller sample is the limiting factor in power for com</w:t>
      </w:r>
      <w:r w:rsidR="00C44111">
        <w:t xml:space="preserve">parisons of conditional means). </w:t>
      </w:r>
    </w:p>
    <w:p w14:paraId="73665986" w14:textId="77777777" w:rsidR="00411B3A" w:rsidRDefault="00C44111" w:rsidP="00C972D0">
      <w:pPr>
        <w:pStyle w:val="BodyText"/>
      </w:pPr>
      <w:r w:rsidRPr="0044521C">
        <w:t xml:space="preserve">The primary analytic approach to </w:t>
      </w:r>
      <w:r>
        <w:t>selecting the PRAC comparison group</w:t>
      </w:r>
      <w:r w:rsidRPr="0044521C">
        <w:t xml:space="preserve"> will be </w:t>
      </w:r>
      <w:r>
        <w:t xml:space="preserve">matching on historic </w:t>
      </w:r>
      <w:r w:rsidR="009C6728">
        <w:t xml:space="preserve">service </w:t>
      </w:r>
      <w:r>
        <w:t>utilization, demographic</w:t>
      </w:r>
      <w:r w:rsidR="009C6728">
        <w:t>,</w:t>
      </w:r>
      <w:r>
        <w:t xml:space="preserve"> and diagnostic information</w:t>
      </w:r>
      <w:r w:rsidR="00C972D0">
        <w:t>.</w:t>
      </w:r>
      <w:r>
        <w:t xml:space="preserve"> </w:t>
      </w:r>
    </w:p>
    <w:p w14:paraId="5C1FE670" w14:textId="126E1354" w:rsidR="00411B3A" w:rsidRDefault="005E077D" w:rsidP="00693B92">
      <w:pPr>
        <w:pStyle w:val="BodyText"/>
        <w:rPr>
          <w:b/>
        </w:rPr>
      </w:pPr>
      <w:r>
        <w:t>We will also use</w:t>
      </w:r>
      <w:r w:rsidR="00411B3A">
        <w:t xml:space="preserve"> HUD </w:t>
      </w:r>
      <w:r>
        <w:t xml:space="preserve">administrative </w:t>
      </w:r>
      <w:r w:rsidR="00411B3A">
        <w:t xml:space="preserve">data (along with healthcare data) to construct the analytic sample for the study. </w:t>
      </w:r>
      <w:r>
        <w:t>The</w:t>
      </w:r>
      <w:r w:rsidR="00411B3A" w:rsidRPr="005B3A19">
        <w:t xml:space="preserve"> analysis sample will include four groups</w:t>
      </w:r>
      <w:r w:rsidR="00411B3A">
        <w:t>.</w:t>
      </w:r>
      <w:r w:rsidR="00411B3A" w:rsidRPr="005B3A19">
        <w:t xml:space="preserve"> Individuals living in Project Rental Assistance units represent the primary “treatment” group of interest. Three groups provide distinct counterfactual comparison groups. The first is composed of individuals in Section 811 PRAC units in the same geographic areas</w:t>
      </w:r>
      <w:r w:rsidR="00411B3A">
        <w:t>, who are</w:t>
      </w:r>
      <w:r w:rsidR="00411B3A" w:rsidRPr="005B3A19">
        <w:t xml:space="preserve"> selected to be similar to PRA residents in terms of diagnoses, health care utilization, disability types, and demographic characteristics such as age and gender. The second is composed of individuals with disabilities in other HUD-assisted housing (</w:t>
      </w:r>
      <w:r w:rsidR="00411B3A">
        <w:t xml:space="preserve">Nonelderly Disabled Vouchers, </w:t>
      </w:r>
      <w:r w:rsidR="00411B3A" w:rsidRPr="005B3A19">
        <w:t xml:space="preserve">Housing Choice Vouchers, public housing, multifamily assisted housing) in the same geographic areas, also selected to be similar to PRA residents. The third comparison group is a business-as-usual group that includes similar non-elderly disabled individuals not assisted by HUD programs and who may be in any other housing situation (living with family, homeless, in market-rate housing, or in institutional settings). </w:t>
      </w:r>
      <w:r w:rsidR="00411B3A">
        <w:t xml:space="preserve"> </w:t>
      </w:r>
      <w:r>
        <w:t>The study team w</w:t>
      </w:r>
      <w:r w:rsidR="00411B3A">
        <w:t>ill use HUD data to identify PRA, PRAC, and other similar HUD-assisted tenants with disabilities</w:t>
      </w:r>
      <w:r>
        <w:t>. We</w:t>
      </w:r>
      <w:r w:rsidR="00411B3A">
        <w:t xml:space="preserve"> will match HUD data to healthcare data to create matched comparison groups based on </w:t>
      </w:r>
      <w:r>
        <w:t xml:space="preserve">demographic information, historic </w:t>
      </w:r>
      <w:r w:rsidR="00411B3A">
        <w:t xml:space="preserve">healthcare utilization patterns, diagnoses, and other factors. </w:t>
      </w:r>
    </w:p>
    <w:p w14:paraId="493F651E" w14:textId="38854F35" w:rsidR="009B5447" w:rsidRDefault="00C44111" w:rsidP="00C972D0">
      <w:pPr>
        <w:pStyle w:val="BodyText"/>
      </w:pPr>
      <w:r>
        <w:t>Within coarsely matched samples, regression models will be estima</w:t>
      </w:r>
      <w:r w:rsidRPr="0044521C">
        <w:t>t</w:t>
      </w:r>
      <w:r>
        <w:t>ed</w:t>
      </w:r>
      <w:r w:rsidRPr="0044521C">
        <w:t xml:space="preserve"> using a propensity-score-based </w:t>
      </w:r>
      <w:r>
        <w:t xml:space="preserve">weight to approximate the </w:t>
      </w:r>
      <w:r w:rsidRPr="0044521C">
        <w:t>“</w:t>
      </w:r>
      <w:r>
        <w:t xml:space="preserve">propensity-score </w:t>
      </w:r>
      <w:r w:rsidRPr="0044521C">
        <w:t>double robust” (PS-DR) method, using both a weighted sample and regression adjustment to determine the treatment effect on treated units</w:t>
      </w:r>
      <w:r>
        <w:t>.</w:t>
      </w:r>
      <w:r w:rsidR="00C972D0">
        <w:t xml:space="preserve"> </w:t>
      </w:r>
      <w:r w:rsidR="004C2CCD">
        <w:t>T</w:t>
      </w:r>
      <w:r w:rsidR="00F621D1">
        <w:t>he smallest detectable effect sizes using PS-DR for sample sizes under 500 are not dramatically higher than the lower bound, given by a randomized control trial with equal-sized tre</w:t>
      </w:r>
      <w:r w:rsidR="00C972D0">
        <w:t>atment and control groups. Th</w:t>
      </w:r>
      <w:r w:rsidR="005D021C">
        <w:t>e power</w:t>
      </w:r>
      <w:r w:rsidR="00C972D0">
        <w:t xml:space="preserve"> analysis demonstrates that </w:t>
      </w:r>
      <w:r w:rsidR="005D021C">
        <w:t>a</w:t>
      </w:r>
      <w:r w:rsidR="00F621D1">
        <w:t xml:space="preserve"> </w:t>
      </w:r>
      <w:r w:rsidR="00F010C7">
        <w:t xml:space="preserve">minimum </w:t>
      </w:r>
      <w:r w:rsidR="00F621D1">
        <w:t xml:space="preserve">target sample size of 400 (500) cases can detect differences as small as 37 (32) percent of a standard deviation in each outcome measure, compared with the theoretical lower bound of 28 (25) percent of a standard deviation (effect size detectable using random assignment with equal probabilities of treatment and control conditions). </w:t>
      </w:r>
    </w:p>
    <w:p w14:paraId="201702D9" w14:textId="130675F8" w:rsidR="00F010C7" w:rsidRDefault="00F010C7" w:rsidP="00F010C7">
      <w:pPr>
        <w:pStyle w:val="BodyText"/>
      </w:pPr>
      <w:r>
        <w:t>The study assumes a target</w:t>
      </w:r>
      <w:r w:rsidR="005D021C">
        <w:t xml:space="preserve"> sample siz</w:t>
      </w:r>
      <w:r>
        <w:t xml:space="preserve">e of 480 </w:t>
      </w:r>
      <w:r w:rsidR="00BB6C62">
        <w:t xml:space="preserve">residents </w:t>
      </w:r>
      <w:r>
        <w:t xml:space="preserve">in PRA and PRAC units and a minimum </w:t>
      </w:r>
      <w:r w:rsidR="005D021C">
        <w:t xml:space="preserve">analysis sample </w:t>
      </w:r>
      <w:r>
        <w:t xml:space="preserve">of </w:t>
      </w:r>
      <w:r w:rsidR="005D021C">
        <w:t>400 cases.</w:t>
      </w:r>
      <w:r>
        <w:t xml:space="preserve"> If the expected response rate is not achieved through the initial selection of 360 PRAC residents</w:t>
      </w:r>
      <w:r w:rsidR="0067573D">
        <w:t xml:space="preserve"> and the universe of PRA residents</w:t>
      </w:r>
      <w:r>
        <w:t xml:space="preserve">, the research team will select additional residents in targeted geographic areas until we obtain the minimum sample needed to conduct the impact and cost analyses (approximately 200 PRA residents and 200 PRAC residents). </w:t>
      </w:r>
      <w:r w:rsidR="0067573D">
        <w:t xml:space="preserve"> If necessary, the research team may need to select additional PRA residents to survey in January 2018 to meet the minimum sample of PRA residents.  </w:t>
      </w:r>
    </w:p>
    <w:p w14:paraId="2DD4F53B" w14:textId="77777777" w:rsidR="00764716" w:rsidRDefault="00132378" w:rsidP="002817CA">
      <w:pPr>
        <w:rPr>
          <w:rStyle w:val="Strong"/>
        </w:rPr>
      </w:pPr>
      <w:r>
        <w:rPr>
          <w:rStyle w:val="Strong"/>
        </w:rPr>
        <w:t xml:space="preserve">Selecting </w:t>
      </w:r>
      <w:r w:rsidR="002817CA">
        <w:rPr>
          <w:rStyle w:val="Strong"/>
        </w:rPr>
        <w:t>Property Owners and Managers</w:t>
      </w:r>
    </w:p>
    <w:p w14:paraId="5DD0AD53" w14:textId="651E8C5A" w:rsidR="00132378" w:rsidRDefault="00132378" w:rsidP="002817CA">
      <w:r>
        <w:t>Using property-level administrative data from HUD, the evaluation team will identify property owners</w:t>
      </w:r>
      <w:r w:rsidR="00BB6C62">
        <w:t xml:space="preserve"> and managers</w:t>
      </w:r>
      <w:r>
        <w:t xml:space="preserve"> from the properties with Section 811 PRA units under contract as of the time of the scheduled administrative interviews (planned for September through December 2017).  </w:t>
      </w:r>
      <w:r w:rsidR="00F601AA">
        <w:t xml:space="preserve">Form this list, the evaluation staff will work with the state housing agency grantee to select property owner organizations and specific staff to interview.    Property owners will be selected to ensure geographic distribution of PRA units.  </w:t>
      </w:r>
    </w:p>
    <w:p w14:paraId="299641A4" w14:textId="77777777" w:rsidR="00132378" w:rsidRDefault="00F601AA" w:rsidP="002817CA">
      <w:pPr>
        <w:rPr>
          <w:rStyle w:val="Strong"/>
        </w:rPr>
      </w:pPr>
      <w:r>
        <w:rPr>
          <w:rStyle w:val="Strong"/>
        </w:rPr>
        <w:t xml:space="preserve">Selecting </w:t>
      </w:r>
      <w:r w:rsidR="00132378">
        <w:rPr>
          <w:rStyle w:val="Strong"/>
        </w:rPr>
        <w:t>Service Providers</w:t>
      </w:r>
    </w:p>
    <w:p w14:paraId="0460E70E" w14:textId="77777777" w:rsidR="0044445C" w:rsidRDefault="00BB400B" w:rsidP="002817CA">
      <w:r>
        <w:t xml:space="preserve">Up to eight service providers per state will be recruited for the evaluation, for a total of up to 48 service provider interviews. </w:t>
      </w:r>
      <w:r w:rsidR="0044445C">
        <w:t xml:space="preserve">The selection of service provider agencies to interview will be purposive based on the type of services the organization provides, the caseload of PRA residents, and the location where the organization provides services. </w:t>
      </w:r>
      <w:r>
        <w:t xml:space="preserve">The research team will prioritize providers who are serving the largest number of PRA residents but the providers will not be chosen to match the PRA residents who will be interviewed for the resident surveys.  </w:t>
      </w:r>
    </w:p>
    <w:p w14:paraId="148CB996" w14:textId="03F63F50" w:rsidR="00BB400B" w:rsidRDefault="002817CA" w:rsidP="002817CA">
      <w:r>
        <w:t xml:space="preserve">Evaluation staff will work with each state’s Medicaid agency to learn about the service provider organizations that serve PRA residents. Interviews will be conducted with managers of service providers, </w:t>
      </w:r>
      <w:r w:rsidR="0044445C">
        <w:t>as well as</w:t>
      </w:r>
      <w:r>
        <w:t xml:space="preserve"> direct service providers or case managers, to provide a broader perspective of service provision to PRA residents. </w:t>
      </w:r>
      <w:r w:rsidR="0044445C">
        <w:t xml:space="preserve">Organizations will be selected to represent all the eligible populations of </w:t>
      </w:r>
      <w:r w:rsidR="00BB400B">
        <w:t xml:space="preserve">the PRA program in each state by type of Medicaid waiver or </w:t>
      </w:r>
      <w:r w:rsidR="00190B9A">
        <w:t xml:space="preserve">disabling condition of clients.  </w:t>
      </w:r>
      <w:r w:rsidR="00BB400B">
        <w:t xml:space="preserve">Service providers will be selected to represent organizations that provide both transition supports and services to help individuals apply for and move into PRA-funded units and long-term services and supports.  At least one of the service providers </w:t>
      </w:r>
      <w:r w:rsidR="00190B9A">
        <w:t xml:space="preserve">in each of the states </w:t>
      </w:r>
      <w:r w:rsidR="00BB400B">
        <w:t>will be an organization that provides transition services under the Money Follows the Person demonstration program</w:t>
      </w:r>
      <w:r w:rsidR="00190B9A">
        <w:t xml:space="preserve"> and one serving people </w:t>
      </w:r>
      <w:r w:rsidR="00BB400B">
        <w:t>individuals who are experiencing homelessness or at risk for homelessness</w:t>
      </w:r>
      <w:r w:rsidR="0053706D">
        <w:t>.</w:t>
      </w:r>
    </w:p>
    <w:p w14:paraId="75B87D7D" w14:textId="77777777" w:rsidR="00F601AA" w:rsidRDefault="00F601AA" w:rsidP="00F621D1">
      <w:pPr>
        <w:rPr>
          <w:rStyle w:val="Strong"/>
        </w:rPr>
      </w:pPr>
      <w:r>
        <w:rPr>
          <w:rStyle w:val="Strong"/>
        </w:rPr>
        <w:t xml:space="preserve">Selecting </w:t>
      </w:r>
      <w:r w:rsidR="00F621D1">
        <w:rPr>
          <w:rStyle w:val="Strong"/>
        </w:rPr>
        <w:t>PHA Staff</w:t>
      </w:r>
    </w:p>
    <w:p w14:paraId="41B327FC" w14:textId="36C9E0A9" w:rsidR="00132378" w:rsidRDefault="00F621D1" w:rsidP="00F621D1">
      <w:r w:rsidRPr="00335297">
        <w:t xml:space="preserve">In the </w:t>
      </w:r>
      <w:r>
        <w:t xml:space="preserve">Section 811 PRA grantee application process, states received </w:t>
      </w:r>
      <w:r w:rsidRPr="00335297">
        <w:t>points for leveraging other housing units for people with disabilities by obtaining commitments from one or more PHAs. The 2012 NOFA awarded points to applicants for setting aside a number of Housing Choice Vouchers (HCV) or other rental units specifically for extremely low-income non-elderly people with disabilities</w:t>
      </w:r>
      <w:r>
        <w:t>, and t</w:t>
      </w:r>
      <w:r w:rsidRPr="00335297">
        <w:t>he 2013/2014 NOFA awarded points to applicants for the commitment of one or more PHAs to establish an admissions preference for the Section 811 target population.</w:t>
      </w:r>
      <w:r>
        <w:t xml:space="preserve"> </w:t>
      </w:r>
      <w:r w:rsidR="00F601AA">
        <w:t>As shown in Exhibit B-3,</w:t>
      </w:r>
      <w:r w:rsidR="0067573D">
        <w:t xml:space="preserve"> </w:t>
      </w:r>
      <w:r w:rsidR="00F601AA">
        <w:t xml:space="preserve">18 PHAs leveraged units in five of the six study states.  The study team will recruit the universe of PHAs in California, Louisiana, Minnesota, and Washington, and will recruit four of the 10 PHAs that leveraged units in Maryland.   </w:t>
      </w:r>
    </w:p>
    <w:p w14:paraId="1111C6E4" w14:textId="77777777" w:rsidR="003A5266" w:rsidRDefault="003A5266" w:rsidP="00CE2AC9">
      <w:pPr>
        <w:pStyle w:val="Heading1"/>
      </w:pPr>
      <w:bookmarkStart w:id="4" w:name="_Toc482280938"/>
      <w:r>
        <w:t>Maximizing the Response Rate and Minimizing Non-Response Risk</w:t>
      </w:r>
      <w:bookmarkEnd w:id="4"/>
    </w:p>
    <w:p w14:paraId="7207D238" w14:textId="77777777" w:rsidR="00F601AA" w:rsidRDefault="002D64FE" w:rsidP="008D091B">
      <w:r>
        <w:t xml:space="preserve">We expect high response rates from the PRA property owners and from the service providers and PHA staff selected for interviews. </w:t>
      </w:r>
    </w:p>
    <w:p w14:paraId="3118B3CB" w14:textId="77777777" w:rsidR="00190B9A" w:rsidRDefault="008D091B" w:rsidP="008D091B">
      <w:r>
        <w:t>Given the small number of PRA units expected to be under lease at the time the survey is fielded</w:t>
      </w:r>
      <w:r w:rsidR="0067573D">
        <w:t xml:space="preserve"> (expected to be September – December 2017)</w:t>
      </w:r>
      <w:r>
        <w:t xml:space="preserve">, the evaluation team will interview as many PRA residents as feasible. </w:t>
      </w:r>
      <w:r w:rsidRPr="005D021C">
        <w:t>As of September 2016, there were 232 residents in the PRA program</w:t>
      </w:r>
      <w:r w:rsidR="009A7BB1" w:rsidRPr="005D021C">
        <w:t>,</w:t>
      </w:r>
      <w:r w:rsidR="009A7BB1">
        <w:t xml:space="preserve"> and as of </w:t>
      </w:r>
      <w:r w:rsidR="00C805AE">
        <w:t>March</w:t>
      </w:r>
      <w:r w:rsidR="009A7BB1">
        <w:t xml:space="preserve"> 2017, the number exceeded 300 (though </w:t>
      </w:r>
      <w:r w:rsidR="00977AB0">
        <w:t xml:space="preserve">because of lags in data entry in HUD’s data system, </w:t>
      </w:r>
      <w:r w:rsidR="009A7BB1">
        <w:t>we only</w:t>
      </w:r>
      <w:r w:rsidR="00977AB0">
        <w:t xml:space="preserve"> observe</w:t>
      </w:r>
      <w:r w:rsidR="009A7BB1">
        <w:t xml:space="preserve"> 226 PRA residents in the </w:t>
      </w:r>
      <w:r w:rsidR="00C805AE">
        <w:t xml:space="preserve">March </w:t>
      </w:r>
      <w:r w:rsidR="009A7BB1">
        <w:t>2017 administrative data for the six evaluation states)</w:t>
      </w:r>
      <w:r>
        <w:t>. The study team anticipates reaching out to all eligible</w:t>
      </w:r>
      <w:r w:rsidR="00190B9A">
        <w:t xml:space="preserve"> PRA</w:t>
      </w:r>
      <w:r>
        <w:t xml:space="preserve"> individuals in the study states for screening and consent, although recruitment efforts will focus on locations within a reasonable travel distance to make efficient use of time on site. </w:t>
      </w:r>
    </w:p>
    <w:p w14:paraId="1BB6398E" w14:textId="77777777" w:rsidR="00190B9A" w:rsidRDefault="00190B9A" w:rsidP="00190B9A">
      <w:r>
        <w:t>Based on previous experience conducting surveys of similar populations, the expected response rate among PRAC residents is 66 percent.</w:t>
      </w:r>
    </w:p>
    <w:p w14:paraId="38CAC903" w14:textId="77777777" w:rsidR="00190B9A" w:rsidRDefault="002E5C27" w:rsidP="008D091B">
      <w:r>
        <w:t xml:space="preserve">Section 811 PRA and PRAC residents who take part in the one-time surveys </w:t>
      </w:r>
      <w:r w:rsidRPr="00403AA9">
        <w:t xml:space="preserve">will receive a $40 gift card </w:t>
      </w:r>
      <w:r>
        <w:t xml:space="preserve">to thank them for </w:t>
      </w:r>
      <w:r w:rsidRPr="00403AA9">
        <w:t>their time</w:t>
      </w:r>
      <w:r>
        <w:t xml:space="preserve"> and to help defray any costs the respondent may incur to participate in the interview</w:t>
      </w:r>
      <w:r w:rsidRPr="00403AA9">
        <w:t>.</w:t>
      </w:r>
      <w:r>
        <w:t xml:space="preserve"> The incentive amounts were determined based on the estimate of respondent burden for participating in the survey, the costs associated with participating the survey, and other studies of comparable populations and burdens. The resident survey instrument includes well-tested items used widely on similar populations, and cognitive testing has indicated respondents were willing to and capable of completing the survey. </w:t>
      </w:r>
    </w:p>
    <w:p w14:paraId="568E5C6B" w14:textId="77777777" w:rsidR="00190B9A" w:rsidRDefault="00A34E79" w:rsidP="00A34E79">
      <w:r>
        <w:t>With the goal of interviewing as many PRA residents as possible, PRA resident recruitment will be coordinated through property manager</w:t>
      </w:r>
      <w:r w:rsidR="005023F0">
        <w:t>s</w:t>
      </w:r>
      <w:r>
        <w:t xml:space="preserve"> or service provider organizations. </w:t>
      </w:r>
      <w:r w:rsidR="00694348">
        <w:t>For PRAC properties, HUD Field Office staff will be asked to assist in identifying and making contact with PRAC property owners.</w:t>
      </w:r>
      <w:r w:rsidR="00190B9A">
        <w:t xml:space="preserve"> For PRA properties, the research team will ask the state Medicaid agency in each state to provide contact information for service providers serving PRA residents. </w:t>
      </w:r>
      <w:r w:rsidR="00694348">
        <w:t xml:space="preserve">Advance letters for the </w:t>
      </w:r>
      <w:r w:rsidR="00190B9A">
        <w:t xml:space="preserve">PRAC </w:t>
      </w:r>
      <w:r w:rsidR="00694348">
        <w:t xml:space="preserve">property owners and </w:t>
      </w:r>
      <w:r w:rsidR="00190B9A">
        <w:t xml:space="preserve">PRA </w:t>
      </w:r>
      <w:r w:rsidR="00694348">
        <w:t>service provider organizat</w:t>
      </w:r>
      <w:r w:rsidR="00190B9A">
        <w:t xml:space="preserve">ions will describe the research in case residents come to them with questions about the survey.  </w:t>
      </w:r>
    </w:p>
    <w:p w14:paraId="2E7C5707" w14:textId="77777777" w:rsidR="003A5266" w:rsidRDefault="003A5266" w:rsidP="00CE2AC9">
      <w:pPr>
        <w:pStyle w:val="Heading1"/>
      </w:pPr>
      <w:bookmarkStart w:id="5" w:name="_Toc482280939"/>
      <w:r>
        <w:t>Test of Procedures</w:t>
      </w:r>
      <w:bookmarkEnd w:id="5"/>
    </w:p>
    <w:p w14:paraId="73237F6E" w14:textId="77777777" w:rsidR="0072066E" w:rsidRDefault="00590D37" w:rsidP="0072066E">
      <w:r>
        <w:t xml:space="preserve">The PRA and PRAC resident survey instrument includes well-tested items used widely on similar populations. </w:t>
      </w:r>
      <w:r w:rsidR="0072066E">
        <w:t xml:space="preserve">The evaluation team has conducted cognitive testing with a convenience sample of </w:t>
      </w:r>
      <w:r w:rsidR="005D021C">
        <w:t>nine</w:t>
      </w:r>
      <w:r w:rsidR="0072066E">
        <w:t xml:space="preserve"> Section 811 participants who meet the criteria for the target respondent population. Cognitive testing allow</w:t>
      </w:r>
      <w:r w:rsidR="005D021C">
        <w:t>ed</w:t>
      </w:r>
      <w:r w:rsidR="0072066E">
        <w:t xml:space="preserve"> the survey development team to test whether questions and response options are understandable, easy to answer, complete and address the intended constructs. </w:t>
      </w:r>
    </w:p>
    <w:p w14:paraId="33DCA1A3" w14:textId="77777777" w:rsidR="0072066E" w:rsidRDefault="0072066E" w:rsidP="0072066E">
      <w:r>
        <w:t xml:space="preserve">To minimize travel and associated costs, cognitive testing participants were recruited through property owners/managers in Massachusetts, where </w:t>
      </w:r>
      <w:r w:rsidRPr="00F83194">
        <w:t xml:space="preserve">HUD’s contractor, Abt Associates, </w:t>
      </w:r>
      <w:r>
        <w:t>currently work</w:t>
      </w:r>
      <w:r w:rsidR="005023F0">
        <w:t>s</w:t>
      </w:r>
      <w:r>
        <w:t xml:space="preserve"> and where the Section 811 PRA program is being administered. Abt staff identified PRA or PRAC property managers in Massachusetts through HUD’s online inventory of housing for people with disabilities and the iREMS database. Abt contacted property managers to help identify potential participants for the cognitive testing by providing Abt researchers with mailing addresses and phone numbers for participants when possible. Abt sent potential survey participants a recruitment letter explaining the research study. This letter was followed up with a phone call approximately a week later. </w:t>
      </w:r>
      <w:r w:rsidR="00113DA4">
        <w:t>Those who agreed to p</w:t>
      </w:r>
      <w:r>
        <w:t>articipat</w:t>
      </w:r>
      <w:r w:rsidR="00113DA4">
        <w:t>e</w:t>
      </w:r>
      <w:r>
        <w:t xml:space="preserve"> </w:t>
      </w:r>
      <w:r w:rsidR="00113DA4">
        <w:t xml:space="preserve">were scheduled to meet with </w:t>
      </w:r>
      <w:r>
        <w:t xml:space="preserve">Abt </w:t>
      </w:r>
      <w:r w:rsidR="00113DA4">
        <w:t>researchers</w:t>
      </w:r>
      <w:r>
        <w:t xml:space="preserve"> </w:t>
      </w:r>
      <w:r w:rsidR="00113DA4">
        <w:t>wh</w:t>
      </w:r>
      <w:r>
        <w:t>o conduct</w:t>
      </w:r>
      <w:r w:rsidR="00113DA4">
        <w:t>ed</w:t>
      </w:r>
      <w:r>
        <w:t xml:space="preserve"> the cognitive testing interview in person at the participant’s convenience. </w:t>
      </w:r>
    </w:p>
    <w:p w14:paraId="3231BBAA" w14:textId="77777777" w:rsidR="0072066E" w:rsidRDefault="00113DA4" w:rsidP="0072066E">
      <w:r>
        <w:t>An incentive of</w:t>
      </w:r>
      <w:r w:rsidR="0072066E">
        <w:t xml:space="preserve"> $75 </w:t>
      </w:r>
      <w:r>
        <w:t>was offered</w:t>
      </w:r>
      <w:r w:rsidR="0072066E">
        <w:t xml:space="preserve"> for participating in cognitive testing interviews. Cognitive testing w</w:t>
      </w:r>
      <w:r>
        <w:t>as</w:t>
      </w:r>
      <w:r w:rsidR="0072066E">
        <w:t xml:space="preserve"> conducted in person in the participants’ homes or </w:t>
      </w:r>
      <w:r>
        <w:t xml:space="preserve">at </w:t>
      </w:r>
      <w:r w:rsidR="0072066E">
        <w:t>a public place</w:t>
      </w:r>
      <w:r>
        <w:t>, and the testing took at most 90 minutes. Respondents wer</w:t>
      </w:r>
      <w:r w:rsidR="0072066E">
        <w:t>e asked to complete the survey, and researchers ask</w:t>
      </w:r>
      <w:r>
        <w:t>ed</w:t>
      </w:r>
      <w:r w:rsidR="0072066E">
        <w:t xml:space="preserve"> a series of follow-up questions about the survey to ensure questions were understood and are measuring the intended constructs. </w:t>
      </w:r>
    </w:p>
    <w:p w14:paraId="38F92D3E" w14:textId="77777777" w:rsidR="003A5266" w:rsidRDefault="003A5266" w:rsidP="00CE2AC9">
      <w:pPr>
        <w:pStyle w:val="Heading1"/>
      </w:pPr>
      <w:bookmarkStart w:id="6" w:name="_Toc482280940"/>
      <w:r>
        <w:t>Individuals Consulted on Statistical Aspects of the Design</w:t>
      </w:r>
      <w:bookmarkEnd w:id="6"/>
    </w:p>
    <w:p w14:paraId="4A497E1D" w14:textId="77777777" w:rsidR="00D71FA9" w:rsidRDefault="00D71FA9" w:rsidP="00D71FA9">
      <w:r>
        <w:t xml:space="preserve">HUD has contracted with Abt Associates to conduct the data collection. The data collection procedures will be similar to those used in other surveys conducted by Abt Associates. The HUD Government Technical Representative (GTR) reviewed all the procedures and had them reviewed by other subject matter experts at HUD. If there are any questions about this submission, please call either the HUD GTR, Teresa Souza (202-402-5540) or the Abt Associates </w:t>
      </w:r>
      <w:r w:rsidR="003D7343">
        <w:t>co-</w:t>
      </w:r>
      <w:r>
        <w:t>Principal Investigator</w:t>
      </w:r>
      <w:r w:rsidR="003D7343">
        <w:t>s</w:t>
      </w:r>
      <w:r>
        <w:t xml:space="preserve">, </w:t>
      </w:r>
      <w:r w:rsidR="003D7343" w:rsidRPr="003D7343">
        <w:t xml:space="preserve">Gretchen Locke </w:t>
      </w:r>
      <w:r w:rsidR="00635795">
        <w:t xml:space="preserve">(617-349-2373) </w:t>
      </w:r>
      <w:r w:rsidR="003D7343" w:rsidRPr="003D7343">
        <w:t xml:space="preserve">and Sara Galantowicz </w:t>
      </w:r>
      <w:r>
        <w:t>(617-</w:t>
      </w:r>
      <w:r w:rsidR="00635795">
        <w:t>520-2510</w:t>
      </w:r>
      <w:r>
        <w:t>).</w:t>
      </w:r>
    </w:p>
    <w:p w14:paraId="0077E92B" w14:textId="77777777" w:rsidR="00B75236" w:rsidRPr="006C7FAE" w:rsidRDefault="00B75236" w:rsidP="002F4E04"/>
    <w:sectPr w:rsidR="00B75236" w:rsidRPr="006C7FAE" w:rsidSect="002C727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4788E" w14:textId="77777777" w:rsidR="00AE35FE" w:rsidRDefault="00AE35FE" w:rsidP="00D979EA">
      <w:r>
        <w:separator/>
      </w:r>
    </w:p>
  </w:endnote>
  <w:endnote w:type="continuationSeparator" w:id="0">
    <w:p w14:paraId="53BF0743" w14:textId="77777777" w:rsidR="00AE35FE" w:rsidRDefault="00AE35F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3617E" w14:textId="77777777" w:rsidR="00AE35FE" w:rsidRDefault="00AE35FE"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411973"/>
      <w:docPartObj>
        <w:docPartGallery w:val="Page Numbers (Bottom of Page)"/>
        <w:docPartUnique/>
      </w:docPartObj>
    </w:sdtPr>
    <w:sdtEndPr>
      <w:rPr>
        <w:noProof/>
      </w:rPr>
    </w:sdtEndPr>
    <w:sdtContent>
      <w:p w14:paraId="4D189BE2" w14:textId="1DFFF3F1" w:rsidR="00AE35FE" w:rsidRPr="00CA4BB6" w:rsidRDefault="00AE35FE" w:rsidP="00FE3AAC">
        <w:pPr>
          <w:pStyle w:val="Footer"/>
          <w:jc w:val="right"/>
        </w:pPr>
        <w:r>
          <w:fldChar w:fldCharType="begin"/>
        </w:r>
        <w:r>
          <w:instrText xml:space="preserve"> PAGE   \* MERGEFORMAT </w:instrText>
        </w:r>
        <w:r>
          <w:fldChar w:fldCharType="separate"/>
        </w:r>
        <w:r w:rsidR="00C05F6D">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BD2E4" w14:textId="77777777" w:rsidR="00AE35FE" w:rsidRDefault="00AE35FE" w:rsidP="00D979EA">
      <w:r>
        <w:separator/>
      </w:r>
    </w:p>
  </w:footnote>
  <w:footnote w:type="continuationSeparator" w:id="0">
    <w:p w14:paraId="75D58AA3" w14:textId="77777777" w:rsidR="00AE35FE" w:rsidRDefault="00AE35FE" w:rsidP="00D979EA">
      <w:r>
        <w:continuationSeparator/>
      </w:r>
    </w:p>
  </w:footnote>
  <w:footnote w:id="1">
    <w:p w14:paraId="1DDBC415" w14:textId="77777777" w:rsidR="00AE35FE" w:rsidRDefault="00AE35FE">
      <w:pPr>
        <w:pStyle w:val="FootnoteText"/>
      </w:pPr>
      <w:r>
        <w:rPr>
          <w:rStyle w:val="FootnoteReference"/>
        </w:rPr>
        <w:footnoteRef/>
      </w:r>
      <w:r>
        <w:t xml:space="preserve"> </w:t>
      </w:r>
      <w:r>
        <w:tab/>
      </w:r>
      <w:r w:rsidRPr="0031669A">
        <w:t>The selection process for the analysis sample will also reweight PRAC residents to be as similar as possible to PRA residents in terms of diagnoses, health care utilization, disability types, and demographic characteristics, but this alignment of samples happens at the analysis phase, not the sampling phase.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73DE" w14:textId="77777777" w:rsidR="00AE35FE" w:rsidRPr="00AD7ADA" w:rsidRDefault="00AE35FE" w:rsidP="00AD7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B27D" w14:textId="77777777" w:rsidR="00AE35FE" w:rsidRDefault="00AE3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111B7E78"/>
    <w:multiLevelType w:val="hybridMultilevel"/>
    <w:tmpl w:val="204C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35DF7"/>
    <w:multiLevelType w:val="hybridMultilevel"/>
    <w:tmpl w:val="2E9A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292F3197"/>
    <w:multiLevelType w:val="multilevel"/>
    <w:tmpl w:val="88664CB0"/>
    <w:lvl w:ilvl="0">
      <w:start w:val="1"/>
      <w:numFmt w:val="bullet"/>
      <w:pStyle w:val="ExhibitBullets"/>
      <w:lvlText w:val=""/>
      <w:lvlJc w:val="left"/>
      <w:pPr>
        <w:ind w:left="216" w:hanging="216"/>
      </w:pPr>
      <w:rPr>
        <w:rFonts w:ascii="Symbol" w:hAnsi="Symbol" w:hint="default"/>
        <w:color w:val="4B697A" w:themeColor="background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346FA"/>
    <w:multiLevelType w:val="hybridMultilevel"/>
    <w:tmpl w:val="714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35AA7"/>
    <w:multiLevelType w:val="hybridMultilevel"/>
    <w:tmpl w:val="64E87052"/>
    <w:lvl w:ilvl="0" w:tplc="2FC4F0B2">
      <w:start w:val="2"/>
      <w:numFmt w:val="upperLetter"/>
      <w:pStyle w:val="Heading1ES"/>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332C5B"/>
    <w:multiLevelType w:val="hybridMultilevel"/>
    <w:tmpl w:val="9D2A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D33C4"/>
    <w:multiLevelType w:val="multilevel"/>
    <w:tmpl w:val="6916F5A8"/>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3FF25A54"/>
    <w:multiLevelType w:val="hybridMultilevel"/>
    <w:tmpl w:val="A21A6898"/>
    <w:lvl w:ilvl="0" w:tplc="1DACB03A">
      <w:start w:val="1"/>
      <w:numFmt w:val="bullet"/>
      <w:pStyle w:val="Bulle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03AD1"/>
    <w:multiLevelType w:val="hybridMultilevel"/>
    <w:tmpl w:val="30DCE5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60E6808">
      <w:start w:val="4"/>
      <w:numFmt w:val="bullet"/>
      <w:lvlText w:val="-"/>
      <w:lvlJc w:val="left"/>
      <w:pPr>
        <w:ind w:left="3600" w:hanging="360"/>
      </w:pPr>
      <w:rPr>
        <w:rFonts w:ascii="Calibri" w:eastAsia="Calibri"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527CF"/>
    <w:multiLevelType w:val="hybridMultilevel"/>
    <w:tmpl w:val="D81C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A3EC2"/>
    <w:multiLevelType w:val="hybridMultilevel"/>
    <w:tmpl w:val="9DE6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9F16F5"/>
    <w:multiLevelType w:val="hybridMultilevel"/>
    <w:tmpl w:val="CF3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12466"/>
    <w:multiLevelType w:val="hybridMultilevel"/>
    <w:tmpl w:val="2CE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E276565"/>
    <w:multiLevelType w:val="hybridMultilevel"/>
    <w:tmpl w:val="3BD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9"/>
  </w:num>
  <w:num w:numId="4">
    <w:abstractNumId w:val="18"/>
  </w:num>
  <w:num w:numId="5">
    <w:abstractNumId w:val="10"/>
  </w:num>
  <w:num w:numId="6">
    <w:abstractNumId w:val="7"/>
  </w:num>
  <w:num w:numId="7">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8">
    <w:abstractNumId w:val="1"/>
  </w:num>
  <w:num w:numId="9">
    <w:abstractNumId w:val="11"/>
  </w:num>
  <w:num w:numId="10">
    <w:abstractNumId w:val="12"/>
  </w:num>
  <w:num w:numId="11">
    <w:abstractNumId w:val="6"/>
  </w:num>
  <w:num w:numId="12">
    <w:abstractNumId w:val="2"/>
  </w:num>
  <w:num w:numId="13">
    <w:abstractNumId w:val="8"/>
  </w:num>
  <w:num w:numId="14">
    <w:abstractNumId w:val="15"/>
  </w:num>
  <w:num w:numId="15">
    <w:abstractNumId w:val="4"/>
  </w:num>
  <w:num w:numId="16">
    <w:abstractNumId w:val="17"/>
  </w:num>
  <w:num w:numId="17">
    <w:abstractNumId w:val="13"/>
  </w:num>
  <w:num w:numId="18">
    <w:abstractNumId w:val="14"/>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505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22AD"/>
    <w:rsid w:val="000136F3"/>
    <w:rsid w:val="00016E17"/>
    <w:rsid w:val="0002216E"/>
    <w:rsid w:val="00032F9E"/>
    <w:rsid w:val="00033BB4"/>
    <w:rsid w:val="00035415"/>
    <w:rsid w:val="0003631E"/>
    <w:rsid w:val="00040E00"/>
    <w:rsid w:val="00043902"/>
    <w:rsid w:val="00046728"/>
    <w:rsid w:val="000525E0"/>
    <w:rsid w:val="00052D78"/>
    <w:rsid w:val="00053E12"/>
    <w:rsid w:val="00053EEF"/>
    <w:rsid w:val="000543DC"/>
    <w:rsid w:val="00055022"/>
    <w:rsid w:val="0005586E"/>
    <w:rsid w:val="0005750B"/>
    <w:rsid w:val="0006045E"/>
    <w:rsid w:val="0006587B"/>
    <w:rsid w:val="00070322"/>
    <w:rsid w:val="00075567"/>
    <w:rsid w:val="00075BEA"/>
    <w:rsid w:val="000762C4"/>
    <w:rsid w:val="00082D01"/>
    <w:rsid w:val="00087856"/>
    <w:rsid w:val="000902AA"/>
    <w:rsid w:val="00091C6A"/>
    <w:rsid w:val="00095D40"/>
    <w:rsid w:val="000A00A2"/>
    <w:rsid w:val="000A0873"/>
    <w:rsid w:val="000A13F3"/>
    <w:rsid w:val="000A1C6D"/>
    <w:rsid w:val="000A7D69"/>
    <w:rsid w:val="000B33D1"/>
    <w:rsid w:val="000B4A32"/>
    <w:rsid w:val="000C0277"/>
    <w:rsid w:val="000C0A39"/>
    <w:rsid w:val="000C201B"/>
    <w:rsid w:val="000C3040"/>
    <w:rsid w:val="000D53F1"/>
    <w:rsid w:val="000D5777"/>
    <w:rsid w:val="000E6B75"/>
    <w:rsid w:val="000F53F4"/>
    <w:rsid w:val="000F668A"/>
    <w:rsid w:val="00102895"/>
    <w:rsid w:val="001034D7"/>
    <w:rsid w:val="00104F2A"/>
    <w:rsid w:val="00107A04"/>
    <w:rsid w:val="0011170B"/>
    <w:rsid w:val="00113DA4"/>
    <w:rsid w:val="001142CF"/>
    <w:rsid w:val="001178CA"/>
    <w:rsid w:val="00122FFB"/>
    <w:rsid w:val="001307A5"/>
    <w:rsid w:val="00132378"/>
    <w:rsid w:val="00133465"/>
    <w:rsid w:val="00136A84"/>
    <w:rsid w:val="00141CD8"/>
    <w:rsid w:val="00143927"/>
    <w:rsid w:val="00152153"/>
    <w:rsid w:val="00156899"/>
    <w:rsid w:val="00157E04"/>
    <w:rsid w:val="00160657"/>
    <w:rsid w:val="00160B87"/>
    <w:rsid w:val="001677DC"/>
    <w:rsid w:val="001715A7"/>
    <w:rsid w:val="00172119"/>
    <w:rsid w:val="00172D8D"/>
    <w:rsid w:val="00181153"/>
    <w:rsid w:val="00190B9A"/>
    <w:rsid w:val="001956E8"/>
    <w:rsid w:val="001A04CE"/>
    <w:rsid w:val="001A0E0A"/>
    <w:rsid w:val="001A23B5"/>
    <w:rsid w:val="001A403F"/>
    <w:rsid w:val="001A4633"/>
    <w:rsid w:val="001B0518"/>
    <w:rsid w:val="001B39F3"/>
    <w:rsid w:val="001B4509"/>
    <w:rsid w:val="001C0891"/>
    <w:rsid w:val="001C10AF"/>
    <w:rsid w:val="001C7A55"/>
    <w:rsid w:val="001D4FDD"/>
    <w:rsid w:val="001D7EBA"/>
    <w:rsid w:val="001E2CF1"/>
    <w:rsid w:val="001E7FCE"/>
    <w:rsid w:val="001F26DD"/>
    <w:rsid w:val="001F29A2"/>
    <w:rsid w:val="00200E58"/>
    <w:rsid w:val="002064D3"/>
    <w:rsid w:val="00206E6F"/>
    <w:rsid w:val="002104D6"/>
    <w:rsid w:val="002106BF"/>
    <w:rsid w:val="0021761E"/>
    <w:rsid w:val="002176B8"/>
    <w:rsid w:val="002216AD"/>
    <w:rsid w:val="00221D99"/>
    <w:rsid w:val="0022329C"/>
    <w:rsid w:val="00223A9F"/>
    <w:rsid w:val="0022604F"/>
    <w:rsid w:val="0022674D"/>
    <w:rsid w:val="00227977"/>
    <w:rsid w:val="0023449A"/>
    <w:rsid w:val="00235F88"/>
    <w:rsid w:val="002362C5"/>
    <w:rsid w:val="00255975"/>
    <w:rsid w:val="00262319"/>
    <w:rsid w:val="00267F43"/>
    <w:rsid w:val="002702F7"/>
    <w:rsid w:val="00273EAA"/>
    <w:rsid w:val="00276702"/>
    <w:rsid w:val="002817CA"/>
    <w:rsid w:val="0028328D"/>
    <w:rsid w:val="002838F5"/>
    <w:rsid w:val="002852C1"/>
    <w:rsid w:val="00285BB6"/>
    <w:rsid w:val="0029477E"/>
    <w:rsid w:val="0029491C"/>
    <w:rsid w:val="00296510"/>
    <w:rsid w:val="002A4078"/>
    <w:rsid w:val="002A5CE0"/>
    <w:rsid w:val="002B0328"/>
    <w:rsid w:val="002B2F3C"/>
    <w:rsid w:val="002C32AB"/>
    <w:rsid w:val="002C41F9"/>
    <w:rsid w:val="002C4495"/>
    <w:rsid w:val="002C5AC8"/>
    <w:rsid w:val="002C7278"/>
    <w:rsid w:val="002C76AB"/>
    <w:rsid w:val="002D3184"/>
    <w:rsid w:val="002D4536"/>
    <w:rsid w:val="002D5525"/>
    <w:rsid w:val="002D64FE"/>
    <w:rsid w:val="002E5C27"/>
    <w:rsid w:val="002F0322"/>
    <w:rsid w:val="002F48C8"/>
    <w:rsid w:val="002F4E04"/>
    <w:rsid w:val="002F55CE"/>
    <w:rsid w:val="002F76F5"/>
    <w:rsid w:val="00301970"/>
    <w:rsid w:val="00305783"/>
    <w:rsid w:val="00306FF2"/>
    <w:rsid w:val="00312392"/>
    <w:rsid w:val="00314A8A"/>
    <w:rsid w:val="0031669A"/>
    <w:rsid w:val="00324EC2"/>
    <w:rsid w:val="003279F2"/>
    <w:rsid w:val="0033178D"/>
    <w:rsid w:val="00332E71"/>
    <w:rsid w:val="00333B31"/>
    <w:rsid w:val="00335150"/>
    <w:rsid w:val="00335297"/>
    <w:rsid w:val="003370E7"/>
    <w:rsid w:val="00342BA9"/>
    <w:rsid w:val="0034517B"/>
    <w:rsid w:val="003455BC"/>
    <w:rsid w:val="00346700"/>
    <w:rsid w:val="00352C53"/>
    <w:rsid w:val="00354503"/>
    <w:rsid w:val="00361BA8"/>
    <w:rsid w:val="003623F0"/>
    <w:rsid w:val="00370164"/>
    <w:rsid w:val="003711CD"/>
    <w:rsid w:val="0037191F"/>
    <w:rsid w:val="003729F5"/>
    <w:rsid w:val="00373F7F"/>
    <w:rsid w:val="00380DB1"/>
    <w:rsid w:val="00383BFC"/>
    <w:rsid w:val="00384611"/>
    <w:rsid w:val="003846C1"/>
    <w:rsid w:val="00384CA0"/>
    <w:rsid w:val="003870BA"/>
    <w:rsid w:val="00387E4F"/>
    <w:rsid w:val="003940BF"/>
    <w:rsid w:val="00395A89"/>
    <w:rsid w:val="00397E74"/>
    <w:rsid w:val="003A2FA8"/>
    <w:rsid w:val="003A3403"/>
    <w:rsid w:val="003A5266"/>
    <w:rsid w:val="003B05ED"/>
    <w:rsid w:val="003B4770"/>
    <w:rsid w:val="003B52AA"/>
    <w:rsid w:val="003B7B81"/>
    <w:rsid w:val="003C012E"/>
    <w:rsid w:val="003C20BF"/>
    <w:rsid w:val="003C5A98"/>
    <w:rsid w:val="003D5616"/>
    <w:rsid w:val="003D59C6"/>
    <w:rsid w:val="003D6B5D"/>
    <w:rsid w:val="003D7343"/>
    <w:rsid w:val="003E1B3B"/>
    <w:rsid w:val="003E228D"/>
    <w:rsid w:val="003E666B"/>
    <w:rsid w:val="003F1FE3"/>
    <w:rsid w:val="003F3829"/>
    <w:rsid w:val="003F3E19"/>
    <w:rsid w:val="0040170A"/>
    <w:rsid w:val="00403031"/>
    <w:rsid w:val="00403AA9"/>
    <w:rsid w:val="00411B3A"/>
    <w:rsid w:val="00413334"/>
    <w:rsid w:val="00413F80"/>
    <w:rsid w:val="00423092"/>
    <w:rsid w:val="004253E8"/>
    <w:rsid w:val="00427EA9"/>
    <w:rsid w:val="004319BC"/>
    <w:rsid w:val="004320E5"/>
    <w:rsid w:val="004350B0"/>
    <w:rsid w:val="0043621B"/>
    <w:rsid w:val="00436CE5"/>
    <w:rsid w:val="00436E25"/>
    <w:rsid w:val="0044445C"/>
    <w:rsid w:val="00446751"/>
    <w:rsid w:val="00453FE3"/>
    <w:rsid w:val="00470AB4"/>
    <w:rsid w:val="00472932"/>
    <w:rsid w:val="00472E16"/>
    <w:rsid w:val="004734DF"/>
    <w:rsid w:val="00486943"/>
    <w:rsid w:val="00495B91"/>
    <w:rsid w:val="004972CC"/>
    <w:rsid w:val="004A5408"/>
    <w:rsid w:val="004A5954"/>
    <w:rsid w:val="004A5BD4"/>
    <w:rsid w:val="004C0146"/>
    <w:rsid w:val="004C18DF"/>
    <w:rsid w:val="004C29E5"/>
    <w:rsid w:val="004C2B46"/>
    <w:rsid w:val="004C2CCD"/>
    <w:rsid w:val="004D4C6D"/>
    <w:rsid w:val="004E01A4"/>
    <w:rsid w:val="004F1B95"/>
    <w:rsid w:val="004F6742"/>
    <w:rsid w:val="004F709B"/>
    <w:rsid w:val="005023F0"/>
    <w:rsid w:val="00503049"/>
    <w:rsid w:val="00504913"/>
    <w:rsid w:val="00517BE2"/>
    <w:rsid w:val="00520661"/>
    <w:rsid w:val="00521E58"/>
    <w:rsid w:val="0052260B"/>
    <w:rsid w:val="00533271"/>
    <w:rsid w:val="00534B03"/>
    <w:rsid w:val="00534C33"/>
    <w:rsid w:val="00536DB4"/>
    <w:rsid w:val="0053706D"/>
    <w:rsid w:val="0054025D"/>
    <w:rsid w:val="0054647D"/>
    <w:rsid w:val="0055123E"/>
    <w:rsid w:val="00566207"/>
    <w:rsid w:val="00572107"/>
    <w:rsid w:val="00573EAF"/>
    <w:rsid w:val="00574572"/>
    <w:rsid w:val="005775DE"/>
    <w:rsid w:val="00585CA4"/>
    <w:rsid w:val="00586D18"/>
    <w:rsid w:val="005877E5"/>
    <w:rsid w:val="00590D37"/>
    <w:rsid w:val="00591EAB"/>
    <w:rsid w:val="00595006"/>
    <w:rsid w:val="00597948"/>
    <w:rsid w:val="005B1AC5"/>
    <w:rsid w:val="005B254E"/>
    <w:rsid w:val="005B4ECA"/>
    <w:rsid w:val="005B6A25"/>
    <w:rsid w:val="005C320D"/>
    <w:rsid w:val="005C4647"/>
    <w:rsid w:val="005D021C"/>
    <w:rsid w:val="005D75F2"/>
    <w:rsid w:val="005E077D"/>
    <w:rsid w:val="005E0CF2"/>
    <w:rsid w:val="005E2AEA"/>
    <w:rsid w:val="005E6B70"/>
    <w:rsid w:val="005E6C7C"/>
    <w:rsid w:val="005F4FC2"/>
    <w:rsid w:val="006034A3"/>
    <w:rsid w:val="006050EF"/>
    <w:rsid w:val="006071EF"/>
    <w:rsid w:val="00610D42"/>
    <w:rsid w:val="006122D8"/>
    <w:rsid w:val="0061247A"/>
    <w:rsid w:val="00615938"/>
    <w:rsid w:val="006215DC"/>
    <w:rsid w:val="0063014E"/>
    <w:rsid w:val="00633BE1"/>
    <w:rsid w:val="0063413C"/>
    <w:rsid w:val="00635795"/>
    <w:rsid w:val="00641299"/>
    <w:rsid w:val="00647CC2"/>
    <w:rsid w:val="0065112D"/>
    <w:rsid w:val="0066134E"/>
    <w:rsid w:val="00664B1E"/>
    <w:rsid w:val="00670365"/>
    <w:rsid w:val="0067165F"/>
    <w:rsid w:val="0067573D"/>
    <w:rsid w:val="00677475"/>
    <w:rsid w:val="006814BB"/>
    <w:rsid w:val="006840EB"/>
    <w:rsid w:val="0068546A"/>
    <w:rsid w:val="0068583D"/>
    <w:rsid w:val="00685B69"/>
    <w:rsid w:val="00690439"/>
    <w:rsid w:val="0069342C"/>
    <w:rsid w:val="00693B92"/>
    <w:rsid w:val="00693D48"/>
    <w:rsid w:val="00694348"/>
    <w:rsid w:val="00694A72"/>
    <w:rsid w:val="006A01DE"/>
    <w:rsid w:val="006A541C"/>
    <w:rsid w:val="006A5B3B"/>
    <w:rsid w:val="006B1DA6"/>
    <w:rsid w:val="006B2882"/>
    <w:rsid w:val="006B6BF4"/>
    <w:rsid w:val="006C2BBC"/>
    <w:rsid w:val="006C3FD0"/>
    <w:rsid w:val="006C7A4C"/>
    <w:rsid w:val="006D406B"/>
    <w:rsid w:val="006E0A45"/>
    <w:rsid w:val="006E2B32"/>
    <w:rsid w:val="006F12A9"/>
    <w:rsid w:val="006F2B34"/>
    <w:rsid w:val="006F786A"/>
    <w:rsid w:val="0070091C"/>
    <w:rsid w:val="007057ED"/>
    <w:rsid w:val="0070672F"/>
    <w:rsid w:val="007105A6"/>
    <w:rsid w:val="00715417"/>
    <w:rsid w:val="00717D6C"/>
    <w:rsid w:val="0072066E"/>
    <w:rsid w:val="0072477E"/>
    <w:rsid w:val="00725A51"/>
    <w:rsid w:val="00726DD4"/>
    <w:rsid w:val="00730F56"/>
    <w:rsid w:val="00730FB7"/>
    <w:rsid w:val="0073168F"/>
    <w:rsid w:val="00733EBE"/>
    <w:rsid w:val="00744E2C"/>
    <w:rsid w:val="00752119"/>
    <w:rsid w:val="00754408"/>
    <w:rsid w:val="007631C7"/>
    <w:rsid w:val="007634A5"/>
    <w:rsid w:val="00763CCC"/>
    <w:rsid w:val="00764716"/>
    <w:rsid w:val="00776C72"/>
    <w:rsid w:val="00780738"/>
    <w:rsid w:val="0078258F"/>
    <w:rsid w:val="007846BC"/>
    <w:rsid w:val="00794B6E"/>
    <w:rsid w:val="0079611B"/>
    <w:rsid w:val="007969A4"/>
    <w:rsid w:val="007A0114"/>
    <w:rsid w:val="007A08A3"/>
    <w:rsid w:val="007B1321"/>
    <w:rsid w:val="007B1904"/>
    <w:rsid w:val="007B38FA"/>
    <w:rsid w:val="007D0207"/>
    <w:rsid w:val="007D6370"/>
    <w:rsid w:val="007E092F"/>
    <w:rsid w:val="007E5EC0"/>
    <w:rsid w:val="007E78C1"/>
    <w:rsid w:val="007F0F8C"/>
    <w:rsid w:val="0080098A"/>
    <w:rsid w:val="00801761"/>
    <w:rsid w:val="008111EB"/>
    <w:rsid w:val="008130C9"/>
    <w:rsid w:val="00813D02"/>
    <w:rsid w:val="00814833"/>
    <w:rsid w:val="008157A4"/>
    <w:rsid w:val="008157BC"/>
    <w:rsid w:val="0082033D"/>
    <w:rsid w:val="008222AD"/>
    <w:rsid w:val="0083104D"/>
    <w:rsid w:val="008349AE"/>
    <w:rsid w:val="008356CA"/>
    <w:rsid w:val="0083626B"/>
    <w:rsid w:val="00842877"/>
    <w:rsid w:val="00846D77"/>
    <w:rsid w:val="00847557"/>
    <w:rsid w:val="00850745"/>
    <w:rsid w:val="00852480"/>
    <w:rsid w:val="00856632"/>
    <w:rsid w:val="0086451A"/>
    <w:rsid w:val="00867061"/>
    <w:rsid w:val="00867308"/>
    <w:rsid w:val="00867DE0"/>
    <w:rsid w:val="00873545"/>
    <w:rsid w:val="00875BBA"/>
    <w:rsid w:val="00880FED"/>
    <w:rsid w:val="00883372"/>
    <w:rsid w:val="00894730"/>
    <w:rsid w:val="008A0744"/>
    <w:rsid w:val="008A738F"/>
    <w:rsid w:val="008B0543"/>
    <w:rsid w:val="008B1A80"/>
    <w:rsid w:val="008C0888"/>
    <w:rsid w:val="008C1F43"/>
    <w:rsid w:val="008C3505"/>
    <w:rsid w:val="008D091B"/>
    <w:rsid w:val="008D30EA"/>
    <w:rsid w:val="008D55C8"/>
    <w:rsid w:val="008E0E93"/>
    <w:rsid w:val="008E20DE"/>
    <w:rsid w:val="008E603D"/>
    <w:rsid w:val="008F0DA6"/>
    <w:rsid w:val="008F1770"/>
    <w:rsid w:val="008F2331"/>
    <w:rsid w:val="009013C5"/>
    <w:rsid w:val="00901D01"/>
    <w:rsid w:val="009043F6"/>
    <w:rsid w:val="009061A4"/>
    <w:rsid w:val="00907D0A"/>
    <w:rsid w:val="00912E02"/>
    <w:rsid w:val="0092394A"/>
    <w:rsid w:val="00923AB1"/>
    <w:rsid w:val="00933500"/>
    <w:rsid w:val="00935A62"/>
    <w:rsid w:val="009377BE"/>
    <w:rsid w:val="00942024"/>
    <w:rsid w:val="00942B51"/>
    <w:rsid w:val="00944550"/>
    <w:rsid w:val="009550AD"/>
    <w:rsid w:val="009565D4"/>
    <w:rsid w:val="00967D7C"/>
    <w:rsid w:val="00973327"/>
    <w:rsid w:val="009763B8"/>
    <w:rsid w:val="00977AB0"/>
    <w:rsid w:val="00977D73"/>
    <w:rsid w:val="0099262A"/>
    <w:rsid w:val="00995264"/>
    <w:rsid w:val="00997095"/>
    <w:rsid w:val="009A05F3"/>
    <w:rsid w:val="009A5637"/>
    <w:rsid w:val="009A7BB1"/>
    <w:rsid w:val="009B3D0C"/>
    <w:rsid w:val="009B4517"/>
    <w:rsid w:val="009B5447"/>
    <w:rsid w:val="009B56DA"/>
    <w:rsid w:val="009C1F56"/>
    <w:rsid w:val="009C2E86"/>
    <w:rsid w:val="009C6728"/>
    <w:rsid w:val="009C71E4"/>
    <w:rsid w:val="009D13BB"/>
    <w:rsid w:val="009D50EB"/>
    <w:rsid w:val="009E00F2"/>
    <w:rsid w:val="009E32F5"/>
    <w:rsid w:val="009E5A62"/>
    <w:rsid w:val="009E6279"/>
    <w:rsid w:val="009E7331"/>
    <w:rsid w:val="009F2649"/>
    <w:rsid w:val="009F6B66"/>
    <w:rsid w:val="009F704C"/>
    <w:rsid w:val="00A0215D"/>
    <w:rsid w:val="00A06666"/>
    <w:rsid w:val="00A105E0"/>
    <w:rsid w:val="00A138C3"/>
    <w:rsid w:val="00A3018B"/>
    <w:rsid w:val="00A3128D"/>
    <w:rsid w:val="00A324EA"/>
    <w:rsid w:val="00A33A46"/>
    <w:rsid w:val="00A34A7E"/>
    <w:rsid w:val="00A34E79"/>
    <w:rsid w:val="00A44299"/>
    <w:rsid w:val="00A45B43"/>
    <w:rsid w:val="00A4794A"/>
    <w:rsid w:val="00A532E6"/>
    <w:rsid w:val="00A533DE"/>
    <w:rsid w:val="00A53E2B"/>
    <w:rsid w:val="00A54851"/>
    <w:rsid w:val="00A817CE"/>
    <w:rsid w:val="00A90DEE"/>
    <w:rsid w:val="00A928FA"/>
    <w:rsid w:val="00A97F3D"/>
    <w:rsid w:val="00AA46FD"/>
    <w:rsid w:val="00AA7B0B"/>
    <w:rsid w:val="00AB32CF"/>
    <w:rsid w:val="00AB4476"/>
    <w:rsid w:val="00AC59EB"/>
    <w:rsid w:val="00AD2235"/>
    <w:rsid w:val="00AD6CD8"/>
    <w:rsid w:val="00AD7ADA"/>
    <w:rsid w:val="00AE35FE"/>
    <w:rsid w:val="00AE5530"/>
    <w:rsid w:val="00B015FB"/>
    <w:rsid w:val="00B02599"/>
    <w:rsid w:val="00B0297F"/>
    <w:rsid w:val="00B0616E"/>
    <w:rsid w:val="00B10F88"/>
    <w:rsid w:val="00B14060"/>
    <w:rsid w:val="00B16B3C"/>
    <w:rsid w:val="00B25EE3"/>
    <w:rsid w:val="00B269D4"/>
    <w:rsid w:val="00B30E54"/>
    <w:rsid w:val="00B3151F"/>
    <w:rsid w:val="00B3357C"/>
    <w:rsid w:val="00B41457"/>
    <w:rsid w:val="00B518F2"/>
    <w:rsid w:val="00B51C3D"/>
    <w:rsid w:val="00B55A6A"/>
    <w:rsid w:val="00B611A6"/>
    <w:rsid w:val="00B61C4A"/>
    <w:rsid w:val="00B61EC9"/>
    <w:rsid w:val="00B638E5"/>
    <w:rsid w:val="00B679AD"/>
    <w:rsid w:val="00B702AA"/>
    <w:rsid w:val="00B711B8"/>
    <w:rsid w:val="00B75236"/>
    <w:rsid w:val="00B76168"/>
    <w:rsid w:val="00B7744A"/>
    <w:rsid w:val="00B81448"/>
    <w:rsid w:val="00B81F4B"/>
    <w:rsid w:val="00B820C3"/>
    <w:rsid w:val="00B826AC"/>
    <w:rsid w:val="00B82D4D"/>
    <w:rsid w:val="00B87731"/>
    <w:rsid w:val="00B87EE6"/>
    <w:rsid w:val="00B907F5"/>
    <w:rsid w:val="00B9260A"/>
    <w:rsid w:val="00B96ABD"/>
    <w:rsid w:val="00B96CEE"/>
    <w:rsid w:val="00BA5471"/>
    <w:rsid w:val="00BA70C0"/>
    <w:rsid w:val="00BA7390"/>
    <w:rsid w:val="00BB040D"/>
    <w:rsid w:val="00BB3987"/>
    <w:rsid w:val="00BB400B"/>
    <w:rsid w:val="00BB6C62"/>
    <w:rsid w:val="00BC3DD1"/>
    <w:rsid w:val="00BD0B07"/>
    <w:rsid w:val="00BD4179"/>
    <w:rsid w:val="00BD621C"/>
    <w:rsid w:val="00BD6256"/>
    <w:rsid w:val="00BE4BD9"/>
    <w:rsid w:val="00BF18DC"/>
    <w:rsid w:val="00BF598C"/>
    <w:rsid w:val="00BF6B86"/>
    <w:rsid w:val="00C01A77"/>
    <w:rsid w:val="00C04B4F"/>
    <w:rsid w:val="00C05F6D"/>
    <w:rsid w:val="00C060BD"/>
    <w:rsid w:val="00C075AF"/>
    <w:rsid w:val="00C13DE2"/>
    <w:rsid w:val="00C14408"/>
    <w:rsid w:val="00C14776"/>
    <w:rsid w:val="00C17F58"/>
    <w:rsid w:val="00C25B93"/>
    <w:rsid w:val="00C307E7"/>
    <w:rsid w:val="00C34A92"/>
    <w:rsid w:val="00C35829"/>
    <w:rsid w:val="00C36245"/>
    <w:rsid w:val="00C370A7"/>
    <w:rsid w:val="00C41739"/>
    <w:rsid w:val="00C42639"/>
    <w:rsid w:val="00C44111"/>
    <w:rsid w:val="00C44D2D"/>
    <w:rsid w:val="00C52632"/>
    <w:rsid w:val="00C5695C"/>
    <w:rsid w:val="00C57E90"/>
    <w:rsid w:val="00C60CC6"/>
    <w:rsid w:val="00C6195E"/>
    <w:rsid w:val="00C62F1C"/>
    <w:rsid w:val="00C6380F"/>
    <w:rsid w:val="00C744A3"/>
    <w:rsid w:val="00C805AE"/>
    <w:rsid w:val="00C81DB5"/>
    <w:rsid w:val="00C900FF"/>
    <w:rsid w:val="00C90715"/>
    <w:rsid w:val="00C9564D"/>
    <w:rsid w:val="00C972D0"/>
    <w:rsid w:val="00CA4BB6"/>
    <w:rsid w:val="00CA7026"/>
    <w:rsid w:val="00CB0E71"/>
    <w:rsid w:val="00CB2A2B"/>
    <w:rsid w:val="00CB3FC8"/>
    <w:rsid w:val="00CB442A"/>
    <w:rsid w:val="00CB5800"/>
    <w:rsid w:val="00CC25D8"/>
    <w:rsid w:val="00CC4CE6"/>
    <w:rsid w:val="00CD2213"/>
    <w:rsid w:val="00CD266B"/>
    <w:rsid w:val="00CD4B2E"/>
    <w:rsid w:val="00CD4DE4"/>
    <w:rsid w:val="00CD596A"/>
    <w:rsid w:val="00CD6527"/>
    <w:rsid w:val="00CD6B3F"/>
    <w:rsid w:val="00CD71F8"/>
    <w:rsid w:val="00CE2652"/>
    <w:rsid w:val="00CE2AC9"/>
    <w:rsid w:val="00CF1528"/>
    <w:rsid w:val="00CF3887"/>
    <w:rsid w:val="00CF3E63"/>
    <w:rsid w:val="00CF561E"/>
    <w:rsid w:val="00D13310"/>
    <w:rsid w:val="00D143BA"/>
    <w:rsid w:val="00D2037A"/>
    <w:rsid w:val="00D20DD2"/>
    <w:rsid w:val="00D21697"/>
    <w:rsid w:val="00D27786"/>
    <w:rsid w:val="00D27C2B"/>
    <w:rsid w:val="00D34276"/>
    <w:rsid w:val="00D34EEE"/>
    <w:rsid w:val="00D37BAF"/>
    <w:rsid w:val="00D50B60"/>
    <w:rsid w:val="00D51B1E"/>
    <w:rsid w:val="00D64FE5"/>
    <w:rsid w:val="00D67B4B"/>
    <w:rsid w:val="00D71FA9"/>
    <w:rsid w:val="00D7442B"/>
    <w:rsid w:val="00D754D3"/>
    <w:rsid w:val="00D86920"/>
    <w:rsid w:val="00D94897"/>
    <w:rsid w:val="00D96598"/>
    <w:rsid w:val="00D979EA"/>
    <w:rsid w:val="00DA02B9"/>
    <w:rsid w:val="00DA118B"/>
    <w:rsid w:val="00DA42EA"/>
    <w:rsid w:val="00DA585F"/>
    <w:rsid w:val="00DA7FEA"/>
    <w:rsid w:val="00DB077F"/>
    <w:rsid w:val="00DB269B"/>
    <w:rsid w:val="00DC02B5"/>
    <w:rsid w:val="00DC43B4"/>
    <w:rsid w:val="00DC4C28"/>
    <w:rsid w:val="00DC6127"/>
    <w:rsid w:val="00DD27D1"/>
    <w:rsid w:val="00DE221A"/>
    <w:rsid w:val="00DE2334"/>
    <w:rsid w:val="00DE5C1E"/>
    <w:rsid w:val="00DF4CB6"/>
    <w:rsid w:val="00DF4EA0"/>
    <w:rsid w:val="00DF4F2C"/>
    <w:rsid w:val="00DF68F0"/>
    <w:rsid w:val="00DF6CDE"/>
    <w:rsid w:val="00DF76DC"/>
    <w:rsid w:val="00E0113D"/>
    <w:rsid w:val="00E039CB"/>
    <w:rsid w:val="00E05C56"/>
    <w:rsid w:val="00E138EF"/>
    <w:rsid w:val="00E1423B"/>
    <w:rsid w:val="00E22880"/>
    <w:rsid w:val="00E239AC"/>
    <w:rsid w:val="00E270E8"/>
    <w:rsid w:val="00E317E1"/>
    <w:rsid w:val="00E33231"/>
    <w:rsid w:val="00E349E8"/>
    <w:rsid w:val="00E47425"/>
    <w:rsid w:val="00E5226B"/>
    <w:rsid w:val="00E54734"/>
    <w:rsid w:val="00E55957"/>
    <w:rsid w:val="00E6186E"/>
    <w:rsid w:val="00E72F03"/>
    <w:rsid w:val="00E731D9"/>
    <w:rsid w:val="00E73653"/>
    <w:rsid w:val="00E7402C"/>
    <w:rsid w:val="00E7429A"/>
    <w:rsid w:val="00E75D89"/>
    <w:rsid w:val="00E76B5E"/>
    <w:rsid w:val="00E84434"/>
    <w:rsid w:val="00E90C37"/>
    <w:rsid w:val="00E94138"/>
    <w:rsid w:val="00E970C3"/>
    <w:rsid w:val="00EA0512"/>
    <w:rsid w:val="00EA41CC"/>
    <w:rsid w:val="00EB2EB1"/>
    <w:rsid w:val="00EB30F5"/>
    <w:rsid w:val="00EB3DEA"/>
    <w:rsid w:val="00EB5C8B"/>
    <w:rsid w:val="00EB6C09"/>
    <w:rsid w:val="00EB76A5"/>
    <w:rsid w:val="00EC3CC1"/>
    <w:rsid w:val="00EC47CA"/>
    <w:rsid w:val="00ED263C"/>
    <w:rsid w:val="00ED2A92"/>
    <w:rsid w:val="00ED503D"/>
    <w:rsid w:val="00EE11FD"/>
    <w:rsid w:val="00EE1D07"/>
    <w:rsid w:val="00EE393E"/>
    <w:rsid w:val="00EF0A1F"/>
    <w:rsid w:val="00EF7536"/>
    <w:rsid w:val="00F010C7"/>
    <w:rsid w:val="00F071E5"/>
    <w:rsid w:val="00F13235"/>
    <w:rsid w:val="00F1494E"/>
    <w:rsid w:val="00F20DAC"/>
    <w:rsid w:val="00F23798"/>
    <w:rsid w:val="00F260AC"/>
    <w:rsid w:val="00F26DFB"/>
    <w:rsid w:val="00F27043"/>
    <w:rsid w:val="00F27B69"/>
    <w:rsid w:val="00F32C54"/>
    <w:rsid w:val="00F32E6E"/>
    <w:rsid w:val="00F4263A"/>
    <w:rsid w:val="00F45A7C"/>
    <w:rsid w:val="00F47E96"/>
    <w:rsid w:val="00F50A3A"/>
    <w:rsid w:val="00F601AA"/>
    <w:rsid w:val="00F60243"/>
    <w:rsid w:val="00F620C2"/>
    <w:rsid w:val="00F621D1"/>
    <w:rsid w:val="00F62A1E"/>
    <w:rsid w:val="00F64DB9"/>
    <w:rsid w:val="00F65513"/>
    <w:rsid w:val="00F81366"/>
    <w:rsid w:val="00F82F16"/>
    <w:rsid w:val="00F83194"/>
    <w:rsid w:val="00F85399"/>
    <w:rsid w:val="00F8539D"/>
    <w:rsid w:val="00F85BF0"/>
    <w:rsid w:val="00F92DDC"/>
    <w:rsid w:val="00F93183"/>
    <w:rsid w:val="00FA035F"/>
    <w:rsid w:val="00FA686C"/>
    <w:rsid w:val="00FA688A"/>
    <w:rsid w:val="00FA6932"/>
    <w:rsid w:val="00FB16D9"/>
    <w:rsid w:val="00FB3972"/>
    <w:rsid w:val="00FB70DE"/>
    <w:rsid w:val="00FC2BD1"/>
    <w:rsid w:val="00FC7FB6"/>
    <w:rsid w:val="00FD17C2"/>
    <w:rsid w:val="00FD5104"/>
    <w:rsid w:val="00FD634F"/>
    <w:rsid w:val="00FE011A"/>
    <w:rsid w:val="00FE0A7C"/>
    <w:rsid w:val="00FE2611"/>
    <w:rsid w:val="00FE3AAC"/>
    <w:rsid w:val="00FF2067"/>
    <w:rsid w:val="00FF3FFA"/>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e1e1ff,#069,#bad1e8,#afd787,#cde6b4,#d1e8ba,#0000ac"/>
    </o:shapedefaults>
    <o:shapelayout v:ext="edit">
      <o:idmap v:ext="edit" data="1"/>
    </o:shapelayout>
  </w:shapeDefaults>
  <w:decimalSymbol w:val="."/>
  <w:listSeparator w:val=","/>
  <w14:docId w14:val="30B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4972CC"/>
    <w:pPr>
      <w:keepNext/>
      <w:keepLines/>
      <w:numPr>
        <w:numId w:val="3"/>
      </w:numPr>
      <w:outlineLvl w:val="0"/>
    </w:pPr>
    <w:rPr>
      <w:rFonts w:ascii="Arial Bold" w:hAnsi="Arial Bold"/>
      <w:b/>
      <w:color w:val="000000"/>
      <w:kern w:val="28"/>
      <w:sz w:val="28"/>
    </w:rPr>
  </w:style>
  <w:style w:type="paragraph" w:styleId="Heading2">
    <w:name w:val="heading 2"/>
    <w:basedOn w:val="Normal"/>
    <w:next w:val="BodyText"/>
    <w:qFormat/>
    <w:rsid w:val="00F071E5"/>
    <w:pPr>
      <w:keepNext/>
      <w:numPr>
        <w:ilvl w:val="1"/>
        <w:numId w:val="3"/>
      </w:numPr>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CA4BB6"/>
    <w:pPr>
      <w:keepNext/>
      <w:numPr>
        <w:ilvl w:val="2"/>
        <w:numId w:val="3"/>
      </w:numPr>
      <w:spacing w:before="60" w:after="120"/>
      <w:outlineLvl w:val="2"/>
    </w:pPr>
    <w:rPr>
      <w:rFonts w:ascii="Arial" w:hAnsi="Arial"/>
      <w:b/>
      <w:color w:val="000000"/>
      <w:sz w:val="20"/>
    </w:rPr>
  </w:style>
  <w:style w:type="paragraph" w:styleId="Heading4">
    <w:name w:val="heading 4"/>
    <w:basedOn w:val="Normal"/>
    <w:next w:val="BodyText"/>
    <w:qFormat/>
    <w:rsid w:val="00453FE3"/>
    <w:pPr>
      <w:keepNext/>
      <w:numPr>
        <w:ilvl w:val="3"/>
        <w:numId w:val="3"/>
      </w:numPr>
      <w:spacing w:before="60" w:after="60"/>
      <w:outlineLvl w:val="3"/>
    </w:pPr>
    <w:rPr>
      <w:rFonts w:ascii="Arial" w:hAnsi="Arial"/>
      <w:b/>
      <w:sz w:val="20"/>
    </w:rPr>
  </w:style>
  <w:style w:type="paragraph" w:styleId="Heading5">
    <w:name w:val="heading 5"/>
    <w:basedOn w:val="Normal"/>
    <w:next w:val="BodyText"/>
    <w:qFormat/>
    <w:rsid w:val="00CA4BB6"/>
    <w:pPr>
      <w:keepNext/>
      <w:keepLines/>
      <w:numPr>
        <w:ilvl w:val="4"/>
        <w:numId w:val="3"/>
      </w:numPr>
      <w:spacing w:before="60" w:after="60"/>
      <w:outlineLvl w:val="4"/>
    </w:pPr>
    <w:rPr>
      <w:b/>
      <w:i/>
      <w:color w:val="000000"/>
    </w:rPr>
  </w:style>
  <w:style w:type="paragraph" w:styleId="Heading6">
    <w:name w:val="heading 6"/>
    <w:basedOn w:val="Normal"/>
    <w:next w:val="Normal"/>
    <w:qFormat/>
    <w:rsid w:val="00495B91"/>
    <w:pPr>
      <w:numPr>
        <w:ilvl w:val="5"/>
        <w:numId w:val="3"/>
      </w:numPr>
      <w:spacing w:before="60" w:after="60"/>
      <w:outlineLvl w:val="5"/>
    </w:pPr>
    <w:rPr>
      <w:b/>
      <w:bCs/>
      <w:szCs w:val="22"/>
    </w:rPr>
  </w:style>
  <w:style w:type="paragraph" w:styleId="Heading7">
    <w:name w:val="heading 7"/>
    <w:basedOn w:val="Normal"/>
    <w:next w:val="Normal"/>
    <w:qFormat/>
    <w:rsid w:val="003A3403"/>
    <w:pPr>
      <w:numPr>
        <w:ilvl w:val="6"/>
        <w:numId w:val="3"/>
      </w:numPr>
      <w:spacing w:before="240" w:after="60"/>
      <w:outlineLvl w:val="6"/>
    </w:pPr>
    <w:rPr>
      <w:sz w:val="24"/>
      <w:szCs w:val="24"/>
    </w:rPr>
  </w:style>
  <w:style w:type="paragraph" w:styleId="Heading8">
    <w:name w:val="heading 8"/>
    <w:basedOn w:val="Normal"/>
    <w:next w:val="Normal"/>
    <w:qFormat/>
    <w:rsid w:val="003A3403"/>
    <w:pPr>
      <w:numPr>
        <w:ilvl w:val="7"/>
        <w:numId w:val="3"/>
      </w:numPr>
      <w:spacing w:before="240" w:after="60"/>
      <w:outlineLvl w:val="7"/>
    </w:pPr>
    <w:rPr>
      <w:i/>
      <w:iCs/>
      <w:sz w:val="24"/>
      <w:szCs w:val="24"/>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CA4BB6"/>
    <w:pPr>
      <w:numPr>
        <w:numId w:val="5"/>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997095"/>
    <w:pPr>
      <w:tabs>
        <w:tab w:val="center" w:pos="4507"/>
        <w:tab w:val="right" w:pos="9000"/>
      </w:tabs>
    </w:pPr>
    <w:rPr>
      <w:rFonts w:ascii="Arial Bold" w:hAnsi="Arial Bold"/>
      <w:b/>
      <w:color w:val="000000"/>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7A08A3"/>
    <w:pPr>
      <w:keepNext/>
      <w:keepLines/>
      <w:widowControl w:val="0"/>
      <w:tabs>
        <w:tab w:val="left" w:pos="1440"/>
      </w:tabs>
      <w:spacing w:after="120"/>
      <w:ind w:left="1440" w:hanging="1440"/>
    </w:pPr>
    <w:rPr>
      <w:rFonts w:ascii="Arial Narrow" w:hAnsi="Arial Narrow"/>
      <w:b/>
      <w:bCs/>
      <w:sz w:val="24"/>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D7442B"/>
    <w:pPr>
      <w:tabs>
        <w:tab w:val="left" w:pos="720"/>
        <w:tab w:val="left" w:pos="1080"/>
        <w:tab w:val="left" w:pos="1440"/>
        <w:tab w:val="left" w:pos="1800"/>
        <w:tab w:val="left" w:pos="6660"/>
      </w:tabs>
      <w:spacing w:after="0"/>
      <w:ind w:left="6490" w:right="-540"/>
      <w:jc w:val="right"/>
    </w:pPr>
    <w:rPr>
      <w:rFonts w:ascii="Arial" w:hAnsi="Arial"/>
      <w:b/>
      <w:color w:val="000000"/>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D7442B"/>
    <w:pPr>
      <w:tabs>
        <w:tab w:val="left" w:pos="720"/>
        <w:tab w:val="left" w:pos="1080"/>
        <w:tab w:val="left" w:pos="1440"/>
        <w:tab w:val="left" w:pos="1800"/>
        <w:tab w:val="left" w:pos="6660"/>
      </w:tabs>
      <w:spacing w:after="0"/>
      <w:ind w:left="6490" w:right="-540"/>
      <w:jc w:val="right"/>
    </w:pPr>
    <w:rPr>
      <w:rFonts w:ascii="Arial" w:hAnsi="Arial"/>
      <w:b/>
      <w:color w:val="000000" w:themeColor="text1"/>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0B4A32"/>
    <w:pPr>
      <w:spacing w:before="120"/>
    </w:pPr>
    <w:rPr>
      <w:rFonts w:ascii="Arial" w:hAnsi="Arial" w:cs="Arial"/>
      <w:sz w:val="16"/>
    </w:rPr>
  </w:style>
  <w:style w:type="paragraph" w:customStyle="1" w:styleId="ExhibitText">
    <w:name w:val="Exhibit Text"/>
    <w:basedOn w:val="TableText"/>
    <w:qFormat/>
    <w:rsid w:val="00EB76A5"/>
    <w:rPr>
      <w:rFonts w:ascii="Arial Narrow" w:hAnsi="Arial Narrow"/>
    </w:rPr>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CA4BB6"/>
    <w:pPr>
      <w:ind w:left="180" w:right="204"/>
    </w:pPr>
    <w:rPr>
      <w:rFonts w:ascii="Arial" w:eastAsiaTheme="minorHAnsi" w:hAnsi="Arial" w:cs="Arial"/>
      <w:b/>
      <w:color w:val="000000"/>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EB76A5"/>
    <w:pPr>
      <w:jc w:val="center"/>
    </w:pPr>
    <w:rPr>
      <w:rFonts w:ascii="Arial Narrow" w:hAnsi="Arial Narrow" w:cs="Arial"/>
      <w:b/>
      <w:color w:val="000000" w:themeColor="text1"/>
    </w:rPr>
  </w:style>
  <w:style w:type="paragraph" w:customStyle="1" w:styleId="Heading1ES">
    <w:name w:val="Heading 1 ES"/>
    <w:basedOn w:val="Heading1"/>
    <w:qFormat/>
    <w:rsid w:val="001B39F3"/>
    <w:pPr>
      <w:numPr>
        <w:numId w:val="6"/>
      </w:numPr>
    </w:pPr>
  </w:style>
  <w:style w:type="paragraph" w:customStyle="1" w:styleId="Heading2ES">
    <w:name w:val="Heading 2 ES"/>
    <w:basedOn w:val="Heading2"/>
    <w:qFormat/>
    <w:rsid w:val="00997095"/>
    <w:pPr>
      <w:numPr>
        <w:ilvl w:val="0"/>
        <w:numId w:val="0"/>
      </w:numPr>
      <w:outlineLvl w:val="9"/>
    </w:pPr>
  </w:style>
  <w:style w:type="paragraph" w:customStyle="1" w:styleId="Heading3ES">
    <w:name w:val="Heading 3 ES"/>
    <w:basedOn w:val="Heading3"/>
    <w:qFormat/>
    <w:rsid w:val="00997095"/>
    <w:pPr>
      <w:numPr>
        <w:ilvl w:val="0"/>
        <w:numId w:val="0"/>
      </w:numPr>
      <w:outlineLvl w:val="9"/>
    </w:pPr>
  </w:style>
  <w:style w:type="paragraph" w:styleId="ListParagraph">
    <w:name w:val="List Paragraph"/>
    <w:basedOn w:val="Normal"/>
    <w:uiPriority w:val="34"/>
    <w:qFormat/>
    <w:rsid w:val="00B87731"/>
    <w:pPr>
      <w:spacing w:after="0" w:line="240" w:lineRule="auto"/>
      <w:ind w:left="720"/>
      <w:contextualSpacing/>
    </w:pPr>
    <w:rPr>
      <w:rFonts w:ascii="Calibri" w:eastAsiaTheme="minorHAnsi" w:hAnsi="Calibri"/>
      <w:szCs w:val="22"/>
    </w:rPr>
  </w:style>
  <w:style w:type="paragraph" w:customStyle="1" w:styleId="StaffResumeList">
    <w:name w:val="Staff Resume List"/>
    <w:qFormat/>
    <w:rsid w:val="000F668A"/>
    <w:pPr>
      <w:tabs>
        <w:tab w:val="right" w:pos="9000"/>
      </w:tabs>
    </w:pPr>
    <w:rPr>
      <w:rFonts w:eastAsiaTheme="minorHAnsi"/>
      <w:spacing w:val="-4"/>
      <w:sz w:val="24"/>
    </w:rPr>
  </w:style>
  <w:style w:type="paragraph" w:customStyle="1" w:styleId="Heading1Apps">
    <w:name w:val="Heading 1 Apps"/>
    <w:basedOn w:val="Heading1"/>
    <w:qFormat/>
    <w:rsid w:val="000F668A"/>
    <w:pPr>
      <w:pageBreakBefore/>
      <w:numPr>
        <w:numId w:val="0"/>
      </w:numPr>
      <w:spacing w:line="240" w:lineRule="auto"/>
      <w:jc w:val="center"/>
    </w:pPr>
    <w:rPr>
      <w:rFonts w:ascii="Arial" w:hAnsi="Arial"/>
      <w:color w:val="auto"/>
    </w:rPr>
  </w:style>
  <w:style w:type="table" w:customStyle="1" w:styleId="Abt1">
    <w:name w:val="Abt1"/>
    <w:basedOn w:val="TableNormal"/>
    <w:uiPriority w:val="99"/>
    <w:rsid w:val="00D64FE5"/>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8064A2"/>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band1Horz">
      <w:rPr>
        <w:rFonts w:ascii="@Batang" w:hAnsi="@Batang"/>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2DBDB"/>
      </w:tcPr>
    </w:tblStylePr>
    <w:tblStylePr w:type="band2Horz">
      <w:rPr>
        <w:rFonts w:ascii="@Batang" w:hAnsi="@Batang"/>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character" w:customStyle="1" w:styleId="CommentTextChar">
    <w:name w:val="Comment Text Char"/>
    <w:basedOn w:val="DefaultParagraphFont"/>
    <w:link w:val="CommentText"/>
    <w:rsid w:val="0092394A"/>
  </w:style>
  <w:style w:type="paragraph" w:customStyle="1" w:styleId="Normal1">
    <w:name w:val="Normal1"/>
    <w:rsid w:val="0054647D"/>
    <w:pPr>
      <w:spacing w:line="276" w:lineRule="auto"/>
    </w:pPr>
    <w:rPr>
      <w:rFonts w:ascii="Arial" w:eastAsia="Arial" w:hAnsi="Arial" w:cs="Arial"/>
      <w:color w:val="000000"/>
      <w:sz w:val="22"/>
      <w:szCs w:val="24"/>
      <w:lang w:eastAsia="ja-JP"/>
    </w:rPr>
  </w:style>
  <w:style w:type="paragraph" w:customStyle="1" w:styleId="ExhibitBullets">
    <w:name w:val="Exhibit Bullets"/>
    <w:basedOn w:val="ExhibitText"/>
    <w:qFormat/>
    <w:rsid w:val="000C201B"/>
    <w:pPr>
      <w:numPr>
        <w:numId w:val="15"/>
      </w:numPr>
      <w:spacing w:before="20" w:after="20"/>
    </w:pPr>
    <w:rPr>
      <w:rFonts w:eastAsia="Calibri"/>
    </w:rPr>
  </w:style>
  <w:style w:type="character" w:styleId="Strong">
    <w:name w:val="Strong"/>
    <w:basedOn w:val="DefaultParagraphFont"/>
    <w:qFormat/>
    <w:rsid w:val="00361BA8"/>
    <w:rPr>
      <w:b/>
      <w:bCs/>
    </w:rPr>
  </w:style>
  <w:style w:type="table" w:customStyle="1" w:styleId="RDDCAP">
    <w:name w:val="RDDCAP"/>
    <w:basedOn w:val="TableNormal"/>
    <w:uiPriority w:val="99"/>
    <w:rsid w:val="00E7402C"/>
    <w:tblPr>
      <w:tblStyleRowBandSize w:val="1"/>
      <w:tblBorders>
        <w:top w:val="single" w:sz="4" w:space="0" w:color="4B697A" w:themeColor="background1" w:themeShade="80"/>
        <w:left w:val="single" w:sz="4" w:space="0" w:color="4B697A" w:themeColor="background1" w:themeShade="80"/>
        <w:bottom w:val="single" w:sz="4" w:space="0" w:color="4B697A" w:themeColor="background1" w:themeShade="80"/>
        <w:right w:val="single" w:sz="4" w:space="0" w:color="4B697A" w:themeColor="background1" w:themeShade="80"/>
        <w:insideH w:val="single" w:sz="4" w:space="0" w:color="4B697A" w:themeColor="background1" w:themeShade="80"/>
        <w:insideV w:val="single" w:sz="4" w:space="0" w:color="4B697A" w:themeColor="background1" w:themeShade="80"/>
      </w:tblBorders>
    </w:tblPr>
    <w:tblStylePr w:type="firstRow">
      <w:pPr>
        <w:jc w:val="center"/>
      </w:pPr>
      <w:tblPr/>
      <w:tcPr>
        <w:shd w:val="clear" w:color="auto" w:fill="B7C9D3" w:themeFill="background1"/>
        <w:vAlign w:val="bottom"/>
      </w:tcPr>
    </w:tblStylePr>
    <w:tblStylePr w:type="band2Horz">
      <w:tblPr/>
      <w:tcPr>
        <w:shd w:val="clear" w:color="auto" w:fill="F0F4F6" w:themeFill="background1" w:themeFillTint="33"/>
      </w:tcPr>
    </w:tblStylePr>
  </w:style>
  <w:style w:type="paragraph" w:customStyle="1" w:styleId="BodyTextSS">
    <w:name w:val="Body Text SS"/>
    <w:basedOn w:val="BodyText"/>
    <w:qFormat/>
    <w:rsid w:val="00E7402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4972CC"/>
    <w:pPr>
      <w:keepNext/>
      <w:keepLines/>
      <w:numPr>
        <w:numId w:val="3"/>
      </w:numPr>
      <w:outlineLvl w:val="0"/>
    </w:pPr>
    <w:rPr>
      <w:rFonts w:ascii="Arial Bold" w:hAnsi="Arial Bold"/>
      <w:b/>
      <w:color w:val="000000"/>
      <w:kern w:val="28"/>
      <w:sz w:val="28"/>
    </w:rPr>
  </w:style>
  <w:style w:type="paragraph" w:styleId="Heading2">
    <w:name w:val="heading 2"/>
    <w:basedOn w:val="Normal"/>
    <w:next w:val="BodyText"/>
    <w:qFormat/>
    <w:rsid w:val="00F071E5"/>
    <w:pPr>
      <w:keepNext/>
      <w:numPr>
        <w:ilvl w:val="1"/>
        <w:numId w:val="3"/>
      </w:numPr>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CA4BB6"/>
    <w:pPr>
      <w:keepNext/>
      <w:numPr>
        <w:ilvl w:val="2"/>
        <w:numId w:val="3"/>
      </w:numPr>
      <w:spacing w:before="60" w:after="120"/>
      <w:outlineLvl w:val="2"/>
    </w:pPr>
    <w:rPr>
      <w:rFonts w:ascii="Arial" w:hAnsi="Arial"/>
      <w:b/>
      <w:color w:val="000000"/>
      <w:sz w:val="20"/>
    </w:rPr>
  </w:style>
  <w:style w:type="paragraph" w:styleId="Heading4">
    <w:name w:val="heading 4"/>
    <w:basedOn w:val="Normal"/>
    <w:next w:val="BodyText"/>
    <w:qFormat/>
    <w:rsid w:val="00453FE3"/>
    <w:pPr>
      <w:keepNext/>
      <w:numPr>
        <w:ilvl w:val="3"/>
        <w:numId w:val="3"/>
      </w:numPr>
      <w:spacing w:before="60" w:after="60"/>
      <w:outlineLvl w:val="3"/>
    </w:pPr>
    <w:rPr>
      <w:rFonts w:ascii="Arial" w:hAnsi="Arial"/>
      <w:b/>
      <w:sz w:val="20"/>
    </w:rPr>
  </w:style>
  <w:style w:type="paragraph" w:styleId="Heading5">
    <w:name w:val="heading 5"/>
    <w:basedOn w:val="Normal"/>
    <w:next w:val="BodyText"/>
    <w:qFormat/>
    <w:rsid w:val="00CA4BB6"/>
    <w:pPr>
      <w:keepNext/>
      <w:keepLines/>
      <w:numPr>
        <w:ilvl w:val="4"/>
        <w:numId w:val="3"/>
      </w:numPr>
      <w:spacing w:before="60" w:after="60"/>
      <w:outlineLvl w:val="4"/>
    </w:pPr>
    <w:rPr>
      <w:b/>
      <w:i/>
      <w:color w:val="000000"/>
    </w:rPr>
  </w:style>
  <w:style w:type="paragraph" w:styleId="Heading6">
    <w:name w:val="heading 6"/>
    <w:basedOn w:val="Normal"/>
    <w:next w:val="Normal"/>
    <w:qFormat/>
    <w:rsid w:val="00495B91"/>
    <w:pPr>
      <w:numPr>
        <w:ilvl w:val="5"/>
        <w:numId w:val="3"/>
      </w:numPr>
      <w:spacing w:before="60" w:after="60"/>
      <w:outlineLvl w:val="5"/>
    </w:pPr>
    <w:rPr>
      <w:b/>
      <w:bCs/>
      <w:szCs w:val="22"/>
    </w:rPr>
  </w:style>
  <w:style w:type="paragraph" w:styleId="Heading7">
    <w:name w:val="heading 7"/>
    <w:basedOn w:val="Normal"/>
    <w:next w:val="Normal"/>
    <w:qFormat/>
    <w:rsid w:val="003A3403"/>
    <w:pPr>
      <w:numPr>
        <w:ilvl w:val="6"/>
        <w:numId w:val="3"/>
      </w:numPr>
      <w:spacing w:before="240" w:after="60"/>
      <w:outlineLvl w:val="6"/>
    </w:pPr>
    <w:rPr>
      <w:sz w:val="24"/>
      <w:szCs w:val="24"/>
    </w:rPr>
  </w:style>
  <w:style w:type="paragraph" w:styleId="Heading8">
    <w:name w:val="heading 8"/>
    <w:basedOn w:val="Normal"/>
    <w:next w:val="Normal"/>
    <w:qFormat/>
    <w:rsid w:val="003A3403"/>
    <w:pPr>
      <w:numPr>
        <w:ilvl w:val="7"/>
        <w:numId w:val="3"/>
      </w:numPr>
      <w:spacing w:before="240" w:after="60"/>
      <w:outlineLvl w:val="7"/>
    </w:pPr>
    <w:rPr>
      <w:i/>
      <w:iCs/>
      <w:sz w:val="24"/>
      <w:szCs w:val="24"/>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CA4BB6"/>
    <w:pPr>
      <w:numPr>
        <w:numId w:val="5"/>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997095"/>
    <w:pPr>
      <w:tabs>
        <w:tab w:val="center" w:pos="4507"/>
        <w:tab w:val="right" w:pos="9000"/>
      </w:tabs>
    </w:pPr>
    <w:rPr>
      <w:rFonts w:ascii="Arial Bold" w:hAnsi="Arial Bold"/>
      <w:b/>
      <w:color w:val="000000"/>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7A08A3"/>
    <w:pPr>
      <w:keepNext/>
      <w:keepLines/>
      <w:widowControl w:val="0"/>
      <w:tabs>
        <w:tab w:val="left" w:pos="1440"/>
      </w:tabs>
      <w:spacing w:after="120"/>
      <w:ind w:left="1440" w:hanging="1440"/>
    </w:pPr>
    <w:rPr>
      <w:rFonts w:ascii="Arial Narrow" w:hAnsi="Arial Narrow"/>
      <w:b/>
      <w:bCs/>
      <w:sz w:val="24"/>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D7442B"/>
    <w:pPr>
      <w:tabs>
        <w:tab w:val="left" w:pos="720"/>
        <w:tab w:val="left" w:pos="1080"/>
        <w:tab w:val="left" w:pos="1440"/>
        <w:tab w:val="left" w:pos="1800"/>
        <w:tab w:val="left" w:pos="6660"/>
      </w:tabs>
      <w:spacing w:after="0"/>
      <w:ind w:left="6490" w:right="-540"/>
      <w:jc w:val="right"/>
    </w:pPr>
    <w:rPr>
      <w:rFonts w:ascii="Arial" w:hAnsi="Arial"/>
      <w:b/>
      <w:color w:val="000000"/>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D7442B"/>
    <w:pPr>
      <w:tabs>
        <w:tab w:val="left" w:pos="720"/>
        <w:tab w:val="left" w:pos="1080"/>
        <w:tab w:val="left" w:pos="1440"/>
        <w:tab w:val="left" w:pos="1800"/>
        <w:tab w:val="left" w:pos="6660"/>
      </w:tabs>
      <w:spacing w:after="0"/>
      <w:ind w:left="6490" w:right="-540"/>
      <w:jc w:val="right"/>
    </w:pPr>
    <w:rPr>
      <w:rFonts w:ascii="Arial" w:hAnsi="Arial"/>
      <w:b/>
      <w:color w:val="000000" w:themeColor="text1"/>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0B4A32"/>
    <w:pPr>
      <w:spacing w:before="120"/>
    </w:pPr>
    <w:rPr>
      <w:rFonts w:ascii="Arial" w:hAnsi="Arial" w:cs="Arial"/>
      <w:sz w:val="16"/>
    </w:rPr>
  </w:style>
  <w:style w:type="paragraph" w:customStyle="1" w:styleId="ExhibitText">
    <w:name w:val="Exhibit Text"/>
    <w:basedOn w:val="TableText"/>
    <w:qFormat/>
    <w:rsid w:val="00EB76A5"/>
    <w:rPr>
      <w:rFonts w:ascii="Arial Narrow" w:hAnsi="Arial Narrow"/>
    </w:rPr>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CA4BB6"/>
    <w:pPr>
      <w:ind w:left="180" w:right="204"/>
    </w:pPr>
    <w:rPr>
      <w:rFonts w:ascii="Arial" w:eastAsiaTheme="minorHAnsi" w:hAnsi="Arial" w:cs="Arial"/>
      <w:b/>
      <w:color w:val="000000"/>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EB76A5"/>
    <w:pPr>
      <w:jc w:val="center"/>
    </w:pPr>
    <w:rPr>
      <w:rFonts w:ascii="Arial Narrow" w:hAnsi="Arial Narrow" w:cs="Arial"/>
      <w:b/>
      <w:color w:val="000000" w:themeColor="text1"/>
    </w:rPr>
  </w:style>
  <w:style w:type="paragraph" w:customStyle="1" w:styleId="Heading1ES">
    <w:name w:val="Heading 1 ES"/>
    <w:basedOn w:val="Heading1"/>
    <w:qFormat/>
    <w:rsid w:val="001B39F3"/>
    <w:pPr>
      <w:numPr>
        <w:numId w:val="6"/>
      </w:numPr>
    </w:pPr>
  </w:style>
  <w:style w:type="paragraph" w:customStyle="1" w:styleId="Heading2ES">
    <w:name w:val="Heading 2 ES"/>
    <w:basedOn w:val="Heading2"/>
    <w:qFormat/>
    <w:rsid w:val="00997095"/>
    <w:pPr>
      <w:numPr>
        <w:ilvl w:val="0"/>
        <w:numId w:val="0"/>
      </w:numPr>
      <w:outlineLvl w:val="9"/>
    </w:pPr>
  </w:style>
  <w:style w:type="paragraph" w:customStyle="1" w:styleId="Heading3ES">
    <w:name w:val="Heading 3 ES"/>
    <w:basedOn w:val="Heading3"/>
    <w:qFormat/>
    <w:rsid w:val="00997095"/>
    <w:pPr>
      <w:numPr>
        <w:ilvl w:val="0"/>
        <w:numId w:val="0"/>
      </w:numPr>
      <w:outlineLvl w:val="9"/>
    </w:pPr>
  </w:style>
  <w:style w:type="paragraph" w:styleId="ListParagraph">
    <w:name w:val="List Paragraph"/>
    <w:basedOn w:val="Normal"/>
    <w:uiPriority w:val="34"/>
    <w:qFormat/>
    <w:rsid w:val="00B87731"/>
    <w:pPr>
      <w:spacing w:after="0" w:line="240" w:lineRule="auto"/>
      <w:ind w:left="720"/>
      <w:contextualSpacing/>
    </w:pPr>
    <w:rPr>
      <w:rFonts w:ascii="Calibri" w:eastAsiaTheme="minorHAnsi" w:hAnsi="Calibri"/>
      <w:szCs w:val="22"/>
    </w:rPr>
  </w:style>
  <w:style w:type="paragraph" w:customStyle="1" w:styleId="StaffResumeList">
    <w:name w:val="Staff Resume List"/>
    <w:qFormat/>
    <w:rsid w:val="000F668A"/>
    <w:pPr>
      <w:tabs>
        <w:tab w:val="right" w:pos="9000"/>
      </w:tabs>
    </w:pPr>
    <w:rPr>
      <w:rFonts w:eastAsiaTheme="minorHAnsi"/>
      <w:spacing w:val="-4"/>
      <w:sz w:val="24"/>
    </w:rPr>
  </w:style>
  <w:style w:type="paragraph" w:customStyle="1" w:styleId="Heading1Apps">
    <w:name w:val="Heading 1 Apps"/>
    <w:basedOn w:val="Heading1"/>
    <w:qFormat/>
    <w:rsid w:val="000F668A"/>
    <w:pPr>
      <w:pageBreakBefore/>
      <w:numPr>
        <w:numId w:val="0"/>
      </w:numPr>
      <w:spacing w:line="240" w:lineRule="auto"/>
      <w:jc w:val="center"/>
    </w:pPr>
    <w:rPr>
      <w:rFonts w:ascii="Arial" w:hAnsi="Arial"/>
      <w:color w:val="auto"/>
    </w:rPr>
  </w:style>
  <w:style w:type="table" w:customStyle="1" w:styleId="Abt1">
    <w:name w:val="Abt1"/>
    <w:basedOn w:val="TableNormal"/>
    <w:uiPriority w:val="99"/>
    <w:rsid w:val="00D64FE5"/>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8064A2"/>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band1Horz">
      <w:rPr>
        <w:rFonts w:ascii="@Batang" w:hAnsi="@Batang"/>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2DBDB"/>
      </w:tcPr>
    </w:tblStylePr>
    <w:tblStylePr w:type="band2Horz">
      <w:rPr>
        <w:rFonts w:ascii="@Batang" w:hAnsi="@Batang"/>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character" w:customStyle="1" w:styleId="CommentTextChar">
    <w:name w:val="Comment Text Char"/>
    <w:basedOn w:val="DefaultParagraphFont"/>
    <w:link w:val="CommentText"/>
    <w:rsid w:val="0092394A"/>
  </w:style>
  <w:style w:type="paragraph" w:customStyle="1" w:styleId="Normal1">
    <w:name w:val="Normal1"/>
    <w:rsid w:val="0054647D"/>
    <w:pPr>
      <w:spacing w:line="276" w:lineRule="auto"/>
    </w:pPr>
    <w:rPr>
      <w:rFonts w:ascii="Arial" w:eastAsia="Arial" w:hAnsi="Arial" w:cs="Arial"/>
      <w:color w:val="000000"/>
      <w:sz w:val="22"/>
      <w:szCs w:val="24"/>
      <w:lang w:eastAsia="ja-JP"/>
    </w:rPr>
  </w:style>
  <w:style w:type="paragraph" w:customStyle="1" w:styleId="ExhibitBullets">
    <w:name w:val="Exhibit Bullets"/>
    <w:basedOn w:val="ExhibitText"/>
    <w:qFormat/>
    <w:rsid w:val="000C201B"/>
    <w:pPr>
      <w:numPr>
        <w:numId w:val="15"/>
      </w:numPr>
      <w:spacing w:before="20" w:after="20"/>
    </w:pPr>
    <w:rPr>
      <w:rFonts w:eastAsia="Calibri"/>
    </w:rPr>
  </w:style>
  <w:style w:type="character" w:styleId="Strong">
    <w:name w:val="Strong"/>
    <w:basedOn w:val="DefaultParagraphFont"/>
    <w:qFormat/>
    <w:rsid w:val="00361BA8"/>
    <w:rPr>
      <w:b/>
      <w:bCs/>
    </w:rPr>
  </w:style>
  <w:style w:type="table" w:customStyle="1" w:styleId="RDDCAP">
    <w:name w:val="RDDCAP"/>
    <w:basedOn w:val="TableNormal"/>
    <w:uiPriority w:val="99"/>
    <w:rsid w:val="00E7402C"/>
    <w:tblPr>
      <w:tblStyleRowBandSize w:val="1"/>
      <w:tblBorders>
        <w:top w:val="single" w:sz="4" w:space="0" w:color="4B697A" w:themeColor="background1" w:themeShade="80"/>
        <w:left w:val="single" w:sz="4" w:space="0" w:color="4B697A" w:themeColor="background1" w:themeShade="80"/>
        <w:bottom w:val="single" w:sz="4" w:space="0" w:color="4B697A" w:themeColor="background1" w:themeShade="80"/>
        <w:right w:val="single" w:sz="4" w:space="0" w:color="4B697A" w:themeColor="background1" w:themeShade="80"/>
        <w:insideH w:val="single" w:sz="4" w:space="0" w:color="4B697A" w:themeColor="background1" w:themeShade="80"/>
        <w:insideV w:val="single" w:sz="4" w:space="0" w:color="4B697A" w:themeColor="background1" w:themeShade="80"/>
      </w:tblBorders>
    </w:tblPr>
    <w:tblStylePr w:type="firstRow">
      <w:pPr>
        <w:jc w:val="center"/>
      </w:pPr>
      <w:tblPr/>
      <w:tcPr>
        <w:shd w:val="clear" w:color="auto" w:fill="B7C9D3" w:themeFill="background1"/>
        <w:vAlign w:val="bottom"/>
      </w:tcPr>
    </w:tblStylePr>
    <w:tblStylePr w:type="band2Horz">
      <w:tblPr/>
      <w:tcPr>
        <w:shd w:val="clear" w:color="auto" w:fill="F0F4F6" w:themeFill="background1" w:themeFillTint="33"/>
      </w:tcPr>
    </w:tblStylePr>
  </w:style>
  <w:style w:type="paragraph" w:customStyle="1" w:styleId="BodyTextSS">
    <w:name w:val="Body Text SS"/>
    <w:basedOn w:val="BodyText"/>
    <w:qFormat/>
    <w:rsid w:val="00E7402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0801">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1210-102D-46E2-8A45-C3FFBD39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24993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Audrey Hanbury</dc:creator>
  <cp:keywords>Single-Sided body Templates</cp:keywords>
  <cp:lastModifiedBy>SYSTEM</cp:lastModifiedBy>
  <cp:revision>2</cp:revision>
  <cp:lastPrinted>2017-07-19T16:09:00Z</cp:lastPrinted>
  <dcterms:created xsi:type="dcterms:W3CDTF">2017-11-27T20:28:00Z</dcterms:created>
  <dcterms:modified xsi:type="dcterms:W3CDTF">2017-11-27T20:28:00Z</dcterms:modified>
  <cp:category>Templates</cp:category>
</cp:coreProperties>
</file>