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DCD9C" w14:textId="77777777" w:rsidR="00B82ECB" w:rsidRPr="00B82ECB" w:rsidRDefault="00B82ECB" w:rsidP="00B82ECB">
      <w:pPr>
        <w:jc w:val="center"/>
        <w:rPr>
          <w:b/>
          <w:sz w:val="24"/>
        </w:rPr>
      </w:pPr>
      <w:bookmarkStart w:id="0" w:name="_GoBack"/>
      <w:bookmarkEnd w:id="0"/>
      <w:r w:rsidRPr="00B82ECB">
        <w:rPr>
          <w:b/>
          <w:sz w:val="24"/>
        </w:rPr>
        <w:t>Supporting Statement for Paperwork Reduction Act Submission</w:t>
      </w:r>
    </w:p>
    <w:p w14:paraId="6C85BFCC" w14:textId="77777777" w:rsidR="009F508F" w:rsidRDefault="00B82ECB" w:rsidP="00B82ECB">
      <w:pPr>
        <w:jc w:val="center"/>
        <w:rPr>
          <w:b/>
          <w:sz w:val="24"/>
        </w:rPr>
      </w:pPr>
      <w:r w:rsidRPr="00B82ECB">
        <w:rPr>
          <w:b/>
          <w:sz w:val="24"/>
        </w:rPr>
        <w:tab/>
        <w:t>HUD Research, Evaluation, and Demonstration Cooperative Agreements</w:t>
      </w:r>
    </w:p>
    <w:p w14:paraId="621BE50D" w14:textId="77777777" w:rsidR="00B82ECB" w:rsidRDefault="00B82ECB" w:rsidP="00B82ECB">
      <w:pPr>
        <w:jc w:val="center"/>
        <w:rPr>
          <w:sz w:val="24"/>
        </w:rPr>
      </w:pPr>
      <w:r>
        <w:rPr>
          <w:b/>
          <w:sz w:val="24"/>
        </w:rPr>
        <w:t>OMB number: 2528-0299</w:t>
      </w:r>
    </w:p>
    <w:p w14:paraId="632F0BF2" w14:textId="77777777" w:rsidR="009F508F" w:rsidRDefault="009F508F">
      <w:pPr>
        <w:rPr>
          <w:sz w:val="24"/>
        </w:rPr>
      </w:pPr>
    </w:p>
    <w:p w14:paraId="1EEA3628" w14:textId="77777777" w:rsidR="009F508F" w:rsidRDefault="00FD0805">
      <w:pPr>
        <w:pStyle w:val="Heading1"/>
      </w:pPr>
      <w:r>
        <w:t xml:space="preserve">A. </w:t>
      </w:r>
      <w:r>
        <w:tab/>
        <w:t>Justification</w:t>
      </w:r>
    </w:p>
    <w:p w14:paraId="1A2C5DF2" w14:textId="77777777" w:rsidR="009F508F" w:rsidRDefault="009F508F">
      <w:pPr>
        <w:rPr>
          <w:sz w:val="24"/>
        </w:rPr>
      </w:pPr>
    </w:p>
    <w:p w14:paraId="331CD658" w14:textId="77777777" w:rsidR="009F508F" w:rsidRDefault="00FD0805">
      <w:pPr>
        <w:pStyle w:val="Paperwork"/>
        <w:rPr>
          <w:b/>
        </w:rPr>
      </w:pPr>
      <w:r>
        <w:rPr>
          <w:b/>
        </w:rPr>
        <w:t>1.</w:t>
      </w:r>
      <w:r>
        <w:rPr>
          <w:b/>
        </w:rPr>
        <w:tab/>
        <w:t>Explain the circumstances that make the collection of information necessary. Identify any legal or administrative requirements that necessitate the collection. Attach a copy of the appropriate section of each statute and of each regulation mandating or authorizing the collection of information.</w:t>
      </w:r>
    </w:p>
    <w:p w14:paraId="7457C81B" w14:textId="77777777" w:rsidR="009F508F" w:rsidRDefault="009F508F">
      <w:pPr>
        <w:pStyle w:val="Paperwork"/>
        <w:rPr>
          <w:b/>
        </w:rPr>
      </w:pPr>
    </w:p>
    <w:p w14:paraId="66A4A15A" w14:textId="77777777" w:rsidR="001B01AC" w:rsidRDefault="001B01AC" w:rsidP="008157F5">
      <w:pPr>
        <w:ind w:left="720"/>
        <w:rPr>
          <w:sz w:val="24"/>
          <w:szCs w:val="24"/>
        </w:rPr>
      </w:pPr>
      <w:r w:rsidRPr="001B01AC">
        <w:rPr>
          <w:sz w:val="24"/>
          <w:szCs w:val="24"/>
        </w:rPr>
        <w:t xml:space="preserve"> </w:t>
      </w:r>
      <w:r w:rsidR="005133C8">
        <w:rPr>
          <w:sz w:val="24"/>
          <w:szCs w:val="24"/>
        </w:rPr>
        <w:t xml:space="preserve">Housing and Urban Developments’ (HUD) </w:t>
      </w:r>
      <w:r w:rsidRPr="001B01AC">
        <w:rPr>
          <w:sz w:val="24"/>
          <w:szCs w:val="24"/>
        </w:rPr>
        <w:t xml:space="preserve">Office of Policy Development and Research (PD&amp;R) </w:t>
      </w:r>
      <w:r w:rsidRPr="008E356B">
        <w:rPr>
          <w:sz w:val="24"/>
          <w:szCs w:val="24"/>
        </w:rPr>
        <w:t>intends</w:t>
      </w:r>
      <w:r w:rsidRPr="001B01AC">
        <w:rPr>
          <w:sz w:val="24"/>
          <w:szCs w:val="24"/>
        </w:rPr>
        <w:t xml:space="preserve"> to establish cooperative agreements with qualified for-profit and nonprofit research organizations and universities to conduct research, demonstrations, and data analysis.  HUD will issue a Notice of Funding Availability (NOFA) describing the cooperative research program and the criteria for applying for awards. </w:t>
      </w:r>
    </w:p>
    <w:p w14:paraId="54CEE91D" w14:textId="77777777" w:rsidR="001B01AC" w:rsidRDefault="001B01AC" w:rsidP="008157F5">
      <w:pPr>
        <w:ind w:left="720"/>
        <w:rPr>
          <w:sz w:val="24"/>
          <w:szCs w:val="24"/>
        </w:rPr>
      </w:pPr>
    </w:p>
    <w:p w14:paraId="20D1DB33" w14:textId="67299A89" w:rsidR="001B01AC" w:rsidRDefault="00FD0805" w:rsidP="008157F5">
      <w:pPr>
        <w:ind w:left="720"/>
        <w:rPr>
          <w:sz w:val="24"/>
          <w:szCs w:val="24"/>
        </w:rPr>
      </w:pPr>
      <w:r w:rsidRPr="008157F5">
        <w:rPr>
          <w:sz w:val="24"/>
          <w:szCs w:val="24"/>
        </w:rPr>
        <w:t>HUD</w:t>
      </w:r>
      <w:r w:rsidR="00AD6658">
        <w:rPr>
          <w:sz w:val="24"/>
          <w:szCs w:val="24"/>
        </w:rPr>
        <w:t>’s</w:t>
      </w:r>
      <w:r w:rsidRPr="008157F5">
        <w:rPr>
          <w:sz w:val="24"/>
          <w:szCs w:val="24"/>
        </w:rPr>
        <w:t xml:space="preserve"> Office of Policy Development and Research </w:t>
      </w:r>
      <w:r w:rsidR="008157F5" w:rsidRPr="008157F5">
        <w:rPr>
          <w:sz w:val="24"/>
          <w:szCs w:val="24"/>
        </w:rPr>
        <w:t xml:space="preserve">is authorized to conduct </w:t>
      </w:r>
      <w:r w:rsidR="00AA3DEA">
        <w:rPr>
          <w:sz w:val="24"/>
          <w:szCs w:val="24"/>
        </w:rPr>
        <w:t>H</w:t>
      </w:r>
      <w:r w:rsidR="008157F5" w:rsidRPr="008157F5">
        <w:rPr>
          <w:sz w:val="24"/>
          <w:szCs w:val="24"/>
        </w:rPr>
        <w:t xml:space="preserve">ousing and </w:t>
      </w:r>
      <w:r w:rsidR="00AA3DEA">
        <w:rPr>
          <w:sz w:val="24"/>
          <w:szCs w:val="24"/>
        </w:rPr>
        <w:t>C</w:t>
      </w:r>
      <w:r w:rsidR="008157F5" w:rsidRPr="008157F5">
        <w:rPr>
          <w:sz w:val="24"/>
          <w:szCs w:val="24"/>
        </w:rPr>
        <w:t xml:space="preserve">ommunity </w:t>
      </w:r>
      <w:r w:rsidR="00AA3DEA">
        <w:rPr>
          <w:sz w:val="24"/>
          <w:szCs w:val="24"/>
        </w:rPr>
        <w:t>D</w:t>
      </w:r>
      <w:r w:rsidR="008157F5" w:rsidRPr="008157F5">
        <w:rPr>
          <w:sz w:val="24"/>
          <w:szCs w:val="24"/>
        </w:rPr>
        <w:t xml:space="preserve">evelopment research through its authorizing legislation. </w:t>
      </w:r>
      <w:r w:rsidR="001B01AC">
        <w:rPr>
          <w:sz w:val="24"/>
          <w:szCs w:val="24"/>
        </w:rPr>
        <w:t xml:space="preserve">  </w:t>
      </w:r>
      <w:r w:rsidR="001B01AC" w:rsidRPr="001B01AC">
        <w:rPr>
          <w:sz w:val="24"/>
          <w:szCs w:val="24"/>
        </w:rPr>
        <w:t xml:space="preserve">The statutory authority for PD&amp;R' s research activities is found in Title V of the 1970 Housing Act, which authorizes programs of "research, studies, testing, and demonstrations relating to the missions and programs of the Department." </w:t>
      </w:r>
      <w:r w:rsidR="001B01AC">
        <w:rPr>
          <w:sz w:val="24"/>
          <w:szCs w:val="24"/>
        </w:rPr>
        <w:t xml:space="preserve">  This authority is codified in the U.S. Code at 12 U.S.C. 1701z, z1-11.</w:t>
      </w:r>
    </w:p>
    <w:p w14:paraId="2DD2E8F4" w14:textId="77777777" w:rsidR="001B01AC" w:rsidRDefault="001B01AC" w:rsidP="008157F5">
      <w:pPr>
        <w:ind w:left="720"/>
        <w:rPr>
          <w:sz w:val="24"/>
          <w:szCs w:val="24"/>
        </w:rPr>
      </w:pPr>
    </w:p>
    <w:p w14:paraId="0F3F9FAD" w14:textId="77777777" w:rsidR="000B3E23" w:rsidRDefault="008157F5" w:rsidP="008157F5">
      <w:pPr>
        <w:ind w:left="720"/>
        <w:rPr>
          <w:sz w:val="24"/>
          <w:szCs w:val="24"/>
        </w:rPr>
      </w:pPr>
      <w:r w:rsidRPr="008157F5">
        <w:rPr>
          <w:sz w:val="24"/>
          <w:szCs w:val="24"/>
        </w:rPr>
        <w:t>The HUD Research</w:t>
      </w:r>
      <w:r w:rsidR="001D259A">
        <w:rPr>
          <w:sz w:val="24"/>
          <w:szCs w:val="24"/>
        </w:rPr>
        <w:t>, Evaluation,</w:t>
      </w:r>
      <w:r w:rsidRPr="008157F5">
        <w:rPr>
          <w:sz w:val="24"/>
          <w:szCs w:val="24"/>
        </w:rPr>
        <w:t xml:space="preserve"> and Demonstratio</w:t>
      </w:r>
      <w:r w:rsidR="00D75C11">
        <w:rPr>
          <w:sz w:val="24"/>
          <w:szCs w:val="24"/>
        </w:rPr>
        <w:t>n cooperative agreement program</w:t>
      </w:r>
      <w:r w:rsidR="000B3E23">
        <w:rPr>
          <w:sz w:val="24"/>
          <w:szCs w:val="24"/>
        </w:rPr>
        <w:t xml:space="preserve"> (HUDRD)</w:t>
      </w:r>
      <w:r w:rsidR="001B01AC">
        <w:rPr>
          <w:sz w:val="24"/>
          <w:szCs w:val="24"/>
        </w:rPr>
        <w:t xml:space="preserve"> </w:t>
      </w:r>
      <w:r w:rsidR="001B01AC" w:rsidRPr="008E356B">
        <w:rPr>
          <w:sz w:val="24"/>
          <w:szCs w:val="24"/>
        </w:rPr>
        <w:t>will be</w:t>
      </w:r>
      <w:r w:rsidR="001B01AC">
        <w:rPr>
          <w:sz w:val="24"/>
          <w:szCs w:val="24"/>
        </w:rPr>
        <w:t xml:space="preserve"> </w:t>
      </w:r>
      <w:r w:rsidR="000B3E23">
        <w:rPr>
          <w:sz w:val="24"/>
          <w:szCs w:val="24"/>
        </w:rPr>
        <w:t xml:space="preserve">established </w:t>
      </w:r>
      <w:r w:rsidR="00AD6658">
        <w:rPr>
          <w:sz w:val="24"/>
          <w:szCs w:val="24"/>
        </w:rPr>
        <w:t>through a</w:t>
      </w:r>
      <w:r w:rsidR="001B01AC">
        <w:rPr>
          <w:sz w:val="24"/>
          <w:szCs w:val="24"/>
        </w:rPr>
        <w:t xml:space="preserve"> NOFA and </w:t>
      </w:r>
      <w:r w:rsidR="00D75C11" w:rsidRPr="00D75C11">
        <w:rPr>
          <w:sz w:val="24"/>
          <w:szCs w:val="24"/>
        </w:rPr>
        <w:t xml:space="preserve">will support achievement of goals and the use of strategies that were established in the </w:t>
      </w:r>
      <w:r w:rsidR="00D75C11" w:rsidRPr="00D75C11">
        <w:rPr>
          <w:i/>
          <w:iCs/>
          <w:sz w:val="24"/>
          <w:szCs w:val="24"/>
        </w:rPr>
        <w:t>HUD’s Research Roadmap</w:t>
      </w:r>
      <w:r w:rsidR="000B3E23">
        <w:rPr>
          <w:sz w:val="24"/>
          <w:szCs w:val="24"/>
        </w:rPr>
        <w:t xml:space="preserve">.  The </w:t>
      </w:r>
      <w:r w:rsidR="000B3E23">
        <w:rPr>
          <w:i/>
          <w:sz w:val="24"/>
          <w:szCs w:val="24"/>
        </w:rPr>
        <w:t xml:space="preserve">Roadmap </w:t>
      </w:r>
      <w:r w:rsidR="00AD6658">
        <w:rPr>
          <w:sz w:val="24"/>
          <w:szCs w:val="24"/>
        </w:rPr>
        <w:t>involved broad stakeholder engagement</w:t>
      </w:r>
      <w:r w:rsidR="000B3E23">
        <w:rPr>
          <w:sz w:val="24"/>
          <w:szCs w:val="24"/>
        </w:rPr>
        <w:t xml:space="preserve">, and </w:t>
      </w:r>
      <w:r w:rsidR="00AD6658">
        <w:rPr>
          <w:sz w:val="24"/>
          <w:szCs w:val="24"/>
        </w:rPr>
        <w:t>HUDRD will sustain and extend this collaboration to address mutual research objectives.</w:t>
      </w:r>
      <w:r w:rsidRPr="008157F5">
        <w:rPr>
          <w:sz w:val="24"/>
          <w:szCs w:val="24"/>
        </w:rPr>
        <w:t xml:space="preserve"> </w:t>
      </w:r>
    </w:p>
    <w:p w14:paraId="16DD6AD2" w14:textId="77777777" w:rsidR="000B3E23" w:rsidRDefault="000B3E23" w:rsidP="008157F5">
      <w:pPr>
        <w:ind w:left="720"/>
        <w:rPr>
          <w:sz w:val="24"/>
          <w:szCs w:val="24"/>
        </w:rPr>
      </w:pPr>
    </w:p>
    <w:p w14:paraId="4757ABE4" w14:textId="77777777" w:rsidR="00D75C11" w:rsidRPr="008157F5" w:rsidRDefault="000B3E23" w:rsidP="008157F5">
      <w:pPr>
        <w:ind w:left="720"/>
        <w:rPr>
          <w:sz w:val="24"/>
          <w:szCs w:val="24"/>
        </w:rPr>
      </w:pPr>
      <w:r>
        <w:rPr>
          <w:sz w:val="24"/>
          <w:szCs w:val="24"/>
        </w:rPr>
        <w:t xml:space="preserve">Successful applicants will carry out </w:t>
      </w:r>
      <w:r w:rsidR="00D75C11" w:rsidRPr="00D75C11">
        <w:rPr>
          <w:sz w:val="24"/>
          <w:szCs w:val="24"/>
        </w:rPr>
        <w:t xml:space="preserve">HUDRD </w:t>
      </w:r>
      <w:r>
        <w:rPr>
          <w:sz w:val="24"/>
          <w:szCs w:val="24"/>
        </w:rPr>
        <w:t>research activities</w:t>
      </w:r>
      <w:r w:rsidR="00D75C11" w:rsidRPr="00D75C11">
        <w:rPr>
          <w:sz w:val="24"/>
          <w:szCs w:val="24"/>
        </w:rPr>
        <w:t xml:space="preserve"> </w:t>
      </w:r>
      <w:r w:rsidR="00AD6658">
        <w:rPr>
          <w:sz w:val="24"/>
          <w:szCs w:val="24"/>
        </w:rPr>
        <w:t>with PD&amp;R’s engagement</w:t>
      </w:r>
      <w:r>
        <w:rPr>
          <w:sz w:val="24"/>
          <w:szCs w:val="24"/>
        </w:rPr>
        <w:t xml:space="preserve">.  These activities will be of three main types: </w:t>
      </w:r>
      <w:r w:rsidR="00AD6658">
        <w:rPr>
          <w:sz w:val="24"/>
          <w:szCs w:val="24"/>
        </w:rPr>
        <w:t>research and evaluation, program demonstrations, and data analysis</w:t>
      </w:r>
      <w:r>
        <w:rPr>
          <w:sz w:val="24"/>
          <w:szCs w:val="24"/>
        </w:rPr>
        <w:t xml:space="preserve"> and metrics</w:t>
      </w:r>
      <w:r w:rsidR="00AD6658">
        <w:rPr>
          <w:sz w:val="24"/>
          <w:szCs w:val="24"/>
        </w:rPr>
        <w:t>.</w:t>
      </w:r>
      <w:r w:rsidR="00D75C11" w:rsidRPr="00D75C11">
        <w:rPr>
          <w:sz w:val="24"/>
          <w:szCs w:val="24"/>
        </w:rPr>
        <w:t xml:space="preserve">  HUDRD </w:t>
      </w:r>
      <w:r w:rsidR="001B01AC">
        <w:rPr>
          <w:sz w:val="24"/>
          <w:szCs w:val="24"/>
        </w:rPr>
        <w:t>will be used as</w:t>
      </w:r>
      <w:r w:rsidR="00D75C11" w:rsidRPr="00D75C11">
        <w:rPr>
          <w:sz w:val="24"/>
          <w:szCs w:val="24"/>
        </w:rPr>
        <w:t xml:space="preserve"> HUD’s primary tool to undertake comprehensive evaluations and demonstration to evaluate program performance and support carefully designed experiments and quasi-experimental studies to measure the impact of current and potential programs and policies.  </w:t>
      </w:r>
    </w:p>
    <w:p w14:paraId="096A2D1D" w14:textId="77777777" w:rsidR="009F508F" w:rsidRPr="008157F5" w:rsidRDefault="009F508F">
      <w:pPr>
        <w:pStyle w:val="Paperwork"/>
        <w:rPr>
          <w:szCs w:val="24"/>
        </w:rPr>
      </w:pPr>
    </w:p>
    <w:p w14:paraId="4951587F" w14:textId="77777777" w:rsidR="009F508F" w:rsidRDefault="00FD0805">
      <w:pPr>
        <w:pStyle w:val="Paperwork"/>
      </w:pPr>
      <w:r>
        <w:rPr>
          <w:b/>
        </w:rPr>
        <w:t>2.</w:t>
      </w:r>
      <w:r>
        <w:rPr>
          <w:b/>
        </w:rPr>
        <w:tab/>
        <w:t>Indicate how, by whom, and for</w:t>
      </w:r>
      <w:r w:rsidR="00791474">
        <w:rPr>
          <w:b/>
        </w:rPr>
        <w:t xml:space="preserve"> </w:t>
      </w:r>
      <w:r>
        <w:rPr>
          <w:b/>
        </w:rPr>
        <w:t>what purpose the information is to be used. Except for a new collection, indicate the actual use the agency has made of the information received from the current collection.</w:t>
      </w:r>
    </w:p>
    <w:p w14:paraId="50BCEB5C" w14:textId="77777777" w:rsidR="009F508F" w:rsidRDefault="009F508F">
      <w:pPr>
        <w:pStyle w:val="Paperwork"/>
      </w:pPr>
    </w:p>
    <w:p w14:paraId="7A9DFF7C" w14:textId="77777777" w:rsidR="009F508F" w:rsidRDefault="00FD0805">
      <w:pPr>
        <w:pStyle w:val="Paperwork"/>
        <w:ind w:firstLine="0"/>
      </w:pPr>
      <w:r>
        <w:t xml:space="preserve">Applicants for cooperative agreements </w:t>
      </w:r>
      <w:r w:rsidR="001B01AC">
        <w:t>will</w:t>
      </w:r>
      <w:r>
        <w:t xml:space="preserve"> respond to the</w:t>
      </w:r>
      <w:r w:rsidR="00B824FC">
        <w:t xml:space="preserve"> </w:t>
      </w:r>
      <w:r w:rsidR="005133C8" w:rsidRPr="00F31157">
        <w:t>NOFA</w:t>
      </w:r>
      <w:r w:rsidRPr="00F31157">
        <w:t xml:space="preserve"> </w:t>
      </w:r>
      <w:r w:rsidRPr="00D67D81">
        <w:t>published in the Federal Register in order to receive an award. They must, prior</w:t>
      </w:r>
      <w:r w:rsidRPr="00963BFF">
        <w:rPr>
          <w:b/>
        </w:rPr>
        <w:t xml:space="preserve"> t</w:t>
      </w:r>
      <w:r>
        <w:t>o award, complete the following submissions:</w:t>
      </w:r>
    </w:p>
    <w:p w14:paraId="1A5F3ACD" w14:textId="77777777" w:rsidR="009F508F" w:rsidRDefault="009F508F">
      <w:pPr>
        <w:pStyle w:val="Paperwork"/>
      </w:pPr>
    </w:p>
    <w:p w14:paraId="525F7C99" w14:textId="77777777" w:rsidR="009F508F" w:rsidRDefault="00FD0805">
      <w:pPr>
        <w:numPr>
          <w:ilvl w:val="0"/>
          <w:numId w:val="1"/>
        </w:numPr>
        <w:tabs>
          <w:tab w:val="left" w:pos="-720"/>
          <w:tab w:val="left" w:pos="1440"/>
          <w:tab w:val="right" w:pos="9180"/>
        </w:tabs>
        <w:suppressAutoHyphens/>
        <w:ind w:left="1440" w:hanging="720"/>
        <w:rPr>
          <w:sz w:val="24"/>
        </w:rPr>
      </w:pPr>
      <w:r>
        <w:rPr>
          <w:sz w:val="24"/>
        </w:rPr>
        <w:t xml:space="preserve">Application for Federal Assistance (Form SF-424) </w:t>
      </w:r>
    </w:p>
    <w:p w14:paraId="343BE747" w14:textId="77777777" w:rsidR="009F508F" w:rsidRPr="00F06259" w:rsidRDefault="00FD0805">
      <w:pPr>
        <w:numPr>
          <w:ilvl w:val="0"/>
          <w:numId w:val="1"/>
        </w:numPr>
        <w:tabs>
          <w:tab w:val="left" w:pos="-720"/>
          <w:tab w:val="left" w:pos="1440"/>
          <w:tab w:val="right" w:pos="9180"/>
        </w:tabs>
        <w:suppressAutoHyphens/>
        <w:ind w:left="1440" w:hanging="720"/>
        <w:rPr>
          <w:sz w:val="24"/>
        </w:rPr>
      </w:pPr>
      <w:r>
        <w:rPr>
          <w:sz w:val="24"/>
        </w:rPr>
        <w:t xml:space="preserve">Detailed </w:t>
      </w:r>
      <w:r w:rsidRPr="00F06259">
        <w:rPr>
          <w:sz w:val="24"/>
        </w:rPr>
        <w:t>Budget (Form HUD-424-CB</w:t>
      </w:r>
      <w:r w:rsidR="00B824FC">
        <w:rPr>
          <w:sz w:val="24"/>
        </w:rPr>
        <w:t>)</w:t>
      </w:r>
      <w:r w:rsidRPr="00F06259">
        <w:rPr>
          <w:sz w:val="24"/>
        </w:rPr>
        <w:t xml:space="preserve"> </w:t>
      </w:r>
    </w:p>
    <w:p w14:paraId="792465A2" w14:textId="77777777" w:rsidR="009F508F" w:rsidRDefault="00FD0805">
      <w:pPr>
        <w:numPr>
          <w:ilvl w:val="0"/>
          <w:numId w:val="1"/>
        </w:numPr>
        <w:tabs>
          <w:tab w:val="left" w:pos="-720"/>
          <w:tab w:val="left" w:pos="1440"/>
          <w:tab w:val="right" w:pos="9180"/>
        </w:tabs>
        <w:suppressAutoHyphens/>
        <w:ind w:left="1440" w:hanging="720"/>
        <w:rPr>
          <w:sz w:val="24"/>
        </w:rPr>
      </w:pPr>
      <w:r>
        <w:rPr>
          <w:sz w:val="24"/>
        </w:rPr>
        <w:lastRenderedPageBreak/>
        <w:t xml:space="preserve">Disclosure of Lobbying Activities, if required (Standard Form LLL) </w:t>
      </w:r>
    </w:p>
    <w:p w14:paraId="045BE5B3" w14:textId="77777777" w:rsidR="009F508F" w:rsidRDefault="00FD0805">
      <w:pPr>
        <w:numPr>
          <w:ilvl w:val="0"/>
          <w:numId w:val="1"/>
        </w:numPr>
        <w:tabs>
          <w:tab w:val="left" w:pos="-720"/>
          <w:tab w:val="left" w:pos="1440"/>
          <w:tab w:val="right" w:pos="9180"/>
        </w:tabs>
        <w:suppressAutoHyphens/>
        <w:ind w:left="1440" w:hanging="720"/>
        <w:rPr>
          <w:sz w:val="24"/>
        </w:rPr>
      </w:pPr>
      <w:r>
        <w:rPr>
          <w:sz w:val="24"/>
        </w:rPr>
        <w:t>Disclosure/Update Report (Form HUD-2880)</w:t>
      </w:r>
    </w:p>
    <w:p w14:paraId="5487C297" w14:textId="77777777" w:rsidR="009F508F" w:rsidRDefault="00FD0805">
      <w:pPr>
        <w:numPr>
          <w:ilvl w:val="0"/>
          <w:numId w:val="1"/>
        </w:numPr>
        <w:tabs>
          <w:tab w:val="left" w:pos="-720"/>
          <w:tab w:val="left" w:pos="1440"/>
          <w:tab w:val="right" w:pos="9180"/>
        </w:tabs>
        <w:suppressAutoHyphens/>
        <w:ind w:left="1440" w:hanging="720"/>
        <w:rPr>
          <w:sz w:val="24"/>
        </w:rPr>
      </w:pPr>
      <w:r>
        <w:rPr>
          <w:sz w:val="24"/>
        </w:rPr>
        <w:t>Acknowledgment of Application Receipt (Form HUD-2993)</w:t>
      </w:r>
    </w:p>
    <w:p w14:paraId="77410E64" w14:textId="6D37628F" w:rsidR="009F508F" w:rsidRPr="00F31157" w:rsidRDefault="00FD0805">
      <w:pPr>
        <w:numPr>
          <w:ilvl w:val="0"/>
          <w:numId w:val="1"/>
        </w:numPr>
        <w:tabs>
          <w:tab w:val="left" w:pos="-720"/>
          <w:tab w:val="left" w:pos="1440"/>
          <w:tab w:val="right" w:pos="9180"/>
        </w:tabs>
        <w:suppressAutoHyphens/>
        <w:ind w:left="1440" w:hanging="720"/>
        <w:rPr>
          <w:sz w:val="24"/>
        </w:rPr>
      </w:pPr>
      <w:r>
        <w:rPr>
          <w:sz w:val="24"/>
        </w:rPr>
        <w:t>Client Comments and Suggestions (</w:t>
      </w:r>
      <w:r w:rsidRPr="00D67D81">
        <w:rPr>
          <w:sz w:val="24"/>
        </w:rPr>
        <w:t>Form HUD-2994)</w:t>
      </w:r>
    </w:p>
    <w:p w14:paraId="15D215FB" w14:textId="77777777" w:rsidR="009F508F" w:rsidRDefault="009F508F" w:rsidP="00B81084">
      <w:pPr>
        <w:pStyle w:val="Paperwork"/>
        <w:numPr>
          <w:ilvl w:val="12"/>
          <w:numId w:val="0"/>
        </w:numPr>
      </w:pPr>
    </w:p>
    <w:p w14:paraId="37A1F734" w14:textId="77777777" w:rsidR="009F508F" w:rsidRDefault="00FD0805">
      <w:pPr>
        <w:pStyle w:val="Paperwork"/>
        <w:numPr>
          <w:ilvl w:val="12"/>
          <w:numId w:val="0"/>
        </w:numPr>
        <w:ind w:left="720"/>
      </w:pPr>
      <w:r>
        <w:t>The information listed above submitted by the applicants will be evaluated as part of the selection process for award.</w:t>
      </w:r>
    </w:p>
    <w:p w14:paraId="5B95687F" w14:textId="77777777" w:rsidR="001B01AC" w:rsidRDefault="001B01AC">
      <w:pPr>
        <w:pStyle w:val="Paperwork"/>
        <w:numPr>
          <w:ilvl w:val="12"/>
          <w:numId w:val="0"/>
        </w:numPr>
        <w:ind w:left="720"/>
      </w:pPr>
    </w:p>
    <w:p w14:paraId="0DD6AB7A" w14:textId="0A338F74" w:rsidR="001B01AC" w:rsidRDefault="001B01AC">
      <w:pPr>
        <w:pStyle w:val="Paperwork"/>
        <w:numPr>
          <w:ilvl w:val="12"/>
          <w:numId w:val="0"/>
        </w:numPr>
        <w:ind w:left="720"/>
      </w:pPr>
      <w:r>
        <w:t>Following</w:t>
      </w:r>
      <w:r w:rsidR="00AA3DEA">
        <w:t xml:space="preserve"> the </w:t>
      </w:r>
      <w:r>
        <w:t>award, c</w:t>
      </w:r>
      <w:r w:rsidRPr="001B01AC">
        <w:t xml:space="preserve">ooperative agreement recipients will complete </w:t>
      </w:r>
      <w:r>
        <w:t>quarterly</w:t>
      </w:r>
      <w:r w:rsidRPr="001B01AC">
        <w:t xml:space="preserve"> progress report</w:t>
      </w:r>
      <w:r>
        <w:t>s</w:t>
      </w:r>
      <w:r w:rsidRPr="001B01AC">
        <w:t xml:space="preserve"> that address specific progress milestones as described in their application.  Because the structure and content is unique to the cooperative agreement, </w:t>
      </w:r>
      <w:r w:rsidR="00386F1B">
        <w:t>these reports will not use an existing standard form.</w:t>
      </w:r>
    </w:p>
    <w:p w14:paraId="7F7D2AE7" w14:textId="77777777" w:rsidR="001B01AC" w:rsidRDefault="001B01AC">
      <w:pPr>
        <w:pStyle w:val="Paperwork"/>
        <w:numPr>
          <w:ilvl w:val="12"/>
          <w:numId w:val="0"/>
        </w:numPr>
        <w:ind w:left="720"/>
      </w:pPr>
    </w:p>
    <w:p w14:paraId="632E219D" w14:textId="77777777" w:rsidR="009F508F" w:rsidRDefault="00FD0805">
      <w:pPr>
        <w:pStyle w:val="Paperwork"/>
      </w:pPr>
      <w:r>
        <w:rPr>
          <w:b/>
        </w:rPr>
        <w:t>3.</w:t>
      </w:r>
      <w:r>
        <w:rPr>
          <w:b/>
        </w:rPr>
        <w:tab/>
        <w:t xml:space="preserve">Describe whether, and to what extent, the collection of information involves the use of automated, electronic, mechanical, or other technological collection techniques or other forms of information technology. </w:t>
      </w:r>
      <w:r w:rsidR="008E356B">
        <w:rPr>
          <w:b/>
        </w:rPr>
        <w:t>Also,</w:t>
      </w:r>
      <w:r>
        <w:rPr>
          <w:b/>
        </w:rPr>
        <w:t xml:space="preserve"> describe any consideration of using information technology to reduce burden.</w:t>
      </w:r>
    </w:p>
    <w:p w14:paraId="7BCC5D1F" w14:textId="77777777" w:rsidR="009F508F" w:rsidRDefault="009F508F">
      <w:pPr>
        <w:pStyle w:val="Paperwork"/>
      </w:pPr>
    </w:p>
    <w:p w14:paraId="6A1D6D56" w14:textId="0B89CB9F" w:rsidR="006756C7" w:rsidRDefault="00FD0805">
      <w:pPr>
        <w:pStyle w:val="Paperwork"/>
      </w:pPr>
      <w:r>
        <w:tab/>
      </w:r>
      <w:r w:rsidR="00403601">
        <w:t xml:space="preserve">Applicants to the program will use the Grants.gov website </w:t>
      </w:r>
      <w:r w:rsidR="00352BA3">
        <w:t>in submitting application</w:t>
      </w:r>
      <w:r w:rsidR="00AA3DEA">
        <w:t>s</w:t>
      </w:r>
      <w:r w:rsidR="006C6FD7">
        <w:t>.</w:t>
      </w:r>
      <w:r w:rsidR="00EC6056">
        <w:t xml:space="preserve"> </w:t>
      </w:r>
      <w:r w:rsidR="006C6FD7">
        <w:t>T</w:t>
      </w:r>
      <w:r w:rsidR="00352BA3">
        <w:t xml:space="preserve">here will be a reduction in time and effort since all </w:t>
      </w:r>
      <w:r w:rsidR="00403601">
        <w:t>forms and related documents to apply for cooperative agreement awards</w:t>
      </w:r>
      <w:r w:rsidR="00352BA3">
        <w:t xml:space="preserve"> will be </w:t>
      </w:r>
      <w:r w:rsidR="00AA3DEA">
        <w:t xml:space="preserve">submitted </w:t>
      </w:r>
      <w:r w:rsidR="00352BA3">
        <w:t>electronically</w:t>
      </w:r>
      <w:r w:rsidR="00403601">
        <w:t>.</w:t>
      </w:r>
      <w:r w:rsidR="00B939C6">
        <w:t xml:space="preserve">  </w:t>
      </w:r>
    </w:p>
    <w:p w14:paraId="05F87ED9" w14:textId="77777777" w:rsidR="006756C7" w:rsidRDefault="006756C7">
      <w:pPr>
        <w:pStyle w:val="Paperwork"/>
      </w:pPr>
    </w:p>
    <w:p w14:paraId="2926EEF3" w14:textId="3DF7D804" w:rsidR="009F508F" w:rsidRDefault="00B939C6" w:rsidP="006756C7">
      <w:pPr>
        <w:pStyle w:val="Paperwork"/>
        <w:ind w:firstLine="0"/>
      </w:pPr>
      <w:r>
        <w:t>Following</w:t>
      </w:r>
      <w:r w:rsidR="00AA3DEA">
        <w:t xml:space="preserve"> the</w:t>
      </w:r>
      <w:r>
        <w:t xml:space="preserve"> awards, a</w:t>
      </w:r>
      <w:r w:rsidR="002A1346">
        <w:t>ll</w:t>
      </w:r>
      <w:r>
        <w:t xml:space="preserve"> recipients will transmit progress reports </w:t>
      </w:r>
      <w:r w:rsidR="006C6FD7">
        <w:t xml:space="preserve">and financial reports </w:t>
      </w:r>
      <w:r>
        <w:t>electronically</w:t>
      </w:r>
      <w:r w:rsidR="00EC6056">
        <w:t xml:space="preserve"> as stated above as well as </w:t>
      </w:r>
      <w:r>
        <w:t>via email.</w:t>
      </w:r>
      <w:r w:rsidR="002A1346">
        <w:t xml:space="preserve">  </w:t>
      </w:r>
      <w:r w:rsidR="00EC6056">
        <w:t>The f</w:t>
      </w:r>
      <w:r w:rsidR="002A1346">
        <w:t xml:space="preserve">orms </w:t>
      </w:r>
      <w:r w:rsidR="00EC6056">
        <w:t xml:space="preserve">being completed and </w:t>
      </w:r>
      <w:r w:rsidR="002A1346">
        <w:t>sent electronically via email are not reporting personal identifiable information on any reporting forms.</w:t>
      </w:r>
    </w:p>
    <w:p w14:paraId="55A9A8E2" w14:textId="77777777" w:rsidR="009F508F" w:rsidRDefault="009F508F">
      <w:pPr>
        <w:pStyle w:val="Paperwork"/>
      </w:pPr>
    </w:p>
    <w:p w14:paraId="68C0C050" w14:textId="472A524B" w:rsidR="009F508F" w:rsidRDefault="00FD0805">
      <w:pPr>
        <w:pStyle w:val="Paperwork"/>
        <w:rPr>
          <w:b/>
        </w:rPr>
      </w:pPr>
      <w:r>
        <w:rPr>
          <w:b/>
        </w:rPr>
        <w:t>4.</w:t>
      </w:r>
      <w:r>
        <w:rPr>
          <w:b/>
        </w:rPr>
        <w:tab/>
        <w:t xml:space="preserve">Describe efforts to identify duplication. </w:t>
      </w:r>
      <w:r w:rsidR="00B939C6">
        <w:rPr>
          <w:b/>
        </w:rPr>
        <w:t xml:space="preserve"> </w:t>
      </w:r>
      <w:r>
        <w:rPr>
          <w:b/>
        </w:rPr>
        <w:t>Show specifically why similar information already available cannot be used or modified for use for the purposes described in Item 2. above.</w:t>
      </w:r>
    </w:p>
    <w:p w14:paraId="3DA3F338" w14:textId="40F0DEC8" w:rsidR="00E01EE4" w:rsidRDefault="00E01EE4">
      <w:pPr>
        <w:pStyle w:val="Paperwork"/>
        <w:rPr>
          <w:b/>
        </w:rPr>
      </w:pPr>
    </w:p>
    <w:p w14:paraId="739F818F" w14:textId="75370963" w:rsidR="00E01EE4" w:rsidRPr="00CE34F8" w:rsidRDefault="00E01EE4">
      <w:pPr>
        <w:pStyle w:val="Paperwork"/>
      </w:pPr>
      <w:r>
        <w:rPr>
          <w:b/>
        </w:rPr>
        <w:tab/>
      </w:r>
      <w:r w:rsidR="00CE34F8" w:rsidRPr="00CE34F8">
        <w:t>No,</w:t>
      </w:r>
      <w:r w:rsidRPr="00CE34F8">
        <w:t xml:space="preserve"> this information is not being collected elsewhere.</w:t>
      </w:r>
    </w:p>
    <w:p w14:paraId="459EB193" w14:textId="77777777" w:rsidR="009F508F" w:rsidRPr="00CE34F8" w:rsidRDefault="009F508F">
      <w:pPr>
        <w:pStyle w:val="Paperwork"/>
      </w:pPr>
    </w:p>
    <w:p w14:paraId="740F3F8C" w14:textId="5CD3EC93" w:rsidR="006756C7" w:rsidRDefault="00FF5A80">
      <w:pPr>
        <w:pStyle w:val="Paperwork"/>
        <w:ind w:firstLine="0"/>
      </w:pPr>
      <w:r>
        <w:t xml:space="preserve">The </w:t>
      </w:r>
      <w:r w:rsidR="00E01EE4">
        <w:t xml:space="preserve">2016 </w:t>
      </w:r>
      <w:r>
        <w:t xml:space="preserve">HUDRD NOFA </w:t>
      </w:r>
      <w:r w:rsidR="00F57A49">
        <w:t>will stipulate the eligibility for each project</w:t>
      </w:r>
      <w:r w:rsidR="00E01EE4">
        <w:t>,</w:t>
      </w:r>
      <w:r w:rsidR="00F57A49">
        <w:t xml:space="preserve"> identifying the </w:t>
      </w:r>
      <w:r w:rsidR="00B939C6">
        <w:t xml:space="preserve">type of </w:t>
      </w:r>
      <w:r>
        <w:t xml:space="preserve">application by responding to </w:t>
      </w:r>
      <w:r w:rsidR="00E01EE4">
        <w:t xml:space="preserve">the factors specified </w:t>
      </w:r>
      <w:r w:rsidR="005A5567">
        <w:t xml:space="preserve">for each project </w:t>
      </w:r>
      <w:r w:rsidR="00B939C6">
        <w:t xml:space="preserve">that can be submitted by any prospective applicant. </w:t>
      </w:r>
    </w:p>
    <w:p w14:paraId="0805D453" w14:textId="77777777" w:rsidR="006756C7" w:rsidRDefault="006756C7">
      <w:pPr>
        <w:pStyle w:val="Paperwork"/>
        <w:ind w:firstLine="0"/>
      </w:pPr>
    </w:p>
    <w:p w14:paraId="62AF2E5F" w14:textId="0873F191" w:rsidR="009F508F" w:rsidRDefault="00B939C6">
      <w:pPr>
        <w:pStyle w:val="Paperwork"/>
        <w:ind w:firstLine="0"/>
      </w:pPr>
      <w:r>
        <w:t>Following</w:t>
      </w:r>
      <w:r w:rsidR="00AA3DEA">
        <w:t xml:space="preserve"> the </w:t>
      </w:r>
      <w:r>
        <w:t>award,</w:t>
      </w:r>
      <w:r w:rsidR="00AA3DEA">
        <w:t xml:space="preserve"> the</w:t>
      </w:r>
      <w:r>
        <w:t xml:space="preserve"> </w:t>
      </w:r>
      <w:r w:rsidR="00FD0805">
        <w:t xml:space="preserve">information to be collected will be used to </w:t>
      </w:r>
      <w:r>
        <w:t xml:space="preserve">track progress and </w:t>
      </w:r>
      <w:r w:rsidR="00FD0805">
        <w:t xml:space="preserve">manage </w:t>
      </w:r>
      <w:r w:rsidR="00AA3DEA">
        <w:t xml:space="preserve">the </w:t>
      </w:r>
      <w:r w:rsidR="00FD0805">
        <w:t>cooperative agreements.  As such, this information is not available elsewhere and no duplication will occur.</w:t>
      </w:r>
    </w:p>
    <w:p w14:paraId="7592D185" w14:textId="77777777" w:rsidR="009F508F" w:rsidRDefault="009F508F">
      <w:pPr>
        <w:pStyle w:val="Paperwork"/>
      </w:pPr>
    </w:p>
    <w:p w14:paraId="1C7CC172" w14:textId="77777777" w:rsidR="009F508F" w:rsidRDefault="00FD0805">
      <w:pPr>
        <w:pStyle w:val="Paperwork"/>
        <w:rPr>
          <w:b/>
        </w:rPr>
      </w:pPr>
      <w:r>
        <w:rPr>
          <w:b/>
        </w:rPr>
        <w:t>5.</w:t>
      </w:r>
      <w:r>
        <w:rPr>
          <w:b/>
        </w:rPr>
        <w:tab/>
        <w:t>If the collection of information impacts small businesses or other small entities (Item 5 of OMB Form 83-I), describe any methods used to minimize burden.</w:t>
      </w:r>
    </w:p>
    <w:p w14:paraId="7915FC11" w14:textId="77777777" w:rsidR="009F508F" w:rsidRDefault="009F508F">
      <w:pPr>
        <w:pStyle w:val="Paperwork"/>
      </w:pPr>
    </w:p>
    <w:p w14:paraId="5B740738" w14:textId="27B426BE" w:rsidR="006756C7" w:rsidRDefault="00FD0805">
      <w:pPr>
        <w:pStyle w:val="Paperwork"/>
      </w:pPr>
      <w:r>
        <w:tab/>
      </w:r>
      <w:r w:rsidR="00B939C6">
        <w:t>Applicants will include</w:t>
      </w:r>
      <w:r w:rsidR="00B939C6" w:rsidRPr="00B939C6">
        <w:t>:</w:t>
      </w:r>
      <w:r w:rsidR="00B939C6">
        <w:t xml:space="preserve"> </w:t>
      </w:r>
      <w:r w:rsidR="00B939C6" w:rsidRPr="00B939C6">
        <w:t xml:space="preserve"> public or private nonprofit organizations or intermediaries, including institutions of higher education and area-wide planning organizations; for profit organizations; States, units of general local government, or Indian tribes; and </w:t>
      </w:r>
      <w:r w:rsidR="00AA3DEA">
        <w:t>P</w:t>
      </w:r>
      <w:r w:rsidR="00B939C6" w:rsidRPr="00B939C6">
        <w:t xml:space="preserve">ublic </w:t>
      </w:r>
      <w:r w:rsidR="00AA3DEA">
        <w:lastRenderedPageBreak/>
        <w:t>H</w:t>
      </w:r>
      <w:r w:rsidR="00B939C6" w:rsidRPr="00B939C6">
        <w:t xml:space="preserve">ousing </w:t>
      </w:r>
      <w:r w:rsidR="00AA3DEA">
        <w:t>A</w:t>
      </w:r>
      <w:r w:rsidR="00B939C6" w:rsidRPr="00B939C6">
        <w:t>uthorities.</w:t>
      </w:r>
      <w:r w:rsidR="00B939C6">
        <w:t xml:space="preserve">  </w:t>
      </w:r>
      <w:r>
        <w:t xml:space="preserve">Although some of these organizations would be considered small businesses or entities, the proposal process </w:t>
      </w:r>
      <w:r w:rsidR="00D7212B">
        <w:t>was developed to minimize t</w:t>
      </w:r>
      <w:r>
        <w:t xml:space="preserve">he impact on all proposers.  </w:t>
      </w:r>
    </w:p>
    <w:p w14:paraId="0D45D0AE" w14:textId="77777777" w:rsidR="006756C7" w:rsidRDefault="006756C7">
      <w:pPr>
        <w:pStyle w:val="Paperwork"/>
      </w:pPr>
    </w:p>
    <w:p w14:paraId="4A6354D0" w14:textId="5CB5E80D" w:rsidR="009F508F" w:rsidRDefault="00FD0805" w:rsidP="006756C7">
      <w:pPr>
        <w:pStyle w:val="Paperwork"/>
        <w:ind w:firstLine="0"/>
      </w:pPr>
      <w:r w:rsidRPr="00F06259">
        <w:t xml:space="preserve">Following </w:t>
      </w:r>
      <w:r w:rsidR="00AA3DEA">
        <w:t xml:space="preserve">the </w:t>
      </w:r>
      <w:r w:rsidRPr="00F06259">
        <w:t xml:space="preserve">award, the costs of finalizing the </w:t>
      </w:r>
      <w:r w:rsidR="00D7212B" w:rsidRPr="00F06259">
        <w:t xml:space="preserve">cooperative agreement </w:t>
      </w:r>
      <w:r w:rsidRPr="00F06259">
        <w:t xml:space="preserve">and reporting (included in another </w:t>
      </w:r>
      <w:r w:rsidR="00D7212B" w:rsidRPr="00F06259">
        <w:t xml:space="preserve">information collection </w:t>
      </w:r>
      <w:r w:rsidRPr="00F06259">
        <w:t>application) are considered to be reimbursable expenses.</w:t>
      </w:r>
    </w:p>
    <w:p w14:paraId="5FB992D7" w14:textId="77777777" w:rsidR="009F508F" w:rsidRDefault="009F508F">
      <w:pPr>
        <w:pStyle w:val="Paperwork"/>
      </w:pPr>
    </w:p>
    <w:p w14:paraId="4933C57C" w14:textId="62B4A440" w:rsidR="00E01EE4" w:rsidRDefault="00FD0805">
      <w:pPr>
        <w:pStyle w:val="Paperwork"/>
        <w:rPr>
          <w:b/>
        </w:rPr>
      </w:pPr>
      <w:r>
        <w:rPr>
          <w:b/>
        </w:rPr>
        <w:t>6.</w:t>
      </w:r>
      <w:r>
        <w:rPr>
          <w:b/>
        </w:rPr>
        <w:tab/>
        <w:t>Describe the consequences to Federal program or policy activities if the collection is not conducted or is conducted less frequently, as well as any technical or legal obstacles to reducing burden</w:t>
      </w:r>
      <w:r w:rsidR="00CE34F8">
        <w:rPr>
          <w:b/>
        </w:rPr>
        <w:t>.</w:t>
      </w:r>
    </w:p>
    <w:p w14:paraId="470E065D" w14:textId="77777777" w:rsidR="00CE34F8" w:rsidRDefault="00CE34F8">
      <w:pPr>
        <w:pStyle w:val="Paperwork"/>
        <w:rPr>
          <w:b/>
        </w:rPr>
      </w:pPr>
    </w:p>
    <w:p w14:paraId="5B99DC3C" w14:textId="1A3D44E1" w:rsidR="009F508F" w:rsidRDefault="00E01EE4">
      <w:pPr>
        <w:pStyle w:val="Paperwork"/>
      </w:pPr>
      <w:r>
        <w:rPr>
          <w:b/>
        </w:rPr>
        <w:tab/>
      </w:r>
      <w:r w:rsidR="00FF5A80">
        <w:t>Th</w:t>
      </w:r>
      <w:r>
        <w:t>is</w:t>
      </w:r>
      <w:r w:rsidR="00FF5A80">
        <w:t xml:space="preserve"> </w:t>
      </w:r>
      <w:r w:rsidR="003449EE">
        <w:t xml:space="preserve">2016 </w:t>
      </w:r>
      <w:r w:rsidR="00FF5A80">
        <w:t xml:space="preserve">collection of information on the applicant submitting a proposal under the </w:t>
      </w:r>
      <w:r>
        <w:t xml:space="preserve">2016 </w:t>
      </w:r>
      <w:r w:rsidR="00FF5A80">
        <w:t>HUDRD</w:t>
      </w:r>
      <w:r w:rsidR="00B1671D">
        <w:t xml:space="preserve"> </w:t>
      </w:r>
      <w:r w:rsidR="00A62B6A">
        <w:t>is</w:t>
      </w:r>
      <w:r w:rsidR="00D67D81">
        <w:t xml:space="preserve"> electronic through the grants.gov website and</w:t>
      </w:r>
      <w:r w:rsidR="00A62B6A">
        <w:t xml:space="preserve"> necessary to solicit applications under the NOFA.  </w:t>
      </w:r>
      <w:r w:rsidR="00D67D81">
        <w:t>This reduces the burden for the potential applicants through an electronic government wide system that limits any the possibility of technical and/or legal obstacles in solicit</w:t>
      </w:r>
      <w:r w:rsidR="00AA3DEA">
        <w:t>ing</w:t>
      </w:r>
      <w:r w:rsidR="00D67D81">
        <w:t xml:space="preserve"> applications, transmi</w:t>
      </w:r>
      <w:r w:rsidR="00AA3DEA">
        <w:t xml:space="preserve">tting </w:t>
      </w:r>
      <w:r w:rsidR="00D67D81">
        <w:t>completed applications</w:t>
      </w:r>
      <w:r w:rsidR="00B1671D">
        <w:t xml:space="preserve"> to compete for the </w:t>
      </w:r>
      <w:r w:rsidR="00CE34F8">
        <w:t>awards.</w:t>
      </w:r>
      <w:r w:rsidR="00D67D81">
        <w:t xml:space="preserve"> </w:t>
      </w:r>
      <w:r w:rsidR="00A62B6A">
        <w:t xml:space="preserve">Following </w:t>
      </w:r>
      <w:r w:rsidR="00AA3DEA">
        <w:t xml:space="preserve">the </w:t>
      </w:r>
      <w:r w:rsidR="00A62B6A">
        <w:t>award</w:t>
      </w:r>
      <w:r w:rsidR="00D67D81">
        <w:t>s</w:t>
      </w:r>
      <w:r w:rsidR="00A62B6A">
        <w:t>, reporting of information is necessary to safeguard the effective expenditure of taxpayer funds and to ensure effective performance of cooperative agreements.</w:t>
      </w:r>
      <w:r w:rsidR="002A1346">
        <w:t xml:space="preserve">  </w:t>
      </w:r>
    </w:p>
    <w:p w14:paraId="53270EFE" w14:textId="77777777" w:rsidR="00CE34F8" w:rsidRDefault="00E01EE4">
      <w:pPr>
        <w:pStyle w:val="Paperwork"/>
      </w:pPr>
      <w:r>
        <w:tab/>
      </w:r>
    </w:p>
    <w:p w14:paraId="39E0F8DC" w14:textId="168DA607" w:rsidR="00E01EE4" w:rsidRDefault="00E01EE4" w:rsidP="00CE34F8">
      <w:pPr>
        <w:pStyle w:val="Paperwork"/>
        <w:ind w:firstLine="0"/>
      </w:pPr>
      <w:r>
        <w:t>If HUD is not able to collect this information HUD will not be able to comply with its stat</w:t>
      </w:r>
      <w:r w:rsidR="00A74DBD">
        <w:t xml:space="preserve">utory </w:t>
      </w:r>
      <w:r w:rsidR="00FA2258">
        <w:t>authority as discussed above in</w:t>
      </w:r>
      <w:r w:rsidR="00A74DBD">
        <w:t xml:space="preserve"> A. Justification.</w:t>
      </w:r>
    </w:p>
    <w:p w14:paraId="38A2CD27" w14:textId="77777777" w:rsidR="009F508F" w:rsidRDefault="00FD0805">
      <w:pPr>
        <w:pStyle w:val="Paperwork"/>
      </w:pPr>
      <w:r>
        <w:t xml:space="preserve"> </w:t>
      </w:r>
    </w:p>
    <w:p w14:paraId="58A52576" w14:textId="77777777" w:rsidR="009F508F" w:rsidRDefault="00FD0805">
      <w:pPr>
        <w:pStyle w:val="Paperwork"/>
        <w:rPr>
          <w:b/>
        </w:rPr>
      </w:pPr>
      <w:r>
        <w:rPr>
          <w:b/>
        </w:rPr>
        <w:t>7.</w:t>
      </w:r>
      <w:r>
        <w:rPr>
          <w:b/>
        </w:rPr>
        <w:tab/>
        <w:t>Explain any special circumstances that would cause an information collection to be conducted in a specific manner.</w:t>
      </w:r>
    </w:p>
    <w:p w14:paraId="529B06F8" w14:textId="77777777" w:rsidR="00C03066" w:rsidRDefault="00C03066">
      <w:pPr>
        <w:pStyle w:val="Paperwork"/>
        <w:rPr>
          <w:b/>
        </w:rPr>
      </w:pPr>
    </w:p>
    <w:p w14:paraId="20672F8A" w14:textId="77777777" w:rsidR="005133C8" w:rsidRPr="00963BFF" w:rsidRDefault="005133C8" w:rsidP="005133C8">
      <w:pPr>
        <w:numPr>
          <w:ilvl w:val="0"/>
          <w:numId w:val="7"/>
        </w:numPr>
        <w:autoSpaceDE w:val="0"/>
        <w:autoSpaceDN w:val="0"/>
        <w:contextualSpacing/>
        <w:rPr>
          <w:sz w:val="24"/>
          <w:szCs w:val="24"/>
        </w:rPr>
      </w:pPr>
      <w:r w:rsidRPr="00963BFF">
        <w:rPr>
          <w:sz w:val="24"/>
          <w:szCs w:val="24"/>
        </w:rPr>
        <w:t>Under this ICR, HUD will not conduct any data collection requiring respondents to report information to the agency more often than quarterly;</w:t>
      </w:r>
    </w:p>
    <w:p w14:paraId="319773A3" w14:textId="77777777" w:rsidR="005133C8" w:rsidRPr="00963BFF" w:rsidRDefault="005133C8" w:rsidP="005133C8">
      <w:pPr>
        <w:numPr>
          <w:ilvl w:val="0"/>
          <w:numId w:val="7"/>
        </w:numPr>
        <w:autoSpaceDE w:val="0"/>
        <w:autoSpaceDN w:val="0"/>
        <w:contextualSpacing/>
        <w:rPr>
          <w:sz w:val="24"/>
          <w:szCs w:val="24"/>
        </w:rPr>
      </w:pPr>
      <w:r w:rsidRPr="00963BFF">
        <w:rPr>
          <w:sz w:val="24"/>
          <w:szCs w:val="24"/>
        </w:rPr>
        <w:t>Under this ICR, HUD will not conduct any data collection requiring respondents to prepare a written response to a collection of information in fewer than 30 days after receipt of it;</w:t>
      </w:r>
    </w:p>
    <w:p w14:paraId="1A3BF807" w14:textId="77777777" w:rsidR="005133C8" w:rsidRPr="00963BFF" w:rsidRDefault="005133C8" w:rsidP="005133C8">
      <w:pPr>
        <w:numPr>
          <w:ilvl w:val="0"/>
          <w:numId w:val="7"/>
        </w:numPr>
        <w:autoSpaceDE w:val="0"/>
        <w:autoSpaceDN w:val="0"/>
        <w:contextualSpacing/>
        <w:rPr>
          <w:sz w:val="24"/>
          <w:szCs w:val="24"/>
        </w:rPr>
      </w:pPr>
      <w:r w:rsidRPr="00963BFF">
        <w:rPr>
          <w:sz w:val="24"/>
          <w:szCs w:val="24"/>
        </w:rPr>
        <w:t>Under this ICR, HUD will not conduct any data collection requiring respondents to submit more than an original and two copies of any document;</w:t>
      </w:r>
    </w:p>
    <w:p w14:paraId="09A6E6C9" w14:textId="77777777" w:rsidR="005133C8" w:rsidRPr="00963BFF" w:rsidRDefault="005133C8" w:rsidP="005133C8">
      <w:pPr>
        <w:numPr>
          <w:ilvl w:val="0"/>
          <w:numId w:val="7"/>
        </w:numPr>
        <w:autoSpaceDE w:val="0"/>
        <w:autoSpaceDN w:val="0"/>
        <w:contextualSpacing/>
        <w:rPr>
          <w:sz w:val="24"/>
          <w:szCs w:val="24"/>
        </w:rPr>
      </w:pPr>
      <w:r w:rsidRPr="00963BFF">
        <w:rPr>
          <w:sz w:val="24"/>
          <w:szCs w:val="24"/>
        </w:rPr>
        <w:t>Under this ICR, HUD will not conduct any data collection requiring respondents to retain records, other than health, medical, government contract, grant-in-aid, or tax records, for more than three years;</w:t>
      </w:r>
    </w:p>
    <w:p w14:paraId="62F05002" w14:textId="77777777" w:rsidR="005133C8" w:rsidRPr="00963BFF" w:rsidRDefault="005133C8" w:rsidP="005133C8">
      <w:pPr>
        <w:numPr>
          <w:ilvl w:val="0"/>
          <w:numId w:val="7"/>
        </w:numPr>
        <w:autoSpaceDE w:val="0"/>
        <w:autoSpaceDN w:val="0"/>
        <w:contextualSpacing/>
        <w:rPr>
          <w:sz w:val="24"/>
          <w:szCs w:val="24"/>
        </w:rPr>
      </w:pPr>
      <w:r w:rsidRPr="00963BFF">
        <w:rPr>
          <w:sz w:val="24"/>
          <w:szCs w:val="24"/>
        </w:rPr>
        <w:t>Under this ICR, HUD will not conduct any data collection in connection with a statistical survey, that is not designed to produce valid and reliable results that can be generalized to the universe of study;</w:t>
      </w:r>
    </w:p>
    <w:p w14:paraId="383A5643" w14:textId="77777777" w:rsidR="005133C8" w:rsidRPr="00963BFF" w:rsidRDefault="005133C8" w:rsidP="005133C8">
      <w:pPr>
        <w:numPr>
          <w:ilvl w:val="0"/>
          <w:numId w:val="7"/>
        </w:numPr>
        <w:autoSpaceDE w:val="0"/>
        <w:autoSpaceDN w:val="0"/>
        <w:contextualSpacing/>
        <w:rPr>
          <w:sz w:val="24"/>
          <w:szCs w:val="24"/>
        </w:rPr>
      </w:pPr>
      <w:r w:rsidRPr="00963BFF">
        <w:rPr>
          <w:sz w:val="24"/>
          <w:szCs w:val="24"/>
        </w:rPr>
        <w:t>Under this ICR, HUD will not conduct any data collection requiring the use of a statistical data classification that has not been reviewed and approved by OMB;</w:t>
      </w:r>
    </w:p>
    <w:p w14:paraId="310C13A5" w14:textId="77777777" w:rsidR="005133C8" w:rsidRPr="00963BFF" w:rsidRDefault="005133C8" w:rsidP="005133C8">
      <w:pPr>
        <w:numPr>
          <w:ilvl w:val="0"/>
          <w:numId w:val="7"/>
        </w:numPr>
        <w:autoSpaceDE w:val="0"/>
        <w:autoSpaceDN w:val="0"/>
        <w:contextualSpacing/>
        <w:rPr>
          <w:sz w:val="24"/>
          <w:szCs w:val="24"/>
        </w:rPr>
      </w:pPr>
      <w:r w:rsidRPr="00963BFF">
        <w:rPr>
          <w:sz w:val="24"/>
          <w:szCs w:val="24"/>
        </w:rPr>
        <w:t>Under this ICR, HUD will not conduct any data collection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75A6979" w14:textId="77777777" w:rsidR="005133C8" w:rsidRPr="00963BFF" w:rsidRDefault="005133C8" w:rsidP="005133C8">
      <w:pPr>
        <w:numPr>
          <w:ilvl w:val="0"/>
          <w:numId w:val="7"/>
        </w:numPr>
        <w:autoSpaceDE w:val="0"/>
        <w:autoSpaceDN w:val="0"/>
        <w:contextualSpacing/>
        <w:rPr>
          <w:sz w:val="24"/>
          <w:szCs w:val="24"/>
        </w:rPr>
      </w:pPr>
      <w:r w:rsidRPr="00963BFF">
        <w:rPr>
          <w:sz w:val="24"/>
          <w:szCs w:val="24"/>
        </w:rPr>
        <w:t>Under this ICR, HUD will not conduct any data collection requiring respondents to submit proprietary trade secrets, or other confidential information unless the agency can demonstrate that it has instituted procedures to protect the information's confidentiality to the extent permitted by law.</w:t>
      </w:r>
    </w:p>
    <w:p w14:paraId="228D1A34" w14:textId="77777777" w:rsidR="009F508F" w:rsidRPr="005133C8" w:rsidRDefault="009F508F">
      <w:pPr>
        <w:pStyle w:val="Paperwork"/>
        <w:rPr>
          <w:szCs w:val="24"/>
        </w:rPr>
      </w:pPr>
    </w:p>
    <w:p w14:paraId="1A330F2A" w14:textId="77777777" w:rsidR="009F508F" w:rsidRDefault="00FD0805">
      <w:pPr>
        <w:pStyle w:val="Paperwork"/>
      </w:pPr>
      <w:r>
        <w:tab/>
      </w:r>
      <w:r w:rsidR="00A62B6A" w:rsidRPr="00A62B6A">
        <w:t>Applications will be processed through Grants.gov which provides for alternative methods of information collection.</w:t>
      </w:r>
    </w:p>
    <w:p w14:paraId="33D982AB" w14:textId="77777777" w:rsidR="00A62B6A" w:rsidRDefault="00A62B6A">
      <w:pPr>
        <w:pStyle w:val="Paperwork"/>
      </w:pPr>
    </w:p>
    <w:p w14:paraId="3A76ADBE" w14:textId="77777777" w:rsidR="009F508F" w:rsidRDefault="00FD0805">
      <w:pPr>
        <w:pStyle w:val="Paperwork"/>
      </w:pPr>
      <w:r>
        <w:rPr>
          <w:b/>
        </w:rPr>
        <w:t>8.</w:t>
      </w:r>
      <w:r>
        <w:rPr>
          <w:b/>
        </w:rPr>
        <w:tab/>
        <w:t>If applicable, provide a copy and identify the date and page number of publication in the Federal Register of the agency's notice, as required by 5 CFR 1320.8(3), soliciting comments on the information collection prior to submission to OMB. Summarize public comments received in response to that notice and actions by the agency.</w:t>
      </w:r>
    </w:p>
    <w:p w14:paraId="75F420C5" w14:textId="77777777" w:rsidR="009F508F" w:rsidRDefault="009F508F">
      <w:pPr>
        <w:pStyle w:val="Paperwork"/>
      </w:pPr>
    </w:p>
    <w:p w14:paraId="319A2219" w14:textId="140B7E84" w:rsidR="00CF0ACE" w:rsidRDefault="00FD0805">
      <w:pPr>
        <w:pStyle w:val="Paperwork"/>
      </w:pPr>
      <w:r>
        <w:tab/>
      </w:r>
      <w:r w:rsidR="00A62B6A" w:rsidRPr="00A62B6A">
        <w:t>The 60</w:t>
      </w:r>
      <w:r w:rsidR="00B81084">
        <w:t>-</w:t>
      </w:r>
      <w:r w:rsidR="00A62B6A" w:rsidRPr="00A62B6A">
        <w:t xml:space="preserve">day notice was published in the Federal Register </w:t>
      </w:r>
      <w:r w:rsidR="00A62B6A" w:rsidRPr="00F06259">
        <w:t xml:space="preserve">on </w:t>
      </w:r>
      <w:r w:rsidR="00DE5797" w:rsidRPr="00F06259">
        <w:t>May 16, 2017.</w:t>
      </w:r>
      <w:r w:rsidR="00A62B6A" w:rsidRPr="00A62B6A">
        <w:t xml:space="preserve">  </w:t>
      </w:r>
      <w:r w:rsidR="00D67D81">
        <w:t>N</w:t>
      </w:r>
      <w:r w:rsidR="00963BFF">
        <w:t xml:space="preserve">o comments </w:t>
      </w:r>
      <w:r w:rsidR="00AA3DEA">
        <w:t xml:space="preserve">were </w:t>
      </w:r>
      <w:r w:rsidR="00D67D81">
        <w:t>received.</w:t>
      </w:r>
    </w:p>
    <w:p w14:paraId="011AEEBB" w14:textId="77777777" w:rsidR="00CF0ACE" w:rsidRDefault="00CF0ACE">
      <w:pPr>
        <w:pStyle w:val="Paperwork"/>
      </w:pPr>
    </w:p>
    <w:p w14:paraId="014520A7" w14:textId="77777777" w:rsidR="009F508F" w:rsidRDefault="00FD0805">
      <w:pPr>
        <w:pStyle w:val="Paperwork"/>
      </w:pPr>
      <w:r>
        <w:rPr>
          <w:b/>
        </w:rPr>
        <w:t>9.</w:t>
      </w:r>
      <w:r>
        <w:rPr>
          <w:b/>
        </w:rPr>
        <w:tab/>
        <w:t>Explain any decision to provide any payment or gift to respondents, other than remuneration of contractors or grantees.</w:t>
      </w:r>
    </w:p>
    <w:p w14:paraId="54025A4B" w14:textId="77777777" w:rsidR="009F508F" w:rsidRDefault="009F508F">
      <w:pPr>
        <w:pStyle w:val="Paperwork"/>
      </w:pPr>
    </w:p>
    <w:p w14:paraId="794EDA5A" w14:textId="77777777" w:rsidR="009F508F" w:rsidRDefault="00FD0805">
      <w:pPr>
        <w:pStyle w:val="Paperwork"/>
      </w:pPr>
      <w:r>
        <w:tab/>
        <w:t xml:space="preserve">There will be no payment or gift to </w:t>
      </w:r>
      <w:r w:rsidR="00D7212B">
        <w:t>applicants for the cooperative agreements</w:t>
      </w:r>
      <w:r>
        <w:t>.</w:t>
      </w:r>
    </w:p>
    <w:p w14:paraId="611B9DE3" w14:textId="77777777" w:rsidR="009F508F" w:rsidRDefault="009F508F">
      <w:pPr>
        <w:pStyle w:val="Paperwork"/>
      </w:pPr>
    </w:p>
    <w:p w14:paraId="7B84FC95" w14:textId="77777777" w:rsidR="009F508F" w:rsidRDefault="00FD0805">
      <w:pPr>
        <w:pStyle w:val="Paperwork"/>
      </w:pPr>
      <w:r>
        <w:rPr>
          <w:b/>
        </w:rPr>
        <w:t>10.</w:t>
      </w:r>
      <w:r>
        <w:rPr>
          <w:b/>
        </w:rPr>
        <w:tab/>
        <w:t>Describe any assurance of confidentiality provided to respondents and the basis for the assurance in statute, regulations, or agency policy.</w:t>
      </w:r>
    </w:p>
    <w:p w14:paraId="37DAC848" w14:textId="77777777" w:rsidR="009F508F" w:rsidRDefault="009F508F">
      <w:pPr>
        <w:pStyle w:val="Paperwork"/>
      </w:pPr>
    </w:p>
    <w:p w14:paraId="5F423836" w14:textId="3E57EBE0" w:rsidR="009F508F" w:rsidRDefault="00FD0805">
      <w:pPr>
        <w:pStyle w:val="Paperwork"/>
      </w:pPr>
      <w:r>
        <w:tab/>
        <w:t>All HUD staff members assigned to evaluate applications are subject to Section 103 of the HUD Reform Act. Th</w:t>
      </w:r>
      <w:r w:rsidR="00AA3DEA">
        <w:t>e</w:t>
      </w:r>
      <w:r>
        <w:t xml:space="preserve"> section, entitled “Prohibitions Against Advance Disclosures of Funding Decisions” imposes civil and other sanctions on employees found to have improperly disclose</w:t>
      </w:r>
      <w:r w:rsidR="00CE34F8">
        <w:t>d</w:t>
      </w:r>
      <w:r>
        <w:t xml:space="preserve"> information</w:t>
      </w:r>
      <w:r w:rsidR="009F640A">
        <w:t xml:space="preserve"> </w:t>
      </w:r>
      <w:r w:rsidR="00B1671D">
        <w:t xml:space="preserve">submitted in an application. </w:t>
      </w:r>
      <w:r>
        <w:t xml:space="preserve"> Applicants and grantees may identify specific sections of their applications that they claim to be protected as confidential or proprietary</w:t>
      </w:r>
      <w:r w:rsidR="00AA3DEA">
        <w:t xml:space="preserve"> information</w:t>
      </w:r>
      <w:r>
        <w:t>.  Certain aspects of a recipient’s reports may not be released if they are determined to possess confidential or proprietary information.  Applications not otherwise protected may be released under the Freedom of Information Act.</w:t>
      </w:r>
    </w:p>
    <w:p w14:paraId="0A736974" w14:textId="77777777" w:rsidR="009F508F" w:rsidRDefault="009F508F">
      <w:pPr>
        <w:pStyle w:val="Paperwork"/>
      </w:pPr>
    </w:p>
    <w:p w14:paraId="08A147F5" w14:textId="77777777" w:rsidR="009F508F" w:rsidRDefault="00FD0805">
      <w:pPr>
        <w:pStyle w:val="Paperwork"/>
      </w:pPr>
      <w:r>
        <w:rPr>
          <w:b/>
        </w:rPr>
        <w:t>11.</w:t>
      </w:r>
      <w:r>
        <w:rPr>
          <w:b/>
        </w:rPr>
        <w:tab/>
        <w:t>Provide additional justification for any questions of a sensitive nature, such as sexual behavior and attitudes, religious beliefs, and other matters that are commonly considered private.</w:t>
      </w:r>
    </w:p>
    <w:p w14:paraId="2E523A0D" w14:textId="77777777" w:rsidR="009F508F" w:rsidRDefault="009F508F">
      <w:pPr>
        <w:pStyle w:val="Paperwork"/>
      </w:pPr>
    </w:p>
    <w:p w14:paraId="2389D978" w14:textId="77777777" w:rsidR="009F508F" w:rsidRDefault="00FD0805">
      <w:pPr>
        <w:pStyle w:val="Paperwork"/>
      </w:pPr>
      <w:r>
        <w:tab/>
        <w:t>No questions of a sensitive nature are asked during either the application or post-award process.</w:t>
      </w:r>
    </w:p>
    <w:p w14:paraId="7A6894C6" w14:textId="77777777" w:rsidR="00C45A9F" w:rsidRDefault="00C45A9F">
      <w:pPr>
        <w:pStyle w:val="Paperwork"/>
      </w:pPr>
    </w:p>
    <w:p w14:paraId="3E67A7B0" w14:textId="62FE0F85" w:rsidR="00C45A9F" w:rsidRDefault="00C45A9F">
      <w:pPr>
        <w:pStyle w:val="Paperwork"/>
      </w:pPr>
    </w:p>
    <w:p w14:paraId="47A64725" w14:textId="77777777" w:rsidR="00195868" w:rsidRDefault="00195868">
      <w:pPr>
        <w:pStyle w:val="Paperwork"/>
      </w:pPr>
    </w:p>
    <w:p w14:paraId="2998DF89" w14:textId="77777777" w:rsidR="00C45A9F" w:rsidRDefault="00C45A9F">
      <w:pPr>
        <w:pStyle w:val="Paperwork"/>
      </w:pPr>
    </w:p>
    <w:p w14:paraId="68C44104" w14:textId="77777777" w:rsidR="00C45A9F" w:rsidRDefault="00C45A9F">
      <w:pPr>
        <w:pStyle w:val="Paperwork"/>
      </w:pPr>
    </w:p>
    <w:p w14:paraId="4BFF23C6" w14:textId="77777777" w:rsidR="009F508F" w:rsidRDefault="009F508F">
      <w:pPr>
        <w:pStyle w:val="Paperwork"/>
      </w:pPr>
    </w:p>
    <w:p w14:paraId="160C3D4C" w14:textId="77777777" w:rsidR="00FE5F61" w:rsidRPr="00C45A9F" w:rsidRDefault="00FE5F61" w:rsidP="00C45A9F">
      <w:pPr>
        <w:pStyle w:val="Paperwork"/>
        <w:numPr>
          <w:ilvl w:val="0"/>
          <w:numId w:val="4"/>
        </w:numPr>
        <w:tabs>
          <w:tab w:val="clear" w:pos="1080"/>
          <w:tab w:val="num" w:pos="720"/>
        </w:tabs>
        <w:ind w:left="720"/>
        <w:rPr>
          <w:b/>
        </w:rPr>
      </w:pPr>
      <w:bookmarkStart w:id="1" w:name="_Hlk495508234"/>
      <w:r w:rsidRPr="00C45A9F">
        <w:rPr>
          <w:b/>
        </w:rPr>
        <w:t xml:space="preserve">Provide estimates of the hour burden of the collection of information. </w:t>
      </w:r>
    </w:p>
    <w:p w14:paraId="6E984255" w14:textId="77777777" w:rsidR="005133C8" w:rsidRPr="00963BFF" w:rsidRDefault="005133C8" w:rsidP="005133C8">
      <w:pPr>
        <w:keepLines/>
        <w:tabs>
          <w:tab w:val="left" w:pos="-720"/>
        </w:tabs>
        <w:suppressAutoHyphens/>
        <w:spacing w:line="480" w:lineRule="auto"/>
        <w:rPr>
          <w:rFonts w:eastAsiaTheme="minorHAnsi"/>
          <w:bCs/>
          <w:sz w:val="24"/>
          <w:szCs w:val="24"/>
        </w:rPr>
      </w:pPr>
    </w:p>
    <w:tbl>
      <w:tblPr>
        <w:tblW w:w="99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10"/>
        <w:gridCol w:w="1350"/>
        <w:gridCol w:w="1291"/>
        <w:gridCol w:w="1170"/>
        <w:gridCol w:w="1080"/>
        <w:gridCol w:w="1080"/>
        <w:gridCol w:w="1049"/>
        <w:gridCol w:w="1170"/>
      </w:tblGrid>
      <w:tr w:rsidR="005133C8" w:rsidRPr="00FD1B0D" w14:paraId="51DE67DF" w14:textId="77777777" w:rsidTr="00192D3F">
        <w:trPr>
          <w:trHeight w:val="845"/>
        </w:trPr>
        <w:tc>
          <w:tcPr>
            <w:tcW w:w="1710" w:type="dxa"/>
            <w:tcMar>
              <w:top w:w="0" w:type="dxa"/>
              <w:left w:w="108" w:type="dxa"/>
              <w:bottom w:w="0" w:type="dxa"/>
              <w:right w:w="108" w:type="dxa"/>
            </w:tcMar>
            <w:hideMark/>
          </w:tcPr>
          <w:p w14:paraId="53059232" w14:textId="77777777" w:rsidR="005133C8" w:rsidRPr="00CE34F8" w:rsidRDefault="005133C8" w:rsidP="00292149">
            <w:pPr>
              <w:overflowPunct w:val="0"/>
              <w:autoSpaceDE w:val="0"/>
              <w:autoSpaceDN w:val="0"/>
              <w:jc w:val="center"/>
              <w:rPr>
                <w:b/>
                <w:color w:val="000000"/>
              </w:rPr>
            </w:pPr>
            <w:r w:rsidRPr="00CE34F8">
              <w:rPr>
                <w:b/>
                <w:color w:val="000000"/>
              </w:rPr>
              <w:t>Information Collection</w:t>
            </w:r>
          </w:p>
          <w:p w14:paraId="194F337E" w14:textId="77777777" w:rsidR="00FA2258" w:rsidRPr="00CE34F8" w:rsidRDefault="00FA2258" w:rsidP="00292149">
            <w:pPr>
              <w:overflowPunct w:val="0"/>
              <w:autoSpaceDE w:val="0"/>
              <w:autoSpaceDN w:val="0"/>
              <w:jc w:val="center"/>
              <w:rPr>
                <w:b/>
                <w:color w:val="000000"/>
              </w:rPr>
            </w:pPr>
          </w:p>
          <w:p w14:paraId="623599C8" w14:textId="59B6DF1F" w:rsidR="00FA2258" w:rsidRPr="00CE34F8" w:rsidRDefault="00FA2258" w:rsidP="00292149">
            <w:pPr>
              <w:overflowPunct w:val="0"/>
              <w:autoSpaceDE w:val="0"/>
              <w:autoSpaceDN w:val="0"/>
              <w:jc w:val="center"/>
              <w:rPr>
                <w:b/>
                <w:color w:val="000000"/>
              </w:rPr>
            </w:pPr>
          </w:p>
        </w:tc>
        <w:tc>
          <w:tcPr>
            <w:tcW w:w="1350" w:type="dxa"/>
            <w:tcMar>
              <w:top w:w="0" w:type="dxa"/>
              <w:left w:w="108" w:type="dxa"/>
              <w:bottom w:w="0" w:type="dxa"/>
              <w:right w:w="108" w:type="dxa"/>
            </w:tcMar>
            <w:hideMark/>
          </w:tcPr>
          <w:p w14:paraId="0059CBA4" w14:textId="77777777" w:rsidR="005133C8" w:rsidRPr="00CE34F8" w:rsidRDefault="005133C8" w:rsidP="00292149">
            <w:pPr>
              <w:overflowPunct w:val="0"/>
              <w:autoSpaceDE w:val="0"/>
              <w:autoSpaceDN w:val="0"/>
              <w:jc w:val="center"/>
              <w:rPr>
                <w:b/>
                <w:color w:val="000000"/>
              </w:rPr>
            </w:pPr>
            <w:r w:rsidRPr="00CE34F8">
              <w:rPr>
                <w:b/>
                <w:color w:val="000000"/>
              </w:rPr>
              <w:t>Number of Respondents</w:t>
            </w:r>
          </w:p>
          <w:p w14:paraId="2384ED90" w14:textId="77777777" w:rsidR="00FA2258" w:rsidRPr="00CE34F8" w:rsidRDefault="00FA2258" w:rsidP="00292149">
            <w:pPr>
              <w:overflowPunct w:val="0"/>
              <w:autoSpaceDE w:val="0"/>
              <w:autoSpaceDN w:val="0"/>
              <w:jc w:val="center"/>
              <w:rPr>
                <w:b/>
                <w:color w:val="000000"/>
              </w:rPr>
            </w:pPr>
          </w:p>
          <w:p w14:paraId="7621C127" w14:textId="77777777" w:rsidR="00FA2258" w:rsidRPr="00CE34F8" w:rsidRDefault="00FA2258" w:rsidP="00292149">
            <w:pPr>
              <w:overflowPunct w:val="0"/>
              <w:autoSpaceDE w:val="0"/>
              <w:autoSpaceDN w:val="0"/>
              <w:jc w:val="center"/>
              <w:rPr>
                <w:b/>
                <w:color w:val="000000"/>
              </w:rPr>
            </w:pPr>
          </w:p>
          <w:p w14:paraId="3D5984DE" w14:textId="74CC6205" w:rsidR="00FA2258" w:rsidRPr="00CE34F8" w:rsidRDefault="00FA2258" w:rsidP="00292149">
            <w:pPr>
              <w:overflowPunct w:val="0"/>
              <w:autoSpaceDE w:val="0"/>
              <w:autoSpaceDN w:val="0"/>
              <w:jc w:val="center"/>
              <w:rPr>
                <w:b/>
                <w:color w:val="000000"/>
              </w:rPr>
            </w:pPr>
          </w:p>
        </w:tc>
        <w:tc>
          <w:tcPr>
            <w:tcW w:w="1291" w:type="dxa"/>
            <w:tcMar>
              <w:top w:w="0" w:type="dxa"/>
              <w:left w:w="108" w:type="dxa"/>
              <w:bottom w:w="0" w:type="dxa"/>
              <w:right w:w="108" w:type="dxa"/>
            </w:tcMar>
            <w:hideMark/>
          </w:tcPr>
          <w:p w14:paraId="39DDE4C6" w14:textId="77777777" w:rsidR="005133C8" w:rsidRPr="00CE34F8" w:rsidRDefault="005133C8" w:rsidP="00292149">
            <w:pPr>
              <w:overflowPunct w:val="0"/>
              <w:autoSpaceDE w:val="0"/>
              <w:autoSpaceDN w:val="0"/>
              <w:jc w:val="center"/>
              <w:rPr>
                <w:b/>
                <w:color w:val="000000"/>
              </w:rPr>
            </w:pPr>
            <w:r w:rsidRPr="00CE34F8">
              <w:rPr>
                <w:b/>
                <w:color w:val="000000"/>
              </w:rPr>
              <w:t>Frequency of Response</w:t>
            </w:r>
          </w:p>
          <w:p w14:paraId="311A5160" w14:textId="77777777" w:rsidR="00FA2258" w:rsidRPr="00CE34F8" w:rsidRDefault="00FA2258" w:rsidP="00292149">
            <w:pPr>
              <w:overflowPunct w:val="0"/>
              <w:autoSpaceDE w:val="0"/>
              <w:autoSpaceDN w:val="0"/>
              <w:jc w:val="center"/>
              <w:rPr>
                <w:b/>
                <w:color w:val="000000"/>
              </w:rPr>
            </w:pPr>
          </w:p>
          <w:p w14:paraId="192EB119" w14:textId="77777777" w:rsidR="00FA2258" w:rsidRPr="00CE34F8" w:rsidRDefault="00FA2258" w:rsidP="00292149">
            <w:pPr>
              <w:overflowPunct w:val="0"/>
              <w:autoSpaceDE w:val="0"/>
              <w:autoSpaceDN w:val="0"/>
              <w:jc w:val="center"/>
              <w:rPr>
                <w:b/>
                <w:color w:val="000000"/>
              </w:rPr>
            </w:pPr>
          </w:p>
          <w:p w14:paraId="2E4B121D" w14:textId="06B6D05E" w:rsidR="00FA2258" w:rsidRPr="00CE34F8" w:rsidRDefault="00FA2258" w:rsidP="00292149">
            <w:pPr>
              <w:overflowPunct w:val="0"/>
              <w:autoSpaceDE w:val="0"/>
              <w:autoSpaceDN w:val="0"/>
              <w:jc w:val="center"/>
              <w:rPr>
                <w:b/>
                <w:color w:val="000000"/>
              </w:rPr>
            </w:pPr>
          </w:p>
        </w:tc>
        <w:tc>
          <w:tcPr>
            <w:tcW w:w="1170" w:type="dxa"/>
            <w:tcMar>
              <w:top w:w="0" w:type="dxa"/>
              <w:left w:w="108" w:type="dxa"/>
              <w:bottom w:w="0" w:type="dxa"/>
              <w:right w:w="108" w:type="dxa"/>
            </w:tcMar>
            <w:hideMark/>
          </w:tcPr>
          <w:p w14:paraId="1102B7BB" w14:textId="77777777" w:rsidR="005133C8" w:rsidRPr="00CE34F8" w:rsidRDefault="005133C8" w:rsidP="00292149">
            <w:pPr>
              <w:jc w:val="center"/>
              <w:rPr>
                <w:b/>
              </w:rPr>
            </w:pPr>
            <w:r w:rsidRPr="00CE34F8">
              <w:rPr>
                <w:b/>
              </w:rPr>
              <w:t>Responses</w:t>
            </w:r>
          </w:p>
          <w:p w14:paraId="304F4891" w14:textId="77777777" w:rsidR="005133C8" w:rsidRPr="00CE34F8" w:rsidRDefault="005133C8" w:rsidP="00292149">
            <w:pPr>
              <w:overflowPunct w:val="0"/>
              <w:autoSpaceDE w:val="0"/>
              <w:autoSpaceDN w:val="0"/>
              <w:jc w:val="center"/>
              <w:rPr>
                <w:b/>
              </w:rPr>
            </w:pPr>
            <w:r w:rsidRPr="00CE34F8">
              <w:rPr>
                <w:b/>
              </w:rPr>
              <w:t>Per Annum</w:t>
            </w:r>
          </w:p>
          <w:p w14:paraId="7C3D4D4E" w14:textId="77777777" w:rsidR="005133C8" w:rsidRPr="00CE34F8" w:rsidRDefault="005133C8" w:rsidP="009F640A">
            <w:pPr>
              <w:overflowPunct w:val="0"/>
              <w:autoSpaceDE w:val="0"/>
              <w:autoSpaceDN w:val="0"/>
              <w:rPr>
                <w:b/>
              </w:rPr>
            </w:pPr>
          </w:p>
          <w:p w14:paraId="7318AF6F" w14:textId="77777777" w:rsidR="00CE34F8" w:rsidRPr="00CE34F8" w:rsidRDefault="00CE34F8" w:rsidP="00FA2258">
            <w:pPr>
              <w:overflowPunct w:val="0"/>
              <w:autoSpaceDE w:val="0"/>
              <w:autoSpaceDN w:val="0"/>
              <w:jc w:val="center"/>
              <w:rPr>
                <w:b/>
              </w:rPr>
            </w:pPr>
          </w:p>
          <w:p w14:paraId="6C9FAF06" w14:textId="1A17D42D" w:rsidR="00FA2258" w:rsidRPr="00CE34F8" w:rsidRDefault="00FA2258" w:rsidP="00FA2258">
            <w:pPr>
              <w:overflowPunct w:val="0"/>
              <w:autoSpaceDE w:val="0"/>
              <w:autoSpaceDN w:val="0"/>
              <w:jc w:val="center"/>
              <w:rPr>
                <w:b/>
              </w:rPr>
            </w:pPr>
          </w:p>
        </w:tc>
        <w:tc>
          <w:tcPr>
            <w:tcW w:w="1080" w:type="dxa"/>
            <w:tcMar>
              <w:top w:w="0" w:type="dxa"/>
              <w:left w:w="108" w:type="dxa"/>
              <w:bottom w:w="0" w:type="dxa"/>
              <w:right w:w="108" w:type="dxa"/>
            </w:tcMar>
            <w:hideMark/>
          </w:tcPr>
          <w:p w14:paraId="450A7CE7" w14:textId="77777777" w:rsidR="005133C8" w:rsidRPr="00CE34F8" w:rsidRDefault="005133C8" w:rsidP="00292149">
            <w:pPr>
              <w:overflowPunct w:val="0"/>
              <w:autoSpaceDE w:val="0"/>
              <w:autoSpaceDN w:val="0"/>
              <w:jc w:val="center"/>
              <w:rPr>
                <w:b/>
              </w:rPr>
            </w:pPr>
            <w:r w:rsidRPr="00CE34F8">
              <w:rPr>
                <w:b/>
              </w:rPr>
              <w:t>Burden Hour Per Response</w:t>
            </w:r>
          </w:p>
          <w:p w14:paraId="6B72D8AA" w14:textId="77777777" w:rsidR="005133C8" w:rsidRPr="00CE34F8" w:rsidRDefault="005133C8" w:rsidP="00292149">
            <w:pPr>
              <w:overflowPunct w:val="0"/>
              <w:autoSpaceDE w:val="0"/>
              <w:autoSpaceDN w:val="0"/>
              <w:jc w:val="center"/>
              <w:rPr>
                <w:b/>
              </w:rPr>
            </w:pPr>
          </w:p>
          <w:p w14:paraId="3E669058" w14:textId="74B8777A" w:rsidR="00FA2258" w:rsidRPr="00CE34F8" w:rsidRDefault="00FA2258" w:rsidP="00292149">
            <w:pPr>
              <w:overflowPunct w:val="0"/>
              <w:autoSpaceDE w:val="0"/>
              <w:autoSpaceDN w:val="0"/>
              <w:jc w:val="center"/>
              <w:rPr>
                <w:b/>
              </w:rPr>
            </w:pPr>
          </w:p>
        </w:tc>
        <w:tc>
          <w:tcPr>
            <w:tcW w:w="1080" w:type="dxa"/>
            <w:tcMar>
              <w:top w:w="0" w:type="dxa"/>
              <w:left w:w="108" w:type="dxa"/>
              <w:bottom w:w="0" w:type="dxa"/>
              <w:right w:w="108" w:type="dxa"/>
            </w:tcMar>
            <w:hideMark/>
          </w:tcPr>
          <w:p w14:paraId="7FBC656B" w14:textId="77777777" w:rsidR="005133C8" w:rsidRPr="00CE34F8" w:rsidRDefault="005133C8" w:rsidP="00292149">
            <w:pPr>
              <w:overflowPunct w:val="0"/>
              <w:autoSpaceDE w:val="0"/>
              <w:autoSpaceDN w:val="0"/>
              <w:jc w:val="center"/>
              <w:rPr>
                <w:b/>
              </w:rPr>
            </w:pPr>
            <w:r w:rsidRPr="00CE34F8">
              <w:rPr>
                <w:b/>
              </w:rPr>
              <w:t>Annual Burden Hours</w:t>
            </w:r>
          </w:p>
          <w:p w14:paraId="1041C984" w14:textId="77777777" w:rsidR="005133C8" w:rsidRPr="00CE34F8" w:rsidRDefault="005133C8" w:rsidP="00292149">
            <w:pPr>
              <w:overflowPunct w:val="0"/>
              <w:autoSpaceDE w:val="0"/>
              <w:autoSpaceDN w:val="0"/>
              <w:jc w:val="center"/>
              <w:rPr>
                <w:b/>
              </w:rPr>
            </w:pPr>
          </w:p>
          <w:p w14:paraId="798BB7D3" w14:textId="69206931" w:rsidR="00FA2258" w:rsidRPr="00CE34F8" w:rsidRDefault="00FA2258" w:rsidP="00292149">
            <w:pPr>
              <w:overflowPunct w:val="0"/>
              <w:autoSpaceDE w:val="0"/>
              <w:autoSpaceDN w:val="0"/>
              <w:jc w:val="center"/>
              <w:rPr>
                <w:b/>
              </w:rPr>
            </w:pPr>
          </w:p>
        </w:tc>
        <w:tc>
          <w:tcPr>
            <w:tcW w:w="1049" w:type="dxa"/>
            <w:tcMar>
              <w:top w:w="0" w:type="dxa"/>
              <w:left w:w="108" w:type="dxa"/>
              <w:bottom w:w="0" w:type="dxa"/>
              <w:right w:w="108" w:type="dxa"/>
            </w:tcMar>
            <w:hideMark/>
          </w:tcPr>
          <w:p w14:paraId="03E46E6A" w14:textId="77777777" w:rsidR="005133C8" w:rsidRPr="00CE34F8" w:rsidRDefault="005133C8" w:rsidP="00292149">
            <w:pPr>
              <w:overflowPunct w:val="0"/>
              <w:autoSpaceDE w:val="0"/>
              <w:autoSpaceDN w:val="0"/>
              <w:jc w:val="center"/>
              <w:rPr>
                <w:b/>
              </w:rPr>
            </w:pPr>
            <w:r w:rsidRPr="00CE34F8">
              <w:rPr>
                <w:b/>
              </w:rPr>
              <w:t>Hourly Cost Per Response</w:t>
            </w:r>
          </w:p>
          <w:p w14:paraId="43DB4EC1" w14:textId="77777777" w:rsidR="00FA2258" w:rsidRPr="00CE34F8" w:rsidRDefault="00FA2258" w:rsidP="00292149">
            <w:pPr>
              <w:overflowPunct w:val="0"/>
              <w:autoSpaceDE w:val="0"/>
              <w:autoSpaceDN w:val="0"/>
              <w:jc w:val="center"/>
              <w:rPr>
                <w:b/>
              </w:rPr>
            </w:pPr>
          </w:p>
          <w:p w14:paraId="00180088" w14:textId="32C6E136" w:rsidR="00FA2258" w:rsidRPr="00CE34F8" w:rsidRDefault="00FA2258" w:rsidP="00292149">
            <w:pPr>
              <w:overflowPunct w:val="0"/>
              <w:autoSpaceDE w:val="0"/>
              <w:autoSpaceDN w:val="0"/>
              <w:jc w:val="center"/>
              <w:rPr>
                <w:b/>
              </w:rPr>
            </w:pPr>
          </w:p>
        </w:tc>
        <w:tc>
          <w:tcPr>
            <w:tcW w:w="1170" w:type="dxa"/>
            <w:tcMar>
              <w:top w:w="0" w:type="dxa"/>
              <w:left w:w="108" w:type="dxa"/>
              <w:bottom w:w="0" w:type="dxa"/>
              <w:right w:w="108" w:type="dxa"/>
            </w:tcMar>
          </w:tcPr>
          <w:p w14:paraId="2C4799A7" w14:textId="16694F65" w:rsidR="00A202E1" w:rsidRPr="00CE34F8" w:rsidRDefault="005133C8" w:rsidP="00192D3F">
            <w:pPr>
              <w:jc w:val="center"/>
              <w:rPr>
                <w:b/>
              </w:rPr>
            </w:pPr>
            <w:r w:rsidRPr="00CE34F8">
              <w:rPr>
                <w:b/>
              </w:rPr>
              <w:t>Cost</w:t>
            </w:r>
          </w:p>
        </w:tc>
      </w:tr>
      <w:tr w:rsidR="00192D3F" w:rsidRPr="00FD1B0D" w14:paraId="1367022A" w14:textId="77777777" w:rsidTr="00192D3F">
        <w:tc>
          <w:tcPr>
            <w:tcW w:w="1710" w:type="dxa"/>
            <w:tcMar>
              <w:top w:w="0" w:type="dxa"/>
              <w:left w:w="108" w:type="dxa"/>
              <w:bottom w:w="0" w:type="dxa"/>
              <w:right w:w="108" w:type="dxa"/>
            </w:tcMar>
          </w:tcPr>
          <w:p w14:paraId="579A82A0" w14:textId="77777777" w:rsidR="00192D3F" w:rsidRPr="00CE34F8" w:rsidRDefault="00192D3F" w:rsidP="00192D3F">
            <w:pPr>
              <w:overflowPunct w:val="0"/>
              <w:autoSpaceDE w:val="0"/>
              <w:autoSpaceDN w:val="0"/>
              <w:jc w:val="center"/>
              <w:rPr>
                <w:b/>
                <w:color w:val="000000"/>
              </w:rPr>
            </w:pPr>
            <w:r w:rsidRPr="00CE34F8">
              <w:rPr>
                <w:b/>
                <w:color w:val="000000"/>
              </w:rPr>
              <w:t>Respondents</w:t>
            </w:r>
          </w:p>
          <w:p w14:paraId="1DD933C5" w14:textId="5D921036" w:rsidR="00192D3F" w:rsidRPr="00CE34F8" w:rsidRDefault="00192D3F" w:rsidP="00192D3F">
            <w:pPr>
              <w:overflowPunct w:val="0"/>
              <w:autoSpaceDE w:val="0"/>
              <w:autoSpaceDN w:val="0"/>
              <w:jc w:val="center"/>
              <w:rPr>
                <w:b/>
                <w:color w:val="000000"/>
              </w:rPr>
            </w:pPr>
            <w:r w:rsidRPr="00CE34F8">
              <w:rPr>
                <w:b/>
                <w:color w:val="000000"/>
              </w:rPr>
              <w:t>Pre Award Hours</w:t>
            </w:r>
          </w:p>
        </w:tc>
        <w:tc>
          <w:tcPr>
            <w:tcW w:w="1350" w:type="dxa"/>
            <w:tcMar>
              <w:top w:w="0" w:type="dxa"/>
              <w:left w:w="108" w:type="dxa"/>
              <w:bottom w:w="0" w:type="dxa"/>
              <w:right w:w="108" w:type="dxa"/>
            </w:tcMar>
            <w:vAlign w:val="center"/>
          </w:tcPr>
          <w:p w14:paraId="30A3DC84" w14:textId="5FD94D0E" w:rsidR="00192D3F" w:rsidRPr="00CE34F8" w:rsidRDefault="00192D3F" w:rsidP="00192D3F">
            <w:pPr>
              <w:overflowPunct w:val="0"/>
              <w:autoSpaceDE w:val="0"/>
              <w:autoSpaceDN w:val="0"/>
              <w:jc w:val="right"/>
              <w:rPr>
                <w:b/>
                <w:color w:val="000000"/>
              </w:rPr>
            </w:pPr>
            <w:r w:rsidRPr="00CE34F8">
              <w:rPr>
                <w:b/>
                <w:color w:val="000000"/>
              </w:rPr>
              <w:t>18.00</w:t>
            </w:r>
          </w:p>
        </w:tc>
        <w:tc>
          <w:tcPr>
            <w:tcW w:w="1291" w:type="dxa"/>
            <w:tcMar>
              <w:top w:w="0" w:type="dxa"/>
              <w:left w:w="108" w:type="dxa"/>
              <w:bottom w:w="0" w:type="dxa"/>
              <w:right w:w="108" w:type="dxa"/>
            </w:tcMar>
            <w:vAlign w:val="center"/>
          </w:tcPr>
          <w:p w14:paraId="194F8687" w14:textId="2E64525C" w:rsidR="00192D3F" w:rsidRPr="00CE34F8" w:rsidRDefault="00192D3F" w:rsidP="00192D3F">
            <w:pPr>
              <w:overflowPunct w:val="0"/>
              <w:autoSpaceDE w:val="0"/>
              <w:autoSpaceDN w:val="0"/>
              <w:jc w:val="right"/>
              <w:rPr>
                <w:b/>
                <w:color w:val="000000"/>
              </w:rPr>
            </w:pPr>
            <w:r w:rsidRPr="00CE34F8">
              <w:rPr>
                <w:b/>
                <w:color w:val="000000"/>
              </w:rPr>
              <w:t>1.00</w:t>
            </w:r>
          </w:p>
        </w:tc>
        <w:tc>
          <w:tcPr>
            <w:tcW w:w="1170" w:type="dxa"/>
            <w:tcMar>
              <w:top w:w="0" w:type="dxa"/>
              <w:left w:w="108" w:type="dxa"/>
              <w:bottom w:w="0" w:type="dxa"/>
              <w:right w:w="108" w:type="dxa"/>
            </w:tcMar>
            <w:vAlign w:val="center"/>
          </w:tcPr>
          <w:p w14:paraId="1AE8A2F7" w14:textId="1F337959" w:rsidR="00192D3F" w:rsidRPr="00CE34F8" w:rsidRDefault="00192D3F" w:rsidP="00192D3F">
            <w:pPr>
              <w:jc w:val="right"/>
              <w:rPr>
                <w:b/>
              </w:rPr>
            </w:pPr>
            <w:r w:rsidRPr="00CE34F8">
              <w:rPr>
                <w:b/>
              </w:rPr>
              <w:t>18.00</w:t>
            </w:r>
          </w:p>
        </w:tc>
        <w:tc>
          <w:tcPr>
            <w:tcW w:w="1080" w:type="dxa"/>
            <w:tcMar>
              <w:top w:w="0" w:type="dxa"/>
              <w:left w:w="108" w:type="dxa"/>
              <w:bottom w:w="0" w:type="dxa"/>
              <w:right w:w="108" w:type="dxa"/>
            </w:tcMar>
            <w:vAlign w:val="center"/>
          </w:tcPr>
          <w:p w14:paraId="69C0A0DD" w14:textId="63CC7EF3" w:rsidR="00192D3F" w:rsidRPr="00CE34F8" w:rsidRDefault="00192D3F" w:rsidP="00192D3F">
            <w:pPr>
              <w:overflowPunct w:val="0"/>
              <w:autoSpaceDE w:val="0"/>
              <w:autoSpaceDN w:val="0"/>
              <w:jc w:val="right"/>
              <w:rPr>
                <w:b/>
              </w:rPr>
            </w:pPr>
            <w:r w:rsidRPr="00CE34F8">
              <w:rPr>
                <w:b/>
              </w:rPr>
              <w:t>66.50</w:t>
            </w:r>
          </w:p>
        </w:tc>
        <w:tc>
          <w:tcPr>
            <w:tcW w:w="1080" w:type="dxa"/>
            <w:tcMar>
              <w:top w:w="0" w:type="dxa"/>
              <w:left w:w="108" w:type="dxa"/>
              <w:bottom w:w="0" w:type="dxa"/>
              <w:right w:w="108" w:type="dxa"/>
            </w:tcMar>
            <w:vAlign w:val="center"/>
          </w:tcPr>
          <w:p w14:paraId="1DE834E6" w14:textId="1DBEFE62" w:rsidR="00192D3F" w:rsidRPr="00CE34F8" w:rsidRDefault="00192D3F" w:rsidP="00192D3F">
            <w:pPr>
              <w:overflowPunct w:val="0"/>
              <w:autoSpaceDE w:val="0"/>
              <w:autoSpaceDN w:val="0"/>
              <w:jc w:val="right"/>
              <w:rPr>
                <w:b/>
              </w:rPr>
            </w:pPr>
            <w:r w:rsidRPr="00CE34F8">
              <w:rPr>
                <w:b/>
              </w:rPr>
              <w:t>1,197</w:t>
            </w:r>
            <w:r>
              <w:rPr>
                <w:b/>
              </w:rPr>
              <w:t>.00</w:t>
            </w:r>
          </w:p>
        </w:tc>
        <w:tc>
          <w:tcPr>
            <w:tcW w:w="1049" w:type="dxa"/>
            <w:tcMar>
              <w:top w:w="0" w:type="dxa"/>
              <w:left w:w="108" w:type="dxa"/>
              <w:bottom w:w="0" w:type="dxa"/>
              <w:right w:w="108" w:type="dxa"/>
            </w:tcMar>
            <w:vAlign w:val="center"/>
          </w:tcPr>
          <w:p w14:paraId="704223A2" w14:textId="12BA9F53" w:rsidR="00192D3F" w:rsidRPr="00CE34F8" w:rsidRDefault="00192D3F" w:rsidP="00192D3F">
            <w:pPr>
              <w:overflowPunct w:val="0"/>
              <w:autoSpaceDE w:val="0"/>
              <w:autoSpaceDN w:val="0"/>
              <w:jc w:val="right"/>
              <w:rPr>
                <w:b/>
              </w:rPr>
            </w:pPr>
            <w:r w:rsidRPr="00CE34F8">
              <w:rPr>
                <w:b/>
              </w:rPr>
              <w:t>$50.37</w:t>
            </w:r>
          </w:p>
        </w:tc>
        <w:tc>
          <w:tcPr>
            <w:tcW w:w="1170" w:type="dxa"/>
            <w:tcMar>
              <w:top w:w="0" w:type="dxa"/>
              <w:left w:w="108" w:type="dxa"/>
              <w:bottom w:w="0" w:type="dxa"/>
              <w:right w:w="108" w:type="dxa"/>
            </w:tcMar>
            <w:vAlign w:val="center"/>
          </w:tcPr>
          <w:p w14:paraId="345DF404" w14:textId="210B43FC" w:rsidR="00192D3F" w:rsidRPr="00CE34F8" w:rsidRDefault="00192D3F" w:rsidP="00192D3F">
            <w:pPr>
              <w:jc w:val="right"/>
              <w:rPr>
                <w:b/>
              </w:rPr>
            </w:pPr>
            <w:r w:rsidRPr="00CE34F8">
              <w:rPr>
                <w:b/>
              </w:rPr>
              <w:t>$60,292.89</w:t>
            </w:r>
          </w:p>
        </w:tc>
      </w:tr>
      <w:tr w:rsidR="005133C8" w:rsidRPr="00FD1B0D" w14:paraId="4D9BF0AB" w14:textId="77777777" w:rsidTr="00192D3F">
        <w:tc>
          <w:tcPr>
            <w:tcW w:w="1710" w:type="dxa"/>
            <w:tcMar>
              <w:top w:w="0" w:type="dxa"/>
              <w:left w:w="108" w:type="dxa"/>
              <w:bottom w:w="0" w:type="dxa"/>
              <w:right w:w="108" w:type="dxa"/>
            </w:tcMar>
          </w:tcPr>
          <w:p w14:paraId="2D874BB9" w14:textId="5F6C60CC" w:rsidR="00A202E1" w:rsidRPr="00CE34F8" w:rsidRDefault="00A202E1" w:rsidP="00292149">
            <w:pPr>
              <w:overflowPunct w:val="0"/>
              <w:autoSpaceDE w:val="0"/>
              <w:autoSpaceDN w:val="0"/>
              <w:jc w:val="center"/>
              <w:rPr>
                <w:b/>
                <w:color w:val="000000"/>
              </w:rPr>
            </w:pPr>
            <w:r w:rsidRPr="00CE34F8">
              <w:rPr>
                <w:b/>
                <w:color w:val="000000"/>
              </w:rPr>
              <w:t>Post Award</w:t>
            </w:r>
          </w:p>
          <w:p w14:paraId="5C43A56F" w14:textId="2BF9E9B3" w:rsidR="005133C8" w:rsidRPr="00CE34F8" w:rsidRDefault="005133C8" w:rsidP="00292149">
            <w:pPr>
              <w:overflowPunct w:val="0"/>
              <w:autoSpaceDE w:val="0"/>
              <w:autoSpaceDN w:val="0"/>
              <w:jc w:val="center"/>
              <w:rPr>
                <w:b/>
                <w:color w:val="000000"/>
              </w:rPr>
            </w:pPr>
            <w:r w:rsidRPr="00CE34F8">
              <w:rPr>
                <w:b/>
                <w:color w:val="000000"/>
              </w:rPr>
              <w:t>Quarterly Reports</w:t>
            </w:r>
          </w:p>
        </w:tc>
        <w:tc>
          <w:tcPr>
            <w:tcW w:w="1350" w:type="dxa"/>
            <w:tcMar>
              <w:top w:w="0" w:type="dxa"/>
              <w:left w:w="108" w:type="dxa"/>
              <w:bottom w:w="0" w:type="dxa"/>
              <w:right w:w="108" w:type="dxa"/>
            </w:tcMar>
            <w:vAlign w:val="center"/>
          </w:tcPr>
          <w:p w14:paraId="2A2E81D8" w14:textId="39E7BA63" w:rsidR="005133C8" w:rsidRPr="00CE34F8" w:rsidRDefault="005133C8" w:rsidP="00192D3F">
            <w:pPr>
              <w:overflowPunct w:val="0"/>
              <w:autoSpaceDE w:val="0"/>
              <w:autoSpaceDN w:val="0"/>
              <w:jc w:val="right"/>
              <w:rPr>
                <w:b/>
                <w:color w:val="000000"/>
              </w:rPr>
            </w:pPr>
            <w:r w:rsidRPr="00CE34F8">
              <w:rPr>
                <w:b/>
                <w:color w:val="000000"/>
              </w:rPr>
              <w:t>10</w:t>
            </w:r>
            <w:r w:rsidR="00FA2258" w:rsidRPr="00CE34F8">
              <w:rPr>
                <w:b/>
                <w:color w:val="000000"/>
              </w:rPr>
              <w:t>.00</w:t>
            </w:r>
          </w:p>
        </w:tc>
        <w:tc>
          <w:tcPr>
            <w:tcW w:w="1291" w:type="dxa"/>
            <w:tcMar>
              <w:top w:w="0" w:type="dxa"/>
              <w:left w:w="108" w:type="dxa"/>
              <w:bottom w:w="0" w:type="dxa"/>
              <w:right w:w="108" w:type="dxa"/>
            </w:tcMar>
            <w:vAlign w:val="center"/>
          </w:tcPr>
          <w:p w14:paraId="5538123C" w14:textId="5AE911E8" w:rsidR="005133C8" w:rsidRPr="00CE34F8" w:rsidRDefault="005133C8" w:rsidP="00192D3F">
            <w:pPr>
              <w:overflowPunct w:val="0"/>
              <w:autoSpaceDE w:val="0"/>
              <w:autoSpaceDN w:val="0"/>
              <w:jc w:val="right"/>
              <w:rPr>
                <w:b/>
                <w:color w:val="000000"/>
              </w:rPr>
            </w:pPr>
            <w:r w:rsidRPr="00CE34F8">
              <w:rPr>
                <w:b/>
                <w:color w:val="000000"/>
              </w:rPr>
              <w:t>4</w:t>
            </w:r>
            <w:r w:rsidR="00FA2258" w:rsidRPr="00CE34F8">
              <w:rPr>
                <w:b/>
                <w:color w:val="000000"/>
              </w:rPr>
              <w:t>.00</w:t>
            </w:r>
          </w:p>
        </w:tc>
        <w:tc>
          <w:tcPr>
            <w:tcW w:w="1170" w:type="dxa"/>
            <w:tcMar>
              <w:top w:w="0" w:type="dxa"/>
              <w:left w:w="108" w:type="dxa"/>
              <w:bottom w:w="0" w:type="dxa"/>
              <w:right w:w="108" w:type="dxa"/>
            </w:tcMar>
            <w:vAlign w:val="center"/>
          </w:tcPr>
          <w:p w14:paraId="63206EAC" w14:textId="75A7CF90" w:rsidR="005133C8" w:rsidRPr="00CE34F8" w:rsidRDefault="005133C8" w:rsidP="00192D3F">
            <w:pPr>
              <w:jc w:val="right"/>
              <w:rPr>
                <w:b/>
                <w:color w:val="000000"/>
              </w:rPr>
            </w:pPr>
            <w:r w:rsidRPr="00CE34F8">
              <w:rPr>
                <w:b/>
                <w:color w:val="000000"/>
              </w:rPr>
              <w:t>40</w:t>
            </w:r>
            <w:r w:rsidR="00A202E1" w:rsidRPr="00CE34F8">
              <w:rPr>
                <w:b/>
                <w:color w:val="000000"/>
              </w:rPr>
              <w:t>.00</w:t>
            </w:r>
          </w:p>
        </w:tc>
        <w:tc>
          <w:tcPr>
            <w:tcW w:w="1080" w:type="dxa"/>
            <w:tcMar>
              <w:top w:w="0" w:type="dxa"/>
              <w:left w:w="108" w:type="dxa"/>
              <w:bottom w:w="0" w:type="dxa"/>
              <w:right w:w="108" w:type="dxa"/>
            </w:tcMar>
            <w:vAlign w:val="center"/>
          </w:tcPr>
          <w:p w14:paraId="6E42A562" w14:textId="1C57589D" w:rsidR="005133C8" w:rsidRPr="00CE34F8" w:rsidRDefault="005133C8" w:rsidP="00192D3F">
            <w:pPr>
              <w:overflowPunct w:val="0"/>
              <w:autoSpaceDE w:val="0"/>
              <w:autoSpaceDN w:val="0"/>
              <w:jc w:val="right"/>
              <w:rPr>
                <w:b/>
                <w:color w:val="000000"/>
              </w:rPr>
            </w:pPr>
            <w:r w:rsidRPr="00CE34F8">
              <w:rPr>
                <w:b/>
                <w:color w:val="000000"/>
              </w:rPr>
              <w:t>4</w:t>
            </w:r>
            <w:r w:rsidR="00A202E1" w:rsidRPr="00CE34F8">
              <w:rPr>
                <w:b/>
                <w:color w:val="000000"/>
              </w:rPr>
              <w:t>.00</w:t>
            </w:r>
          </w:p>
        </w:tc>
        <w:tc>
          <w:tcPr>
            <w:tcW w:w="1080" w:type="dxa"/>
            <w:tcMar>
              <w:top w:w="0" w:type="dxa"/>
              <w:left w:w="108" w:type="dxa"/>
              <w:bottom w:w="0" w:type="dxa"/>
              <w:right w:w="108" w:type="dxa"/>
            </w:tcMar>
            <w:vAlign w:val="center"/>
          </w:tcPr>
          <w:p w14:paraId="0DCF85D5" w14:textId="727405C1" w:rsidR="005133C8" w:rsidRPr="00CE34F8" w:rsidRDefault="005133C8" w:rsidP="00192D3F">
            <w:pPr>
              <w:overflowPunct w:val="0"/>
              <w:autoSpaceDE w:val="0"/>
              <w:autoSpaceDN w:val="0"/>
              <w:jc w:val="right"/>
              <w:rPr>
                <w:b/>
                <w:color w:val="000000"/>
              </w:rPr>
            </w:pPr>
            <w:r w:rsidRPr="00CE34F8">
              <w:rPr>
                <w:b/>
                <w:color w:val="000000"/>
              </w:rPr>
              <w:t>160</w:t>
            </w:r>
            <w:r w:rsidR="00192D3F">
              <w:rPr>
                <w:b/>
                <w:color w:val="000000"/>
              </w:rPr>
              <w:t>.00</w:t>
            </w:r>
          </w:p>
        </w:tc>
        <w:tc>
          <w:tcPr>
            <w:tcW w:w="1049" w:type="dxa"/>
            <w:tcMar>
              <w:top w:w="0" w:type="dxa"/>
              <w:left w:w="108" w:type="dxa"/>
              <w:bottom w:w="0" w:type="dxa"/>
              <w:right w:w="108" w:type="dxa"/>
            </w:tcMar>
            <w:vAlign w:val="center"/>
          </w:tcPr>
          <w:p w14:paraId="6D4DFF23" w14:textId="0A44ADC0" w:rsidR="005133C8" w:rsidRPr="00CE34F8" w:rsidRDefault="005133C8" w:rsidP="00192D3F">
            <w:pPr>
              <w:overflowPunct w:val="0"/>
              <w:autoSpaceDE w:val="0"/>
              <w:autoSpaceDN w:val="0"/>
              <w:jc w:val="right"/>
              <w:rPr>
                <w:b/>
                <w:color w:val="000000"/>
              </w:rPr>
            </w:pPr>
            <w:r w:rsidRPr="00CE34F8">
              <w:rPr>
                <w:b/>
                <w:color w:val="000000"/>
              </w:rPr>
              <w:t>$</w:t>
            </w:r>
            <w:r w:rsidR="00167372" w:rsidRPr="00CE34F8">
              <w:rPr>
                <w:b/>
                <w:color w:val="000000"/>
              </w:rPr>
              <w:t>50.37</w:t>
            </w:r>
          </w:p>
        </w:tc>
        <w:tc>
          <w:tcPr>
            <w:tcW w:w="1170" w:type="dxa"/>
            <w:tcMar>
              <w:top w:w="0" w:type="dxa"/>
              <w:left w:w="108" w:type="dxa"/>
              <w:bottom w:w="0" w:type="dxa"/>
              <w:right w:w="108" w:type="dxa"/>
            </w:tcMar>
            <w:vAlign w:val="center"/>
          </w:tcPr>
          <w:p w14:paraId="6441DBD9" w14:textId="00A41CFA" w:rsidR="005133C8" w:rsidRPr="00CE34F8" w:rsidRDefault="005133C8" w:rsidP="00192D3F">
            <w:pPr>
              <w:jc w:val="right"/>
              <w:rPr>
                <w:b/>
                <w:color w:val="000000"/>
              </w:rPr>
            </w:pPr>
            <w:r w:rsidRPr="00CE34F8">
              <w:rPr>
                <w:b/>
                <w:color w:val="000000"/>
              </w:rPr>
              <w:t>$</w:t>
            </w:r>
            <w:r w:rsidR="00167372" w:rsidRPr="00CE34F8">
              <w:rPr>
                <w:b/>
                <w:color w:val="000000"/>
              </w:rPr>
              <w:t>8,059.20</w:t>
            </w:r>
          </w:p>
        </w:tc>
      </w:tr>
      <w:tr w:rsidR="005133C8" w:rsidRPr="00AA3DEA" w14:paraId="047C851D" w14:textId="77777777" w:rsidTr="00192D3F">
        <w:tc>
          <w:tcPr>
            <w:tcW w:w="1710" w:type="dxa"/>
            <w:tcMar>
              <w:top w:w="0" w:type="dxa"/>
              <w:left w:w="108" w:type="dxa"/>
              <w:bottom w:w="0" w:type="dxa"/>
              <w:right w:w="108" w:type="dxa"/>
            </w:tcMar>
          </w:tcPr>
          <w:p w14:paraId="5F15BFBD" w14:textId="3CD57711" w:rsidR="00740226" w:rsidRPr="00CE34F8" w:rsidRDefault="00740226" w:rsidP="00292149">
            <w:pPr>
              <w:overflowPunct w:val="0"/>
              <w:autoSpaceDE w:val="0"/>
              <w:autoSpaceDN w:val="0"/>
              <w:jc w:val="center"/>
              <w:rPr>
                <w:b/>
              </w:rPr>
            </w:pPr>
            <w:r w:rsidRPr="00CE34F8">
              <w:rPr>
                <w:b/>
              </w:rPr>
              <w:t>Post Award</w:t>
            </w:r>
          </w:p>
          <w:p w14:paraId="726CABFB" w14:textId="28B26692" w:rsidR="005133C8" w:rsidRPr="00CE34F8" w:rsidRDefault="005133C8" w:rsidP="00292149">
            <w:pPr>
              <w:overflowPunct w:val="0"/>
              <w:autoSpaceDE w:val="0"/>
              <w:autoSpaceDN w:val="0"/>
              <w:jc w:val="center"/>
              <w:rPr>
                <w:b/>
              </w:rPr>
            </w:pPr>
            <w:r w:rsidRPr="00CE34F8">
              <w:rPr>
                <w:b/>
              </w:rPr>
              <w:t>Other Reports</w:t>
            </w:r>
          </w:p>
        </w:tc>
        <w:tc>
          <w:tcPr>
            <w:tcW w:w="1350" w:type="dxa"/>
            <w:tcMar>
              <w:top w:w="0" w:type="dxa"/>
              <w:left w:w="108" w:type="dxa"/>
              <w:bottom w:w="0" w:type="dxa"/>
              <w:right w:w="108" w:type="dxa"/>
            </w:tcMar>
            <w:vAlign w:val="center"/>
          </w:tcPr>
          <w:p w14:paraId="4E0EB08C" w14:textId="7B59EA6B" w:rsidR="005133C8" w:rsidRPr="00CE34F8" w:rsidRDefault="005133C8" w:rsidP="00192D3F">
            <w:pPr>
              <w:overflowPunct w:val="0"/>
              <w:autoSpaceDE w:val="0"/>
              <w:autoSpaceDN w:val="0"/>
              <w:jc w:val="right"/>
              <w:rPr>
                <w:b/>
                <w:color w:val="000000"/>
              </w:rPr>
            </w:pPr>
            <w:r w:rsidRPr="00CE34F8">
              <w:rPr>
                <w:b/>
                <w:color w:val="000000"/>
              </w:rPr>
              <w:t>10</w:t>
            </w:r>
            <w:r w:rsidR="00FA2258" w:rsidRPr="00CE34F8">
              <w:rPr>
                <w:b/>
                <w:color w:val="000000"/>
              </w:rPr>
              <w:t>.00</w:t>
            </w:r>
          </w:p>
        </w:tc>
        <w:tc>
          <w:tcPr>
            <w:tcW w:w="1291" w:type="dxa"/>
            <w:tcMar>
              <w:top w:w="0" w:type="dxa"/>
              <w:left w:w="108" w:type="dxa"/>
              <w:bottom w:w="0" w:type="dxa"/>
              <w:right w:w="108" w:type="dxa"/>
            </w:tcMar>
            <w:vAlign w:val="center"/>
          </w:tcPr>
          <w:p w14:paraId="2497C826" w14:textId="42D2A414" w:rsidR="005133C8" w:rsidRPr="00CE34F8" w:rsidRDefault="005133C8" w:rsidP="00192D3F">
            <w:pPr>
              <w:overflowPunct w:val="0"/>
              <w:autoSpaceDE w:val="0"/>
              <w:autoSpaceDN w:val="0"/>
              <w:jc w:val="right"/>
              <w:rPr>
                <w:b/>
                <w:color w:val="000000"/>
              </w:rPr>
            </w:pPr>
            <w:r w:rsidRPr="00CE34F8">
              <w:rPr>
                <w:b/>
                <w:color w:val="000000"/>
              </w:rPr>
              <w:t>1</w:t>
            </w:r>
            <w:r w:rsidR="00FA2258" w:rsidRPr="00CE34F8">
              <w:rPr>
                <w:b/>
                <w:color w:val="000000"/>
              </w:rPr>
              <w:t>.00</w:t>
            </w:r>
          </w:p>
        </w:tc>
        <w:tc>
          <w:tcPr>
            <w:tcW w:w="1170" w:type="dxa"/>
            <w:tcMar>
              <w:top w:w="0" w:type="dxa"/>
              <w:left w:w="108" w:type="dxa"/>
              <w:bottom w:w="0" w:type="dxa"/>
              <w:right w:w="108" w:type="dxa"/>
            </w:tcMar>
            <w:vAlign w:val="center"/>
          </w:tcPr>
          <w:p w14:paraId="6DE612BF" w14:textId="352D586D" w:rsidR="005133C8" w:rsidRPr="00CE34F8" w:rsidRDefault="005133C8" w:rsidP="00192D3F">
            <w:pPr>
              <w:jc w:val="right"/>
              <w:rPr>
                <w:b/>
                <w:color w:val="000000"/>
              </w:rPr>
            </w:pPr>
            <w:r w:rsidRPr="00CE34F8">
              <w:rPr>
                <w:b/>
                <w:color w:val="000000"/>
              </w:rPr>
              <w:t>10</w:t>
            </w:r>
            <w:r w:rsidR="00A202E1" w:rsidRPr="00CE34F8">
              <w:rPr>
                <w:b/>
                <w:color w:val="000000"/>
              </w:rPr>
              <w:t>.00</w:t>
            </w:r>
          </w:p>
        </w:tc>
        <w:tc>
          <w:tcPr>
            <w:tcW w:w="1080" w:type="dxa"/>
            <w:tcMar>
              <w:top w:w="0" w:type="dxa"/>
              <w:left w:w="108" w:type="dxa"/>
              <w:bottom w:w="0" w:type="dxa"/>
              <w:right w:w="108" w:type="dxa"/>
            </w:tcMar>
            <w:vAlign w:val="center"/>
          </w:tcPr>
          <w:p w14:paraId="2E6A2B64" w14:textId="03A6F41F" w:rsidR="005133C8" w:rsidRPr="00CE34F8" w:rsidRDefault="005133C8" w:rsidP="00192D3F">
            <w:pPr>
              <w:overflowPunct w:val="0"/>
              <w:autoSpaceDE w:val="0"/>
              <w:autoSpaceDN w:val="0"/>
              <w:jc w:val="right"/>
              <w:rPr>
                <w:b/>
                <w:color w:val="000000"/>
              </w:rPr>
            </w:pPr>
            <w:r w:rsidRPr="00CE34F8">
              <w:rPr>
                <w:b/>
                <w:color w:val="000000"/>
              </w:rPr>
              <w:t>4</w:t>
            </w:r>
            <w:r w:rsidR="00A202E1" w:rsidRPr="00CE34F8">
              <w:rPr>
                <w:b/>
                <w:color w:val="000000"/>
              </w:rPr>
              <w:t>.00</w:t>
            </w:r>
          </w:p>
        </w:tc>
        <w:tc>
          <w:tcPr>
            <w:tcW w:w="1080" w:type="dxa"/>
            <w:tcMar>
              <w:top w:w="0" w:type="dxa"/>
              <w:left w:w="108" w:type="dxa"/>
              <w:bottom w:w="0" w:type="dxa"/>
              <w:right w:w="108" w:type="dxa"/>
            </w:tcMar>
            <w:vAlign w:val="center"/>
          </w:tcPr>
          <w:p w14:paraId="3A0F5480" w14:textId="598C9D7A" w:rsidR="005133C8" w:rsidRPr="00CE34F8" w:rsidRDefault="005133C8" w:rsidP="00192D3F">
            <w:pPr>
              <w:overflowPunct w:val="0"/>
              <w:autoSpaceDE w:val="0"/>
              <w:autoSpaceDN w:val="0"/>
              <w:jc w:val="right"/>
              <w:rPr>
                <w:b/>
                <w:color w:val="000000"/>
              </w:rPr>
            </w:pPr>
            <w:r w:rsidRPr="00CE34F8">
              <w:rPr>
                <w:b/>
                <w:color w:val="000000"/>
              </w:rPr>
              <w:t>40</w:t>
            </w:r>
            <w:r w:rsidR="00192D3F">
              <w:rPr>
                <w:b/>
                <w:color w:val="000000"/>
              </w:rPr>
              <w:t>.00</w:t>
            </w:r>
          </w:p>
        </w:tc>
        <w:tc>
          <w:tcPr>
            <w:tcW w:w="1049" w:type="dxa"/>
            <w:tcMar>
              <w:top w:w="0" w:type="dxa"/>
              <w:left w:w="108" w:type="dxa"/>
              <w:bottom w:w="0" w:type="dxa"/>
              <w:right w:w="108" w:type="dxa"/>
            </w:tcMar>
            <w:vAlign w:val="center"/>
          </w:tcPr>
          <w:p w14:paraId="79297CAD" w14:textId="60D38F37" w:rsidR="005133C8" w:rsidRPr="00CE34F8" w:rsidRDefault="005133C8" w:rsidP="00192D3F">
            <w:pPr>
              <w:overflowPunct w:val="0"/>
              <w:autoSpaceDE w:val="0"/>
              <w:autoSpaceDN w:val="0"/>
              <w:jc w:val="right"/>
              <w:rPr>
                <w:b/>
                <w:color w:val="000000"/>
              </w:rPr>
            </w:pPr>
            <w:r w:rsidRPr="00CE34F8">
              <w:rPr>
                <w:b/>
                <w:color w:val="000000"/>
              </w:rPr>
              <w:t>$</w:t>
            </w:r>
            <w:r w:rsidR="00167372" w:rsidRPr="00CE34F8">
              <w:rPr>
                <w:b/>
                <w:color w:val="000000"/>
              </w:rPr>
              <w:t>50.37</w:t>
            </w:r>
          </w:p>
        </w:tc>
        <w:tc>
          <w:tcPr>
            <w:tcW w:w="1170" w:type="dxa"/>
            <w:tcMar>
              <w:top w:w="0" w:type="dxa"/>
              <w:left w:w="108" w:type="dxa"/>
              <w:bottom w:w="0" w:type="dxa"/>
              <w:right w:w="108" w:type="dxa"/>
            </w:tcMar>
            <w:vAlign w:val="center"/>
          </w:tcPr>
          <w:p w14:paraId="47A0F24E" w14:textId="080EF575" w:rsidR="005133C8" w:rsidRPr="00CE34F8" w:rsidRDefault="005133C8" w:rsidP="00192D3F">
            <w:pPr>
              <w:jc w:val="right"/>
              <w:rPr>
                <w:b/>
                <w:color w:val="000000"/>
              </w:rPr>
            </w:pPr>
            <w:r w:rsidRPr="00CE34F8">
              <w:rPr>
                <w:b/>
                <w:color w:val="000000"/>
              </w:rPr>
              <w:t>$</w:t>
            </w:r>
            <w:r w:rsidR="00167372" w:rsidRPr="00CE34F8">
              <w:rPr>
                <w:b/>
                <w:color w:val="000000"/>
              </w:rPr>
              <w:t>2,014.80</w:t>
            </w:r>
          </w:p>
        </w:tc>
      </w:tr>
      <w:tr w:rsidR="005133C8" w:rsidRPr="00AA3DEA" w14:paraId="17382177" w14:textId="77777777" w:rsidTr="00192D3F">
        <w:tc>
          <w:tcPr>
            <w:tcW w:w="1710" w:type="dxa"/>
            <w:tcMar>
              <w:top w:w="0" w:type="dxa"/>
              <w:left w:w="108" w:type="dxa"/>
              <w:bottom w:w="0" w:type="dxa"/>
              <w:right w:w="108" w:type="dxa"/>
            </w:tcMar>
            <w:vAlign w:val="center"/>
          </w:tcPr>
          <w:p w14:paraId="69F4EC52" w14:textId="043C91D6" w:rsidR="00740226" w:rsidRPr="00CE34F8" w:rsidRDefault="00740226" w:rsidP="00292149">
            <w:pPr>
              <w:overflowPunct w:val="0"/>
              <w:autoSpaceDE w:val="0"/>
              <w:autoSpaceDN w:val="0"/>
              <w:jc w:val="center"/>
              <w:rPr>
                <w:b/>
              </w:rPr>
            </w:pPr>
            <w:r w:rsidRPr="00CE34F8">
              <w:rPr>
                <w:b/>
              </w:rPr>
              <w:t>Post Award</w:t>
            </w:r>
          </w:p>
          <w:p w14:paraId="380B56CB" w14:textId="187209F6" w:rsidR="005133C8" w:rsidRPr="00CE34F8" w:rsidRDefault="005133C8" w:rsidP="00292149">
            <w:pPr>
              <w:overflowPunct w:val="0"/>
              <w:autoSpaceDE w:val="0"/>
              <w:autoSpaceDN w:val="0"/>
              <w:jc w:val="center"/>
              <w:rPr>
                <w:b/>
              </w:rPr>
            </w:pPr>
            <w:r w:rsidRPr="00CE34F8">
              <w:rPr>
                <w:b/>
              </w:rPr>
              <w:t>Recordkeeping</w:t>
            </w:r>
          </w:p>
        </w:tc>
        <w:tc>
          <w:tcPr>
            <w:tcW w:w="1350" w:type="dxa"/>
            <w:tcMar>
              <w:top w:w="0" w:type="dxa"/>
              <w:left w:w="108" w:type="dxa"/>
              <w:bottom w:w="0" w:type="dxa"/>
              <w:right w:w="108" w:type="dxa"/>
            </w:tcMar>
            <w:vAlign w:val="center"/>
          </w:tcPr>
          <w:p w14:paraId="260D787F" w14:textId="3DDECD6A" w:rsidR="005133C8" w:rsidRPr="00CE34F8" w:rsidRDefault="005133C8" w:rsidP="00192D3F">
            <w:pPr>
              <w:overflowPunct w:val="0"/>
              <w:autoSpaceDE w:val="0"/>
              <w:autoSpaceDN w:val="0"/>
              <w:jc w:val="right"/>
              <w:rPr>
                <w:b/>
                <w:color w:val="000000"/>
              </w:rPr>
            </w:pPr>
            <w:r w:rsidRPr="00CE34F8">
              <w:rPr>
                <w:b/>
                <w:color w:val="000000"/>
              </w:rPr>
              <w:t>10</w:t>
            </w:r>
            <w:r w:rsidR="00FA2258" w:rsidRPr="00CE34F8">
              <w:rPr>
                <w:b/>
                <w:color w:val="000000"/>
              </w:rPr>
              <w:t>.00</w:t>
            </w:r>
          </w:p>
        </w:tc>
        <w:tc>
          <w:tcPr>
            <w:tcW w:w="1291" w:type="dxa"/>
            <w:tcMar>
              <w:top w:w="0" w:type="dxa"/>
              <w:left w:w="108" w:type="dxa"/>
              <w:bottom w:w="0" w:type="dxa"/>
              <w:right w:w="108" w:type="dxa"/>
            </w:tcMar>
            <w:vAlign w:val="center"/>
          </w:tcPr>
          <w:p w14:paraId="6DD4764D" w14:textId="77A21999" w:rsidR="005133C8" w:rsidRPr="00CE34F8" w:rsidRDefault="005133C8" w:rsidP="00192D3F">
            <w:pPr>
              <w:overflowPunct w:val="0"/>
              <w:autoSpaceDE w:val="0"/>
              <w:autoSpaceDN w:val="0"/>
              <w:jc w:val="right"/>
              <w:rPr>
                <w:b/>
                <w:color w:val="000000"/>
              </w:rPr>
            </w:pPr>
            <w:r w:rsidRPr="00CE34F8">
              <w:rPr>
                <w:b/>
                <w:color w:val="000000"/>
              </w:rPr>
              <w:t>1</w:t>
            </w:r>
            <w:r w:rsidR="00FA2258" w:rsidRPr="00CE34F8">
              <w:rPr>
                <w:b/>
                <w:color w:val="000000"/>
              </w:rPr>
              <w:t>.00</w:t>
            </w:r>
          </w:p>
        </w:tc>
        <w:tc>
          <w:tcPr>
            <w:tcW w:w="1170" w:type="dxa"/>
            <w:tcMar>
              <w:top w:w="0" w:type="dxa"/>
              <w:left w:w="108" w:type="dxa"/>
              <w:bottom w:w="0" w:type="dxa"/>
              <w:right w:w="108" w:type="dxa"/>
            </w:tcMar>
            <w:vAlign w:val="center"/>
          </w:tcPr>
          <w:p w14:paraId="0ACB63D5" w14:textId="58EF6020" w:rsidR="005133C8" w:rsidRPr="00CE34F8" w:rsidRDefault="005133C8" w:rsidP="00192D3F">
            <w:pPr>
              <w:jc w:val="right"/>
              <w:rPr>
                <w:b/>
                <w:color w:val="000000"/>
              </w:rPr>
            </w:pPr>
            <w:r w:rsidRPr="00CE34F8">
              <w:rPr>
                <w:b/>
                <w:color w:val="000000"/>
              </w:rPr>
              <w:t>10</w:t>
            </w:r>
            <w:r w:rsidR="00A202E1" w:rsidRPr="00CE34F8">
              <w:rPr>
                <w:b/>
                <w:color w:val="000000"/>
              </w:rPr>
              <w:t>.00</w:t>
            </w:r>
          </w:p>
        </w:tc>
        <w:tc>
          <w:tcPr>
            <w:tcW w:w="1080" w:type="dxa"/>
            <w:tcMar>
              <w:top w:w="0" w:type="dxa"/>
              <w:left w:w="108" w:type="dxa"/>
              <w:bottom w:w="0" w:type="dxa"/>
              <w:right w:w="108" w:type="dxa"/>
            </w:tcMar>
            <w:vAlign w:val="center"/>
          </w:tcPr>
          <w:p w14:paraId="37C19F99" w14:textId="419876F8" w:rsidR="005133C8" w:rsidRPr="00CE34F8" w:rsidRDefault="005133C8" w:rsidP="00192D3F">
            <w:pPr>
              <w:overflowPunct w:val="0"/>
              <w:autoSpaceDE w:val="0"/>
              <w:autoSpaceDN w:val="0"/>
              <w:jc w:val="right"/>
              <w:rPr>
                <w:b/>
                <w:color w:val="000000"/>
              </w:rPr>
            </w:pPr>
            <w:r w:rsidRPr="00CE34F8">
              <w:rPr>
                <w:b/>
                <w:color w:val="000000"/>
              </w:rPr>
              <w:t>16</w:t>
            </w:r>
            <w:r w:rsidR="00A202E1" w:rsidRPr="00CE34F8">
              <w:rPr>
                <w:b/>
                <w:color w:val="000000"/>
              </w:rPr>
              <w:t>.00</w:t>
            </w:r>
          </w:p>
        </w:tc>
        <w:tc>
          <w:tcPr>
            <w:tcW w:w="1080" w:type="dxa"/>
            <w:tcMar>
              <w:top w:w="0" w:type="dxa"/>
              <w:left w:w="108" w:type="dxa"/>
              <w:bottom w:w="0" w:type="dxa"/>
              <w:right w:w="108" w:type="dxa"/>
            </w:tcMar>
            <w:vAlign w:val="center"/>
          </w:tcPr>
          <w:p w14:paraId="1A14736C" w14:textId="74BBD79E" w:rsidR="005133C8" w:rsidRPr="00CE34F8" w:rsidRDefault="005133C8" w:rsidP="00192D3F">
            <w:pPr>
              <w:overflowPunct w:val="0"/>
              <w:autoSpaceDE w:val="0"/>
              <w:autoSpaceDN w:val="0"/>
              <w:jc w:val="right"/>
              <w:rPr>
                <w:b/>
                <w:color w:val="000000"/>
              </w:rPr>
            </w:pPr>
            <w:r w:rsidRPr="00CE34F8">
              <w:rPr>
                <w:b/>
                <w:color w:val="000000"/>
              </w:rPr>
              <w:t>160</w:t>
            </w:r>
            <w:r w:rsidR="00192D3F">
              <w:rPr>
                <w:b/>
                <w:color w:val="000000"/>
              </w:rPr>
              <w:t>.00</w:t>
            </w:r>
          </w:p>
        </w:tc>
        <w:tc>
          <w:tcPr>
            <w:tcW w:w="1049" w:type="dxa"/>
            <w:tcMar>
              <w:top w:w="0" w:type="dxa"/>
              <w:left w:w="108" w:type="dxa"/>
              <w:bottom w:w="0" w:type="dxa"/>
              <w:right w:w="108" w:type="dxa"/>
            </w:tcMar>
            <w:vAlign w:val="center"/>
          </w:tcPr>
          <w:p w14:paraId="1D9CAA9D" w14:textId="297C93DE" w:rsidR="005133C8" w:rsidRPr="00CE34F8" w:rsidRDefault="005133C8" w:rsidP="00192D3F">
            <w:pPr>
              <w:overflowPunct w:val="0"/>
              <w:autoSpaceDE w:val="0"/>
              <w:autoSpaceDN w:val="0"/>
              <w:jc w:val="right"/>
              <w:rPr>
                <w:b/>
                <w:color w:val="000000"/>
              </w:rPr>
            </w:pPr>
            <w:r w:rsidRPr="00CE34F8">
              <w:rPr>
                <w:b/>
                <w:color w:val="000000"/>
              </w:rPr>
              <w:t>$</w:t>
            </w:r>
            <w:r w:rsidR="00167372" w:rsidRPr="00CE34F8">
              <w:rPr>
                <w:b/>
                <w:color w:val="000000"/>
              </w:rPr>
              <w:t>50.37</w:t>
            </w:r>
          </w:p>
        </w:tc>
        <w:tc>
          <w:tcPr>
            <w:tcW w:w="1170" w:type="dxa"/>
            <w:tcMar>
              <w:top w:w="0" w:type="dxa"/>
              <w:left w:w="108" w:type="dxa"/>
              <w:bottom w:w="0" w:type="dxa"/>
              <w:right w:w="108" w:type="dxa"/>
            </w:tcMar>
            <w:vAlign w:val="center"/>
          </w:tcPr>
          <w:p w14:paraId="1E49FB3D" w14:textId="260824F8" w:rsidR="005133C8" w:rsidRPr="00CE34F8" w:rsidRDefault="005133C8" w:rsidP="00192D3F">
            <w:pPr>
              <w:jc w:val="right"/>
              <w:rPr>
                <w:b/>
                <w:color w:val="000000"/>
              </w:rPr>
            </w:pPr>
            <w:r w:rsidRPr="00CE34F8">
              <w:rPr>
                <w:b/>
                <w:color w:val="000000"/>
              </w:rPr>
              <w:t>$</w:t>
            </w:r>
            <w:r w:rsidR="00167372" w:rsidRPr="00CE34F8">
              <w:rPr>
                <w:b/>
                <w:color w:val="000000"/>
              </w:rPr>
              <w:t>8,059.20</w:t>
            </w:r>
          </w:p>
        </w:tc>
      </w:tr>
      <w:tr w:rsidR="00963BFF" w:rsidRPr="00FD1B0D" w14:paraId="64B8D3BB" w14:textId="77777777" w:rsidTr="00192D3F">
        <w:trPr>
          <w:trHeight w:val="637"/>
        </w:trPr>
        <w:tc>
          <w:tcPr>
            <w:tcW w:w="1710" w:type="dxa"/>
            <w:shd w:val="clear" w:color="auto" w:fill="FFFFFF"/>
            <w:tcMar>
              <w:top w:w="0" w:type="dxa"/>
              <w:left w:w="108" w:type="dxa"/>
              <w:bottom w:w="0" w:type="dxa"/>
              <w:right w:w="108" w:type="dxa"/>
            </w:tcMar>
            <w:vAlign w:val="center"/>
          </w:tcPr>
          <w:p w14:paraId="46CD2EB6" w14:textId="77777777" w:rsidR="005133C8" w:rsidRPr="00CE34F8" w:rsidRDefault="005133C8" w:rsidP="00292149">
            <w:pPr>
              <w:overflowPunct w:val="0"/>
              <w:autoSpaceDE w:val="0"/>
              <w:autoSpaceDN w:val="0"/>
              <w:jc w:val="center"/>
              <w:rPr>
                <w:b/>
                <w:bCs/>
                <w:color w:val="000000"/>
              </w:rPr>
            </w:pPr>
            <w:r w:rsidRPr="00CE34F8">
              <w:rPr>
                <w:b/>
                <w:bCs/>
                <w:color w:val="000000"/>
              </w:rPr>
              <w:t>Total</w:t>
            </w:r>
          </w:p>
          <w:p w14:paraId="4885DD60" w14:textId="77777777" w:rsidR="005133C8" w:rsidRPr="00CE34F8" w:rsidRDefault="005133C8" w:rsidP="00292149">
            <w:pPr>
              <w:overflowPunct w:val="0"/>
              <w:autoSpaceDE w:val="0"/>
              <w:autoSpaceDN w:val="0"/>
              <w:jc w:val="center"/>
              <w:rPr>
                <w:b/>
              </w:rPr>
            </w:pPr>
          </w:p>
        </w:tc>
        <w:tc>
          <w:tcPr>
            <w:tcW w:w="1350" w:type="dxa"/>
            <w:shd w:val="clear" w:color="auto" w:fill="FFFFFF"/>
            <w:tcMar>
              <w:top w:w="0" w:type="dxa"/>
              <w:left w:w="108" w:type="dxa"/>
              <w:bottom w:w="0" w:type="dxa"/>
              <w:right w:w="108" w:type="dxa"/>
            </w:tcMar>
            <w:vAlign w:val="center"/>
          </w:tcPr>
          <w:p w14:paraId="528A7CDF" w14:textId="1916893A" w:rsidR="005133C8" w:rsidRPr="00CE34F8" w:rsidRDefault="00740226" w:rsidP="00192D3F">
            <w:pPr>
              <w:overflowPunct w:val="0"/>
              <w:autoSpaceDE w:val="0"/>
              <w:autoSpaceDN w:val="0"/>
              <w:jc w:val="right"/>
              <w:rPr>
                <w:b/>
                <w:color w:val="000000"/>
              </w:rPr>
            </w:pPr>
            <w:r w:rsidRPr="00CE34F8">
              <w:rPr>
                <w:b/>
                <w:color w:val="000000"/>
              </w:rPr>
              <w:t>48.00</w:t>
            </w:r>
          </w:p>
        </w:tc>
        <w:tc>
          <w:tcPr>
            <w:tcW w:w="1291" w:type="dxa"/>
            <w:shd w:val="clear" w:color="auto" w:fill="FFFFFF"/>
            <w:tcMar>
              <w:top w:w="0" w:type="dxa"/>
              <w:left w:w="108" w:type="dxa"/>
              <w:bottom w:w="0" w:type="dxa"/>
              <w:right w:w="108" w:type="dxa"/>
            </w:tcMar>
            <w:vAlign w:val="center"/>
          </w:tcPr>
          <w:p w14:paraId="25E55E6A" w14:textId="56CC8050" w:rsidR="005133C8" w:rsidRPr="00CE34F8" w:rsidRDefault="00740226" w:rsidP="00192D3F">
            <w:pPr>
              <w:overflowPunct w:val="0"/>
              <w:autoSpaceDE w:val="0"/>
              <w:autoSpaceDN w:val="0"/>
              <w:jc w:val="right"/>
              <w:rPr>
                <w:b/>
                <w:color w:val="000000"/>
              </w:rPr>
            </w:pPr>
            <w:r w:rsidRPr="00CE34F8">
              <w:rPr>
                <w:b/>
                <w:color w:val="000000"/>
              </w:rPr>
              <w:t>7.00</w:t>
            </w:r>
          </w:p>
        </w:tc>
        <w:tc>
          <w:tcPr>
            <w:tcW w:w="1170" w:type="dxa"/>
            <w:shd w:val="clear" w:color="auto" w:fill="FFFFFF"/>
            <w:tcMar>
              <w:top w:w="0" w:type="dxa"/>
              <w:left w:w="108" w:type="dxa"/>
              <w:bottom w:w="0" w:type="dxa"/>
              <w:right w:w="108" w:type="dxa"/>
            </w:tcMar>
            <w:vAlign w:val="center"/>
          </w:tcPr>
          <w:p w14:paraId="6B63D575" w14:textId="05E41947" w:rsidR="005133C8" w:rsidRPr="00CE34F8" w:rsidRDefault="00740226" w:rsidP="00192D3F">
            <w:pPr>
              <w:jc w:val="right"/>
              <w:rPr>
                <w:b/>
                <w:color w:val="000000"/>
              </w:rPr>
            </w:pPr>
            <w:r w:rsidRPr="00CE34F8">
              <w:rPr>
                <w:b/>
                <w:color w:val="000000"/>
              </w:rPr>
              <w:t>78.00</w:t>
            </w:r>
          </w:p>
        </w:tc>
        <w:tc>
          <w:tcPr>
            <w:tcW w:w="1080" w:type="dxa"/>
            <w:shd w:val="clear" w:color="auto" w:fill="FFFFFF"/>
            <w:tcMar>
              <w:top w:w="0" w:type="dxa"/>
              <w:left w:w="108" w:type="dxa"/>
              <w:bottom w:w="0" w:type="dxa"/>
              <w:right w:w="108" w:type="dxa"/>
            </w:tcMar>
            <w:vAlign w:val="center"/>
          </w:tcPr>
          <w:p w14:paraId="7000D83F" w14:textId="77777777" w:rsidR="005133C8" w:rsidRPr="00CE34F8" w:rsidRDefault="005133C8" w:rsidP="00192D3F">
            <w:pPr>
              <w:overflowPunct w:val="0"/>
              <w:autoSpaceDE w:val="0"/>
              <w:autoSpaceDN w:val="0"/>
              <w:jc w:val="right"/>
              <w:rPr>
                <w:b/>
                <w:color w:val="000000"/>
              </w:rPr>
            </w:pPr>
            <w:r w:rsidRPr="00CE34F8">
              <w:rPr>
                <w:b/>
                <w:color w:val="000000"/>
              </w:rPr>
              <w:t>-</w:t>
            </w:r>
          </w:p>
        </w:tc>
        <w:tc>
          <w:tcPr>
            <w:tcW w:w="1080" w:type="dxa"/>
            <w:shd w:val="clear" w:color="auto" w:fill="FFFFFF"/>
            <w:tcMar>
              <w:top w:w="0" w:type="dxa"/>
              <w:left w:w="108" w:type="dxa"/>
              <w:bottom w:w="0" w:type="dxa"/>
              <w:right w:w="108" w:type="dxa"/>
            </w:tcMar>
            <w:vAlign w:val="center"/>
          </w:tcPr>
          <w:p w14:paraId="6B74D4B5" w14:textId="7564A1BC" w:rsidR="005133C8" w:rsidRPr="00CE34F8" w:rsidRDefault="00740226" w:rsidP="00192D3F">
            <w:pPr>
              <w:overflowPunct w:val="0"/>
              <w:autoSpaceDE w:val="0"/>
              <w:autoSpaceDN w:val="0"/>
              <w:jc w:val="right"/>
              <w:rPr>
                <w:b/>
                <w:color w:val="000000"/>
              </w:rPr>
            </w:pPr>
            <w:r w:rsidRPr="00CE34F8">
              <w:rPr>
                <w:b/>
                <w:color w:val="000000"/>
              </w:rPr>
              <w:t>477.00</w:t>
            </w:r>
          </w:p>
        </w:tc>
        <w:tc>
          <w:tcPr>
            <w:tcW w:w="1049" w:type="dxa"/>
            <w:shd w:val="clear" w:color="auto" w:fill="FFFFFF"/>
            <w:tcMar>
              <w:top w:w="0" w:type="dxa"/>
              <w:left w:w="108" w:type="dxa"/>
              <w:bottom w:w="0" w:type="dxa"/>
              <w:right w:w="108" w:type="dxa"/>
            </w:tcMar>
            <w:vAlign w:val="center"/>
          </w:tcPr>
          <w:p w14:paraId="7C110C47" w14:textId="77777777" w:rsidR="005133C8" w:rsidRPr="00CE34F8" w:rsidRDefault="005133C8" w:rsidP="00192D3F">
            <w:pPr>
              <w:overflowPunct w:val="0"/>
              <w:autoSpaceDE w:val="0"/>
              <w:autoSpaceDN w:val="0"/>
              <w:jc w:val="right"/>
              <w:rPr>
                <w:b/>
                <w:color w:val="000000"/>
              </w:rPr>
            </w:pPr>
            <w:r w:rsidRPr="00CE34F8">
              <w:rPr>
                <w:b/>
                <w:color w:val="000000"/>
              </w:rPr>
              <w:t>-</w:t>
            </w:r>
          </w:p>
        </w:tc>
        <w:tc>
          <w:tcPr>
            <w:tcW w:w="1170" w:type="dxa"/>
            <w:shd w:val="clear" w:color="auto" w:fill="FFFFFF"/>
            <w:tcMar>
              <w:top w:w="0" w:type="dxa"/>
              <w:left w:w="108" w:type="dxa"/>
              <w:bottom w:w="0" w:type="dxa"/>
              <w:right w:w="108" w:type="dxa"/>
            </w:tcMar>
            <w:vAlign w:val="center"/>
          </w:tcPr>
          <w:p w14:paraId="3510E89E" w14:textId="2C7BAEC9" w:rsidR="005133C8" w:rsidRPr="00CE34F8" w:rsidRDefault="00190FA3" w:rsidP="00192D3F">
            <w:pPr>
              <w:jc w:val="right"/>
              <w:rPr>
                <w:b/>
                <w:color w:val="000000"/>
              </w:rPr>
            </w:pPr>
            <w:r w:rsidRPr="00CE34F8">
              <w:rPr>
                <w:rFonts w:eastAsiaTheme="minorHAnsi"/>
                <w:b/>
                <w:bCs/>
              </w:rPr>
              <w:t>$</w:t>
            </w:r>
            <w:r w:rsidR="001F56AC" w:rsidRPr="00CE34F8">
              <w:rPr>
                <w:rFonts w:eastAsiaTheme="minorHAnsi"/>
                <w:b/>
                <w:bCs/>
              </w:rPr>
              <w:t>78,426.09</w:t>
            </w:r>
          </w:p>
        </w:tc>
      </w:tr>
    </w:tbl>
    <w:p w14:paraId="219FA113" w14:textId="77777777" w:rsidR="00A91238" w:rsidRDefault="00A91238" w:rsidP="00A91238">
      <w:pPr>
        <w:pStyle w:val="Paperwork"/>
        <w:ind w:left="1440"/>
      </w:pPr>
    </w:p>
    <w:p w14:paraId="03F31E36" w14:textId="77777777" w:rsidR="00FE5F61" w:rsidRDefault="00FE5F61" w:rsidP="00FE5F61">
      <w:pPr>
        <w:pStyle w:val="Paperwork"/>
        <w:ind w:firstLine="0"/>
      </w:pPr>
      <w:r>
        <w:t>The total hour burden in the first year is estimated at 1,557 hours (1,197 for all applicants plus 360 for actual awardees’ first year reporting requirements).  In subsequent years, this decreases to 360 hours per year for the recipients’ ongoing reporting burden.</w:t>
      </w:r>
    </w:p>
    <w:p w14:paraId="20DABBF6" w14:textId="77777777" w:rsidR="00FE5F61" w:rsidRDefault="00FE5F61" w:rsidP="00FE5F61">
      <w:pPr>
        <w:pStyle w:val="Paperwork"/>
        <w:ind w:firstLine="0"/>
      </w:pPr>
    </w:p>
    <w:p w14:paraId="026984A4" w14:textId="14AABA86" w:rsidR="00FE5F61" w:rsidRDefault="00FE5F61" w:rsidP="00FE5F61">
      <w:pPr>
        <w:pStyle w:val="Paperwork"/>
        <w:ind w:firstLine="0"/>
      </w:pPr>
      <w:r>
        <w:t xml:space="preserve">For the application part of the NOFA process, the total number of burden hours is estimated to be 1,197 hours annually for the application process. </w:t>
      </w:r>
      <w:r w:rsidRPr="000B3E23">
        <w:t xml:space="preserve">The written proposal is estimated to require 66.5 hours to prepare.  HUD expects to receive 18 proposals.  For the proposal, each applicant is estimated to spend 6.5 labor hours completing the application forms (described above) and 60 labor hours preparing a narrative describing the project.  </w:t>
      </w:r>
      <w:r>
        <w:t>Estimates of labor burden for completing the required forms were developed on the basis of the published burdens of the forms.  For the non-Form portion of the proposal, the costs include development of a detailed budget (using the HUD 424 CBW) and preparation of a comprehensive project proposal.  The project proposal is expected to be approximately 20–25 pages in length and is estimated to require 60 labor hours per applicant.</w:t>
      </w:r>
      <w:r w:rsidR="00BB7EC6">
        <w:t xml:space="preserve">  The estimated hourly cost per response is the</w:t>
      </w:r>
      <w:r w:rsidR="00167372">
        <w:t xml:space="preserve"> median of a Social Scientist from the Bur</w:t>
      </w:r>
      <w:r w:rsidR="009F640A">
        <w:t>eau of Labor Statistics DC area</w:t>
      </w:r>
      <w:r w:rsidR="00BB7EC6">
        <w:t xml:space="preserve"> </w:t>
      </w:r>
      <w:r w:rsidR="008E7DE0">
        <w:t xml:space="preserve">mean </w:t>
      </w:r>
      <w:r w:rsidR="00BB7EC6">
        <w:t xml:space="preserve">hourly wage </w:t>
      </w:r>
      <w:r w:rsidR="00167372">
        <w:t>of $50.37</w:t>
      </w:r>
      <w:r w:rsidR="00BB7EC6">
        <w:t>.</w:t>
      </w:r>
    </w:p>
    <w:p w14:paraId="25124ADE" w14:textId="77777777" w:rsidR="00FE5F61" w:rsidRDefault="00FE5F61" w:rsidP="00FE5F61">
      <w:pPr>
        <w:pStyle w:val="Paperwork"/>
        <w:ind w:firstLine="0"/>
      </w:pPr>
    </w:p>
    <w:p w14:paraId="49CEDE79" w14:textId="369E2A68" w:rsidR="00FE5F61" w:rsidRPr="000B3E23" w:rsidRDefault="00A202E1" w:rsidP="00FE5F61">
      <w:pPr>
        <w:pStyle w:val="Paperwork"/>
        <w:ind w:firstLine="0"/>
      </w:pPr>
      <w:r>
        <w:t>Post award a</w:t>
      </w:r>
      <w:r w:rsidR="00FE5F61">
        <w:t>pproximately 10 cooperative agreements are expected to be awarded.  The reporting requirement for the cooperative agreements would include a short quarterly narrative report, recordkeeping and annual FFATA Sub-</w:t>
      </w:r>
      <w:r w:rsidR="00A72FEF">
        <w:t>Award</w:t>
      </w:r>
      <w:r w:rsidR="00FE5F61">
        <w:t xml:space="preserve"> Reporting System (FSRS), Central Contractor Registration (CCR) and Federal Awardee Performance and Integrity Information System (FAPIIS) reporting.  Total annual burden hours are estimated at 360 hours, or 36 hours annually for each of 10 awardees</w:t>
      </w:r>
      <w:bookmarkEnd w:id="1"/>
      <w:r w:rsidR="00FE5F61">
        <w:t xml:space="preserve">. The 36 annual burden hours per awardee are based on 4 quarterly reports at 4 hours per response, other required reporting totaling 4 hours, and recordkeeping at 16 hours.  </w:t>
      </w:r>
      <w:r w:rsidR="00FE5F61">
        <w:tab/>
      </w:r>
    </w:p>
    <w:p w14:paraId="20399ECD" w14:textId="77777777" w:rsidR="00FE5F61" w:rsidRDefault="00FE5F61" w:rsidP="00FE5F61">
      <w:pPr>
        <w:pStyle w:val="Paperwork"/>
      </w:pPr>
    </w:p>
    <w:p w14:paraId="5D8DE5F4" w14:textId="77777777" w:rsidR="00FE5F61" w:rsidRDefault="00FE5F61" w:rsidP="00FE5F61">
      <w:pPr>
        <w:pStyle w:val="Paperwork"/>
      </w:pPr>
      <w:r>
        <w:rPr>
          <w:b/>
        </w:rPr>
        <w:t>13.</w:t>
      </w:r>
      <w:r>
        <w:rPr>
          <w:b/>
        </w:rPr>
        <w:tab/>
        <w:t>Provide an estimate of the total annual cost burden to respondents or recordkeepers resulting from the collection of information.</w:t>
      </w:r>
    </w:p>
    <w:p w14:paraId="12A6DC9C" w14:textId="201E0DD1" w:rsidR="00956117" w:rsidRDefault="00956117">
      <w:pPr>
        <w:pStyle w:val="Paperwork"/>
      </w:pPr>
      <w:r>
        <w:tab/>
      </w:r>
    </w:p>
    <w:p w14:paraId="4835B871" w14:textId="7D584442" w:rsidR="00956117" w:rsidRDefault="00956117" w:rsidP="009F640A">
      <w:pPr>
        <w:pStyle w:val="Paperwork"/>
        <w:ind w:firstLine="0"/>
      </w:pPr>
      <w:r>
        <w:t>There are no additional cost burdens for respondents or record keepers beyond the labor- cost of burden hours described in item 12 above.</w:t>
      </w:r>
    </w:p>
    <w:p w14:paraId="1E666464" w14:textId="736B82F9" w:rsidR="00956117" w:rsidRDefault="00956117" w:rsidP="009F640A">
      <w:pPr>
        <w:pStyle w:val="Paperwork"/>
        <w:ind w:left="0" w:firstLine="0"/>
        <w:rPr>
          <w:b/>
        </w:rPr>
      </w:pPr>
    </w:p>
    <w:p w14:paraId="2F05EC29" w14:textId="23EA56FB" w:rsidR="009F508F" w:rsidRDefault="00FE5F61">
      <w:pPr>
        <w:pStyle w:val="Paperwork"/>
      </w:pPr>
      <w:r>
        <w:rPr>
          <w:b/>
        </w:rPr>
        <w:t>1</w:t>
      </w:r>
      <w:r w:rsidR="00FD0805">
        <w:rPr>
          <w:b/>
        </w:rPr>
        <w:t>4.</w:t>
      </w:r>
      <w:r w:rsidR="00FD0805">
        <w:rPr>
          <w:b/>
        </w:rPr>
        <w:tab/>
        <w:t>Provide estimates of annualized cost to the Federal government.</w:t>
      </w:r>
    </w:p>
    <w:p w14:paraId="1141B38B" w14:textId="77777777" w:rsidR="009F508F" w:rsidRDefault="009F508F">
      <w:pPr>
        <w:pStyle w:val="Paperwork"/>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5"/>
        <w:gridCol w:w="1350"/>
        <w:gridCol w:w="1170"/>
        <w:gridCol w:w="1170"/>
        <w:gridCol w:w="1080"/>
        <w:gridCol w:w="1146"/>
        <w:gridCol w:w="1104"/>
        <w:gridCol w:w="1350"/>
      </w:tblGrid>
      <w:tr w:rsidR="006108B8" w:rsidRPr="005C72D9" w14:paraId="1EF69CFD" w14:textId="77777777" w:rsidTr="009F640A">
        <w:trPr>
          <w:trHeight w:val="632"/>
        </w:trPr>
        <w:tc>
          <w:tcPr>
            <w:tcW w:w="1275" w:type="dxa"/>
            <w:tcMar>
              <w:top w:w="0" w:type="dxa"/>
              <w:left w:w="108" w:type="dxa"/>
              <w:bottom w:w="0" w:type="dxa"/>
              <w:right w:w="108" w:type="dxa"/>
            </w:tcMar>
            <w:hideMark/>
          </w:tcPr>
          <w:p w14:paraId="20919C63" w14:textId="77777777" w:rsidR="005C72D9" w:rsidRPr="005C72D9" w:rsidRDefault="005C72D9" w:rsidP="005C72D9">
            <w:pPr>
              <w:overflowPunct w:val="0"/>
              <w:autoSpaceDE w:val="0"/>
              <w:autoSpaceDN w:val="0"/>
              <w:jc w:val="center"/>
              <w:rPr>
                <w:rFonts w:eastAsia="Calibri"/>
                <w:b/>
                <w:bCs/>
                <w:color w:val="000000"/>
              </w:rPr>
            </w:pPr>
            <w:r w:rsidRPr="005C72D9">
              <w:rPr>
                <w:rFonts w:eastAsia="Calibri"/>
                <w:b/>
                <w:bCs/>
                <w:color w:val="000000"/>
              </w:rPr>
              <w:t>Information Collection</w:t>
            </w:r>
          </w:p>
        </w:tc>
        <w:tc>
          <w:tcPr>
            <w:tcW w:w="1350" w:type="dxa"/>
            <w:tcMar>
              <w:top w:w="0" w:type="dxa"/>
              <w:left w:w="108" w:type="dxa"/>
              <w:bottom w:w="0" w:type="dxa"/>
              <w:right w:w="108" w:type="dxa"/>
            </w:tcMar>
            <w:hideMark/>
          </w:tcPr>
          <w:p w14:paraId="0D2940FC" w14:textId="77777777" w:rsidR="005C72D9" w:rsidRPr="005C72D9" w:rsidRDefault="005C72D9" w:rsidP="005C72D9">
            <w:pPr>
              <w:overflowPunct w:val="0"/>
              <w:autoSpaceDE w:val="0"/>
              <w:autoSpaceDN w:val="0"/>
              <w:jc w:val="center"/>
              <w:rPr>
                <w:rFonts w:eastAsia="Calibri"/>
                <w:b/>
                <w:bCs/>
                <w:color w:val="000000"/>
              </w:rPr>
            </w:pPr>
            <w:r w:rsidRPr="005C72D9">
              <w:rPr>
                <w:rFonts w:eastAsia="Calibri"/>
                <w:b/>
                <w:bCs/>
                <w:color w:val="000000"/>
              </w:rPr>
              <w:t>Number of Respondents</w:t>
            </w:r>
          </w:p>
        </w:tc>
        <w:tc>
          <w:tcPr>
            <w:tcW w:w="1170" w:type="dxa"/>
            <w:tcMar>
              <w:top w:w="0" w:type="dxa"/>
              <w:left w:w="108" w:type="dxa"/>
              <w:bottom w:w="0" w:type="dxa"/>
              <w:right w:w="108" w:type="dxa"/>
            </w:tcMar>
            <w:hideMark/>
          </w:tcPr>
          <w:p w14:paraId="02AEADCF" w14:textId="77777777" w:rsidR="005C72D9" w:rsidRPr="005C72D9" w:rsidRDefault="005C72D9" w:rsidP="005C72D9">
            <w:pPr>
              <w:overflowPunct w:val="0"/>
              <w:autoSpaceDE w:val="0"/>
              <w:autoSpaceDN w:val="0"/>
              <w:jc w:val="center"/>
              <w:rPr>
                <w:rFonts w:eastAsia="Calibri"/>
                <w:b/>
                <w:bCs/>
                <w:color w:val="000000"/>
              </w:rPr>
            </w:pPr>
            <w:r w:rsidRPr="005C72D9">
              <w:rPr>
                <w:rFonts w:eastAsia="Calibri"/>
                <w:b/>
                <w:bCs/>
                <w:color w:val="000000"/>
              </w:rPr>
              <w:t>Frequency of Response</w:t>
            </w:r>
          </w:p>
        </w:tc>
        <w:tc>
          <w:tcPr>
            <w:tcW w:w="1170" w:type="dxa"/>
            <w:tcMar>
              <w:top w:w="0" w:type="dxa"/>
              <w:left w:w="108" w:type="dxa"/>
              <w:bottom w:w="0" w:type="dxa"/>
              <w:right w:w="108" w:type="dxa"/>
            </w:tcMar>
            <w:hideMark/>
          </w:tcPr>
          <w:p w14:paraId="024EA2C3" w14:textId="77777777" w:rsidR="005C72D9" w:rsidRPr="005C72D9" w:rsidRDefault="005C72D9" w:rsidP="005C72D9">
            <w:pPr>
              <w:jc w:val="center"/>
              <w:rPr>
                <w:rFonts w:eastAsia="Calibri"/>
                <w:b/>
                <w:bCs/>
                <w:color w:val="000000"/>
              </w:rPr>
            </w:pPr>
            <w:r w:rsidRPr="005C72D9">
              <w:rPr>
                <w:rFonts w:eastAsia="Calibri"/>
                <w:b/>
                <w:bCs/>
                <w:color w:val="000000"/>
              </w:rPr>
              <w:t>Responses</w:t>
            </w:r>
          </w:p>
          <w:p w14:paraId="1DC6CE0A" w14:textId="77777777" w:rsidR="005C72D9" w:rsidRPr="005C72D9" w:rsidRDefault="005C72D9" w:rsidP="005C72D9">
            <w:pPr>
              <w:overflowPunct w:val="0"/>
              <w:autoSpaceDE w:val="0"/>
              <w:autoSpaceDN w:val="0"/>
              <w:jc w:val="center"/>
              <w:rPr>
                <w:rFonts w:eastAsia="Calibri"/>
                <w:b/>
                <w:bCs/>
                <w:color w:val="000000"/>
              </w:rPr>
            </w:pPr>
            <w:r w:rsidRPr="005C72D9">
              <w:rPr>
                <w:rFonts w:eastAsia="Calibri"/>
                <w:b/>
                <w:bCs/>
                <w:color w:val="000000"/>
              </w:rPr>
              <w:t>Per Annum</w:t>
            </w:r>
          </w:p>
        </w:tc>
        <w:tc>
          <w:tcPr>
            <w:tcW w:w="1080" w:type="dxa"/>
            <w:tcMar>
              <w:top w:w="0" w:type="dxa"/>
              <w:left w:w="108" w:type="dxa"/>
              <w:bottom w:w="0" w:type="dxa"/>
              <w:right w:w="108" w:type="dxa"/>
            </w:tcMar>
            <w:hideMark/>
          </w:tcPr>
          <w:p w14:paraId="6EDB0CC6" w14:textId="77777777" w:rsidR="005C72D9" w:rsidRPr="005C72D9" w:rsidRDefault="005C72D9" w:rsidP="005C72D9">
            <w:pPr>
              <w:overflowPunct w:val="0"/>
              <w:autoSpaceDE w:val="0"/>
              <w:autoSpaceDN w:val="0"/>
              <w:jc w:val="center"/>
              <w:rPr>
                <w:rFonts w:eastAsia="Calibri"/>
                <w:b/>
                <w:bCs/>
                <w:color w:val="000000"/>
              </w:rPr>
            </w:pPr>
            <w:r w:rsidRPr="005C72D9">
              <w:rPr>
                <w:rFonts w:eastAsia="Calibri"/>
                <w:b/>
                <w:bCs/>
                <w:color w:val="000000"/>
              </w:rPr>
              <w:t>Burden Hour Per Response</w:t>
            </w:r>
          </w:p>
        </w:tc>
        <w:tc>
          <w:tcPr>
            <w:tcW w:w="1146" w:type="dxa"/>
            <w:tcMar>
              <w:top w:w="0" w:type="dxa"/>
              <w:left w:w="108" w:type="dxa"/>
              <w:bottom w:w="0" w:type="dxa"/>
              <w:right w:w="108" w:type="dxa"/>
            </w:tcMar>
            <w:hideMark/>
          </w:tcPr>
          <w:p w14:paraId="6485F480" w14:textId="77777777" w:rsidR="005C72D9" w:rsidRPr="005C72D9" w:rsidRDefault="005C72D9" w:rsidP="005C72D9">
            <w:pPr>
              <w:overflowPunct w:val="0"/>
              <w:autoSpaceDE w:val="0"/>
              <w:autoSpaceDN w:val="0"/>
              <w:jc w:val="center"/>
              <w:rPr>
                <w:rFonts w:eastAsia="Calibri"/>
                <w:b/>
                <w:bCs/>
                <w:color w:val="000000"/>
              </w:rPr>
            </w:pPr>
            <w:r w:rsidRPr="005C72D9">
              <w:rPr>
                <w:rFonts w:eastAsia="Calibri"/>
                <w:b/>
                <w:bCs/>
                <w:color w:val="000000"/>
              </w:rPr>
              <w:t>Annual Burden Hours</w:t>
            </w:r>
          </w:p>
        </w:tc>
        <w:tc>
          <w:tcPr>
            <w:tcW w:w="1104" w:type="dxa"/>
            <w:tcMar>
              <w:top w:w="0" w:type="dxa"/>
              <w:left w:w="108" w:type="dxa"/>
              <w:bottom w:w="0" w:type="dxa"/>
              <w:right w:w="108" w:type="dxa"/>
            </w:tcMar>
            <w:hideMark/>
          </w:tcPr>
          <w:p w14:paraId="0201B3FC" w14:textId="77777777" w:rsidR="005C72D9" w:rsidRPr="005C72D9" w:rsidRDefault="005C72D9" w:rsidP="005C72D9">
            <w:pPr>
              <w:overflowPunct w:val="0"/>
              <w:autoSpaceDE w:val="0"/>
              <w:autoSpaceDN w:val="0"/>
              <w:jc w:val="center"/>
              <w:rPr>
                <w:rFonts w:eastAsia="Calibri"/>
                <w:b/>
                <w:bCs/>
                <w:color w:val="000000"/>
              </w:rPr>
            </w:pPr>
            <w:r w:rsidRPr="005C72D9">
              <w:rPr>
                <w:rFonts w:eastAsia="Calibri"/>
                <w:b/>
                <w:bCs/>
                <w:color w:val="000000"/>
              </w:rPr>
              <w:t>Hourly Cost Per Response</w:t>
            </w:r>
          </w:p>
        </w:tc>
        <w:tc>
          <w:tcPr>
            <w:tcW w:w="1350" w:type="dxa"/>
            <w:tcMar>
              <w:top w:w="0" w:type="dxa"/>
              <w:left w:w="108" w:type="dxa"/>
              <w:bottom w:w="0" w:type="dxa"/>
              <w:right w:w="108" w:type="dxa"/>
            </w:tcMar>
          </w:tcPr>
          <w:p w14:paraId="16628A17" w14:textId="77777777" w:rsidR="005C72D9" w:rsidRPr="005C72D9" w:rsidRDefault="005C72D9" w:rsidP="00190FA3">
            <w:pPr>
              <w:rPr>
                <w:rFonts w:eastAsia="Calibri"/>
                <w:b/>
                <w:bCs/>
                <w:color w:val="000000"/>
              </w:rPr>
            </w:pPr>
            <w:r w:rsidRPr="005C72D9">
              <w:rPr>
                <w:rFonts w:eastAsia="Calibri"/>
                <w:b/>
                <w:bCs/>
                <w:color w:val="000000"/>
              </w:rPr>
              <w:t>Annual Cost</w:t>
            </w:r>
          </w:p>
          <w:p w14:paraId="5D584908" w14:textId="77777777" w:rsidR="005C72D9" w:rsidRPr="005C72D9" w:rsidRDefault="005C72D9" w:rsidP="005C72D9">
            <w:pPr>
              <w:overflowPunct w:val="0"/>
              <w:autoSpaceDE w:val="0"/>
              <w:autoSpaceDN w:val="0"/>
              <w:jc w:val="center"/>
              <w:rPr>
                <w:rFonts w:eastAsia="Calibri"/>
                <w:b/>
                <w:bCs/>
                <w:color w:val="000000"/>
              </w:rPr>
            </w:pPr>
          </w:p>
        </w:tc>
      </w:tr>
      <w:tr w:rsidR="006108B8" w:rsidRPr="005C72D9" w14:paraId="784EEA42" w14:textId="77777777" w:rsidTr="009F640A">
        <w:trPr>
          <w:trHeight w:val="309"/>
        </w:trPr>
        <w:tc>
          <w:tcPr>
            <w:tcW w:w="1275" w:type="dxa"/>
            <w:tcMar>
              <w:top w:w="0" w:type="dxa"/>
              <w:left w:w="108" w:type="dxa"/>
              <w:bottom w:w="0" w:type="dxa"/>
              <w:right w:w="108" w:type="dxa"/>
            </w:tcMar>
          </w:tcPr>
          <w:p w14:paraId="75F14AA8" w14:textId="77777777" w:rsidR="005C72D9" w:rsidRPr="005C72D9" w:rsidRDefault="00120CC2" w:rsidP="005C72D9">
            <w:pPr>
              <w:overflowPunct w:val="0"/>
              <w:autoSpaceDE w:val="0"/>
              <w:autoSpaceDN w:val="0"/>
              <w:rPr>
                <w:rFonts w:eastAsia="Calibri"/>
                <w:b/>
                <w:bCs/>
                <w:color w:val="000000"/>
              </w:rPr>
            </w:pPr>
            <w:r>
              <w:rPr>
                <w:rFonts w:eastAsia="Calibri"/>
                <w:b/>
                <w:bCs/>
                <w:color w:val="000000"/>
              </w:rPr>
              <w:t>Proposals</w:t>
            </w:r>
          </w:p>
        </w:tc>
        <w:tc>
          <w:tcPr>
            <w:tcW w:w="1350" w:type="dxa"/>
            <w:tcMar>
              <w:top w:w="0" w:type="dxa"/>
              <w:left w:w="108" w:type="dxa"/>
              <w:bottom w:w="0" w:type="dxa"/>
              <w:right w:w="108" w:type="dxa"/>
            </w:tcMar>
          </w:tcPr>
          <w:p w14:paraId="44CA0A70" w14:textId="7F97FFB3" w:rsidR="005C72D9" w:rsidRPr="005C72D9" w:rsidRDefault="00120CC2" w:rsidP="009F640A">
            <w:pPr>
              <w:overflowPunct w:val="0"/>
              <w:autoSpaceDE w:val="0"/>
              <w:autoSpaceDN w:val="0"/>
              <w:jc w:val="right"/>
              <w:rPr>
                <w:rFonts w:eastAsia="Calibri"/>
                <w:b/>
                <w:bCs/>
                <w:color w:val="000000"/>
              </w:rPr>
            </w:pPr>
            <w:r>
              <w:rPr>
                <w:rFonts w:eastAsia="Calibri"/>
                <w:b/>
                <w:bCs/>
                <w:color w:val="000000"/>
              </w:rPr>
              <w:t>18</w:t>
            </w:r>
            <w:r w:rsidR="00956117">
              <w:rPr>
                <w:rFonts w:eastAsia="Calibri"/>
                <w:b/>
                <w:bCs/>
                <w:color w:val="000000"/>
              </w:rPr>
              <w:t>.00</w:t>
            </w:r>
          </w:p>
        </w:tc>
        <w:tc>
          <w:tcPr>
            <w:tcW w:w="1170" w:type="dxa"/>
            <w:tcMar>
              <w:top w:w="0" w:type="dxa"/>
              <w:left w:w="108" w:type="dxa"/>
              <w:bottom w:w="0" w:type="dxa"/>
              <w:right w:w="108" w:type="dxa"/>
            </w:tcMar>
          </w:tcPr>
          <w:p w14:paraId="15FF4AD3" w14:textId="61A5B5B3" w:rsidR="005C72D9" w:rsidRPr="005C72D9" w:rsidRDefault="00A72FEF" w:rsidP="009F640A">
            <w:pPr>
              <w:overflowPunct w:val="0"/>
              <w:autoSpaceDE w:val="0"/>
              <w:autoSpaceDN w:val="0"/>
              <w:jc w:val="right"/>
              <w:rPr>
                <w:rFonts w:eastAsia="Calibri"/>
                <w:b/>
                <w:bCs/>
                <w:color w:val="000000"/>
              </w:rPr>
            </w:pPr>
            <w:r>
              <w:rPr>
                <w:rFonts w:eastAsia="Calibri"/>
                <w:b/>
                <w:bCs/>
                <w:color w:val="000000"/>
              </w:rPr>
              <w:t>3</w:t>
            </w:r>
            <w:r w:rsidR="00956117">
              <w:rPr>
                <w:rFonts w:eastAsia="Calibri"/>
                <w:b/>
                <w:bCs/>
                <w:color w:val="000000"/>
              </w:rPr>
              <w:t>.00</w:t>
            </w:r>
          </w:p>
        </w:tc>
        <w:tc>
          <w:tcPr>
            <w:tcW w:w="1170" w:type="dxa"/>
            <w:tcMar>
              <w:top w:w="0" w:type="dxa"/>
              <w:left w:w="108" w:type="dxa"/>
              <w:bottom w:w="0" w:type="dxa"/>
              <w:right w:w="108" w:type="dxa"/>
            </w:tcMar>
          </w:tcPr>
          <w:p w14:paraId="7DE635D9" w14:textId="0682BBB5" w:rsidR="005C72D9" w:rsidRPr="005C72D9" w:rsidRDefault="00A72FEF" w:rsidP="009F640A">
            <w:pPr>
              <w:overflowPunct w:val="0"/>
              <w:autoSpaceDE w:val="0"/>
              <w:autoSpaceDN w:val="0"/>
              <w:jc w:val="right"/>
              <w:rPr>
                <w:rFonts w:eastAsia="Calibri"/>
                <w:b/>
                <w:bCs/>
                <w:color w:val="000000"/>
              </w:rPr>
            </w:pPr>
            <w:r>
              <w:rPr>
                <w:rFonts w:eastAsia="Calibri"/>
                <w:b/>
                <w:bCs/>
                <w:color w:val="000000"/>
              </w:rPr>
              <w:t>54</w:t>
            </w:r>
            <w:r w:rsidR="00956117">
              <w:rPr>
                <w:rFonts w:eastAsia="Calibri"/>
                <w:b/>
                <w:bCs/>
                <w:color w:val="000000"/>
              </w:rPr>
              <w:t>.00</w:t>
            </w:r>
          </w:p>
        </w:tc>
        <w:tc>
          <w:tcPr>
            <w:tcW w:w="1080" w:type="dxa"/>
            <w:tcMar>
              <w:top w:w="0" w:type="dxa"/>
              <w:left w:w="108" w:type="dxa"/>
              <w:bottom w:w="0" w:type="dxa"/>
              <w:right w:w="108" w:type="dxa"/>
            </w:tcMar>
          </w:tcPr>
          <w:p w14:paraId="03ACC4B1" w14:textId="2565D809" w:rsidR="005C72D9" w:rsidRPr="005C72D9" w:rsidRDefault="00120CC2" w:rsidP="009F640A">
            <w:pPr>
              <w:overflowPunct w:val="0"/>
              <w:autoSpaceDE w:val="0"/>
              <w:autoSpaceDN w:val="0"/>
              <w:jc w:val="right"/>
              <w:rPr>
                <w:rFonts w:eastAsia="Calibri"/>
                <w:b/>
                <w:bCs/>
                <w:color w:val="000000"/>
              </w:rPr>
            </w:pPr>
            <w:r>
              <w:rPr>
                <w:rFonts w:eastAsia="Calibri"/>
                <w:b/>
                <w:bCs/>
                <w:color w:val="000000"/>
              </w:rPr>
              <w:t>8</w:t>
            </w:r>
            <w:r w:rsidR="00956117">
              <w:rPr>
                <w:rFonts w:eastAsia="Calibri"/>
                <w:b/>
                <w:bCs/>
                <w:color w:val="000000"/>
              </w:rPr>
              <w:t>.00</w:t>
            </w:r>
          </w:p>
        </w:tc>
        <w:tc>
          <w:tcPr>
            <w:tcW w:w="1146" w:type="dxa"/>
            <w:tcMar>
              <w:top w:w="0" w:type="dxa"/>
              <w:left w:w="108" w:type="dxa"/>
              <w:bottom w:w="0" w:type="dxa"/>
              <w:right w:w="108" w:type="dxa"/>
            </w:tcMar>
          </w:tcPr>
          <w:p w14:paraId="16025B59" w14:textId="16E69E35" w:rsidR="005C72D9" w:rsidRPr="005C72D9" w:rsidRDefault="00A72FEF" w:rsidP="009F640A">
            <w:pPr>
              <w:overflowPunct w:val="0"/>
              <w:autoSpaceDE w:val="0"/>
              <w:autoSpaceDN w:val="0"/>
              <w:jc w:val="right"/>
              <w:rPr>
                <w:rFonts w:eastAsia="Calibri"/>
                <w:b/>
                <w:bCs/>
                <w:color w:val="000000"/>
              </w:rPr>
            </w:pPr>
            <w:r>
              <w:rPr>
                <w:rFonts w:eastAsia="Calibri"/>
                <w:b/>
                <w:bCs/>
                <w:color w:val="000000"/>
              </w:rPr>
              <w:t>432</w:t>
            </w:r>
            <w:r w:rsidR="00956117">
              <w:rPr>
                <w:rFonts w:eastAsia="Calibri"/>
                <w:b/>
                <w:bCs/>
                <w:color w:val="000000"/>
              </w:rPr>
              <w:t>.00</w:t>
            </w:r>
          </w:p>
        </w:tc>
        <w:tc>
          <w:tcPr>
            <w:tcW w:w="1104" w:type="dxa"/>
            <w:tcMar>
              <w:top w:w="0" w:type="dxa"/>
              <w:left w:w="108" w:type="dxa"/>
              <w:bottom w:w="0" w:type="dxa"/>
              <w:right w:w="108" w:type="dxa"/>
            </w:tcMar>
          </w:tcPr>
          <w:p w14:paraId="73771CC7" w14:textId="2DEF3D30" w:rsidR="005C72D9" w:rsidRPr="005C72D9" w:rsidRDefault="00120CC2" w:rsidP="009F640A">
            <w:pPr>
              <w:overflowPunct w:val="0"/>
              <w:autoSpaceDE w:val="0"/>
              <w:autoSpaceDN w:val="0"/>
              <w:jc w:val="right"/>
              <w:rPr>
                <w:rFonts w:eastAsia="Calibri"/>
                <w:b/>
                <w:bCs/>
                <w:color w:val="000000"/>
              </w:rPr>
            </w:pPr>
            <w:r>
              <w:rPr>
                <w:rFonts w:eastAsia="Calibri"/>
                <w:b/>
                <w:bCs/>
                <w:color w:val="000000"/>
              </w:rPr>
              <w:t>$</w:t>
            </w:r>
            <w:r w:rsidR="00005DA9">
              <w:rPr>
                <w:rFonts w:eastAsia="Calibri"/>
                <w:b/>
                <w:bCs/>
                <w:color w:val="000000"/>
              </w:rPr>
              <w:t>60.83</w:t>
            </w:r>
          </w:p>
        </w:tc>
        <w:tc>
          <w:tcPr>
            <w:tcW w:w="1350" w:type="dxa"/>
            <w:tcMar>
              <w:top w:w="0" w:type="dxa"/>
              <w:left w:w="108" w:type="dxa"/>
              <w:bottom w:w="0" w:type="dxa"/>
              <w:right w:w="108" w:type="dxa"/>
            </w:tcMar>
          </w:tcPr>
          <w:p w14:paraId="3B97E804" w14:textId="57DDA10B" w:rsidR="005C72D9" w:rsidRDefault="00120CC2" w:rsidP="009F640A">
            <w:pPr>
              <w:overflowPunct w:val="0"/>
              <w:autoSpaceDE w:val="0"/>
              <w:autoSpaceDN w:val="0"/>
              <w:jc w:val="right"/>
              <w:rPr>
                <w:rFonts w:eastAsia="Calibri"/>
                <w:b/>
                <w:bCs/>
                <w:color w:val="000000"/>
              </w:rPr>
            </w:pPr>
            <w:r>
              <w:rPr>
                <w:rFonts w:eastAsia="Calibri"/>
                <w:b/>
                <w:bCs/>
                <w:color w:val="000000"/>
              </w:rPr>
              <w:t>$</w:t>
            </w:r>
            <w:r w:rsidR="00A72FEF">
              <w:rPr>
                <w:rFonts w:eastAsia="Calibri"/>
                <w:b/>
                <w:bCs/>
                <w:color w:val="000000"/>
              </w:rPr>
              <w:t>26,278.56</w:t>
            </w:r>
          </w:p>
          <w:p w14:paraId="4DACC6AE" w14:textId="77777777" w:rsidR="00120CC2" w:rsidRPr="005C72D9" w:rsidRDefault="00120CC2" w:rsidP="00DF5FEC">
            <w:pPr>
              <w:overflowPunct w:val="0"/>
              <w:autoSpaceDE w:val="0"/>
              <w:autoSpaceDN w:val="0"/>
              <w:jc w:val="right"/>
              <w:rPr>
                <w:rFonts w:eastAsia="Calibri"/>
                <w:b/>
                <w:bCs/>
                <w:color w:val="000000"/>
              </w:rPr>
            </w:pPr>
          </w:p>
        </w:tc>
      </w:tr>
      <w:tr w:rsidR="006108B8" w:rsidRPr="005C72D9" w14:paraId="1158D388" w14:textId="77777777" w:rsidTr="009F640A">
        <w:trPr>
          <w:trHeight w:val="154"/>
        </w:trPr>
        <w:tc>
          <w:tcPr>
            <w:tcW w:w="1275" w:type="dxa"/>
            <w:tcMar>
              <w:top w:w="0" w:type="dxa"/>
              <w:left w:w="108" w:type="dxa"/>
              <w:bottom w:w="0" w:type="dxa"/>
              <w:right w:w="108" w:type="dxa"/>
            </w:tcMar>
          </w:tcPr>
          <w:p w14:paraId="067DD925" w14:textId="77777777" w:rsidR="00120CC2" w:rsidRDefault="00120CC2" w:rsidP="005C72D9">
            <w:pPr>
              <w:overflowPunct w:val="0"/>
              <w:autoSpaceDE w:val="0"/>
              <w:autoSpaceDN w:val="0"/>
              <w:rPr>
                <w:rFonts w:eastAsia="Calibri"/>
                <w:b/>
                <w:bCs/>
                <w:color w:val="000000"/>
              </w:rPr>
            </w:pPr>
            <w:r>
              <w:rPr>
                <w:rFonts w:eastAsia="Calibri"/>
                <w:b/>
                <w:bCs/>
                <w:color w:val="000000"/>
              </w:rPr>
              <w:t>Agreements</w:t>
            </w:r>
          </w:p>
        </w:tc>
        <w:tc>
          <w:tcPr>
            <w:tcW w:w="1350" w:type="dxa"/>
            <w:tcMar>
              <w:top w:w="0" w:type="dxa"/>
              <w:left w:w="108" w:type="dxa"/>
              <w:bottom w:w="0" w:type="dxa"/>
              <w:right w:w="108" w:type="dxa"/>
            </w:tcMar>
          </w:tcPr>
          <w:p w14:paraId="25001AF6" w14:textId="157F96B3" w:rsidR="00120CC2" w:rsidRDefault="00120CC2" w:rsidP="009F640A">
            <w:pPr>
              <w:overflowPunct w:val="0"/>
              <w:autoSpaceDE w:val="0"/>
              <w:autoSpaceDN w:val="0"/>
              <w:jc w:val="right"/>
              <w:rPr>
                <w:rFonts w:eastAsia="Calibri"/>
                <w:b/>
                <w:bCs/>
                <w:color w:val="000000"/>
              </w:rPr>
            </w:pPr>
            <w:r>
              <w:rPr>
                <w:rFonts w:eastAsia="Calibri"/>
                <w:b/>
                <w:bCs/>
                <w:color w:val="000000"/>
              </w:rPr>
              <w:t>10</w:t>
            </w:r>
            <w:r w:rsidR="00956117">
              <w:rPr>
                <w:rFonts w:eastAsia="Calibri"/>
                <w:b/>
                <w:bCs/>
                <w:color w:val="000000"/>
              </w:rPr>
              <w:t>.00</w:t>
            </w:r>
          </w:p>
        </w:tc>
        <w:tc>
          <w:tcPr>
            <w:tcW w:w="1170" w:type="dxa"/>
            <w:tcMar>
              <w:top w:w="0" w:type="dxa"/>
              <w:left w:w="108" w:type="dxa"/>
              <w:bottom w:w="0" w:type="dxa"/>
              <w:right w:w="108" w:type="dxa"/>
            </w:tcMar>
          </w:tcPr>
          <w:p w14:paraId="101723E4" w14:textId="5DC2A59D" w:rsidR="00120CC2" w:rsidRDefault="00A72FEF" w:rsidP="009F640A">
            <w:pPr>
              <w:overflowPunct w:val="0"/>
              <w:autoSpaceDE w:val="0"/>
              <w:autoSpaceDN w:val="0"/>
              <w:jc w:val="right"/>
              <w:rPr>
                <w:rFonts w:eastAsia="Calibri"/>
                <w:b/>
                <w:bCs/>
                <w:color w:val="000000"/>
              </w:rPr>
            </w:pPr>
            <w:r>
              <w:rPr>
                <w:rFonts w:eastAsia="Calibri"/>
                <w:b/>
                <w:bCs/>
                <w:color w:val="000000"/>
              </w:rPr>
              <w:t>4</w:t>
            </w:r>
            <w:r w:rsidR="00956117">
              <w:rPr>
                <w:rFonts w:eastAsia="Calibri"/>
                <w:b/>
                <w:bCs/>
                <w:color w:val="000000"/>
              </w:rPr>
              <w:t>.00</w:t>
            </w:r>
          </w:p>
        </w:tc>
        <w:tc>
          <w:tcPr>
            <w:tcW w:w="1170" w:type="dxa"/>
            <w:tcMar>
              <w:top w:w="0" w:type="dxa"/>
              <w:left w:w="108" w:type="dxa"/>
              <w:bottom w:w="0" w:type="dxa"/>
              <w:right w:w="108" w:type="dxa"/>
            </w:tcMar>
          </w:tcPr>
          <w:p w14:paraId="62C8911B" w14:textId="44900821" w:rsidR="00120CC2" w:rsidRDefault="00120CC2" w:rsidP="009F640A">
            <w:pPr>
              <w:overflowPunct w:val="0"/>
              <w:autoSpaceDE w:val="0"/>
              <w:autoSpaceDN w:val="0"/>
              <w:jc w:val="right"/>
              <w:rPr>
                <w:rFonts w:eastAsia="Calibri"/>
                <w:b/>
                <w:bCs/>
                <w:color w:val="000000"/>
              </w:rPr>
            </w:pPr>
            <w:r>
              <w:rPr>
                <w:rFonts w:eastAsia="Calibri"/>
                <w:b/>
                <w:bCs/>
                <w:color w:val="000000"/>
              </w:rPr>
              <w:t>4</w:t>
            </w:r>
            <w:r w:rsidR="00A72FEF">
              <w:rPr>
                <w:rFonts w:eastAsia="Calibri"/>
                <w:b/>
                <w:bCs/>
                <w:color w:val="000000"/>
              </w:rPr>
              <w:t>0</w:t>
            </w:r>
            <w:r w:rsidR="00956117">
              <w:rPr>
                <w:rFonts w:eastAsia="Calibri"/>
                <w:b/>
                <w:bCs/>
                <w:color w:val="000000"/>
              </w:rPr>
              <w:t>.00</w:t>
            </w:r>
          </w:p>
        </w:tc>
        <w:tc>
          <w:tcPr>
            <w:tcW w:w="1080" w:type="dxa"/>
            <w:tcMar>
              <w:top w:w="0" w:type="dxa"/>
              <w:left w:w="108" w:type="dxa"/>
              <w:bottom w:w="0" w:type="dxa"/>
              <w:right w:w="108" w:type="dxa"/>
            </w:tcMar>
          </w:tcPr>
          <w:p w14:paraId="4373AA40" w14:textId="1B8FCC45" w:rsidR="00120CC2" w:rsidRDefault="00120CC2" w:rsidP="009F640A">
            <w:pPr>
              <w:overflowPunct w:val="0"/>
              <w:autoSpaceDE w:val="0"/>
              <w:autoSpaceDN w:val="0"/>
              <w:jc w:val="right"/>
              <w:rPr>
                <w:rFonts w:eastAsia="Calibri"/>
                <w:b/>
                <w:bCs/>
                <w:color w:val="000000"/>
              </w:rPr>
            </w:pPr>
            <w:r>
              <w:rPr>
                <w:rFonts w:eastAsia="Calibri"/>
                <w:b/>
                <w:bCs/>
                <w:color w:val="000000"/>
              </w:rPr>
              <w:t>4</w:t>
            </w:r>
            <w:r w:rsidR="00956117">
              <w:rPr>
                <w:rFonts w:eastAsia="Calibri"/>
                <w:b/>
                <w:bCs/>
                <w:color w:val="000000"/>
              </w:rPr>
              <w:t>.00</w:t>
            </w:r>
          </w:p>
        </w:tc>
        <w:tc>
          <w:tcPr>
            <w:tcW w:w="1146" w:type="dxa"/>
            <w:tcMar>
              <w:top w:w="0" w:type="dxa"/>
              <w:left w:w="108" w:type="dxa"/>
              <w:bottom w:w="0" w:type="dxa"/>
              <w:right w:w="108" w:type="dxa"/>
            </w:tcMar>
          </w:tcPr>
          <w:p w14:paraId="4757333D" w14:textId="05966A2E" w:rsidR="00120CC2" w:rsidRDefault="00120CC2" w:rsidP="009F640A">
            <w:pPr>
              <w:overflowPunct w:val="0"/>
              <w:autoSpaceDE w:val="0"/>
              <w:autoSpaceDN w:val="0"/>
              <w:jc w:val="right"/>
              <w:rPr>
                <w:rFonts w:eastAsia="Calibri"/>
                <w:b/>
                <w:bCs/>
                <w:color w:val="000000"/>
              </w:rPr>
            </w:pPr>
            <w:r>
              <w:rPr>
                <w:rFonts w:eastAsia="Calibri"/>
                <w:b/>
                <w:bCs/>
                <w:color w:val="000000"/>
              </w:rPr>
              <w:t>160</w:t>
            </w:r>
            <w:r w:rsidR="00956117">
              <w:rPr>
                <w:rFonts w:eastAsia="Calibri"/>
                <w:b/>
                <w:bCs/>
                <w:color w:val="000000"/>
              </w:rPr>
              <w:t>.00</w:t>
            </w:r>
          </w:p>
        </w:tc>
        <w:tc>
          <w:tcPr>
            <w:tcW w:w="1104" w:type="dxa"/>
            <w:tcMar>
              <w:top w:w="0" w:type="dxa"/>
              <w:left w:w="108" w:type="dxa"/>
              <w:bottom w:w="0" w:type="dxa"/>
              <w:right w:w="108" w:type="dxa"/>
            </w:tcMar>
          </w:tcPr>
          <w:p w14:paraId="77558AC4" w14:textId="77777777" w:rsidR="00120CC2" w:rsidRDefault="00120CC2" w:rsidP="009F640A">
            <w:pPr>
              <w:overflowPunct w:val="0"/>
              <w:autoSpaceDE w:val="0"/>
              <w:autoSpaceDN w:val="0"/>
              <w:jc w:val="right"/>
              <w:rPr>
                <w:rStyle w:val="CommentReference"/>
              </w:rPr>
            </w:pPr>
            <w:r>
              <w:rPr>
                <w:rFonts w:eastAsia="Calibri"/>
                <w:b/>
                <w:bCs/>
                <w:color w:val="000000"/>
              </w:rPr>
              <w:t>$53.68</w:t>
            </w:r>
          </w:p>
        </w:tc>
        <w:tc>
          <w:tcPr>
            <w:tcW w:w="1350" w:type="dxa"/>
            <w:tcMar>
              <w:top w:w="0" w:type="dxa"/>
              <w:left w:w="108" w:type="dxa"/>
              <w:bottom w:w="0" w:type="dxa"/>
              <w:right w:w="108" w:type="dxa"/>
            </w:tcMar>
          </w:tcPr>
          <w:p w14:paraId="27B978B7" w14:textId="3A6BDE98" w:rsidR="00120CC2" w:rsidRDefault="00120CC2" w:rsidP="009F640A">
            <w:pPr>
              <w:overflowPunct w:val="0"/>
              <w:autoSpaceDE w:val="0"/>
              <w:autoSpaceDN w:val="0"/>
              <w:jc w:val="right"/>
              <w:rPr>
                <w:rFonts w:eastAsia="Calibri"/>
                <w:b/>
                <w:bCs/>
                <w:color w:val="000000"/>
              </w:rPr>
            </w:pPr>
            <w:r>
              <w:rPr>
                <w:rFonts w:eastAsia="Calibri"/>
                <w:b/>
                <w:bCs/>
                <w:color w:val="000000"/>
              </w:rPr>
              <w:t>$8,58</w:t>
            </w:r>
            <w:r w:rsidR="00A72FEF">
              <w:rPr>
                <w:rFonts w:eastAsia="Calibri"/>
                <w:b/>
                <w:bCs/>
                <w:color w:val="000000"/>
              </w:rPr>
              <w:t>8</w:t>
            </w:r>
            <w:r w:rsidR="00B81084">
              <w:rPr>
                <w:rFonts w:eastAsia="Calibri"/>
                <w:b/>
                <w:bCs/>
                <w:color w:val="000000"/>
              </w:rPr>
              <w:t>.</w:t>
            </w:r>
            <w:r w:rsidR="00A72FEF">
              <w:rPr>
                <w:rFonts w:eastAsia="Calibri"/>
                <w:b/>
                <w:bCs/>
                <w:color w:val="000000"/>
              </w:rPr>
              <w:t>8</w:t>
            </w:r>
            <w:r w:rsidR="00B81084">
              <w:rPr>
                <w:rFonts w:eastAsia="Calibri"/>
                <w:b/>
                <w:bCs/>
                <w:color w:val="000000"/>
              </w:rPr>
              <w:t>0</w:t>
            </w:r>
          </w:p>
        </w:tc>
      </w:tr>
      <w:tr w:rsidR="006108B8" w:rsidRPr="005C72D9" w14:paraId="421524BE" w14:textId="77777777" w:rsidTr="009F640A">
        <w:trPr>
          <w:trHeight w:val="154"/>
        </w:trPr>
        <w:tc>
          <w:tcPr>
            <w:tcW w:w="1275" w:type="dxa"/>
            <w:tcMar>
              <w:top w:w="0" w:type="dxa"/>
              <w:left w:w="108" w:type="dxa"/>
              <w:bottom w:w="0" w:type="dxa"/>
              <w:right w:w="108" w:type="dxa"/>
            </w:tcMar>
          </w:tcPr>
          <w:p w14:paraId="17B7D416" w14:textId="77777777" w:rsidR="00120CC2" w:rsidRDefault="00B81084" w:rsidP="005C72D9">
            <w:pPr>
              <w:overflowPunct w:val="0"/>
              <w:autoSpaceDE w:val="0"/>
              <w:autoSpaceDN w:val="0"/>
              <w:rPr>
                <w:rFonts w:eastAsia="Calibri"/>
                <w:b/>
                <w:bCs/>
                <w:color w:val="000000"/>
              </w:rPr>
            </w:pPr>
            <w:r>
              <w:rPr>
                <w:rFonts w:eastAsia="Calibri"/>
                <w:b/>
                <w:bCs/>
                <w:color w:val="000000"/>
              </w:rPr>
              <w:t>Total</w:t>
            </w:r>
          </w:p>
        </w:tc>
        <w:tc>
          <w:tcPr>
            <w:tcW w:w="1350" w:type="dxa"/>
            <w:tcMar>
              <w:top w:w="0" w:type="dxa"/>
              <w:left w:w="108" w:type="dxa"/>
              <w:bottom w:w="0" w:type="dxa"/>
              <w:right w:w="108" w:type="dxa"/>
            </w:tcMar>
          </w:tcPr>
          <w:p w14:paraId="02501501" w14:textId="77777777" w:rsidR="00120CC2" w:rsidRDefault="00120CC2" w:rsidP="009F640A">
            <w:pPr>
              <w:overflowPunct w:val="0"/>
              <w:autoSpaceDE w:val="0"/>
              <w:autoSpaceDN w:val="0"/>
              <w:jc w:val="right"/>
              <w:rPr>
                <w:rFonts w:eastAsia="Calibri"/>
                <w:b/>
                <w:bCs/>
                <w:color w:val="000000"/>
              </w:rPr>
            </w:pPr>
            <w:r>
              <w:rPr>
                <w:rFonts w:eastAsia="Calibri"/>
                <w:b/>
                <w:bCs/>
                <w:color w:val="000000"/>
              </w:rPr>
              <w:t>--</w:t>
            </w:r>
          </w:p>
        </w:tc>
        <w:tc>
          <w:tcPr>
            <w:tcW w:w="1170" w:type="dxa"/>
            <w:tcMar>
              <w:top w:w="0" w:type="dxa"/>
              <w:left w:w="108" w:type="dxa"/>
              <w:bottom w:w="0" w:type="dxa"/>
              <w:right w:w="108" w:type="dxa"/>
            </w:tcMar>
          </w:tcPr>
          <w:p w14:paraId="55428601" w14:textId="77777777" w:rsidR="00120CC2" w:rsidRDefault="00120CC2" w:rsidP="009F640A">
            <w:pPr>
              <w:overflowPunct w:val="0"/>
              <w:autoSpaceDE w:val="0"/>
              <w:autoSpaceDN w:val="0"/>
              <w:jc w:val="right"/>
              <w:rPr>
                <w:rFonts w:eastAsia="Calibri"/>
                <w:b/>
                <w:bCs/>
                <w:color w:val="000000"/>
              </w:rPr>
            </w:pPr>
            <w:r>
              <w:rPr>
                <w:rFonts w:eastAsia="Calibri"/>
                <w:b/>
                <w:bCs/>
                <w:color w:val="000000"/>
              </w:rPr>
              <w:t>--</w:t>
            </w:r>
          </w:p>
        </w:tc>
        <w:tc>
          <w:tcPr>
            <w:tcW w:w="1170" w:type="dxa"/>
            <w:tcMar>
              <w:top w:w="0" w:type="dxa"/>
              <w:left w:w="108" w:type="dxa"/>
              <w:bottom w:w="0" w:type="dxa"/>
              <w:right w:w="108" w:type="dxa"/>
            </w:tcMar>
          </w:tcPr>
          <w:p w14:paraId="741BA882" w14:textId="77777777" w:rsidR="00120CC2" w:rsidRDefault="00120CC2" w:rsidP="009F640A">
            <w:pPr>
              <w:overflowPunct w:val="0"/>
              <w:autoSpaceDE w:val="0"/>
              <w:autoSpaceDN w:val="0"/>
              <w:jc w:val="right"/>
              <w:rPr>
                <w:rFonts w:eastAsia="Calibri"/>
                <w:b/>
                <w:bCs/>
                <w:color w:val="000000"/>
              </w:rPr>
            </w:pPr>
            <w:r>
              <w:rPr>
                <w:rFonts w:eastAsia="Calibri"/>
                <w:b/>
                <w:bCs/>
                <w:color w:val="000000"/>
              </w:rPr>
              <w:t>--</w:t>
            </w:r>
          </w:p>
        </w:tc>
        <w:tc>
          <w:tcPr>
            <w:tcW w:w="1080" w:type="dxa"/>
            <w:tcMar>
              <w:top w:w="0" w:type="dxa"/>
              <w:left w:w="108" w:type="dxa"/>
              <w:bottom w:w="0" w:type="dxa"/>
              <w:right w:w="108" w:type="dxa"/>
            </w:tcMar>
          </w:tcPr>
          <w:p w14:paraId="641C7364" w14:textId="77777777" w:rsidR="00120CC2" w:rsidRDefault="00120CC2" w:rsidP="009F640A">
            <w:pPr>
              <w:overflowPunct w:val="0"/>
              <w:autoSpaceDE w:val="0"/>
              <w:autoSpaceDN w:val="0"/>
              <w:jc w:val="right"/>
              <w:rPr>
                <w:rFonts w:eastAsia="Calibri"/>
                <w:b/>
                <w:bCs/>
                <w:color w:val="000000"/>
              </w:rPr>
            </w:pPr>
            <w:r>
              <w:rPr>
                <w:rFonts w:eastAsia="Calibri"/>
                <w:b/>
                <w:bCs/>
                <w:color w:val="000000"/>
              </w:rPr>
              <w:t>--</w:t>
            </w:r>
          </w:p>
        </w:tc>
        <w:tc>
          <w:tcPr>
            <w:tcW w:w="1146" w:type="dxa"/>
            <w:tcMar>
              <w:top w:w="0" w:type="dxa"/>
              <w:left w:w="108" w:type="dxa"/>
              <w:bottom w:w="0" w:type="dxa"/>
              <w:right w:w="108" w:type="dxa"/>
            </w:tcMar>
          </w:tcPr>
          <w:p w14:paraId="3283C062" w14:textId="1B3283E3" w:rsidR="00120CC2" w:rsidRDefault="002B0556" w:rsidP="009F640A">
            <w:pPr>
              <w:overflowPunct w:val="0"/>
              <w:autoSpaceDE w:val="0"/>
              <w:autoSpaceDN w:val="0"/>
              <w:jc w:val="right"/>
              <w:rPr>
                <w:rFonts w:eastAsia="Calibri"/>
                <w:b/>
                <w:bCs/>
                <w:color w:val="000000"/>
              </w:rPr>
            </w:pPr>
            <w:r>
              <w:rPr>
                <w:rFonts w:eastAsia="Calibri"/>
                <w:b/>
                <w:bCs/>
                <w:color w:val="000000"/>
              </w:rPr>
              <w:t>-</w:t>
            </w:r>
          </w:p>
        </w:tc>
        <w:tc>
          <w:tcPr>
            <w:tcW w:w="1104" w:type="dxa"/>
            <w:tcMar>
              <w:top w:w="0" w:type="dxa"/>
              <w:left w:w="108" w:type="dxa"/>
              <w:bottom w:w="0" w:type="dxa"/>
              <w:right w:w="108" w:type="dxa"/>
            </w:tcMar>
          </w:tcPr>
          <w:p w14:paraId="03784F84" w14:textId="77777777" w:rsidR="00120CC2" w:rsidRDefault="00120CC2" w:rsidP="009F640A">
            <w:pPr>
              <w:overflowPunct w:val="0"/>
              <w:autoSpaceDE w:val="0"/>
              <w:autoSpaceDN w:val="0"/>
              <w:jc w:val="right"/>
              <w:rPr>
                <w:rStyle w:val="CommentReference"/>
              </w:rPr>
            </w:pPr>
            <w:r>
              <w:rPr>
                <w:rStyle w:val="CommentReference"/>
              </w:rPr>
              <w:t>____</w:t>
            </w:r>
          </w:p>
        </w:tc>
        <w:tc>
          <w:tcPr>
            <w:tcW w:w="1350" w:type="dxa"/>
            <w:tcMar>
              <w:top w:w="0" w:type="dxa"/>
              <w:left w:w="108" w:type="dxa"/>
              <w:bottom w:w="0" w:type="dxa"/>
              <w:right w:w="108" w:type="dxa"/>
            </w:tcMar>
          </w:tcPr>
          <w:p w14:paraId="398F1B3F" w14:textId="22F14ADE" w:rsidR="00120CC2" w:rsidRDefault="00EE5A91" w:rsidP="009F640A">
            <w:pPr>
              <w:overflowPunct w:val="0"/>
              <w:autoSpaceDE w:val="0"/>
              <w:autoSpaceDN w:val="0"/>
              <w:jc w:val="right"/>
              <w:rPr>
                <w:rFonts w:eastAsia="Calibri"/>
                <w:b/>
                <w:bCs/>
                <w:color w:val="000000"/>
              </w:rPr>
            </w:pPr>
            <w:r>
              <w:rPr>
                <w:rFonts w:eastAsia="Calibri"/>
                <w:b/>
                <w:bCs/>
                <w:color w:val="000000"/>
              </w:rPr>
              <w:t>$</w:t>
            </w:r>
            <w:r w:rsidR="00A72FEF">
              <w:rPr>
                <w:rFonts w:eastAsia="Calibri"/>
                <w:b/>
                <w:bCs/>
                <w:color w:val="000000"/>
              </w:rPr>
              <w:t>34,867.36</w:t>
            </w:r>
          </w:p>
        </w:tc>
      </w:tr>
    </w:tbl>
    <w:p w14:paraId="7298DFD6" w14:textId="77777777" w:rsidR="005C72D9" w:rsidRDefault="005C72D9">
      <w:pPr>
        <w:pStyle w:val="Paperwork"/>
      </w:pPr>
    </w:p>
    <w:p w14:paraId="6DD01A0A" w14:textId="7D094400" w:rsidR="009F508F" w:rsidRDefault="00FD0805" w:rsidP="00F9712D">
      <w:pPr>
        <w:pStyle w:val="Paperwork"/>
        <w:ind w:firstLine="0"/>
      </w:pPr>
      <w:r>
        <w:t xml:space="preserve">Approximately </w:t>
      </w:r>
      <w:r w:rsidR="007D6F4E">
        <w:t>18</w:t>
      </w:r>
      <w:r>
        <w:t xml:space="preserve"> </w:t>
      </w:r>
      <w:r w:rsidR="00F9712D">
        <w:t>applications are expected to be received for the NOFA</w:t>
      </w:r>
      <w:r>
        <w:t xml:space="preserve">.  Each application will be reviewed by three people (average grade GS14 step </w:t>
      </w:r>
      <w:r w:rsidR="00A72FEF">
        <w:t>5</w:t>
      </w:r>
      <w:r>
        <w:t>, at $</w:t>
      </w:r>
      <w:r w:rsidR="00A72FEF">
        <w:t>60.83</w:t>
      </w:r>
      <w:r>
        <w:t xml:space="preserve"> per hour in the Washington area). Each full proposal requires the individual reviewers approximately </w:t>
      </w:r>
      <w:r w:rsidR="000D60E9">
        <w:t xml:space="preserve">8 </w:t>
      </w:r>
      <w:r>
        <w:t>labor hours to process and review. The cost to the Federal government is:</w:t>
      </w:r>
    </w:p>
    <w:p w14:paraId="6383D0DD" w14:textId="77777777" w:rsidR="009F508F" w:rsidRDefault="009F508F">
      <w:pPr>
        <w:pStyle w:val="Paperwork"/>
      </w:pPr>
    </w:p>
    <w:p w14:paraId="52F0A964" w14:textId="77777777" w:rsidR="009F508F" w:rsidRDefault="00FD0805">
      <w:pPr>
        <w:pStyle w:val="Paperwork"/>
      </w:pPr>
      <w:r>
        <w:tab/>
        <w:t>1</w:t>
      </w:r>
      <w:r w:rsidR="007D6F4E">
        <w:t>8</w:t>
      </w:r>
      <w:r>
        <w:t xml:space="preserve"> full proposals * 8 hours/application * 3 readers</w:t>
      </w:r>
      <w:r>
        <w:tab/>
      </w:r>
      <w:r>
        <w:tab/>
        <w:t>=</w:t>
      </w:r>
      <w:r>
        <w:tab/>
      </w:r>
      <w:r w:rsidR="00E72F21">
        <w:t>432</w:t>
      </w:r>
      <w:r>
        <w:t xml:space="preserve"> labor hours</w:t>
      </w:r>
    </w:p>
    <w:p w14:paraId="759F4BE0" w14:textId="01204B7D" w:rsidR="009F508F" w:rsidRDefault="00E72F21">
      <w:pPr>
        <w:pStyle w:val="Paperwork"/>
        <w:ind w:firstLine="0"/>
      </w:pPr>
      <w:r>
        <w:t>432</w:t>
      </w:r>
      <w:r w:rsidR="00FD0805">
        <w:t xml:space="preserve"> labor hours</w:t>
      </w:r>
      <w:r w:rsidR="00F06259">
        <w:t xml:space="preserve">  </w:t>
      </w:r>
      <w:r w:rsidR="00FD0805">
        <w:t xml:space="preserve"> * $</w:t>
      </w:r>
      <w:r w:rsidR="00A72FEF">
        <w:t>60.83</w:t>
      </w:r>
      <w:r w:rsidR="00F06259">
        <w:t xml:space="preserve"> </w:t>
      </w:r>
      <w:r w:rsidR="00FD0805">
        <w:t>per hour</w:t>
      </w:r>
      <w:r w:rsidR="00FD0805">
        <w:tab/>
      </w:r>
      <w:r w:rsidR="00FD0805">
        <w:tab/>
      </w:r>
      <w:r w:rsidR="00FD0805">
        <w:tab/>
      </w:r>
      <w:r w:rsidR="00FD0805">
        <w:tab/>
        <w:t>=</w:t>
      </w:r>
      <w:r w:rsidR="00FD0805">
        <w:tab/>
        <w:t>$</w:t>
      </w:r>
      <w:r w:rsidR="00A72FEF">
        <w:t>26,278.56</w:t>
      </w:r>
    </w:p>
    <w:p w14:paraId="7B2EB573" w14:textId="77777777" w:rsidR="009F508F" w:rsidRDefault="009F508F">
      <w:pPr>
        <w:pStyle w:val="Paperwork"/>
      </w:pPr>
    </w:p>
    <w:p w14:paraId="49F3FE54" w14:textId="4E3B987F" w:rsidR="004D1BE0" w:rsidRDefault="00FD0805" w:rsidP="004D1BE0">
      <w:pPr>
        <w:pStyle w:val="Paperwork"/>
      </w:pPr>
      <w:r>
        <w:tab/>
        <w:t xml:space="preserve">The total hours expended by Federal government employees are therefore </w:t>
      </w:r>
      <w:r w:rsidR="00005DA9">
        <w:t xml:space="preserve">432 </w:t>
      </w:r>
      <w:r>
        <w:t>hours, and the total cost is estimated to be $</w:t>
      </w:r>
      <w:r w:rsidR="00A72FEF">
        <w:t>26,278.56</w:t>
      </w:r>
      <w:r>
        <w:t>.</w:t>
      </w:r>
      <w:r w:rsidR="004D1BE0">
        <w:t xml:space="preserve">  This portion of the total costs will only be incurred in the fiscal year that the NOFA is issued.</w:t>
      </w:r>
    </w:p>
    <w:p w14:paraId="3070B89B" w14:textId="77777777" w:rsidR="004D1BE0" w:rsidRDefault="004D1BE0" w:rsidP="004D1BE0">
      <w:pPr>
        <w:pStyle w:val="Paperwork"/>
      </w:pPr>
      <w:r>
        <w:tab/>
        <w:t xml:space="preserve"> </w:t>
      </w:r>
    </w:p>
    <w:p w14:paraId="6F66CED9" w14:textId="77777777" w:rsidR="004D1BE0" w:rsidRDefault="004D1BE0" w:rsidP="004D1BE0">
      <w:pPr>
        <w:pStyle w:val="Paperwork"/>
        <w:ind w:firstLine="0"/>
      </w:pPr>
      <w:r>
        <w:t>For ongoing monitoring and management of cooperative agreements, approximately 10 awards are expected.  Quarterly reports will be reviewed by the HUD technical monitor (average grade GS14 step 1, at $</w:t>
      </w:r>
      <w:r w:rsidR="00F06259">
        <w:t>53.68</w:t>
      </w:r>
      <w:r>
        <w:t xml:space="preserve"> per hour in the Washington area). Each report is expected to require 4 labor hours to process and review. The cost to the Federal government is:</w:t>
      </w:r>
    </w:p>
    <w:p w14:paraId="561A520B" w14:textId="77777777" w:rsidR="004D1BE0" w:rsidRDefault="004D1BE0" w:rsidP="004D1BE0">
      <w:pPr>
        <w:pStyle w:val="Paperwork"/>
      </w:pPr>
    </w:p>
    <w:p w14:paraId="4ACA4989" w14:textId="77777777" w:rsidR="004D1BE0" w:rsidRDefault="004D1BE0" w:rsidP="004D1BE0">
      <w:pPr>
        <w:pStyle w:val="Paperwork"/>
      </w:pPr>
      <w:r>
        <w:tab/>
        <w:t>10 agreements * 4 hours/report * 4 reports/year</w:t>
      </w:r>
      <w:r>
        <w:tab/>
      </w:r>
      <w:r>
        <w:tab/>
        <w:t>=</w:t>
      </w:r>
      <w:r>
        <w:tab/>
        <w:t>160 labor hours/year</w:t>
      </w:r>
    </w:p>
    <w:p w14:paraId="4D73E8EE" w14:textId="61651B88" w:rsidR="004D1BE0" w:rsidRDefault="004D1BE0" w:rsidP="004D1BE0">
      <w:pPr>
        <w:pStyle w:val="Paperwork"/>
        <w:ind w:firstLine="0"/>
      </w:pPr>
      <w:r>
        <w:t>160 labor hours/year * $</w:t>
      </w:r>
      <w:r w:rsidR="00F06259">
        <w:t>53.68 per hour</w:t>
      </w:r>
      <w:r w:rsidR="00F06259">
        <w:tab/>
      </w:r>
      <w:r w:rsidR="00F06259">
        <w:tab/>
      </w:r>
      <w:r w:rsidR="00F06259">
        <w:tab/>
        <w:t>=</w:t>
      </w:r>
      <w:r w:rsidR="00F06259">
        <w:tab/>
        <w:t>$</w:t>
      </w:r>
      <w:r w:rsidR="00005DA9">
        <w:t>8,58</w:t>
      </w:r>
      <w:r w:rsidR="00A72FEF">
        <w:t>8.80</w:t>
      </w:r>
      <w:r>
        <w:t>/year</w:t>
      </w:r>
    </w:p>
    <w:p w14:paraId="72BBDC55" w14:textId="77777777" w:rsidR="004D1BE0" w:rsidRDefault="004D1BE0" w:rsidP="004D1BE0">
      <w:pPr>
        <w:pStyle w:val="Paperwork"/>
      </w:pPr>
    </w:p>
    <w:p w14:paraId="2C009BF8" w14:textId="5FE65F79" w:rsidR="004D1BE0" w:rsidRDefault="004D1BE0" w:rsidP="004D1BE0">
      <w:pPr>
        <w:pStyle w:val="Paperwork"/>
      </w:pPr>
      <w:r>
        <w:tab/>
        <w:t>The total hours expended by Federal government employees are estimated to be 160 hours, and the total cost is estimated to be $8,</w:t>
      </w:r>
      <w:r w:rsidR="00F06259">
        <w:t>58</w:t>
      </w:r>
      <w:r w:rsidR="00A72FEF">
        <w:t>8.80</w:t>
      </w:r>
      <w:r>
        <w:t xml:space="preserve">.  These will be ongoing annual costs for the duration of the cooperative agreements.  It should be noted that similar costs are already incurred by the government through the management of similar research efforts issued through the federal contracting process.  The cooperative agreement NOFA process is being implemented largely to substitute for the more cumbersome contracting process.  </w:t>
      </w:r>
    </w:p>
    <w:p w14:paraId="2E6C52EF" w14:textId="0FE81B3A" w:rsidR="009F508F" w:rsidRDefault="00FD0805">
      <w:pPr>
        <w:pStyle w:val="Paperwork"/>
      </w:pPr>
      <w:r>
        <w:tab/>
        <w:t xml:space="preserve"> </w:t>
      </w:r>
    </w:p>
    <w:p w14:paraId="56692A07" w14:textId="77777777" w:rsidR="00195868" w:rsidRDefault="00195868">
      <w:pPr>
        <w:pStyle w:val="Paperwork"/>
      </w:pPr>
    </w:p>
    <w:p w14:paraId="0CB66C80" w14:textId="77777777" w:rsidR="009F508F" w:rsidRDefault="00FD0805">
      <w:pPr>
        <w:pStyle w:val="Paperwork"/>
      </w:pPr>
      <w:r>
        <w:rPr>
          <w:b/>
        </w:rPr>
        <w:t>15.</w:t>
      </w:r>
      <w:r>
        <w:rPr>
          <w:b/>
        </w:rPr>
        <w:tab/>
        <w:t>Explain the reasons for any program changes or adjustments reported in Items 13 and 14 on the OMB Form 83-I.</w:t>
      </w:r>
    </w:p>
    <w:p w14:paraId="4D6D1D87" w14:textId="77777777" w:rsidR="009F508F" w:rsidRDefault="009F508F">
      <w:pPr>
        <w:pStyle w:val="Paperwork"/>
      </w:pPr>
    </w:p>
    <w:p w14:paraId="13CE9FB6" w14:textId="3CEFE2D4" w:rsidR="00E64CAC" w:rsidRDefault="00A9677F" w:rsidP="00E64CAC">
      <w:pPr>
        <w:pStyle w:val="Paperwork"/>
        <w:ind w:firstLine="0"/>
      </w:pPr>
      <w:r w:rsidRPr="00A9677F">
        <w:rPr>
          <w:szCs w:val="24"/>
        </w:rPr>
        <w:t xml:space="preserve">This is a </w:t>
      </w:r>
      <w:r w:rsidR="000F5017">
        <w:rPr>
          <w:szCs w:val="24"/>
        </w:rPr>
        <w:t xml:space="preserve">reinstatement of </w:t>
      </w:r>
      <w:r w:rsidRPr="00A9677F">
        <w:rPr>
          <w:szCs w:val="24"/>
        </w:rPr>
        <w:t>a currently approved collection</w:t>
      </w:r>
      <w:r>
        <w:rPr>
          <w:szCs w:val="24"/>
        </w:rPr>
        <w:t>.</w:t>
      </w:r>
      <w:r w:rsidRPr="00A9677F">
        <w:rPr>
          <w:szCs w:val="24"/>
        </w:rPr>
        <w:t xml:space="preserve"> </w:t>
      </w:r>
      <w:r w:rsidR="00A34F3C" w:rsidRPr="00A34F3C">
        <w:rPr>
          <w:szCs w:val="24"/>
        </w:rPr>
        <w:t xml:space="preserve">Each year the PD&amp;R HUDRD NOFA emphasis changes based on the research priorities that PD&amp;R and HUD considers to be appropriate based in part on a survey, “The Research Roadmap” which incorporates the viewpoints of thousands of HUD stakeholders throughout the country. In 2016 the priority projects were: </w:t>
      </w:r>
      <w:r w:rsidR="00A34F3C" w:rsidRPr="00A34F3C">
        <w:rPr>
          <w:color w:val="000000"/>
          <w:szCs w:val="24"/>
        </w:rPr>
        <w:t>Accessible Housing and Technology Research and Technical Assistance Assessment. In 2017, the priority projects were Child Trajectories in HUD Assisted Housing and the Social and Economic Impacts of the Community Development Block Grant Program</w:t>
      </w:r>
      <w:r w:rsidR="00A34F3C">
        <w:rPr>
          <w:color w:val="000000"/>
          <w:szCs w:val="24"/>
        </w:rPr>
        <w:t>.</w:t>
      </w:r>
    </w:p>
    <w:p w14:paraId="59822CD1" w14:textId="77777777" w:rsidR="009F508F" w:rsidRDefault="009F508F">
      <w:pPr>
        <w:pStyle w:val="Paperwork"/>
      </w:pPr>
    </w:p>
    <w:p w14:paraId="71FE4057" w14:textId="77777777" w:rsidR="009F508F" w:rsidRDefault="00FD0805">
      <w:pPr>
        <w:pStyle w:val="Paperwork"/>
      </w:pPr>
      <w:r>
        <w:rPr>
          <w:b/>
        </w:rPr>
        <w:t>16.</w:t>
      </w:r>
      <w:r>
        <w:rPr>
          <w:b/>
        </w:rPr>
        <w:tab/>
        <w:t>For collections of information whose results will be published, outline plans for tabulation and publications.</w:t>
      </w:r>
      <w:r w:rsidR="00EF1BB2" w:rsidRPr="00EF1BB2">
        <w:t xml:space="preserve"> </w:t>
      </w:r>
      <w:r w:rsidR="00EF1BB2" w:rsidRPr="00EF1BB2">
        <w:rPr>
          <w:b/>
        </w:rPr>
        <w:t>Address any complex analytical techniques that will be used.  Provide the time schedule for the entire project, including beginning and ending dates of the collection of information, completion of report, publication dates, and other actions.</w:t>
      </w:r>
    </w:p>
    <w:p w14:paraId="41F73175" w14:textId="77777777" w:rsidR="009F508F" w:rsidRDefault="009F508F">
      <w:pPr>
        <w:pStyle w:val="Paperwork"/>
      </w:pPr>
    </w:p>
    <w:p w14:paraId="7BA7FEC0" w14:textId="5B72FA11" w:rsidR="005277D1" w:rsidRDefault="00FD0805">
      <w:pPr>
        <w:pStyle w:val="Paperwork"/>
      </w:pPr>
      <w:r>
        <w:tab/>
      </w:r>
    </w:p>
    <w:p w14:paraId="3BFE3D4B" w14:textId="04E112E0" w:rsidR="00190FA3" w:rsidRDefault="00190FA3" w:rsidP="00A9677F">
      <w:pPr>
        <w:pStyle w:val="Paperwork"/>
        <w:ind w:firstLine="0"/>
      </w:pPr>
      <w:r w:rsidRPr="004D1BE0">
        <w:t xml:space="preserve">The actual </w:t>
      </w:r>
      <w:r w:rsidR="00956117">
        <w:t xml:space="preserve">2016 NOFA </w:t>
      </w:r>
      <w:r w:rsidRPr="004D1BE0">
        <w:t xml:space="preserve">awards </w:t>
      </w:r>
      <w:r w:rsidR="004B29E8">
        <w:t xml:space="preserve">were </w:t>
      </w:r>
      <w:r w:rsidRPr="004D1BE0">
        <w:t>made public, as required by the HUD Reform Act.</w:t>
      </w:r>
      <w:r>
        <w:t xml:space="preserve"> </w:t>
      </w:r>
    </w:p>
    <w:p w14:paraId="02E967E2" w14:textId="77777777" w:rsidR="00DF5FEC" w:rsidRDefault="00DF5FEC" w:rsidP="00190FA3">
      <w:pPr>
        <w:pStyle w:val="Paperwork"/>
      </w:pPr>
    </w:p>
    <w:p w14:paraId="23824BA0" w14:textId="32017714" w:rsidR="00190FA3" w:rsidRDefault="00190FA3" w:rsidP="00190FA3">
      <w:pPr>
        <w:pStyle w:val="Paperwork"/>
        <w:numPr>
          <w:ilvl w:val="0"/>
          <w:numId w:val="9"/>
        </w:numPr>
      </w:pPr>
      <w:r>
        <w:t xml:space="preserve">The </w:t>
      </w:r>
      <w:r w:rsidR="004B29E8">
        <w:t xml:space="preserve">2016 </w:t>
      </w:r>
      <w:r>
        <w:t>grant period began on September 6, 2017</w:t>
      </w:r>
      <w:r w:rsidR="004B29E8">
        <w:t xml:space="preserve">, the grant performance period is </w:t>
      </w:r>
      <w:r>
        <w:t>for a three-year ending on September 6, 2020.</w:t>
      </w:r>
    </w:p>
    <w:p w14:paraId="589C09BF" w14:textId="77777777" w:rsidR="00190FA3" w:rsidRDefault="00190FA3" w:rsidP="00190FA3">
      <w:pPr>
        <w:pStyle w:val="Paperwork"/>
        <w:numPr>
          <w:ilvl w:val="0"/>
          <w:numId w:val="9"/>
        </w:numPr>
      </w:pPr>
      <w:r>
        <w:t>The progress reports are due on a quarterly basis as indicated quarterly with January 6</w:t>
      </w:r>
      <w:r w:rsidRPr="0086113A">
        <w:rPr>
          <w:vertAlign w:val="superscript"/>
        </w:rPr>
        <w:t>th</w:t>
      </w:r>
      <w:r>
        <w:t>, May 6</w:t>
      </w:r>
      <w:r w:rsidRPr="0086113A">
        <w:rPr>
          <w:vertAlign w:val="superscript"/>
        </w:rPr>
        <w:t>th</w:t>
      </w:r>
      <w:r>
        <w:t>, September 6</w:t>
      </w:r>
      <w:r w:rsidRPr="0086113A">
        <w:rPr>
          <w:vertAlign w:val="superscript"/>
        </w:rPr>
        <w:t>th</w:t>
      </w:r>
      <w:r>
        <w:rPr>
          <w:vertAlign w:val="superscript"/>
        </w:rPr>
        <w:t xml:space="preserve"> </w:t>
      </w:r>
      <w:r>
        <w:t xml:space="preserve">for each respective year under the NOFA. </w:t>
      </w:r>
    </w:p>
    <w:p w14:paraId="752ECF4E" w14:textId="77777777" w:rsidR="00190FA3" w:rsidRDefault="00190FA3" w:rsidP="00190FA3">
      <w:pPr>
        <w:pStyle w:val="Paperwork"/>
        <w:numPr>
          <w:ilvl w:val="0"/>
          <w:numId w:val="9"/>
        </w:numPr>
      </w:pPr>
      <w:r>
        <w:t>The final reports are due 30 days prior to the end of the performance period August 6, 2020.</w:t>
      </w:r>
    </w:p>
    <w:p w14:paraId="1FD3EB42" w14:textId="0653FD56" w:rsidR="00190FA3" w:rsidRDefault="004B29E8" w:rsidP="00190FA3">
      <w:pPr>
        <w:pStyle w:val="Paperwork"/>
        <w:numPr>
          <w:ilvl w:val="0"/>
          <w:numId w:val="9"/>
        </w:numPr>
      </w:pPr>
      <w:r>
        <w:t>For close out t</w:t>
      </w:r>
      <w:r w:rsidR="00190FA3">
        <w:t xml:space="preserve">he HUD review period is 30 days for approval with an end date of September 6, 2020 to </w:t>
      </w:r>
      <w:r>
        <w:t xml:space="preserve">officially </w:t>
      </w:r>
      <w:r w:rsidR="00190FA3">
        <w:t xml:space="preserve">close out the grants.  </w:t>
      </w:r>
    </w:p>
    <w:p w14:paraId="1FF509A3" w14:textId="77777777" w:rsidR="00190FA3" w:rsidRDefault="00190FA3" w:rsidP="00190FA3"/>
    <w:p w14:paraId="4F8DA4AD" w14:textId="77777777" w:rsidR="009F508F" w:rsidRDefault="009F508F">
      <w:pPr>
        <w:pStyle w:val="Paperwork"/>
      </w:pPr>
    </w:p>
    <w:p w14:paraId="07F36687" w14:textId="77777777" w:rsidR="009F508F" w:rsidRDefault="00FD0805">
      <w:pPr>
        <w:pStyle w:val="Paperwork"/>
      </w:pPr>
      <w:r>
        <w:rPr>
          <w:b/>
        </w:rPr>
        <w:t>17.</w:t>
      </w:r>
      <w:r>
        <w:rPr>
          <w:b/>
        </w:rPr>
        <w:tab/>
        <w:t>If seeking approval to not display the expiration date for OMB approval of the information collection, explain the reasons that display would be inappropriate.</w:t>
      </w:r>
    </w:p>
    <w:p w14:paraId="1FB10F2E" w14:textId="77777777" w:rsidR="009F508F" w:rsidRDefault="009F508F">
      <w:pPr>
        <w:pStyle w:val="Paperwork"/>
      </w:pPr>
    </w:p>
    <w:p w14:paraId="66A00BC9" w14:textId="77777777" w:rsidR="00DB5C17" w:rsidRDefault="00DB5C17" w:rsidP="00963BFF">
      <w:pPr>
        <w:pStyle w:val="CommentText"/>
        <w:ind w:left="720"/>
      </w:pPr>
      <w:r w:rsidRPr="00963BFF">
        <w:rPr>
          <w:sz w:val="24"/>
          <w:szCs w:val="24"/>
        </w:rPr>
        <w:t>HUD will display the expiration date for OMB approval for this information Collection</w:t>
      </w:r>
    </w:p>
    <w:p w14:paraId="24F10114" w14:textId="77777777" w:rsidR="009F508F" w:rsidRDefault="009F508F">
      <w:pPr>
        <w:pStyle w:val="Paperwork"/>
      </w:pPr>
    </w:p>
    <w:p w14:paraId="4CC314B0" w14:textId="77777777" w:rsidR="009F508F" w:rsidRDefault="009F508F">
      <w:pPr>
        <w:pStyle w:val="Paperwork"/>
      </w:pPr>
    </w:p>
    <w:p w14:paraId="72FD7528" w14:textId="77777777" w:rsidR="009F508F" w:rsidRDefault="00FD0805">
      <w:pPr>
        <w:pStyle w:val="Paperwork"/>
        <w:rPr>
          <w:b/>
        </w:rPr>
      </w:pPr>
      <w:r>
        <w:rPr>
          <w:b/>
        </w:rPr>
        <w:t>18.</w:t>
      </w:r>
      <w:r>
        <w:rPr>
          <w:b/>
        </w:rPr>
        <w:tab/>
        <w:t>Explain each exception to the certification statement identified in Item 19 of OMB Form 83-I, Certification for Paperwork Reduction Act Submission.</w:t>
      </w:r>
    </w:p>
    <w:p w14:paraId="00847BD7" w14:textId="77777777" w:rsidR="009F508F" w:rsidRDefault="009F508F">
      <w:pPr>
        <w:pStyle w:val="Paperwork"/>
      </w:pPr>
    </w:p>
    <w:p w14:paraId="758FA7C4" w14:textId="77777777" w:rsidR="009F508F" w:rsidRDefault="00FD0805">
      <w:pPr>
        <w:pStyle w:val="Paperwork"/>
      </w:pPr>
      <w:r>
        <w:tab/>
      </w:r>
      <w:r w:rsidR="00DB5C17" w:rsidRPr="00DB5C17">
        <w:t xml:space="preserve"> </w:t>
      </w:r>
      <w:r w:rsidR="00DB5C17">
        <w:t>HUD does not request an exception to the certification of this information collection</w:t>
      </w:r>
      <w:r w:rsidR="00963BFF">
        <w:t>.</w:t>
      </w:r>
    </w:p>
    <w:p w14:paraId="2324010B" w14:textId="77777777" w:rsidR="009F508F" w:rsidRDefault="009F508F">
      <w:pPr>
        <w:pStyle w:val="Paperwork"/>
      </w:pPr>
    </w:p>
    <w:p w14:paraId="3748C529" w14:textId="77777777" w:rsidR="009F508F" w:rsidRDefault="00FD0805">
      <w:pPr>
        <w:pStyle w:val="Paperwork"/>
      </w:pPr>
      <w:r>
        <w:rPr>
          <w:b/>
        </w:rPr>
        <w:t>B.</w:t>
      </w:r>
      <w:r>
        <w:rPr>
          <w:b/>
        </w:rPr>
        <w:tab/>
        <w:t>Collections of Information Employing Statistical Methods</w:t>
      </w:r>
    </w:p>
    <w:p w14:paraId="7DC07847" w14:textId="77777777" w:rsidR="009F508F" w:rsidRDefault="009F508F">
      <w:pPr>
        <w:pStyle w:val="Paperwork"/>
      </w:pPr>
    </w:p>
    <w:p w14:paraId="5BD33972" w14:textId="77777777" w:rsidR="00FD0805" w:rsidRDefault="00FD0805">
      <w:pPr>
        <w:pStyle w:val="Paperwork"/>
      </w:pPr>
      <w:r>
        <w:tab/>
      </w:r>
      <w:r w:rsidR="004D1BE0">
        <w:t>N/A.</w:t>
      </w:r>
    </w:p>
    <w:sectPr w:rsidR="00FD0805" w:rsidSect="004A00FA">
      <w:footerReference w:type="default" r:id="rId9"/>
      <w:pgSz w:w="12240" w:h="15840"/>
      <w:pgMar w:top="1440"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5C28E" w14:textId="77777777" w:rsidR="00946BF7" w:rsidRDefault="00946BF7">
      <w:r>
        <w:separator/>
      </w:r>
    </w:p>
  </w:endnote>
  <w:endnote w:type="continuationSeparator" w:id="0">
    <w:p w14:paraId="14DEAE24" w14:textId="77777777" w:rsidR="00946BF7" w:rsidRDefault="0094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213A8" w14:textId="14F5AF57" w:rsidR="007C682D" w:rsidRPr="002979AE" w:rsidRDefault="007C682D" w:rsidP="002979AE">
    <w:pPr>
      <w:pStyle w:val="Footer"/>
      <w:tabs>
        <w:tab w:val="clear" w:pos="4320"/>
        <w:tab w:val="clear" w:pos="8640"/>
        <w:tab w:val="center" w:pos="4680"/>
        <w:tab w:val="right" w:pos="9360"/>
      </w:tabs>
    </w:pPr>
    <w:r w:rsidRPr="002979AE">
      <w:t>HUD Office of Policy Development &amp; Research</w:t>
    </w:r>
    <w:r>
      <w:tab/>
    </w:r>
    <w:r w:rsidRPr="002979AE">
      <w:t xml:space="preserve">Page </w:t>
    </w:r>
    <w:r w:rsidRPr="002979AE">
      <w:fldChar w:fldCharType="begin"/>
    </w:r>
    <w:r w:rsidRPr="002979AE">
      <w:instrText xml:space="preserve"> PAGE </w:instrText>
    </w:r>
    <w:r w:rsidRPr="002979AE">
      <w:fldChar w:fldCharType="separate"/>
    </w:r>
    <w:r w:rsidR="006F0394">
      <w:rPr>
        <w:noProof/>
      </w:rPr>
      <w:t>1</w:t>
    </w:r>
    <w:r w:rsidRPr="002979AE">
      <w:fldChar w:fldCharType="end"/>
    </w:r>
    <w:r w:rsidRPr="002979AE">
      <w:tab/>
    </w:r>
    <w:r w:rsidR="009F640A">
      <w:t xml:space="preserve">October 17, </w:t>
    </w:r>
    <w: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35E40" w14:textId="77777777" w:rsidR="00946BF7" w:rsidRDefault="00946BF7">
      <w:r>
        <w:separator/>
      </w:r>
    </w:p>
  </w:footnote>
  <w:footnote w:type="continuationSeparator" w:id="0">
    <w:p w14:paraId="2B42B64F" w14:textId="77777777" w:rsidR="00946BF7" w:rsidRDefault="00946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D5E0F56"/>
    <w:multiLevelType w:val="hybridMultilevel"/>
    <w:tmpl w:val="08B8C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2E30DF"/>
    <w:multiLevelType w:val="hybridMultilevel"/>
    <w:tmpl w:val="F5DEDE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370CD6"/>
    <w:multiLevelType w:val="hybridMultilevel"/>
    <w:tmpl w:val="C92ADFBE"/>
    <w:lvl w:ilvl="0" w:tplc="327AF07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3F16ACD"/>
    <w:multiLevelType w:val="multilevel"/>
    <w:tmpl w:val="F322FB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6F90A9E"/>
    <w:multiLevelType w:val="hybridMultilevel"/>
    <w:tmpl w:val="E674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FE02E9"/>
    <w:multiLevelType w:val="hybridMultilevel"/>
    <w:tmpl w:val="923A36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66410A5F"/>
    <w:multiLevelType w:val="hybridMultilevel"/>
    <w:tmpl w:val="CF3CC812"/>
    <w:lvl w:ilvl="0" w:tplc="1EACF21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0207DD"/>
    <w:multiLevelType w:val="hybridMultilevel"/>
    <w:tmpl w:val="DB5AC8EA"/>
    <w:lvl w:ilvl="0" w:tplc="04090001">
      <w:start w:val="1"/>
      <w:numFmt w:val="bullet"/>
      <w:lvlText w:val=""/>
      <w:lvlJc w:val="left"/>
      <w:pPr>
        <w:ind w:left="1080" w:hanging="360"/>
      </w:pPr>
      <w:rPr>
        <w:rFonts w:ascii="Symbol" w:hAnsi="Symbol" w:hint="default"/>
      </w:rPr>
    </w:lvl>
    <w:lvl w:ilvl="1" w:tplc="4C4A435A">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2">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3">
    <w:abstractNumId w:val="6"/>
  </w:num>
  <w:num w:numId="4">
    <w:abstractNumId w:val="7"/>
  </w:num>
  <w:num w:numId="5">
    <w:abstractNumId w:val="1"/>
  </w:num>
  <w:num w:numId="6">
    <w:abstractNumId w:val="5"/>
  </w:num>
  <w:num w:numId="7">
    <w:abstractNumId w:val="8"/>
  </w:num>
  <w:num w:numId="8">
    <w:abstractNumId w:val="3"/>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D09BE"/>
    <w:rsid w:val="00005DA9"/>
    <w:rsid w:val="000319B0"/>
    <w:rsid w:val="00056833"/>
    <w:rsid w:val="000B3E23"/>
    <w:rsid w:val="000C17E4"/>
    <w:rsid w:val="000D60E9"/>
    <w:rsid w:val="000F4481"/>
    <w:rsid w:val="000F5017"/>
    <w:rsid w:val="000F6B87"/>
    <w:rsid w:val="00120CC2"/>
    <w:rsid w:val="00132A7F"/>
    <w:rsid w:val="001528FA"/>
    <w:rsid w:val="00167372"/>
    <w:rsid w:val="00180A45"/>
    <w:rsid w:val="00186641"/>
    <w:rsid w:val="00190FA3"/>
    <w:rsid w:val="00192D3F"/>
    <w:rsid w:val="00195868"/>
    <w:rsid w:val="00196110"/>
    <w:rsid w:val="001A633C"/>
    <w:rsid w:val="001B01AC"/>
    <w:rsid w:val="001D259A"/>
    <w:rsid w:val="001F56AC"/>
    <w:rsid w:val="001F73F6"/>
    <w:rsid w:val="00251081"/>
    <w:rsid w:val="00256D73"/>
    <w:rsid w:val="002615F2"/>
    <w:rsid w:val="00287247"/>
    <w:rsid w:val="00292149"/>
    <w:rsid w:val="002979AE"/>
    <w:rsid w:val="002A1346"/>
    <w:rsid w:val="002B0556"/>
    <w:rsid w:val="003047C1"/>
    <w:rsid w:val="003449EE"/>
    <w:rsid w:val="00352BA3"/>
    <w:rsid w:val="00364BEB"/>
    <w:rsid w:val="003756C2"/>
    <w:rsid w:val="00386F1B"/>
    <w:rsid w:val="003933C8"/>
    <w:rsid w:val="003B15B3"/>
    <w:rsid w:val="003C403E"/>
    <w:rsid w:val="00403601"/>
    <w:rsid w:val="00430F1F"/>
    <w:rsid w:val="00467BDB"/>
    <w:rsid w:val="0047459C"/>
    <w:rsid w:val="004A00FA"/>
    <w:rsid w:val="004B29E8"/>
    <w:rsid w:val="004D1BE0"/>
    <w:rsid w:val="005129E0"/>
    <w:rsid w:val="005133C8"/>
    <w:rsid w:val="005277D1"/>
    <w:rsid w:val="00540ACA"/>
    <w:rsid w:val="00560C5C"/>
    <w:rsid w:val="0057792F"/>
    <w:rsid w:val="005A5567"/>
    <w:rsid w:val="005B1A20"/>
    <w:rsid w:val="005C684C"/>
    <w:rsid w:val="005C72D9"/>
    <w:rsid w:val="005D3B15"/>
    <w:rsid w:val="006108B8"/>
    <w:rsid w:val="00622B0A"/>
    <w:rsid w:val="00631EBA"/>
    <w:rsid w:val="00643C86"/>
    <w:rsid w:val="0065564B"/>
    <w:rsid w:val="0065565D"/>
    <w:rsid w:val="00666D26"/>
    <w:rsid w:val="006756C7"/>
    <w:rsid w:val="00686EA0"/>
    <w:rsid w:val="006A7D98"/>
    <w:rsid w:val="006B5CE3"/>
    <w:rsid w:val="006C6BA9"/>
    <w:rsid w:val="006C6FD7"/>
    <w:rsid w:val="006F0394"/>
    <w:rsid w:val="007118F4"/>
    <w:rsid w:val="00723666"/>
    <w:rsid w:val="00723F11"/>
    <w:rsid w:val="00740226"/>
    <w:rsid w:val="007630F1"/>
    <w:rsid w:val="00791474"/>
    <w:rsid w:val="007B0B2A"/>
    <w:rsid w:val="007C07D3"/>
    <w:rsid w:val="007C682D"/>
    <w:rsid w:val="007D09BE"/>
    <w:rsid w:val="007D0A87"/>
    <w:rsid w:val="007D6F4E"/>
    <w:rsid w:val="007F4A51"/>
    <w:rsid w:val="008157F5"/>
    <w:rsid w:val="008447A3"/>
    <w:rsid w:val="00845570"/>
    <w:rsid w:val="008A33CF"/>
    <w:rsid w:val="008B40BE"/>
    <w:rsid w:val="008D3EFC"/>
    <w:rsid w:val="008E2EE7"/>
    <w:rsid w:val="008E356B"/>
    <w:rsid w:val="008E7DE0"/>
    <w:rsid w:val="008F266A"/>
    <w:rsid w:val="0090475F"/>
    <w:rsid w:val="00922869"/>
    <w:rsid w:val="009324F1"/>
    <w:rsid w:val="00946BF7"/>
    <w:rsid w:val="00956117"/>
    <w:rsid w:val="00963BFF"/>
    <w:rsid w:val="00971881"/>
    <w:rsid w:val="00974BA7"/>
    <w:rsid w:val="0098650C"/>
    <w:rsid w:val="00997168"/>
    <w:rsid w:val="009F508F"/>
    <w:rsid w:val="009F640A"/>
    <w:rsid w:val="00A202E1"/>
    <w:rsid w:val="00A34F3C"/>
    <w:rsid w:val="00A62B6A"/>
    <w:rsid w:val="00A6521B"/>
    <w:rsid w:val="00A72FEF"/>
    <w:rsid w:val="00A74DBD"/>
    <w:rsid w:val="00A85BC5"/>
    <w:rsid w:val="00A85EB6"/>
    <w:rsid w:val="00A91238"/>
    <w:rsid w:val="00A92A65"/>
    <w:rsid w:val="00A9677F"/>
    <w:rsid w:val="00AA3DEA"/>
    <w:rsid w:val="00AD6658"/>
    <w:rsid w:val="00AE707E"/>
    <w:rsid w:val="00AF4E31"/>
    <w:rsid w:val="00B03AAD"/>
    <w:rsid w:val="00B1671D"/>
    <w:rsid w:val="00B46F93"/>
    <w:rsid w:val="00B530B6"/>
    <w:rsid w:val="00B55F47"/>
    <w:rsid w:val="00B81084"/>
    <w:rsid w:val="00B824FC"/>
    <w:rsid w:val="00B82ECB"/>
    <w:rsid w:val="00B865FD"/>
    <w:rsid w:val="00B939C6"/>
    <w:rsid w:val="00BB7EC6"/>
    <w:rsid w:val="00BE11C8"/>
    <w:rsid w:val="00BE4B97"/>
    <w:rsid w:val="00C03066"/>
    <w:rsid w:val="00C43DCA"/>
    <w:rsid w:val="00C45A9F"/>
    <w:rsid w:val="00CA1AC2"/>
    <w:rsid w:val="00CA3019"/>
    <w:rsid w:val="00CE34F8"/>
    <w:rsid w:val="00CE7CA3"/>
    <w:rsid w:val="00CF0ACE"/>
    <w:rsid w:val="00D67D81"/>
    <w:rsid w:val="00D7212B"/>
    <w:rsid w:val="00D75C11"/>
    <w:rsid w:val="00D76F63"/>
    <w:rsid w:val="00DA22CE"/>
    <w:rsid w:val="00DB5C17"/>
    <w:rsid w:val="00DD60E1"/>
    <w:rsid w:val="00DD7A6C"/>
    <w:rsid w:val="00DE5797"/>
    <w:rsid w:val="00DF5FEC"/>
    <w:rsid w:val="00E01EE4"/>
    <w:rsid w:val="00E35625"/>
    <w:rsid w:val="00E479FF"/>
    <w:rsid w:val="00E63C29"/>
    <w:rsid w:val="00E64CAC"/>
    <w:rsid w:val="00E72F21"/>
    <w:rsid w:val="00E97E49"/>
    <w:rsid w:val="00EA14F8"/>
    <w:rsid w:val="00EC6056"/>
    <w:rsid w:val="00ED15A3"/>
    <w:rsid w:val="00EE5A91"/>
    <w:rsid w:val="00EF1BB2"/>
    <w:rsid w:val="00F01083"/>
    <w:rsid w:val="00F06259"/>
    <w:rsid w:val="00F250A4"/>
    <w:rsid w:val="00F31157"/>
    <w:rsid w:val="00F36945"/>
    <w:rsid w:val="00F43663"/>
    <w:rsid w:val="00F57A49"/>
    <w:rsid w:val="00F605FF"/>
    <w:rsid w:val="00F623B5"/>
    <w:rsid w:val="00F864C5"/>
    <w:rsid w:val="00F9712D"/>
    <w:rsid w:val="00FA0C73"/>
    <w:rsid w:val="00FA2258"/>
    <w:rsid w:val="00FD0805"/>
    <w:rsid w:val="00FD1B0D"/>
    <w:rsid w:val="00FE5F61"/>
    <w:rsid w:val="00FF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0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Paperwork">
    <w:name w:val="Paperwork"/>
    <w:basedOn w:val="Normal"/>
    <w:pPr>
      <w:ind w:left="720" w:hanging="720"/>
    </w:pPr>
    <w:rPr>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FootnoteReference">
    <w:name w:val="footnote reference"/>
    <w:basedOn w:val="DefaultParagraphFont"/>
    <w:semiHidden/>
    <w:rPr>
      <w:rFonts w:ascii="Courier New" w:hAnsi="Courier New"/>
      <w:noProof w:val="0"/>
      <w:sz w:val="24"/>
      <w:vertAlign w:val="superscript"/>
      <w:lang w:val="en-US"/>
    </w:rPr>
  </w:style>
  <w:style w:type="paragraph" w:styleId="BodyText2">
    <w:name w:val="Body Text 2"/>
    <w:basedOn w:val="Normal"/>
    <w:semiHidden/>
    <w:pPr>
      <w:ind w:left="720"/>
    </w:pPr>
    <w:rPr>
      <w:sz w:val="24"/>
    </w:rPr>
  </w:style>
  <w:style w:type="paragraph" w:styleId="BodyText3">
    <w:name w:val="Body Text 3"/>
    <w:basedOn w:val="Normal"/>
    <w:semiHidden/>
    <w:pPr>
      <w:spacing w:after="120"/>
    </w:pPr>
    <w:rPr>
      <w:sz w:val="16"/>
      <w:szCs w:val="16"/>
    </w:rPr>
  </w:style>
  <w:style w:type="paragraph" w:styleId="PlainText">
    <w:name w:val="Plain Text"/>
    <w:basedOn w:val="Normal"/>
    <w:link w:val="PlainTextChar"/>
    <w:uiPriority w:val="99"/>
    <w:semiHidden/>
    <w:unhideWhenUsed/>
    <w:rsid w:val="00B03AAD"/>
    <w:rPr>
      <w:rFonts w:ascii="Arial" w:eastAsiaTheme="minorHAnsi" w:hAnsi="Arial" w:cs="Arial"/>
    </w:rPr>
  </w:style>
  <w:style w:type="character" w:customStyle="1" w:styleId="PlainTextChar">
    <w:name w:val="Plain Text Char"/>
    <w:basedOn w:val="DefaultParagraphFont"/>
    <w:link w:val="PlainText"/>
    <w:uiPriority w:val="99"/>
    <w:semiHidden/>
    <w:rsid w:val="00B03AAD"/>
    <w:rPr>
      <w:rFonts w:ascii="Arial" w:eastAsiaTheme="minorHAnsi" w:hAnsi="Arial" w:cs="Arial"/>
    </w:rPr>
  </w:style>
  <w:style w:type="character" w:styleId="CommentReference">
    <w:name w:val="annotation reference"/>
    <w:basedOn w:val="DefaultParagraphFont"/>
    <w:uiPriority w:val="99"/>
    <w:semiHidden/>
    <w:unhideWhenUsed/>
    <w:rsid w:val="00132A7F"/>
    <w:rPr>
      <w:sz w:val="16"/>
      <w:szCs w:val="16"/>
    </w:rPr>
  </w:style>
  <w:style w:type="paragraph" w:styleId="CommentText">
    <w:name w:val="annotation text"/>
    <w:basedOn w:val="Normal"/>
    <w:link w:val="CommentTextChar"/>
    <w:uiPriority w:val="99"/>
    <w:semiHidden/>
    <w:unhideWhenUsed/>
    <w:rsid w:val="00132A7F"/>
  </w:style>
  <w:style w:type="character" w:customStyle="1" w:styleId="CommentTextChar">
    <w:name w:val="Comment Text Char"/>
    <w:basedOn w:val="DefaultParagraphFont"/>
    <w:link w:val="CommentText"/>
    <w:uiPriority w:val="99"/>
    <w:semiHidden/>
    <w:rsid w:val="00132A7F"/>
  </w:style>
  <w:style w:type="paragraph" w:styleId="CommentSubject">
    <w:name w:val="annotation subject"/>
    <w:basedOn w:val="CommentText"/>
    <w:next w:val="CommentText"/>
    <w:link w:val="CommentSubjectChar"/>
    <w:uiPriority w:val="99"/>
    <w:semiHidden/>
    <w:unhideWhenUsed/>
    <w:rsid w:val="00132A7F"/>
    <w:rPr>
      <w:b/>
      <w:bCs/>
    </w:rPr>
  </w:style>
  <w:style w:type="character" w:customStyle="1" w:styleId="CommentSubjectChar">
    <w:name w:val="Comment Subject Char"/>
    <w:basedOn w:val="CommentTextChar"/>
    <w:link w:val="CommentSubject"/>
    <w:uiPriority w:val="99"/>
    <w:semiHidden/>
    <w:rsid w:val="00132A7F"/>
    <w:rPr>
      <w:b/>
      <w:bCs/>
    </w:rPr>
  </w:style>
  <w:style w:type="paragraph" w:styleId="BalloonText">
    <w:name w:val="Balloon Text"/>
    <w:basedOn w:val="Normal"/>
    <w:link w:val="BalloonTextChar"/>
    <w:uiPriority w:val="99"/>
    <w:semiHidden/>
    <w:unhideWhenUsed/>
    <w:rsid w:val="00132A7F"/>
    <w:rPr>
      <w:rFonts w:ascii="Tahoma" w:hAnsi="Tahoma" w:cs="Tahoma"/>
      <w:sz w:val="16"/>
      <w:szCs w:val="16"/>
    </w:rPr>
  </w:style>
  <w:style w:type="character" w:customStyle="1" w:styleId="BalloonTextChar">
    <w:name w:val="Balloon Text Char"/>
    <w:basedOn w:val="DefaultParagraphFont"/>
    <w:link w:val="BalloonText"/>
    <w:uiPriority w:val="99"/>
    <w:semiHidden/>
    <w:rsid w:val="00132A7F"/>
    <w:rPr>
      <w:rFonts w:ascii="Tahoma" w:hAnsi="Tahoma" w:cs="Tahoma"/>
      <w:sz w:val="16"/>
      <w:szCs w:val="16"/>
    </w:rPr>
  </w:style>
  <w:style w:type="paragraph" w:styleId="Revision">
    <w:name w:val="Revision"/>
    <w:hidden/>
    <w:uiPriority w:val="99"/>
    <w:semiHidden/>
    <w:rsid w:val="006108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Paperwork">
    <w:name w:val="Paperwork"/>
    <w:basedOn w:val="Normal"/>
    <w:pPr>
      <w:ind w:left="720" w:hanging="720"/>
    </w:pPr>
    <w:rPr>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FootnoteReference">
    <w:name w:val="footnote reference"/>
    <w:basedOn w:val="DefaultParagraphFont"/>
    <w:semiHidden/>
    <w:rPr>
      <w:rFonts w:ascii="Courier New" w:hAnsi="Courier New"/>
      <w:noProof w:val="0"/>
      <w:sz w:val="24"/>
      <w:vertAlign w:val="superscript"/>
      <w:lang w:val="en-US"/>
    </w:rPr>
  </w:style>
  <w:style w:type="paragraph" w:styleId="BodyText2">
    <w:name w:val="Body Text 2"/>
    <w:basedOn w:val="Normal"/>
    <w:semiHidden/>
    <w:pPr>
      <w:ind w:left="720"/>
    </w:pPr>
    <w:rPr>
      <w:sz w:val="24"/>
    </w:rPr>
  </w:style>
  <w:style w:type="paragraph" w:styleId="BodyText3">
    <w:name w:val="Body Text 3"/>
    <w:basedOn w:val="Normal"/>
    <w:semiHidden/>
    <w:pPr>
      <w:spacing w:after="120"/>
    </w:pPr>
    <w:rPr>
      <w:sz w:val="16"/>
      <w:szCs w:val="16"/>
    </w:rPr>
  </w:style>
  <w:style w:type="paragraph" w:styleId="PlainText">
    <w:name w:val="Plain Text"/>
    <w:basedOn w:val="Normal"/>
    <w:link w:val="PlainTextChar"/>
    <w:uiPriority w:val="99"/>
    <w:semiHidden/>
    <w:unhideWhenUsed/>
    <w:rsid w:val="00B03AAD"/>
    <w:rPr>
      <w:rFonts w:ascii="Arial" w:eastAsiaTheme="minorHAnsi" w:hAnsi="Arial" w:cs="Arial"/>
    </w:rPr>
  </w:style>
  <w:style w:type="character" w:customStyle="1" w:styleId="PlainTextChar">
    <w:name w:val="Plain Text Char"/>
    <w:basedOn w:val="DefaultParagraphFont"/>
    <w:link w:val="PlainText"/>
    <w:uiPriority w:val="99"/>
    <w:semiHidden/>
    <w:rsid w:val="00B03AAD"/>
    <w:rPr>
      <w:rFonts w:ascii="Arial" w:eastAsiaTheme="minorHAnsi" w:hAnsi="Arial" w:cs="Arial"/>
    </w:rPr>
  </w:style>
  <w:style w:type="character" w:styleId="CommentReference">
    <w:name w:val="annotation reference"/>
    <w:basedOn w:val="DefaultParagraphFont"/>
    <w:uiPriority w:val="99"/>
    <w:semiHidden/>
    <w:unhideWhenUsed/>
    <w:rsid w:val="00132A7F"/>
    <w:rPr>
      <w:sz w:val="16"/>
      <w:szCs w:val="16"/>
    </w:rPr>
  </w:style>
  <w:style w:type="paragraph" w:styleId="CommentText">
    <w:name w:val="annotation text"/>
    <w:basedOn w:val="Normal"/>
    <w:link w:val="CommentTextChar"/>
    <w:uiPriority w:val="99"/>
    <w:semiHidden/>
    <w:unhideWhenUsed/>
    <w:rsid w:val="00132A7F"/>
  </w:style>
  <w:style w:type="character" w:customStyle="1" w:styleId="CommentTextChar">
    <w:name w:val="Comment Text Char"/>
    <w:basedOn w:val="DefaultParagraphFont"/>
    <w:link w:val="CommentText"/>
    <w:uiPriority w:val="99"/>
    <w:semiHidden/>
    <w:rsid w:val="00132A7F"/>
  </w:style>
  <w:style w:type="paragraph" w:styleId="CommentSubject">
    <w:name w:val="annotation subject"/>
    <w:basedOn w:val="CommentText"/>
    <w:next w:val="CommentText"/>
    <w:link w:val="CommentSubjectChar"/>
    <w:uiPriority w:val="99"/>
    <w:semiHidden/>
    <w:unhideWhenUsed/>
    <w:rsid w:val="00132A7F"/>
    <w:rPr>
      <w:b/>
      <w:bCs/>
    </w:rPr>
  </w:style>
  <w:style w:type="character" w:customStyle="1" w:styleId="CommentSubjectChar">
    <w:name w:val="Comment Subject Char"/>
    <w:basedOn w:val="CommentTextChar"/>
    <w:link w:val="CommentSubject"/>
    <w:uiPriority w:val="99"/>
    <w:semiHidden/>
    <w:rsid w:val="00132A7F"/>
    <w:rPr>
      <w:b/>
      <w:bCs/>
    </w:rPr>
  </w:style>
  <w:style w:type="paragraph" w:styleId="BalloonText">
    <w:name w:val="Balloon Text"/>
    <w:basedOn w:val="Normal"/>
    <w:link w:val="BalloonTextChar"/>
    <w:uiPriority w:val="99"/>
    <w:semiHidden/>
    <w:unhideWhenUsed/>
    <w:rsid w:val="00132A7F"/>
    <w:rPr>
      <w:rFonts w:ascii="Tahoma" w:hAnsi="Tahoma" w:cs="Tahoma"/>
      <w:sz w:val="16"/>
      <w:szCs w:val="16"/>
    </w:rPr>
  </w:style>
  <w:style w:type="character" w:customStyle="1" w:styleId="BalloonTextChar">
    <w:name w:val="Balloon Text Char"/>
    <w:basedOn w:val="DefaultParagraphFont"/>
    <w:link w:val="BalloonText"/>
    <w:uiPriority w:val="99"/>
    <w:semiHidden/>
    <w:rsid w:val="00132A7F"/>
    <w:rPr>
      <w:rFonts w:ascii="Tahoma" w:hAnsi="Tahoma" w:cs="Tahoma"/>
      <w:sz w:val="16"/>
      <w:szCs w:val="16"/>
    </w:rPr>
  </w:style>
  <w:style w:type="paragraph" w:styleId="Revision">
    <w:name w:val="Revision"/>
    <w:hidden/>
    <w:uiPriority w:val="99"/>
    <w:semiHidden/>
    <w:rsid w:val="00610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8714">
      <w:bodyDiv w:val="1"/>
      <w:marLeft w:val="0"/>
      <w:marRight w:val="0"/>
      <w:marTop w:val="0"/>
      <w:marBottom w:val="0"/>
      <w:divBdr>
        <w:top w:val="none" w:sz="0" w:space="0" w:color="auto"/>
        <w:left w:val="none" w:sz="0" w:space="0" w:color="auto"/>
        <w:bottom w:val="none" w:sz="0" w:space="0" w:color="auto"/>
        <w:right w:val="none" w:sz="0" w:space="0" w:color="auto"/>
      </w:divBdr>
    </w:div>
    <w:div w:id="1247805482">
      <w:bodyDiv w:val="1"/>
      <w:marLeft w:val="0"/>
      <w:marRight w:val="0"/>
      <w:marTop w:val="0"/>
      <w:marBottom w:val="0"/>
      <w:divBdr>
        <w:top w:val="none" w:sz="0" w:space="0" w:color="auto"/>
        <w:left w:val="none" w:sz="0" w:space="0" w:color="auto"/>
        <w:bottom w:val="none" w:sz="0" w:space="0" w:color="auto"/>
        <w:right w:val="none" w:sz="0" w:space="0" w:color="auto"/>
      </w:divBdr>
    </w:div>
    <w:div w:id="208282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235A4-FF89-47AB-91B5-272F0C523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HUD</Company>
  <LinksUpToDate>false</LinksUpToDate>
  <CharactersWithSpaces>17499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Dana Bres</dc:creator>
  <cp:lastModifiedBy>SYSTEM</cp:lastModifiedBy>
  <cp:revision>2</cp:revision>
  <cp:lastPrinted>2017-10-19T14:17:00Z</cp:lastPrinted>
  <dcterms:created xsi:type="dcterms:W3CDTF">2017-12-04T16:31:00Z</dcterms:created>
  <dcterms:modified xsi:type="dcterms:W3CDTF">2017-12-04T16:31:00Z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