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92" w:rsidRPr="00725F92" w:rsidRDefault="00725F92" w:rsidP="00725F92">
      <w:pPr>
        <w:tabs>
          <w:tab w:val="center" w:pos="4680"/>
        </w:tabs>
        <w:spacing w:after="0" w:line="240" w:lineRule="auto"/>
        <w:jc w:val="center"/>
        <w:rPr>
          <w:rFonts w:ascii="Times New Roman" w:hAnsi="Times New Roman" w:cs="Times New Roman"/>
          <w:sz w:val="24"/>
          <w:szCs w:val="24"/>
        </w:rPr>
      </w:pPr>
      <w:bookmarkStart w:id="0" w:name="_GoBack"/>
      <w:bookmarkEnd w:id="0"/>
      <w:r w:rsidRPr="00725F92">
        <w:rPr>
          <w:rFonts w:ascii="Times New Roman" w:hAnsi="Times New Roman" w:cs="Times New Roman"/>
          <w:sz w:val="24"/>
          <w:szCs w:val="24"/>
        </w:rPr>
        <w:t>SUPPORTING STATEMENT</w:t>
      </w:r>
    </w:p>
    <w:p w:rsidR="002850CA" w:rsidRDefault="002850CA" w:rsidP="00725F92">
      <w:pPr>
        <w:tabs>
          <w:tab w:val="center" w:pos="4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RECORDKEEPING REQUIREMENTS ASSOCIATED WITH </w:t>
      </w:r>
    </w:p>
    <w:p w:rsidR="00725F92" w:rsidRPr="00725F92" w:rsidRDefault="002850CA" w:rsidP="00725F92">
      <w:pPr>
        <w:tabs>
          <w:tab w:val="center" w:pos="4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REAL ESTATE APPRAISALS AND EVALUATIONS</w:t>
      </w:r>
    </w:p>
    <w:p w:rsidR="00725F92" w:rsidRPr="00725F92" w:rsidRDefault="002850CA" w:rsidP="00725F92">
      <w:pPr>
        <w:tabs>
          <w:tab w:val="center" w:pos="4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25F92" w:rsidRPr="00725F92">
        <w:rPr>
          <w:rFonts w:ascii="Times New Roman" w:hAnsi="Times New Roman" w:cs="Times New Roman"/>
          <w:sz w:val="24"/>
          <w:szCs w:val="24"/>
        </w:rPr>
        <w:t>OMB No. 3064</w:t>
      </w:r>
      <w:r w:rsidR="00725F92" w:rsidRPr="00725F92">
        <w:rPr>
          <w:rFonts w:ascii="Times New Roman" w:hAnsi="Times New Roman" w:cs="Times New Roman"/>
          <w:sz w:val="24"/>
          <w:szCs w:val="24"/>
        </w:rPr>
        <w:noBreakHyphen/>
        <w:t>0103</w:t>
      </w:r>
      <w:r>
        <w:rPr>
          <w:rFonts w:ascii="Times New Roman" w:hAnsi="Times New Roman" w:cs="Times New Roman"/>
          <w:sz w:val="24"/>
          <w:szCs w:val="24"/>
        </w:rPr>
        <w:t>)</w:t>
      </w:r>
    </w:p>
    <w:p w:rsidR="00725F92" w:rsidRPr="00725F92" w:rsidRDefault="00725F92" w:rsidP="00725F92">
      <w:pPr>
        <w:tabs>
          <w:tab w:val="left" w:pos="240"/>
          <w:tab w:val="left" w:pos="840"/>
          <w:tab w:val="left" w:pos="1440"/>
          <w:tab w:val="left" w:pos="2040"/>
          <w:tab w:val="left" w:pos="2640"/>
          <w:tab w:val="left" w:pos="3240"/>
          <w:tab w:val="left" w:pos="3840"/>
          <w:tab w:val="left" w:pos="4440"/>
        </w:tabs>
        <w:spacing w:after="0" w:line="240" w:lineRule="auto"/>
        <w:rPr>
          <w:rFonts w:ascii="Times New Roman" w:hAnsi="Times New Roman" w:cs="Times New Roman"/>
          <w:sz w:val="24"/>
          <w:szCs w:val="24"/>
        </w:rPr>
      </w:pPr>
    </w:p>
    <w:p w:rsidR="00725F92" w:rsidRPr="00725F92" w:rsidRDefault="00725F92" w:rsidP="00725F92">
      <w:pPr>
        <w:tabs>
          <w:tab w:val="left" w:pos="240"/>
          <w:tab w:val="left" w:pos="840"/>
          <w:tab w:val="left" w:pos="1440"/>
          <w:tab w:val="left" w:pos="2040"/>
          <w:tab w:val="left" w:pos="2640"/>
          <w:tab w:val="left" w:pos="3240"/>
          <w:tab w:val="left" w:pos="3840"/>
          <w:tab w:val="left" w:pos="4440"/>
        </w:tabs>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INTRODUCTION</w:t>
      </w:r>
    </w:p>
    <w:p w:rsidR="00725F92" w:rsidRPr="00725F92" w:rsidRDefault="00725F92" w:rsidP="00725F92">
      <w:pPr>
        <w:tabs>
          <w:tab w:val="left" w:pos="240"/>
          <w:tab w:val="left" w:pos="840"/>
          <w:tab w:val="left" w:pos="1440"/>
          <w:tab w:val="left" w:pos="2040"/>
          <w:tab w:val="left" w:pos="2640"/>
          <w:tab w:val="left" w:pos="3240"/>
          <w:tab w:val="left" w:pos="3840"/>
          <w:tab w:val="left" w:pos="4440"/>
        </w:tabs>
        <w:spacing w:after="0" w:line="240" w:lineRule="auto"/>
        <w:rPr>
          <w:rFonts w:ascii="Times New Roman" w:hAnsi="Times New Roman" w:cs="Times New Roman"/>
          <w:sz w:val="24"/>
          <w:szCs w:val="24"/>
        </w:rPr>
      </w:pPr>
    </w:p>
    <w:p w:rsidR="00BC71D9" w:rsidRPr="00725F92" w:rsidRDefault="00725F92" w:rsidP="00675B5D">
      <w:pPr>
        <w:tabs>
          <w:tab w:val="left" w:pos="240"/>
          <w:tab w:val="left" w:pos="840"/>
          <w:tab w:val="left" w:pos="1440"/>
          <w:tab w:val="left" w:pos="2040"/>
          <w:tab w:val="left" w:pos="2640"/>
          <w:tab w:val="left" w:pos="3240"/>
          <w:tab w:val="left" w:pos="3840"/>
          <w:tab w:val="left" w:pos="4440"/>
        </w:tabs>
        <w:spacing w:after="0" w:line="240" w:lineRule="auto"/>
        <w:rPr>
          <w:rFonts w:ascii="Times New Roman" w:hAnsi="Times New Roman" w:cs="Times New Roman"/>
          <w:sz w:val="24"/>
          <w:szCs w:val="24"/>
        </w:rPr>
      </w:pPr>
      <w:r w:rsidRPr="00BC71D9">
        <w:rPr>
          <w:rFonts w:ascii="Times New Roman" w:hAnsi="Times New Roman" w:cs="Times New Roman"/>
          <w:sz w:val="24"/>
          <w:szCs w:val="24"/>
        </w:rPr>
        <w:t>This submission is b</w:t>
      </w:r>
      <w:r w:rsidR="002A442A" w:rsidRPr="00BC71D9">
        <w:rPr>
          <w:rFonts w:ascii="Times New Roman" w:hAnsi="Times New Roman" w:cs="Times New Roman"/>
          <w:sz w:val="24"/>
          <w:szCs w:val="24"/>
        </w:rPr>
        <w:t xml:space="preserve">eing made in connection with a </w:t>
      </w:r>
      <w:r w:rsidR="00675B5D">
        <w:rPr>
          <w:rFonts w:ascii="Times New Roman" w:hAnsi="Times New Roman" w:cs="Times New Roman"/>
          <w:sz w:val="24"/>
          <w:szCs w:val="24"/>
        </w:rPr>
        <w:t xml:space="preserve">Joint </w:t>
      </w:r>
      <w:r w:rsidR="002A442A" w:rsidRPr="00BC71D9">
        <w:rPr>
          <w:rFonts w:ascii="Times New Roman" w:hAnsi="Times New Roman" w:cs="Times New Roman"/>
          <w:sz w:val="24"/>
          <w:szCs w:val="24"/>
        </w:rPr>
        <w:t>Notice of Proposed R</w:t>
      </w:r>
      <w:r w:rsidRPr="00BC71D9">
        <w:rPr>
          <w:rFonts w:ascii="Times New Roman" w:hAnsi="Times New Roman" w:cs="Times New Roman"/>
          <w:sz w:val="24"/>
          <w:szCs w:val="24"/>
        </w:rPr>
        <w:t xml:space="preserve">ulemaking </w:t>
      </w:r>
      <w:r w:rsidR="002A442A" w:rsidRPr="00BC71D9">
        <w:rPr>
          <w:rFonts w:ascii="Times New Roman" w:hAnsi="Times New Roman" w:cs="Times New Roman"/>
          <w:sz w:val="24"/>
          <w:szCs w:val="24"/>
        </w:rPr>
        <w:t xml:space="preserve">(NPRM) </w:t>
      </w:r>
      <w:r w:rsidRPr="00BC71D9">
        <w:rPr>
          <w:rFonts w:ascii="Times New Roman" w:hAnsi="Times New Roman" w:cs="Times New Roman"/>
          <w:sz w:val="24"/>
          <w:szCs w:val="24"/>
        </w:rPr>
        <w:t xml:space="preserve">published in the </w:t>
      </w:r>
      <w:r w:rsidRPr="00675B5D">
        <w:rPr>
          <w:rFonts w:ascii="Times New Roman" w:hAnsi="Times New Roman" w:cs="Times New Roman"/>
          <w:i/>
          <w:sz w:val="24"/>
          <w:szCs w:val="24"/>
        </w:rPr>
        <w:t>Federal Register</w:t>
      </w:r>
      <w:r w:rsidRPr="00675B5D">
        <w:rPr>
          <w:rStyle w:val="FootnoteReference"/>
          <w:rFonts w:ascii="Times New Roman" w:hAnsi="Times New Roman" w:cs="Times New Roman"/>
          <w:sz w:val="24"/>
          <w:szCs w:val="24"/>
          <w:vertAlign w:val="superscript"/>
        </w:rPr>
        <w:footnoteReference w:id="1"/>
      </w:r>
      <w:r w:rsidR="006F4D80">
        <w:rPr>
          <w:rFonts w:ascii="Times New Roman" w:hAnsi="Times New Roman" w:cs="Times New Roman"/>
          <w:i/>
          <w:sz w:val="24"/>
          <w:szCs w:val="24"/>
        </w:rPr>
        <w:t xml:space="preserve"> </w:t>
      </w:r>
      <w:r w:rsidR="006F4D80">
        <w:rPr>
          <w:rFonts w:ascii="Times New Roman" w:hAnsi="Times New Roman" w:cs="Times New Roman"/>
          <w:sz w:val="24"/>
          <w:szCs w:val="24"/>
        </w:rPr>
        <w:t xml:space="preserve">amending current </w:t>
      </w:r>
      <w:r w:rsidR="00675B5D">
        <w:rPr>
          <w:rFonts w:ascii="Times New Roman" w:hAnsi="Times New Roman" w:cs="Times New Roman"/>
          <w:sz w:val="24"/>
          <w:szCs w:val="24"/>
        </w:rPr>
        <w:t xml:space="preserve">Part 323 </w:t>
      </w:r>
      <w:r w:rsidR="00675B5D" w:rsidRPr="00725F92">
        <w:rPr>
          <w:rFonts w:ascii="Times New Roman" w:hAnsi="Times New Roman" w:cs="Times New Roman"/>
          <w:sz w:val="24"/>
          <w:szCs w:val="24"/>
        </w:rPr>
        <w:t>of FDIC</w:t>
      </w:r>
      <w:r w:rsidR="00675B5D">
        <w:rPr>
          <w:rFonts w:ascii="Times New Roman" w:hAnsi="Times New Roman" w:cs="Times New Roman"/>
          <w:sz w:val="24"/>
          <w:szCs w:val="24"/>
        </w:rPr>
        <w:t>’</w:t>
      </w:r>
      <w:r w:rsidR="00675B5D" w:rsidRPr="00725F92">
        <w:rPr>
          <w:rFonts w:ascii="Times New Roman" w:hAnsi="Times New Roman" w:cs="Times New Roman"/>
          <w:sz w:val="24"/>
          <w:szCs w:val="24"/>
        </w:rPr>
        <w:t>s regulations</w:t>
      </w:r>
      <w:r w:rsidR="00675B5D" w:rsidRPr="00D36190">
        <w:rPr>
          <w:rStyle w:val="FootnoteReference"/>
          <w:rFonts w:ascii="Times New Roman" w:hAnsi="Times New Roman" w:cs="Times New Roman"/>
          <w:sz w:val="24"/>
          <w:szCs w:val="24"/>
          <w:vertAlign w:val="superscript"/>
        </w:rPr>
        <w:footnoteReference w:id="2"/>
      </w:r>
      <w:r w:rsidR="00675B5D" w:rsidRPr="00725F92">
        <w:rPr>
          <w:rFonts w:ascii="Times New Roman" w:hAnsi="Times New Roman" w:cs="Times New Roman"/>
          <w:sz w:val="24"/>
          <w:szCs w:val="24"/>
        </w:rPr>
        <w:t xml:space="preserve"> </w:t>
      </w:r>
      <w:r w:rsidR="006F4D80">
        <w:rPr>
          <w:rFonts w:ascii="Times New Roman" w:hAnsi="Times New Roman" w:cs="Times New Roman"/>
          <w:sz w:val="24"/>
          <w:szCs w:val="24"/>
        </w:rPr>
        <w:t xml:space="preserve">which </w:t>
      </w:r>
      <w:r w:rsidR="00BC71D9" w:rsidRPr="00725F92">
        <w:rPr>
          <w:rFonts w:ascii="Times New Roman" w:hAnsi="Times New Roman" w:cs="Times New Roman"/>
          <w:sz w:val="24"/>
          <w:szCs w:val="24"/>
        </w:rPr>
        <w:t>implements a portion of Title XI of the Financial Institutions Reform, Recovery, and Enforcement Act of 1989 (“FIRREA”).  Title XI of FIRREA is designed to provide protection for federal financial and public policy interests by requiring real estate appraisals used in connection with federally related transactions to be perfor</w:t>
      </w:r>
      <w:smartTag w:uri="urn:schemas-microsoft-com:office:smarttags" w:element="PersonName">
        <w:r w:rsidR="00BC71D9" w:rsidRPr="00725F92">
          <w:rPr>
            <w:rFonts w:ascii="Times New Roman" w:hAnsi="Times New Roman" w:cs="Times New Roman"/>
            <w:sz w:val="24"/>
            <w:szCs w:val="24"/>
          </w:rPr>
          <w:t>me</w:t>
        </w:r>
      </w:smartTag>
      <w:r w:rsidR="00BC71D9" w:rsidRPr="00725F92">
        <w:rPr>
          <w:rFonts w:ascii="Times New Roman" w:hAnsi="Times New Roman" w:cs="Times New Roman"/>
          <w:sz w:val="24"/>
          <w:szCs w:val="24"/>
        </w:rPr>
        <w:t>d in writing, in accordance with uniform standards, by an appraiser whose competency has been demonstrated and whose professional conduct will be subject to effective supervision.</w:t>
      </w:r>
    </w:p>
    <w:p w:rsidR="00BC71D9" w:rsidRPr="00725F92" w:rsidRDefault="00BC71D9" w:rsidP="00675B5D">
      <w:pPr>
        <w:tabs>
          <w:tab w:val="left" w:pos="240"/>
          <w:tab w:val="left" w:pos="840"/>
          <w:tab w:val="left" w:pos="1440"/>
          <w:tab w:val="left" w:pos="2040"/>
          <w:tab w:val="left" w:pos="2640"/>
          <w:tab w:val="left" w:pos="3240"/>
          <w:tab w:val="left" w:pos="3840"/>
          <w:tab w:val="left" w:pos="4440"/>
        </w:tabs>
        <w:spacing w:after="0" w:line="240" w:lineRule="auto"/>
        <w:rPr>
          <w:rFonts w:ascii="Times New Roman" w:hAnsi="Times New Roman" w:cs="Times New Roman"/>
          <w:sz w:val="24"/>
          <w:szCs w:val="24"/>
        </w:rPr>
      </w:pPr>
    </w:p>
    <w:p w:rsidR="00BC71D9" w:rsidRPr="00725F92" w:rsidRDefault="00BC71D9" w:rsidP="00121BE8">
      <w:pPr>
        <w:spacing w:after="0" w:line="240" w:lineRule="auto"/>
        <w:ind w:left="720" w:right="720"/>
        <w:jc w:val="both"/>
        <w:rPr>
          <w:rFonts w:ascii="Times New Roman" w:hAnsi="Times New Roman" w:cs="Times New Roman"/>
          <w:sz w:val="24"/>
          <w:szCs w:val="24"/>
        </w:rPr>
      </w:pPr>
      <w:r w:rsidRPr="00725F92">
        <w:rPr>
          <w:rFonts w:ascii="Times New Roman" w:hAnsi="Times New Roman" w:cs="Times New Roman"/>
          <w:sz w:val="24"/>
          <w:szCs w:val="24"/>
        </w:rPr>
        <w:t>Section 1110 of FIRREA mandates that the Federal financial institutions regulatory agencies (“Agencies”) prescribe appropriate standards for the performance of real estate appraisals in connection with federally related transactions under the jurisdiction of each agency.  The majority of the provisions of Part 323 are specifically mandated by FIRREA and do not represent discretionary require</w:t>
      </w:r>
      <w:smartTag w:uri="urn:schemas-microsoft-com:office:smarttags" w:element="PersonName">
        <w:r w:rsidRPr="00725F92">
          <w:rPr>
            <w:rFonts w:ascii="Times New Roman" w:hAnsi="Times New Roman" w:cs="Times New Roman"/>
            <w:sz w:val="24"/>
            <w:szCs w:val="24"/>
          </w:rPr>
          <w:t>me</w:t>
        </w:r>
      </w:smartTag>
      <w:r w:rsidRPr="00725F92">
        <w:rPr>
          <w:rFonts w:ascii="Times New Roman" w:hAnsi="Times New Roman" w:cs="Times New Roman"/>
          <w:sz w:val="24"/>
          <w:szCs w:val="24"/>
        </w:rPr>
        <w:t>nts.</w:t>
      </w:r>
    </w:p>
    <w:p w:rsidR="00BC71D9" w:rsidRDefault="00BC71D9" w:rsidP="00675B5D">
      <w:pPr>
        <w:pStyle w:val="Default"/>
        <w:rPr>
          <w:rFonts w:eastAsia="Calibri"/>
          <w:color w:val="000000" w:themeColor="text1"/>
        </w:rPr>
      </w:pPr>
    </w:p>
    <w:p w:rsidR="00BC71D9" w:rsidRDefault="00D36190" w:rsidP="00675B5D">
      <w:pPr>
        <w:pStyle w:val="Default"/>
      </w:pPr>
      <w:r>
        <w:rPr>
          <w:rFonts w:eastAsia="Calibri"/>
          <w:color w:val="000000" w:themeColor="text1"/>
        </w:rPr>
        <w:t xml:space="preserve">The current rule contains </w:t>
      </w:r>
      <w:r w:rsidR="00BC71D9" w:rsidRPr="0098214A">
        <w:rPr>
          <w:rFonts w:eastAsia="Calibri"/>
          <w:color w:val="000000" w:themeColor="text1"/>
        </w:rPr>
        <w:t>thresholds, which were es</w:t>
      </w:r>
      <w:r>
        <w:rPr>
          <w:rFonts w:eastAsia="Calibri"/>
          <w:color w:val="000000" w:themeColor="text1"/>
        </w:rPr>
        <w:t>tablished by rulemaking in 1994.</w:t>
      </w:r>
      <w:r w:rsidR="00BC71D9" w:rsidRPr="00BC71D9">
        <w:rPr>
          <w:rStyle w:val="FootnoteReference"/>
          <w:rFonts w:eastAsia="Calibri"/>
          <w:color w:val="000000" w:themeColor="text1"/>
          <w:vertAlign w:val="superscript"/>
        </w:rPr>
        <w:footnoteReference w:id="3"/>
      </w:r>
      <w:r w:rsidR="00BC71D9" w:rsidRPr="0098214A">
        <w:rPr>
          <w:rFonts w:eastAsia="Calibri"/>
          <w:color w:val="000000" w:themeColor="text1"/>
        </w:rPr>
        <w:t xml:space="preserve"> </w:t>
      </w:r>
      <w:r w:rsidR="00BF2334">
        <w:rPr>
          <w:rFonts w:eastAsia="Calibri"/>
          <w:color w:val="000000" w:themeColor="text1"/>
        </w:rPr>
        <w:t xml:space="preserve"> </w:t>
      </w:r>
      <w:r>
        <w:rPr>
          <w:rFonts w:eastAsia="Calibri"/>
          <w:color w:val="000000" w:themeColor="text1"/>
        </w:rPr>
        <w:t xml:space="preserve">Under the current rule, </w:t>
      </w:r>
      <w:r w:rsidR="00BC71D9" w:rsidRPr="0098214A">
        <w:rPr>
          <w:rFonts w:eastAsia="Calibri"/>
          <w:color w:val="000000" w:themeColor="text1"/>
        </w:rPr>
        <w:t>all real estate-related financial transactions with a transaction value</w:t>
      </w:r>
      <w:r w:rsidR="00BC71D9" w:rsidRPr="00BC71D9">
        <w:rPr>
          <w:rStyle w:val="FootnoteReference"/>
          <w:rFonts w:eastAsia="Calibri"/>
          <w:color w:val="000000" w:themeColor="text1"/>
          <w:vertAlign w:val="superscript"/>
        </w:rPr>
        <w:footnoteReference w:id="4"/>
      </w:r>
      <w:r w:rsidR="00BC71D9" w:rsidRPr="0098214A">
        <w:rPr>
          <w:rFonts w:eastAsia="Calibri"/>
          <w:color w:val="000000" w:themeColor="text1"/>
        </w:rPr>
        <w:t xml:space="preserve"> of $250,000 or less, as well as certain real estate-secured business loans (qualifying business loans)</w:t>
      </w:r>
      <w:r w:rsidRPr="00D36190">
        <w:rPr>
          <w:rFonts w:eastAsia="Calibri"/>
          <w:color w:val="000000" w:themeColor="text1"/>
          <w:vertAlign w:val="superscript"/>
        </w:rPr>
        <w:t xml:space="preserve"> </w:t>
      </w:r>
      <w:r w:rsidRPr="0098214A">
        <w:rPr>
          <w:rFonts w:eastAsia="Calibri"/>
          <w:color w:val="000000" w:themeColor="text1"/>
          <w:vertAlign w:val="superscript"/>
        </w:rPr>
        <w:footnoteReference w:id="5"/>
      </w:r>
      <w:r w:rsidR="00CD14F8">
        <w:rPr>
          <w:rFonts w:eastAsia="Calibri"/>
          <w:color w:val="000000" w:themeColor="text1"/>
        </w:rPr>
        <w:t xml:space="preserve"> </w:t>
      </w:r>
      <w:r w:rsidR="00BC71D9" w:rsidRPr="0098214A">
        <w:rPr>
          <w:rFonts w:eastAsia="Calibri"/>
          <w:color w:val="000000" w:themeColor="text1"/>
        </w:rPr>
        <w:t>with a transaction value of $1 million or less, do not require appraisals.</w:t>
      </w:r>
      <w:r w:rsidR="00BC71D9" w:rsidRPr="00675B5D">
        <w:rPr>
          <w:rStyle w:val="FootnoteReference"/>
          <w:rFonts w:eastAsia="Calibri"/>
          <w:color w:val="000000" w:themeColor="text1"/>
          <w:vertAlign w:val="superscript"/>
        </w:rPr>
        <w:footnoteReference w:id="6"/>
      </w:r>
      <w:r w:rsidR="00BC71D9" w:rsidRPr="00675B5D">
        <w:rPr>
          <w:rFonts w:eastAsia="Calibri"/>
          <w:color w:val="000000" w:themeColor="text1"/>
          <w:vertAlign w:val="superscript"/>
        </w:rPr>
        <w:t xml:space="preserve"> </w:t>
      </w:r>
      <w:r w:rsidR="00BC71D9" w:rsidRPr="0098214A">
        <w:rPr>
          <w:rFonts w:eastAsia="Calibri"/>
          <w:color w:val="000000" w:themeColor="text1"/>
        </w:rPr>
        <w:t xml:space="preserve"> </w:t>
      </w:r>
      <w:r w:rsidR="00BF2334">
        <w:rPr>
          <w:rFonts w:eastAsia="Calibri"/>
          <w:color w:val="000000" w:themeColor="text1"/>
        </w:rPr>
        <w:t xml:space="preserve">Instead, the financial institution may </w:t>
      </w:r>
      <w:r w:rsidR="00BC71D9" w:rsidRPr="00E77334">
        <w:rPr>
          <w:rFonts w:eastAsia="Calibri"/>
          <w:color w:val="000000" w:themeColor="text1"/>
        </w:rPr>
        <w:t xml:space="preserve">obtain an evaluation of the real property collateral that is consistent with safe and </w:t>
      </w:r>
      <w:r w:rsidR="00BC71D9" w:rsidRPr="00E77334">
        <w:rPr>
          <w:rFonts w:eastAsia="Calibri"/>
          <w:color w:val="000000" w:themeColor="text1"/>
        </w:rPr>
        <w:lastRenderedPageBreak/>
        <w:t>sound banking practices</w:t>
      </w:r>
      <w:r w:rsidR="00BF2334">
        <w:rPr>
          <w:rFonts w:eastAsia="Calibri"/>
          <w:color w:val="000000" w:themeColor="text1"/>
        </w:rPr>
        <w:t>.  In addition, the evaluation must contain</w:t>
      </w:r>
      <w:r w:rsidR="00BC71D9" w:rsidRPr="00E77334">
        <w:rPr>
          <w:rFonts w:eastAsia="Calibri"/>
          <w:color w:val="000000" w:themeColor="text1"/>
        </w:rPr>
        <w:t xml:space="preserve"> sufficient information and analysis to support the financial institution’s decision to engage in the transaction. </w:t>
      </w:r>
      <w:r w:rsidR="00BF2334" w:rsidRPr="00675B5D">
        <w:rPr>
          <w:rStyle w:val="FootnoteReference"/>
          <w:rFonts w:eastAsia="Calibri"/>
          <w:color w:val="000000" w:themeColor="text1"/>
          <w:vertAlign w:val="superscript"/>
        </w:rPr>
        <w:footnoteReference w:id="7"/>
      </w:r>
      <w:r w:rsidR="00BF2334" w:rsidRPr="00E77334">
        <w:rPr>
          <w:rFonts w:eastAsia="Calibri"/>
          <w:color w:val="000000" w:themeColor="text1"/>
        </w:rPr>
        <w:t xml:space="preserve"> </w:t>
      </w:r>
      <w:r w:rsidR="00BC71D9" w:rsidRPr="00E77334">
        <w:rPr>
          <w:rFonts w:eastAsia="Calibri"/>
          <w:color w:val="000000" w:themeColor="text1"/>
        </w:rPr>
        <w:t xml:space="preserve"> </w:t>
      </w:r>
    </w:p>
    <w:p w:rsidR="00BC71D9" w:rsidRDefault="00BC71D9" w:rsidP="00675B5D">
      <w:pPr>
        <w:spacing w:after="0" w:line="240" w:lineRule="auto"/>
        <w:contextualSpacing/>
        <w:rPr>
          <w:rFonts w:ascii="Times New Roman" w:hAnsi="Times New Roman" w:cs="Times New Roman"/>
          <w:color w:val="000000" w:themeColor="text1"/>
          <w:sz w:val="24"/>
          <w:szCs w:val="24"/>
        </w:rPr>
      </w:pPr>
    </w:p>
    <w:p w:rsidR="00BF2334" w:rsidRPr="00E01D9F" w:rsidRDefault="00BC71D9" w:rsidP="00675B5D">
      <w:pPr>
        <w:spacing w:after="0" w:line="240" w:lineRule="auto"/>
        <w:contextualSpacing/>
        <w:rPr>
          <w:rFonts w:ascii="Times New Roman" w:hAnsi="Times New Roman" w:cs="Times New Roman"/>
          <w:color w:val="000000" w:themeColor="text1"/>
          <w:sz w:val="24"/>
          <w:szCs w:val="24"/>
        </w:rPr>
      </w:pPr>
      <w:r w:rsidRPr="00BC71D9">
        <w:rPr>
          <w:rFonts w:ascii="Times New Roman" w:hAnsi="Times New Roman" w:cs="Times New Roman"/>
          <w:color w:val="000000" w:themeColor="text1"/>
          <w:sz w:val="24"/>
          <w:szCs w:val="24"/>
        </w:rPr>
        <w:t xml:space="preserve">The </w:t>
      </w:r>
      <w:r w:rsidR="00BF2334">
        <w:rPr>
          <w:rFonts w:ascii="Times New Roman" w:hAnsi="Times New Roman" w:cs="Times New Roman"/>
          <w:color w:val="000000" w:themeColor="text1"/>
          <w:sz w:val="24"/>
          <w:szCs w:val="24"/>
        </w:rPr>
        <w:t>NPRM</w:t>
      </w:r>
      <w:r w:rsidRPr="00BC71D9">
        <w:rPr>
          <w:rFonts w:ascii="Times New Roman" w:hAnsi="Times New Roman" w:cs="Times New Roman"/>
          <w:color w:val="000000" w:themeColor="text1"/>
          <w:sz w:val="24"/>
          <w:szCs w:val="24"/>
        </w:rPr>
        <w:t xml:space="preserve"> would increase the threshold level at or below which appraisals would not be </w:t>
      </w:r>
      <w:r w:rsidRPr="00E01D9F">
        <w:rPr>
          <w:rFonts w:ascii="Times New Roman" w:hAnsi="Times New Roman" w:cs="Times New Roman"/>
          <w:color w:val="000000" w:themeColor="text1"/>
          <w:sz w:val="24"/>
          <w:szCs w:val="24"/>
        </w:rPr>
        <w:t xml:space="preserve">required for commercial real estate transactions from $250,000 to $400,000.  For commercial real estate transactions with a value at or below the proposed threshold, the amended rule would </w:t>
      </w:r>
      <w:r w:rsidR="00A05F65">
        <w:rPr>
          <w:rFonts w:ascii="Times New Roman" w:hAnsi="Times New Roman" w:cs="Times New Roman"/>
          <w:color w:val="000000" w:themeColor="text1"/>
          <w:sz w:val="24"/>
          <w:szCs w:val="24"/>
        </w:rPr>
        <w:t>require</w:t>
      </w:r>
      <w:r w:rsidR="00A05F65" w:rsidRPr="00E01D9F">
        <w:rPr>
          <w:rFonts w:ascii="Times New Roman" w:hAnsi="Times New Roman" w:cs="Times New Roman"/>
          <w:color w:val="000000" w:themeColor="text1"/>
          <w:sz w:val="24"/>
          <w:szCs w:val="24"/>
        </w:rPr>
        <w:t xml:space="preserve"> </w:t>
      </w:r>
      <w:r w:rsidR="00BF2334" w:rsidRPr="00E01D9F">
        <w:rPr>
          <w:rFonts w:ascii="Times New Roman" w:hAnsi="Times New Roman" w:cs="Times New Roman"/>
          <w:color w:val="000000" w:themeColor="text1"/>
          <w:sz w:val="24"/>
          <w:szCs w:val="24"/>
        </w:rPr>
        <w:t>an institution</w:t>
      </w:r>
      <w:r w:rsidRPr="00E01D9F">
        <w:rPr>
          <w:rFonts w:ascii="Times New Roman" w:hAnsi="Times New Roman" w:cs="Times New Roman"/>
          <w:color w:val="000000" w:themeColor="text1"/>
          <w:sz w:val="24"/>
          <w:szCs w:val="24"/>
        </w:rPr>
        <w:t xml:space="preserve"> to obtain an evaluation of the real property collateral</w:t>
      </w:r>
      <w:r w:rsidR="00E01D9F" w:rsidRPr="00E01D9F">
        <w:rPr>
          <w:rFonts w:ascii="Times New Roman" w:hAnsi="Times New Roman" w:cs="Times New Roman"/>
          <w:color w:val="000000" w:themeColor="text1"/>
          <w:sz w:val="24"/>
          <w:szCs w:val="24"/>
        </w:rPr>
        <w:t xml:space="preserve"> </w:t>
      </w:r>
      <w:r w:rsidR="00BF2334" w:rsidRPr="00E01D9F">
        <w:rPr>
          <w:rFonts w:ascii="Times New Roman" w:hAnsi="Times New Roman" w:cs="Times New Roman"/>
          <w:color w:val="000000" w:themeColor="text1"/>
          <w:sz w:val="24"/>
          <w:szCs w:val="24"/>
        </w:rPr>
        <w:t>in lieu of an appraisal</w:t>
      </w:r>
      <w:r w:rsidR="00E01D9F" w:rsidRPr="00E01D9F">
        <w:rPr>
          <w:rFonts w:ascii="Times New Roman" w:hAnsi="Times New Roman" w:cs="Times New Roman"/>
          <w:color w:val="000000" w:themeColor="text1"/>
          <w:sz w:val="24"/>
          <w:szCs w:val="24"/>
        </w:rPr>
        <w:t xml:space="preserve"> as long as such evaluation </w:t>
      </w:r>
      <w:r w:rsidRPr="00E01D9F">
        <w:rPr>
          <w:rFonts w:ascii="Times New Roman" w:hAnsi="Times New Roman" w:cs="Times New Roman"/>
          <w:color w:val="000000" w:themeColor="text1"/>
          <w:sz w:val="24"/>
          <w:szCs w:val="24"/>
        </w:rPr>
        <w:t>is consistent with safe and sound banking practices</w:t>
      </w:r>
      <w:r w:rsidR="00E01D9F" w:rsidRPr="00E01D9F">
        <w:rPr>
          <w:rFonts w:ascii="Times New Roman" w:hAnsi="Times New Roman" w:cs="Times New Roman"/>
          <w:color w:val="000000" w:themeColor="text1"/>
          <w:sz w:val="24"/>
          <w:szCs w:val="24"/>
        </w:rPr>
        <w:t xml:space="preserve"> and </w:t>
      </w:r>
      <w:r w:rsidR="00E01D9F" w:rsidRPr="00E01D9F">
        <w:rPr>
          <w:rFonts w:ascii="Times New Roman" w:eastAsia="Calibri" w:hAnsi="Times New Roman" w:cs="Times New Roman"/>
          <w:color w:val="000000" w:themeColor="text1"/>
          <w:sz w:val="24"/>
          <w:szCs w:val="24"/>
        </w:rPr>
        <w:t>contains sufficient information and analysis to support the financial institution’s decision to engage in the transaction</w:t>
      </w:r>
      <w:r w:rsidR="00643A12">
        <w:rPr>
          <w:rFonts w:ascii="Times New Roman" w:eastAsia="Calibri" w:hAnsi="Times New Roman" w:cs="Times New Roman"/>
          <w:color w:val="000000" w:themeColor="text1"/>
          <w:sz w:val="24"/>
          <w:szCs w:val="24"/>
        </w:rPr>
        <w:t>, which is consistent with the current appraisal threshold requirement</w:t>
      </w:r>
      <w:r w:rsidRPr="00E01D9F">
        <w:rPr>
          <w:rFonts w:ascii="Times New Roman" w:hAnsi="Times New Roman" w:cs="Times New Roman"/>
          <w:color w:val="000000" w:themeColor="text1"/>
          <w:sz w:val="24"/>
          <w:szCs w:val="24"/>
        </w:rPr>
        <w:t xml:space="preserve">.  </w:t>
      </w:r>
    </w:p>
    <w:p w:rsidR="00BF2334" w:rsidRDefault="00BF2334" w:rsidP="00675B5D">
      <w:pPr>
        <w:spacing w:after="0" w:line="240" w:lineRule="auto"/>
        <w:contextualSpacing/>
        <w:rPr>
          <w:rFonts w:ascii="Times New Roman" w:hAnsi="Times New Roman" w:cs="Times New Roman"/>
          <w:color w:val="000000" w:themeColor="text1"/>
          <w:sz w:val="24"/>
          <w:szCs w:val="24"/>
        </w:rPr>
      </w:pPr>
    </w:p>
    <w:p w:rsidR="00BC71D9" w:rsidRPr="00BC71D9" w:rsidRDefault="00E01D9F" w:rsidP="00BF233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w:t>
      </w:r>
      <w:r w:rsidRPr="00BC71D9">
        <w:rPr>
          <w:rFonts w:ascii="Times New Roman" w:hAnsi="Times New Roman" w:cs="Times New Roman"/>
          <w:sz w:val="24"/>
          <w:szCs w:val="24"/>
        </w:rPr>
        <w:t xml:space="preserve"> </w:t>
      </w:r>
      <w:r>
        <w:rPr>
          <w:rFonts w:ascii="Times New Roman" w:hAnsi="Times New Roman" w:cs="Times New Roman"/>
          <w:sz w:val="24"/>
          <w:szCs w:val="24"/>
        </w:rPr>
        <w:t>change in threshold amounts</w:t>
      </w:r>
      <w:r w:rsidRPr="00BC71D9">
        <w:rPr>
          <w:rFonts w:ascii="Times New Roman" w:hAnsi="Times New Roman" w:cs="Times New Roman"/>
          <w:sz w:val="24"/>
          <w:szCs w:val="24"/>
        </w:rPr>
        <w:t xml:space="preserve"> described in this </w:t>
      </w:r>
      <w:r>
        <w:rPr>
          <w:rFonts w:ascii="Times New Roman" w:hAnsi="Times New Roman" w:cs="Times New Roman"/>
          <w:sz w:val="24"/>
          <w:szCs w:val="24"/>
        </w:rPr>
        <w:t>NPRM</w:t>
      </w:r>
      <w:r w:rsidRPr="00BC71D9">
        <w:rPr>
          <w:rFonts w:ascii="Times New Roman" w:hAnsi="Times New Roman" w:cs="Times New Roman"/>
          <w:sz w:val="24"/>
          <w:szCs w:val="24"/>
        </w:rPr>
        <w:t xml:space="preserve"> would not change the amount of </w:t>
      </w:r>
      <w:r>
        <w:rPr>
          <w:rFonts w:ascii="Times New Roman" w:hAnsi="Times New Roman" w:cs="Times New Roman"/>
          <w:sz w:val="24"/>
          <w:szCs w:val="24"/>
        </w:rPr>
        <w:t xml:space="preserve">burden under the Paperwork Reduction Act of 1995 (PRA); the </w:t>
      </w:r>
      <w:r w:rsidR="00BF2334">
        <w:rPr>
          <w:rFonts w:ascii="Times New Roman" w:hAnsi="Times New Roman" w:cs="Times New Roman"/>
          <w:sz w:val="24"/>
          <w:szCs w:val="24"/>
        </w:rPr>
        <w:t xml:space="preserve">recordkeeping burden </w:t>
      </w:r>
      <w:r w:rsidR="00675B5D" w:rsidRPr="00BC71D9">
        <w:rPr>
          <w:rFonts w:ascii="Times New Roman" w:hAnsi="Times New Roman" w:cs="Times New Roman"/>
          <w:sz w:val="24"/>
          <w:szCs w:val="24"/>
        </w:rPr>
        <w:t xml:space="preserve">required to document the review of an appraisal or an evaluation </w:t>
      </w:r>
      <w:r>
        <w:rPr>
          <w:rFonts w:ascii="Times New Roman" w:hAnsi="Times New Roman" w:cs="Times New Roman"/>
          <w:sz w:val="24"/>
          <w:szCs w:val="24"/>
        </w:rPr>
        <w:t>remain</w:t>
      </w:r>
      <w:r w:rsidR="00831CC1">
        <w:rPr>
          <w:rFonts w:ascii="Times New Roman" w:hAnsi="Times New Roman" w:cs="Times New Roman"/>
          <w:sz w:val="24"/>
          <w:szCs w:val="24"/>
        </w:rPr>
        <w:t>s</w:t>
      </w:r>
      <w:r w:rsidR="00675B5D" w:rsidRPr="00BC71D9">
        <w:rPr>
          <w:rFonts w:ascii="Times New Roman" w:hAnsi="Times New Roman" w:cs="Times New Roman"/>
          <w:sz w:val="24"/>
          <w:szCs w:val="24"/>
        </w:rPr>
        <w:t xml:space="preserve"> the same.  </w:t>
      </w:r>
      <w:r>
        <w:rPr>
          <w:rFonts w:ascii="Times New Roman" w:hAnsi="Times New Roman" w:cs="Times New Roman"/>
          <w:sz w:val="24"/>
          <w:szCs w:val="24"/>
        </w:rPr>
        <w:t xml:space="preserve">However, the </w:t>
      </w:r>
      <w:r w:rsidRPr="00BC71D9">
        <w:rPr>
          <w:rFonts w:ascii="Times New Roman" w:hAnsi="Times New Roman" w:cs="Times New Roman"/>
          <w:sz w:val="24"/>
          <w:szCs w:val="24"/>
        </w:rPr>
        <w:t xml:space="preserve">FDIC </w:t>
      </w:r>
      <w:r>
        <w:rPr>
          <w:rFonts w:ascii="Times New Roman" w:hAnsi="Times New Roman" w:cs="Times New Roman"/>
          <w:sz w:val="24"/>
          <w:szCs w:val="24"/>
        </w:rPr>
        <w:t xml:space="preserve">has reviewed its previous PRA submissions and has </w:t>
      </w:r>
      <w:r w:rsidR="003A2792">
        <w:rPr>
          <w:rFonts w:ascii="Times New Roman" w:hAnsi="Times New Roman" w:cs="Times New Roman"/>
          <w:sz w:val="24"/>
          <w:szCs w:val="24"/>
        </w:rPr>
        <w:t>updated its</w:t>
      </w:r>
      <w:r w:rsidRPr="00BC71D9">
        <w:rPr>
          <w:rFonts w:ascii="Times New Roman" w:hAnsi="Times New Roman" w:cs="Times New Roman"/>
          <w:sz w:val="24"/>
          <w:szCs w:val="24"/>
        </w:rPr>
        <w:t xml:space="preserve"> methodo</w:t>
      </w:r>
      <w:r w:rsidR="004775DF">
        <w:rPr>
          <w:rFonts w:ascii="Times New Roman" w:hAnsi="Times New Roman" w:cs="Times New Roman"/>
          <w:sz w:val="24"/>
          <w:szCs w:val="24"/>
        </w:rPr>
        <w:t xml:space="preserve">logy for calculating the burden.  </w:t>
      </w:r>
      <w:r w:rsidR="00675B5D" w:rsidRPr="00725F92">
        <w:rPr>
          <w:rFonts w:ascii="Times New Roman" w:hAnsi="Times New Roman" w:cs="Times New Roman"/>
          <w:sz w:val="24"/>
          <w:szCs w:val="24"/>
        </w:rPr>
        <w:t xml:space="preserve">The FDIC is </w:t>
      </w:r>
      <w:r>
        <w:rPr>
          <w:rFonts w:ascii="Times New Roman" w:hAnsi="Times New Roman" w:cs="Times New Roman"/>
          <w:sz w:val="24"/>
          <w:szCs w:val="24"/>
        </w:rPr>
        <w:t xml:space="preserve">therefore </w:t>
      </w:r>
      <w:r w:rsidR="00675B5D" w:rsidRPr="00725F92">
        <w:rPr>
          <w:rFonts w:ascii="Times New Roman" w:hAnsi="Times New Roman" w:cs="Times New Roman"/>
          <w:sz w:val="24"/>
          <w:szCs w:val="24"/>
        </w:rPr>
        <w:t xml:space="preserve">requesting OMB approval to </w:t>
      </w:r>
      <w:r>
        <w:rPr>
          <w:rFonts w:ascii="Times New Roman" w:hAnsi="Times New Roman" w:cs="Times New Roman"/>
          <w:sz w:val="24"/>
          <w:szCs w:val="24"/>
        </w:rPr>
        <w:t>revise</w:t>
      </w:r>
      <w:r w:rsidR="00675B5D" w:rsidRPr="00725F92">
        <w:rPr>
          <w:rFonts w:ascii="Times New Roman" w:hAnsi="Times New Roman" w:cs="Times New Roman"/>
          <w:sz w:val="24"/>
          <w:szCs w:val="24"/>
        </w:rPr>
        <w:t xml:space="preserve"> the currently approved collection of information, which expires on December 31, 2019.  </w:t>
      </w:r>
    </w:p>
    <w:p w:rsidR="00BC71D9" w:rsidRDefault="00BC71D9" w:rsidP="00675B5D">
      <w:pPr>
        <w:tabs>
          <w:tab w:val="left" w:pos="240"/>
          <w:tab w:val="left" w:pos="840"/>
          <w:tab w:val="left" w:pos="1440"/>
          <w:tab w:val="left" w:pos="2040"/>
          <w:tab w:val="left" w:pos="2640"/>
          <w:tab w:val="left" w:pos="3240"/>
          <w:tab w:val="left" w:pos="3840"/>
          <w:tab w:val="left" w:pos="4440"/>
        </w:tabs>
        <w:spacing w:after="0" w:line="240" w:lineRule="auto"/>
        <w:rPr>
          <w:rFonts w:ascii="Times New Roman" w:hAnsi="Times New Roman" w:cs="Times New Roman"/>
          <w:sz w:val="24"/>
          <w:szCs w:val="24"/>
        </w:rPr>
      </w:pPr>
    </w:p>
    <w:p w:rsidR="00725F92" w:rsidRPr="00725F92" w:rsidRDefault="00725F92" w:rsidP="00725F92">
      <w:pPr>
        <w:pStyle w:val="ListParagraph"/>
        <w:numPr>
          <w:ilvl w:val="0"/>
          <w:numId w:val="1"/>
        </w:numPr>
        <w:tabs>
          <w:tab w:val="left" w:pos="360"/>
        </w:tabs>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JUSTIFICATION</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Circumstances and Need</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Title XI of FIRREA was enacted to protect federal financial and public policy interests in real estate related transactions.  Many loans and other transactions entered into by federally insured financial institutions are collateralized by liens on real estate.  While repayment ability stands as the primary criteria for determining creditworthiness, the value of collateral provides some protection against loss.  Faulty, incompetent</w:t>
      </w:r>
      <w:r w:rsidR="00737F2B">
        <w:rPr>
          <w:rFonts w:ascii="Times New Roman" w:hAnsi="Times New Roman" w:cs="Times New Roman"/>
          <w:sz w:val="24"/>
          <w:szCs w:val="24"/>
        </w:rPr>
        <w:t>,</w:t>
      </w:r>
      <w:r w:rsidRPr="00725F92">
        <w:rPr>
          <w:rFonts w:ascii="Times New Roman" w:hAnsi="Times New Roman" w:cs="Times New Roman"/>
          <w:sz w:val="24"/>
          <w:szCs w:val="24"/>
        </w:rPr>
        <w:t xml:space="preserve"> or fraudulent appraisals of real estate have caused large loan losses, can contribute to the failure of financial institutions, and may result in losses to the </w:t>
      </w:r>
      <w:r w:rsidR="00C331C0">
        <w:rPr>
          <w:rFonts w:ascii="Times New Roman" w:hAnsi="Times New Roman" w:cs="Times New Roman"/>
          <w:sz w:val="24"/>
          <w:szCs w:val="24"/>
        </w:rPr>
        <w:t>Deposit Insurance Fund (DIF)</w:t>
      </w:r>
      <w:r w:rsidRPr="00725F92">
        <w:rPr>
          <w:rFonts w:ascii="Times New Roman" w:hAnsi="Times New Roman" w:cs="Times New Roman"/>
          <w:sz w:val="24"/>
          <w:szCs w:val="24"/>
        </w:rPr>
        <w:t xml:space="preserve">.  </w:t>
      </w:r>
    </w:p>
    <w:p w:rsidR="00725F92" w:rsidRPr="00725F92" w:rsidRDefault="00725F92" w:rsidP="00121BE8">
      <w:pPr>
        <w:spacing w:after="0" w:line="240" w:lineRule="auto"/>
        <w:ind w:left="1440"/>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FIRREA directs FDIC and other Agencies to prescribe appropriate standards for the performance of real estate appraisals in connection with federally related transactions under its jurisdiction.  It mandates that the regulations promulgated by the FDIC require, at a minimum, that appraisals conform to the standards of the Appraisal Standards Board of the Appraisal Foundation, and that they be in writing.  Moreover, the statute specifically authorizes FDIC to require compliance with additional appraisal standards if such additional standards are required in order to properly carry out its statutory mission.  FDIC has included additional standards in the rule to carry out the legislative intent that appraisals in federally related transactions provide accurate information that adequately reflects the market value of the real estate being appraised.  The information collection activities attributable to the rule are a direct consequence of the statutory requirements and the legislative intent.</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Use of Information Collected</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 xml:space="preserve">Each financial institution regulated by FDIC will use the information in connection with determining whether and upon what terms to enter into a federally related transaction, such as making a loan on commercial real estate or purchasing property for its operations. In addition, the FDIC will use this information in its examination of regulated institutions to ensure that extensions of credit made by the examined institution which are collateralized by real estate, and that permissible direct investments in real estate, are undertaken in accordance with safe and sound banking principles.  </w:t>
      </w:r>
    </w:p>
    <w:p w:rsidR="00725F92" w:rsidRPr="00725F92" w:rsidRDefault="00725F92" w:rsidP="00121BE8">
      <w:pPr>
        <w:spacing w:after="0" w:line="240" w:lineRule="auto"/>
        <w:ind w:left="1440"/>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 xml:space="preserve">The use of this information will help ensure that regulated institutions are not exposed to risk of loss from inadequate appraisals.  A regulated institution’s failure to engage in the information collection activities included in the regulation will, in some cases, (1) result in a violation of the provisions of Title XI, (2) impede the FDIC in carrying out its statutory obligation to ensure that its regulated institutions conduct their activities in accordance with safe and sound banking principles, and (3) increase the risk of loss to </w:t>
      </w:r>
      <w:r w:rsidR="00C331C0">
        <w:rPr>
          <w:rFonts w:ascii="Times New Roman" w:hAnsi="Times New Roman" w:cs="Times New Roman"/>
          <w:sz w:val="24"/>
          <w:szCs w:val="24"/>
        </w:rPr>
        <w:t>the DIF</w:t>
      </w:r>
      <w:r w:rsidRPr="00725F92">
        <w:rPr>
          <w:rFonts w:ascii="Times New Roman" w:hAnsi="Times New Roman" w:cs="Times New Roman"/>
          <w:sz w:val="24"/>
          <w:szCs w:val="24"/>
        </w:rPr>
        <w:t>.</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Use of Technology to Reduce Burden</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 xml:space="preserve">The use of improved information technology is not applicable to this collection of information since it only requires banks to maintain records of appraisals and evaluations that meet specific standards; no information in this collection is forwarded to the FDIC.  The banks are free to utilize any technology they wish in order to lessen the burden of maintaining the appraisal </w:t>
      </w:r>
      <w:r w:rsidR="00E01D9F">
        <w:rPr>
          <w:rFonts w:ascii="Times New Roman" w:hAnsi="Times New Roman" w:cs="Times New Roman"/>
          <w:sz w:val="24"/>
          <w:szCs w:val="24"/>
        </w:rPr>
        <w:t xml:space="preserve">and evaluation </w:t>
      </w:r>
      <w:r w:rsidRPr="00725F92">
        <w:rPr>
          <w:rFonts w:ascii="Times New Roman" w:hAnsi="Times New Roman" w:cs="Times New Roman"/>
          <w:sz w:val="24"/>
          <w:szCs w:val="24"/>
        </w:rPr>
        <w:t>records.</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Efforts to Identify Duplication</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There is no regulatory duplication; each appraisal and/or evaluation is unique to the individual property appraised.  No similar information is available to the regulated institution or the FDIC.</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Minimizing the Burden on Small Banks</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 xml:space="preserve">The burden for this collection of information has been reduced to the minimum possible under the governing statute and in keeping with FDIC’s supervisory responsibilities.  Only the information necessary for regulated institutions to make an informed decision and for the FDIC to fulfill its statutory responsibilities for all institutions, regardless of size, is requested.  According to </w:t>
      </w:r>
      <w:r w:rsidRPr="00725F92">
        <w:rPr>
          <w:rFonts w:ascii="Times New Roman" w:hAnsi="Times New Roman" w:cs="Times New Roman"/>
          <w:color w:val="000000"/>
          <w:sz w:val="24"/>
          <w:szCs w:val="24"/>
        </w:rPr>
        <w:t>data reported as of March 31, 2017 in the Consolidated Reports of Condition and Income</w:t>
      </w:r>
      <w:r w:rsidRPr="00725F92">
        <w:rPr>
          <w:rStyle w:val="FootnoteReference"/>
          <w:rFonts w:ascii="Times New Roman" w:eastAsia="Calibri" w:hAnsi="Times New Roman" w:cs="Times New Roman"/>
          <w:color w:val="000000"/>
          <w:sz w:val="24"/>
          <w:szCs w:val="24"/>
          <w:vertAlign w:val="superscript"/>
        </w:rPr>
        <w:footnoteReference w:id="8"/>
      </w:r>
      <w:r w:rsidRPr="00725F92">
        <w:rPr>
          <w:rFonts w:ascii="Times New Roman" w:hAnsi="Times New Roman" w:cs="Times New Roman"/>
          <w:color w:val="000000"/>
          <w:sz w:val="24"/>
          <w:szCs w:val="24"/>
        </w:rPr>
        <w:t xml:space="preserve"> (Call Report)</w:t>
      </w:r>
      <w:r w:rsidRPr="00725F92">
        <w:rPr>
          <w:rFonts w:ascii="Times New Roman" w:hAnsi="Times New Roman" w:cs="Times New Roman"/>
          <w:sz w:val="24"/>
          <w:szCs w:val="24"/>
        </w:rPr>
        <w:t>, t</w:t>
      </w:r>
      <w:r w:rsidRPr="00725F92">
        <w:rPr>
          <w:rFonts w:ascii="Times New Roman" w:hAnsi="Times New Roman" w:cs="Times New Roman"/>
          <w:color w:val="000000"/>
          <w:sz w:val="24"/>
          <w:szCs w:val="24"/>
        </w:rPr>
        <w:t>he FDIC supervises 3,744 depository institutions, of which</w:t>
      </w:r>
      <w:r w:rsidR="00CF0C3B">
        <w:rPr>
          <w:rFonts w:ascii="Times New Roman" w:hAnsi="Times New Roman" w:cs="Times New Roman"/>
          <w:color w:val="000000"/>
          <w:sz w:val="24"/>
          <w:szCs w:val="24"/>
        </w:rPr>
        <w:t xml:space="preserve"> </w:t>
      </w:r>
      <w:r w:rsidRPr="00725F92">
        <w:rPr>
          <w:rFonts w:ascii="Times New Roman" w:hAnsi="Times New Roman" w:cs="Times New Roman"/>
          <w:color w:val="000000"/>
          <w:sz w:val="24"/>
          <w:szCs w:val="24"/>
        </w:rPr>
        <w:t>3,028 are defined as small banking entities by the terms of the Regulatory Flexibility Act.</w:t>
      </w:r>
      <w:r w:rsidRPr="00725F92">
        <w:rPr>
          <w:rStyle w:val="FootnoteReference"/>
          <w:rFonts w:ascii="Times New Roman" w:hAnsi="Times New Roman" w:cs="Times New Roman"/>
          <w:color w:val="000000"/>
          <w:sz w:val="24"/>
          <w:szCs w:val="24"/>
          <w:vertAlign w:val="superscript"/>
        </w:rPr>
        <w:footnoteReference w:id="9"/>
      </w:r>
      <w:r w:rsidRPr="00725F92">
        <w:rPr>
          <w:rFonts w:ascii="Times New Roman" w:hAnsi="Times New Roman" w:cs="Times New Roman"/>
          <w:color w:val="000000"/>
          <w:sz w:val="24"/>
          <w:szCs w:val="24"/>
          <w:vertAlign w:val="superscript"/>
        </w:rPr>
        <w:t xml:space="preserve"> </w:t>
      </w:r>
      <w:r w:rsidRPr="00725F92">
        <w:rPr>
          <w:rFonts w:ascii="Times New Roman" w:hAnsi="Times New Roman" w:cs="Times New Roman"/>
          <w:color w:val="000000"/>
          <w:sz w:val="24"/>
          <w:szCs w:val="24"/>
        </w:rPr>
        <w:t xml:space="preserve"> Of these 3,028 entities, 3,010 small entities reported holding some volume of real estate related financial transactions that meet the proposed rule’s definition of a commercial real estate transaction.</w:t>
      </w:r>
      <w:r w:rsidRPr="00725F92">
        <w:rPr>
          <w:rStyle w:val="FootnoteReference"/>
          <w:rFonts w:ascii="Times New Roman" w:hAnsi="Times New Roman" w:cs="Times New Roman"/>
          <w:color w:val="000000"/>
          <w:sz w:val="24"/>
          <w:szCs w:val="24"/>
          <w:vertAlign w:val="superscript"/>
        </w:rPr>
        <w:footnoteReference w:id="10"/>
      </w:r>
      <w:r w:rsidRPr="00725F92">
        <w:rPr>
          <w:rFonts w:ascii="Times New Roman" w:hAnsi="Times New Roman" w:cs="Times New Roman"/>
          <w:color w:val="000000"/>
          <w:sz w:val="24"/>
          <w:szCs w:val="24"/>
          <w:vertAlign w:val="superscript"/>
        </w:rPr>
        <w:t xml:space="preserve"> </w:t>
      </w:r>
      <w:r w:rsidRPr="00725F92">
        <w:rPr>
          <w:rFonts w:ascii="Times New Roman" w:hAnsi="Times New Roman" w:cs="Times New Roman"/>
          <w:color w:val="000000"/>
          <w:sz w:val="24"/>
          <w:szCs w:val="24"/>
        </w:rPr>
        <w:t xml:space="preserve"> Therefore, 3,010 small entities could be affected by the proposed rule.</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Consequences of Less Frequent Collection</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The information is collected only as real estate related situations arise.  Less frequent collection is inconsistent with the underlying statute and would not promote safety and soundness for individual banks or the banking system.</w:t>
      </w:r>
    </w:p>
    <w:p w:rsidR="00725F92" w:rsidRPr="00725F92" w:rsidRDefault="00725F92" w:rsidP="00121BE8">
      <w:pPr>
        <w:spacing w:after="0" w:line="240" w:lineRule="auto"/>
        <w:ind w:left="1440"/>
        <w:rPr>
          <w:rFonts w:ascii="Times New Roman" w:hAnsi="Times New Roman" w:cs="Times New Roman"/>
          <w:sz w:val="24"/>
          <w:szCs w:val="24"/>
        </w:rPr>
      </w:pPr>
    </w:p>
    <w:p w:rsidR="00725F92" w:rsidRPr="00725F92" w:rsidRDefault="00725F92" w:rsidP="00725F92">
      <w:pPr>
        <w:pStyle w:val="ListParagraph"/>
        <w:numPr>
          <w:ilvl w:val="0"/>
          <w:numId w:val="2"/>
        </w:numPr>
        <w:tabs>
          <w:tab w:val="left" w:pos="540"/>
        </w:tabs>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Special Circumstances</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2850CA" w:rsidP="00121BE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None</w:t>
      </w:r>
      <w:r w:rsidR="00725F92" w:rsidRPr="00725F92">
        <w:rPr>
          <w:rFonts w:ascii="Times New Roman" w:hAnsi="Times New Roman" w:cs="Times New Roman"/>
          <w:sz w:val="24"/>
          <w:szCs w:val="24"/>
        </w:rPr>
        <w:t xml:space="preserve">. </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Consultation with Persons Outside the FDIC</w:t>
      </w:r>
    </w:p>
    <w:p w:rsidR="00725F92" w:rsidRPr="00725F92" w:rsidRDefault="00725F92" w:rsidP="00725F92">
      <w:pPr>
        <w:spacing w:after="0" w:line="240" w:lineRule="auto"/>
        <w:ind w:left="720"/>
        <w:rPr>
          <w:rFonts w:ascii="Times New Roman" w:hAnsi="Times New Roman" w:cs="Times New Roman"/>
          <w:sz w:val="24"/>
          <w:szCs w:val="24"/>
        </w:rPr>
      </w:pPr>
    </w:p>
    <w:p w:rsidR="00725F92" w:rsidRDefault="001C693B" w:rsidP="00121BE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w:t>
      </w:r>
      <w:r w:rsidR="002A442A">
        <w:rPr>
          <w:rFonts w:ascii="Times New Roman" w:hAnsi="Times New Roman" w:cs="Times New Roman"/>
          <w:sz w:val="24"/>
          <w:szCs w:val="24"/>
        </w:rPr>
        <w:t xml:space="preserve"> NPRM </w:t>
      </w:r>
      <w:r>
        <w:rPr>
          <w:rFonts w:ascii="Times New Roman" w:hAnsi="Times New Roman" w:cs="Times New Roman"/>
          <w:sz w:val="24"/>
          <w:szCs w:val="24"/>
        </w:rPr>
        <w:t xml:space="preserve">was published in the </w:t>
      </w:r>
      <w:r>
        <w:rPr>
          <w:rFonts w:ascii="Times New Roman" w:hAnsi="Times New Roman" w:cs="Times New Roman"/>
          <w:i/>
          <w:sz w:val="24"/>
          <w:szCs w:val="24"/>
        </w:rPr>
        <w:t xml:space="preserve">Federal Register </w:t>
      </w:r>
      <w:r>
        <w:rPr>
          <w:rFonts w:ascii="Times New Roman" w:hAnsi="Times New Roman" w:cs="Times New Roman"/>
          <w:sz w:val="24"/>
          <w:szCs w:val="24"/>
        </w:rPr>
        <w:t xml:space="preserve">(82 FR </w:t>
      </w:r>
      <w:r w:rsidR="00AE0544">
        <w:rPr>
          <w:rFonts w:ascii="Times New Roman" w:hAnsi="Times New Roman" w:cs="Times New Roman"/>
          <w:sz w:val="24"/>
          <w:szCs w:val="24"/>
        </w:rPr>
        <w:t>35478</w:t>
      </w:r>
      <w:r>
        <w:rPr>
          <w:rFonts w:ascii="Times New Roman" w:hAnsi="Times New Roman" w:cs="Times New Roman"/>
          <w:sz w:val="24"/>
          <w:szCs w:val="24"/>
        </w:rPr>
        <w:t>, Jul</w:t>
      </w:r>
      <w:r w:rsidR="002A442A">
        <w:rPr>
          <w:rFonts w:ascii="Times New Roman" w:hAnsi="Times New Roman" w:cs="Times New Roman"/>
          <w:sz w:val="24"/>
          <w:szCs w:val="24"/>
        </w:rPr>
        <w:t>y 31, 2017</w:t>
      </w:r>
      <w:r>
        <w:rPr>
          <w:rFonts w:ascii="Times New Roman" w:hAnsi="Times New Roman" w:cs="Times New Roman"/>
          <w:sz w:val="24"/>
          <w:szCs w:val="24"/>
        </w:rPr>
        <w:t xml:space="preserve">).  </w:t>
      </w:r>
      <w:r w:rsidR="00725F92" w:rsidRPr="00725F92">
        <w:rPr>
          <w:rFonts w:ascii="Times New Roman" w:hAnsi="Times New Roman" w:cs="Times New Roman"/>
          <w:sz w:val="24"/>
          <w:szCs w:val="24"/>
        </w:rPr>
        <w:t xml:space="preserve"> </w:t>
      </w:r>
      <w:r w:rsidR="002A442A">
        <w:rPr>
          <w:rFonts w:ascii="Times New Roman" w:hAnsi="Times New Roman" w:cs="Times New Roman"/>
          <w:sz w:val="24"/>
          <w:szCs w:val="24"/>
        </w:rPr>
        <w:t xml:space="preserve">The comment period on the NPRM in connection with the </w:t>
      </w:r>
      <w:r>
        <w:rPr>
          <w:rFonts w:ascii="Times New Roman" w:hAnsi="Times New Roman" w:cs="Times New Roman"/>
          <w:sz w:val="24"/>
          <w:szCs w:val="24"/>
        </w:rPr>
        <w:t>PRA</w:t>
      </w:r>
      <w:r w:rsidR="002A442A">
        <w:rPr>
          <w:rFonts w:ascii="Times New Roman" w:hAnsi="Times New Roman" w:cs="Times New Roman"/>
          <w:sz w:val="24"/>
          <w:szCs w:val="24"/>
        </w:rPr>
        <w:t xml:space="preserve"> closes on September </w:t>
      </w:r>
      <w:r w:rsidR="00AE0544">
        <w:rPr>
          <w:rFonts w:ascii="Times New Roman" w:hAnsi="Times New Roman" w:cs="Times New Roman"/>
          <w:sz w:val="24"/>
          <w:szCs w:val="24"/>
        </w:rPr>
        <w:t>29</w:t>
      </w:r>
      <w:r w:rsidR="002A442A">
        <w:rPr>
          <w:rFonts w:ascii="Times New Roman" w:hAnsi="Times New Roman" w:cs="Times New Roman"/>
          <w:sz w:val="24"/>
          <w:szCs w:val="24"/>
        </w:rPr>
        <w:t xml:space="preserve">, 2017.  </w:t>
      </w:r>
    </w:p>
    <w:p w:rsidR="001C693B" w:rsidRPr="00725F92" w:rsidRDefault="001C693B"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Payment or Gift to Respondents</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2850CA" w:rsidP="00121BE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None</w:t>
      </w:r>
      <w:r w:rsidR="00725F92" w:rsidRPr="00725F92">
        <w:rPr>
          <w:rFonts w:ascii="Times New Roman" w:hAnsi="Times New Roman" w:cs="Times New Roman"/>
          <w:sz w:val="24"/>
          <w:szCs w:val="24"/>
        </w:rPr>
        <w:t>.</w:t>
      </w:r>
    </w:p>
    <w:p w:rsidR="00725F92" w:rsidRP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Confidentiality</w:t>
      </w:r>
    </w:p>
    <w:p w:rsidR="00725F92" w:rsidRPr="00725F92" w:rsidRDefault="00725F92" w:rsidP="00725F92">
      <w:pPr>
        <w:spacing w:after="0" w:line="240" w:lineRule="auto"/>
        <w:ind w:left="720"/>
        <w:rPr>
          <w:rFonts w:ascii="Times New Roman" w:hAnsi="Times New Roman" w:cs="Times New Roman"/>
          <w:sz w:val="24"/>
          <w:szCs w:val="24"/>
        </w:rPr>
      </w:pPr>
    </w:p>
    <w:p w:rsidR="00725F92" w:rsidRDefault="00725F92" w:rsidP="00121BE8">
      <w:pPr>
        <w:spacing w:after="0" w:line="240" w:lineRule="auto"/>
        <w:ind w:left="1440"/>
        <w:rPr>
          <w:rFonts w:ascii="Times New Roman" w:hAnsi="Times New Roman" w:cs="Times New Roman"/>
          <w:sz w:val="24"/>
          <w:szCs w:val="24"/>
        </w:rPr>
      </w:pPr>
      <w:r w:rsidRPr="00725F92">
        <w:rPr>
          <w:rFonts w:ascii="Times New Roman" w:hAnsi="Times New Roman" w:cs="Times New Roman"/>
          <w:sz w:val="24"/>
          <w:szCs w:val="24"/>
        </w:rPr>
        <w:t xml:space="preserve">The appraisal reports </w:t>
      </w:r>
      <w:r w:rsidR="001C693B">
        <w:rPr>
          <w:rFonts w:ascii="Times New Roman" w:hAnsi="Times New Roman" w:cs="Times New Roman"/>
          <w:sz w:val="24"/>
          <w:szCs w:val="24"/>
        </w:rPr>
        <w:t xml:space="preserve">and written evaluations </w:t>
      </w:r>
      <w:r w:rsidRPr="00725F92">
        <w:rPr>
          <w:rFonts w:ascii="Times New Roman" w:hAnsi="Times New Roman" w:cs="Times New Roman"/>
          <w:sz w:val="24"/>
          <w:szCs w:val="24"/>
        </w:rPr>
        <w:t>will become part of the bank’s loan file and as such no information is submitted directly to the FDIC.  The FDIC would have access to the information during an examination or on site investigation that would be accorded the same degree of confidentiality provided to all other bank records.</w:t>
      </w:r>
    </w:p>
    <w:p w:rsidR="00725F92" w:rsidRDefault="00725F92" w:rsidP="00725F92">
      <w:pPr>
        <w:spacing w:after="0" w:line="240" w:lineRule="auto"/>
        <w:ind w:left="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Information of a Sensitive Nature</w:t>
      </w:r>
    </w:p>
    <w:p w:rsidR="00725F92" w:rsidRPr="00725F92" w:rsidRDefault="00725F92" w:rsidP="00725F92">
      <w:pPr>
        <w:spacing w:after="0" w:line="240" w:lineRule="auto"/>
        <w:ind w:left="720"/>
        <w:rPr>
          <w:rFonts w:ascii="Times New Roman" w:hAnsi="Times New Roman" w:cs="Times New Roman"/>
          <w:sz w:val="24"/>
          <w:szCs w:val="24"/>
        </w:rPr>
      </w:pPr>
    </w:p>
    <w:p w:rsidR="00AC7697" w:rsidRPr="00121BE8" w:rsidRDefault="00121BE8" w:rsidP="00121BE8">
      <w:pPr>
        <w:spacing w:after="0" w:line="240" w:lineRule="auto"/>
        <w:ind w:left="720" w:firstLine="720"/>
        <w:rPr>
          <w:rFonts w:ascii="Times New Roman" w:hAnsi="Times New Roman" w:cs="Times New Roman"/>
          <w:sz w:val="24"/>
          <w:szCs w:val="24"/>
        </w:rPr>
      </w:pPr>
      <w:r w:rsidRPr="00121BE8">
        <w:rPr>
          <w:rFonts w:ascii="Times New Roman" w:hAnsi="Times New Roman"/>
          <w:spacing w:val="-3"/>
          <w:sz w:val="24"/>
          <w:szCs w:val="24"/>
        </w:rPr>
        <w:t>This collection contains no sensitive information.</w:t>
      </w:r>
    </w:p>
    <w:p w:rsidR="00AC7697" w:rsidRDefault="00AC7697" w:rsidP="00725F92">
      <w:pPr>
        <w:spacing w:after="0" w:line="240" w:lineRule="auto"/>
        <w:ind w:left="720"/>
        <w:rPr>
          <w:rFonts w:ascii="Times New Roman" w:hAnsi="Times New Roman" w:cs="Times New Roman"/>
          <w:sz w:val="24"/>
          <w:szCs w:val="24"/>
        </w:rPr>
      </w:pPr>
    </w:p>
    <w:p w:rsidR="00725F92" w:rsidRPr="00AC7697"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Estimate of Hour Burden and Annual Costs</w:t>
      </w:r>
    </w:p>
    <w:p w:rsidR="00AC7697" w:rsidRDefault="00AC7697" w:rsidP="00AC7697">
      <w:pPr>
        <w:spacing w:after="0" w:line="240" w:lineRule="auto"/>
        <w:rPr>
          <w:rFonts w:ascii="Times New Roman" w:hAnsi="Times New Roman" w:cs="Times New Roman"/>
          <w:sz w:val="24"/>
          <w:szCs w:val="24"/>
        </w:rPr>
      </w:pPr>
    </w:p>
    <w:p w:rsidR="00AC7697" w:rsidRDefault="00AC7697" w:rsidP="00121BE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It is estimated that there are 3,744 institutions affected by this rule.  On average, each institution will process 141 loans per year.  It will take a loan officer on average </w:t>
      </w:r>
      <w:r w:rsidRPr="00AC7697">
        <w:rPr>
          <w:rFonts w:ascii="Times New Roman" w:hAnsi="Times New Roman" w:cs="Times New Roman"/>
          <w:sz w:val="24"/>
          <w:szCs w:val="24"/>
        </w:rPr>
        <w:t xml:space="preserve">5 minutes </w:t>
      </w:r>
      <w:r>
        <w:rPr>
          <w:rFonts w:ascii="Times New Roman" w:hAnsi="Times New Roman" w:cs="Times New Roman"/>
          <w:sz w:val="24"/>
          <w:szCs w:val="24"/>
        </w:rPr>
        <w:t xml:space="preserve">to </w:t>
      </w:r>
      <w:r w:rsidR="004775DF">
        <w:rPr>
          <w:rFonts w:ascii="Times New Roman" w:hAnsi="Times New Roman" w:cs="Times New Roman"/>
          <w:sz w:val="24"/>
          <w:szCs w:val="24"/>
        </w:rPr>
        <w:t>document</w:t>
      </w:r>
      <w:r>
        <w:rPr>
          <w:rFonts w:ascii="Times New Roman" w:hAnsi="Times New Roman" w:cs="Times New Roman"/>
          <w:sz w:val="24"/>
          <w:szCs w:val="24"/>
        </w:rPr>
        <w:t xml:space="preserve"> the file for an appraisal or evaluation associated with each loan</w:t>
      </w:r>
      <w:r w:rsidRPr="00AC7697">
        <w:rPr>
          <w:rFonts w:ascii="Times New Roman" w:hAnsi="Times New Roman" w:cs="Times New Roman"/>
          <w:sz w:val="24"/>
          <w:szCs w:val="24"/>
        </w:rPr>
        <w:t xml:space="preserve">.   </w:t>
      </w:r>
    </w:p>
    <w:p w:rsidR="00AC7697" w:rsidRDefault="00AC7697" w:rsidP="00AC7697">
      <w:pPr>
        <w:spacing w:after="0" w:line="240" w:lineRule="auto"/>
        <w:ind w:left="720"/>
        <w:contextualSpacing/>
        <w:rPr>
          <w:rFonts w:ascii="Times New Roman" w:hAnsi="Times New Roman" w:cs="Times New Roman"/>
          <w:sz w:val="24"/>
          <w:szCs w:val="24"/>
        </w:rPr>
      </w:pPr>
    </w:p>
    <w:p w:rsidR="00AC7697" w:rsidRDefault="00AC7697" w:rsidP="00AC7697">
      <w:pPr>
        <w:tabs>
          <w:tab w:val="left" w:pos="-720"/>
          <w:tab w:val="left" w:pos="0"/>
          <w:tab w:val="left" w:pos="720"/>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t>Number of Respondents:  3,744</w:t>
      </w:r>
    </w:p>
    <w:p w:rsidR="00AC7697" w:rsidRDefault="00AC7697" w:rsidP="00AC7697">
      <w:pPr>
        <w:tabs>
          <w:tab w:val="left" w:pos="-720"/>
          <w:tab w:val="left" w:pos="0"/>
          <w:tab w:val="left" w:pos="720"/>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t>Number of Responses per Respondent:  141</w:t>
      </w:r>
    </w:p>
    <w:p w:rsidR="00AC7697" w:rsidRDefault="00AC7697" w:rsidP="00AC7697">
      <w:pPr>
        <w:tabs>
          <w:tab w:val="left" w:pos="-720"/>
          <w:tab w:val="left" w:pos="0"/>
          <w:tab w:val="left" w:pos="720"/>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t>Hours per Response:  5 minutes or .0833 hours</w:t>
      </w:r>
    </w:p>
    <w:p w:rsidR="00AC7697" w:rsidRDefault="00AC7697" w:rsidP="00AC7697">
      <w:pPr>
        <w:tabs>
          <w:tab w:val="left" w:pos="-720"/>
          <w:tab w:val="left" w:pos="0"/>
          <w:tab w:val="left" w:pos="720"/>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t>Total Burden Hours:  43,992 hours</w:t>
      </w:r>
    </w:p>
    <w:p w:rsidR="00AC7697" w:rsidRPr="00755715" w:rsidRDefault="00AC7697" w:rsidP="00AC7697">
      <w:pPr>
        <w:ind w:left="720" w:firstLine="720"/>
        <w:rPr>
          <w:rFonts w:ascii="Times New Roman" w:hAnsi="Times New Roman"/>
          <w:sz w:val="24"/>
          <w:szCs w:val="24"/>
        </w:rPr>
      </w:pPr>
      <w:r w:rsidRPr="00755715">
        <w:rPr>
          <w:rFonts w:ascii="Times New Roman" w:hAnsi="Times New Roman"/>
          <w:sz w:val="24"/>
          <w:szCs w:val="24"/>
        </w:rPr>
        <w:t xml:space="preserve">Cost: </w:t>
      </w:r>
      <w:r>
        <w:rPr>
          <w:rFonts w:ascii="Times New Roman" w:hAnsi="Times New Roman"/>
          <w:sz w:val="24"/>
          <w:szCs w:val="24"/>
        </w:rPr>
        <w:t>43,992</w:t>
      </w:r>
      <w:r w:rsidRPr="00755715">
        <w:rPr>
          <w:rFonts w:ascii="Times New Roman" w:hAnsi="Times New Roman"/>
          <w:sz w:val="24"/>
          <w:szCs w:val="24"/>
        </w:rPr>
        <w:t xml:space="preserve"> hours X $</w:t>
      </w:r>
      <w:r>
        <w:rPr>
          <w:rFonts w:ascii="Times New Roman" w:hAnsi="Times New Roman"/>
          <w:sz w:val="24"/>
          <w:szCs w:val="24"/>
        </w:rPr>
        <w:t>68.65</w:t>
      </w:r>
      <w:r w:rsidRPr="00755715">
        <w:rPr>
          <w:rFonts w:ascii="Times New Roman" w:hAnsi="Times New Roman"/>
          <w:sz w:val="24"/>
          <w:szCs w:val="24"/>
        </w:rPr>
        <w:t xml:space="preserve"> per hour</w:t>
      </w:r>
      <w:r w:rsidRPr="00AC7697">
        <w:rPr>
          <w:rStyle w:val="FootnoteReference"/>
          <w:rFonts w:ascii="Times New Roman" w:hAnsi="Times New Roman"/>
          <w:sz w:val="24"/>
          <w:vertAlign w:val="superscript"/>
        </w:rPr>
        <w:footnoteReference w:id="11"/>
      </w:r>
      <w:r w:rsidRPr="00755715">
        <w:rPr>
          <w:rFonts w:ascii="Times New Roman" w:hAnsi="Times New Roman"/>
          <w:sz w:val="24"/>
          <w:szCs w:val="24"/>
        </w:rPr>
        <w:t xml:space="preserve"> =   $</w:t>
      </w:r>
      <w:r>
        <w:rPr>
          <w:rFonts w:ascii="Times New Roman" w:hAnsi="Times New Roman"/>
          <w:sz w:val="24"/>
          <w:szCs w:val="24"/>
        </w:rPr>
        <w:t>3,020,050.80</w:t>
      </w:r>
    </w:p>
    <w:p w:rsidR="00AC7697" w:rsidRPr="00AC7697" w:rsidRDefault="00AC7697" w:rsidP="00AC7697">
      <w:pPr>
        <w:spacing w:after="0" w:line="240" w:lineRule="auto"/>
        <w:ind w:left="720"/>
        <w:contextualSpacing/>
        <w:rPr>
          <w:rFonts w:ascii="Times New Roman" w:hAnsi="Times New Roman" w:cs="Times New Roman"/>
          <w:sz w:val="24"/>
          <w:szCs w:val="24"/>
        </w:rPr>
      </w:pPr>
    </w:p>
    <w:tbl>
      <w:tblPr>
        <w:tblW w:w="10232" w:type="dxa"/>
        <w:jc w:val="center"/>
        <w:tblInd w:w="93" w:type="dxa"/>
        <w:tblLook w:val="04A0" w:firstRow="1" w:lastRow="0" w:firstColumn="1" w:lastColumn="0" w:noHBand="0" w:noVBand="1"/>
      </w:tblPr>
      <w:tblGrid>
        <w:gridCol w:w="2820"/>
        <w:gridCol w:w="1427"/>
        <w:gridCol w:w="1239"/>
        <w:gridCol w:w="1160"/>
        <w:gridCol w:w="1120"/>
        <w:gridCol w:w="1100"/>
        <w:gridCol w:w="1366"/>
      </w:tblGrid>
      <w:tr w:rsidR="00AC7697" w:rsidRPr="00AC7697" w:rsidTr="00AC7697">
        <w:trPr>
          <w:trHeight w:val="288"/>
          <w:jc w:val="center"/>
        </w:trPr>
        <w:tc>
          <w:tcPr>
            <w:tcW w:w="1023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b/>
                <w:bCs/>
                <w:color w:val="000000"/>
                <w:sz w:val="20"/>
                <w:szCs w:val="20"/>
              </w:rPr>
            </w:pPr>
            <w:r w:rsidRPr="00AC7697">
              <w:rPr>
                <w:rFonts w:ascii="Times New Roman" w:eastAsia="Times New Roman" w:hAnsi="Times New Roman" w:cs="Times New Roman"/>
                <w:b/>
                <w:bCs/>
                <w:color w:val="000000"/>
                <w:sz w:val="20"/>
                <w:szCs w:val="20"/>
              </w:rPr>
              <w:t>2017 Summary of Annual Burden and Internal Cost (3064-0103)</w:t>
            </w:r>
          </w:p>
        </w:tc>
      </w:tr>
      <w:tr w:rsidR="00AC7697" w:rsidRPr="00AC7697" w:rsidTr="00AC7697">
        <w:trPr>
          <w:trHeight w:val="1056"/>
          <w:jc w:val="center"/>
        </w:trPr>
        <w:tc>
          <w:tcPr>
            <w:tcW w:w="2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Type of Burden</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Estimated Number of Respondents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Estimated Number of Responses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Estimated Time per Response</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Frequency of Response</w:t>
            </w:r>
          </w:p>
        </w:tc>
        <w:tc>
          <w:tcPr>
            <w:tcW w:w="1366" w:type="dxa"/>
            <w:tcBorders>
              <w:top w:val="single" w:sz="4" w:space="0" w:color="auto"/>
              <w:left w:val="nil"/>
              <w:bottom w:val="single" w:sz="4" w:space="0" w:color="auto"/>
              <w:right w:val="single" w:sz="8"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Total Annual Estimated Burden</w:t>
            </w:r>
          </w:p>
        </w:tc>
      </w:tr>
      <w:tr w:rsidR="00AC7697" w:rsidRPr="00AC7697" w:rsidTr="00AC7697">
        <w:trPr>
          <w:trHeight w:val="792"/>
          <w:jc w:val="center"/>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rPr>
                <w:rFonts w:ascii="Times New Roman" w:eastAsia="Times New Roman" w:hAnsi="Times New Roman" w:cs="Times New Roman"/>
                <w:b/>
                <w:bCs/>
                <w:color w:val="000000"/>
                <w:sz w:val="20"/>
                <w:szCs w:val="20"/>
              </w:rPr>
            </w:pPr>
            <w:r w:rsidRPr="00AC7697">
              <w:rPr>
                <w:rFonts w:ascii="Times New Roman" w:eastAsia="Times New Roman" w:hAnsi="Times New Roman" w:cs="Times New Roman"/>
                <w:b/>
                <w:bCs/>
                <w:color w:val="000000"/>
                <w:sz w:val="20"/>
                <w:szCs w:val="20"/>
              </w:rPr>
              <w:t>Recordkeeping Requirements Associated with Real Estate Appraisals and Evaluations</w:t>
            </w:r>
          </w:p>
        </w:tc>
        <w:tc>
          <w:tcPr>
            <w:tcW w:w="1427" w:type="dxa"/>
            <w:tcBorders>
              <w:top w:val="nil"/>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Recordkeeping</w:t>
            </w:r>
          </w:p>
        </w:tc>
        <w:tc>
          <w:tcPr>
            <w:tcW w:w="1239" w:type="dxa"/>
            <w:tcBorders>
              <w:top w:val="nil"/>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3,744</w:t>
            </w:r>
          </w:p>
        </w:tc>
        <w:tc>
          <w:tcPr>
            <w:tcW w:w="1160" w:type="dxa"/>
            <w:tcBorders>
              <w:top w:val="nil"/>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141</w:t>
            </w:r>
          </w:p>
        </w:tc>
        <w:tc>
          <w:tcPr>
            <w:tcW w:w="1120" w:type="dxa"/>
            <w:tcBorders>
              <w:top w:val="nil"/>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0.0833</w:t>
            </w:r>
          </w:p>
        </w:tc>
        <w:tc>
          <w:tcPr>
            <w:tcW w:w="1100" w:type="dxa"/>
            <w:tcBorders>
              <w:top w:val="nil"/>
              <w:left w:val="nil"/>
              <w:bottom w:val="single" w:sz="4" w:space="0" w:color="auto"/>
              <w:right w:val="single" w:sz="4"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On Occasion</w:t>
            </w:r>
          </w:p>
        </w:tc>
        <w:tc>
          <w:tcPr>
            <w:tcW w:w="1366" w:type="dxa"/>
            <w:tcBorders>
              <w:top w:val="nil"/>
              <w:left w:val="nil"/>
              <w:bottom w:val="single" w:sz="4" w:space="0" w:color="auto"/>
              <w:right w:val="single" w:sz="8" w:space="0" w:color="auto"/>
            </w:tcBorders>
            <w:shd w:val="clear" w:color="auto" w:fill="auto"/>
            <w:vAlign w:val="center"/>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43,992</w:t>
            </w:r>
          </w:p>
        </w:tc>
      </w:tr>
      <w:tr w:rsidR="00AC7697" w:rsidRPr="00AC7697" w:rsidTr="00AC7697">
        <w:trPr>
          <w:trHeight w:val="264"/>
          <w:jc w:val="center"/>
        </w:trPr>
        <w:tc>
          <w:tcPr>
            <w:tcW w:w="2820" w:type="dxa"/>
            <w:tcBorders>
              <w:top w:val="nil"/>
              <w:left w:val="single" w:sz="8" w:space="0" w:color="auto"/>
              <w:bottom w:val="single" w:sz="4" w:space="0" w:color="auto"/>
              <w:right w:val="single" w:sz="4" w:space="0" w:color="auto"/>
            </w:tcBorders>
            <w:shd w:val="clear" w:color="auto" w:fill="auto"/>
            <w:vAlign w:val="bottom"/>
            <w:hideMark/>
          </w:tcPr>
          <w:p w:rsidR="00AC7697" w:rsidRPr="00AC7697" w:rsidRDefault="00AC7697" w:rsidP="00AC7697">
            <w:pPr>
              <w:spacing w:after="0" w:line="240" w:lineRule="auto"/>
              <w:jc w:val="right"/>
              <w:rPr>
                <w:rFonts w:ascii="Times New Roman" w:eastAsia="Times New Roman" w:hAnsi="Times New Roman" w:cs="Times New Roman"/>
                <w:b/>
                <w:bCs/>
                <w:color w:val="000000"/>
                <w:sz w:val="20"/>
                <w:szCs w:val="20"/>
              </w:rPr>
            </w:pPr>
            <w:r w:rsidRPr="00AC7697">
              <w:rPr>
                <w:rFonts w:ascii="Times New Roman" w:eastAsia="Times New Roman" w:hAnsi="Times New Roman" w:cs="Times New Roman"/>
                <w:b/>
                <w:bCs/>
                <w:color w:val="000000"/>
                <w:sz w:val="20"/>
                <w:szCs w:val="20"/>
              </w:rPr>
              <w:t>TOTAL HOURLY BURDEN</w:t>
            </w:r>
          </w:p>
        </w:tc>
        <w:tc>
          <w:tcPr>
            <w:tcW w:w="1427" w:type="dxa"/>
            <w:tcBorders>
              <w:top w:val="nil"/>
              <w:left w:val="nil"/>
              <w:bottom w:val="single" w:sz="4" w:space="0" w:color="auto"/>
              <w:right w:val="single" w:sz="4" w:space="0" w:color="auto"/>
            </w:tcBorders>
            <w:shd w:val="clear" w:color="auto" w:fill="auto"/>
            <w:vAlign w:val="bottom"/>
            <w:hideMark/>
          </w:tcPr>
          <w:p w:rsidR="00AC7697" w:rsidRPr="00AC7697" w:rsidRDefault="00AC7697" w:rsidP="00AC7697">
            <w:pPr>
              <w:spacing w:after="0" w:line="240" w:lineRule="auto"/>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8"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43,992</w:t>
            </w:r>
          </w:p>
        </w:tc>
      </w:tr>
      <w:tr w:rsidR="00AC7697" w:rsidRPr="00AC7697" w:rsidTr="00AC7697">
        <w:trPr>
          <w:trHeight w:val="264"/>
          <w:jc w:val="center"/>
        </w:trPr>
        <w:tc>
          <w:tcPr>
            <w:tcW w:w="2820" w:type="dxa"/>
            <w:tcBorders>
              <w:top w:val="nil"/>
              <w:left w:val="single" w:sz="8" w:space="0" w:color="auto"/>
              <w:bottom w:val="single" w:sz="4" w:space="0" w:color="auto"/>
              <w:right w:val="single" w:sz="4" w:space="0" w:color="auto"/>
            </w:tcBorders>
            <w:shd w:val="clear" w:color="auto" w:fill="auto"/>
            <w:vAlign w:val="bottom"/>
            <w:hideMark/>
          </w:tcPr>
          <w:p w:rsidR="00AC7697" w:rsidRPr="00AC7697" w:rsidRDefault="00AC7697" w:rsidP="00AC7697">
            <w:pPr>
              <w:spacing w:after="0" w:line="240" w:lineRule="auto"/>
              <w:jc w:val="right"/>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Internal Cost: Loan Officer</w:t>
            </w:r>
          </w:p>
        </w:tc>
        <w:tc>
          <w:tcPr>
            <w:tcW w:w="1427" w:type="dxa"/>
            <w:tcBorders>
              <w:top w:val="nil"/>
              <w:left w:val="nil"/>
              <w:bottom w:val="single" w:sz="4" w:space="0" w:color="auto"/>
              <w:right w:val="single" w:sz="4" w:space="0" w:color="auto"/>
            </w:tcBorders>
            <w:shd w:val="clear" w:color="auto" w:fill="auto"/>
            <w:vAlign w:val="bottom"/>
            <w:hideMark/>
          </w:tcPr>
          <w:p w:rsidR="00AC7697" w:rsidRPr="00AC7697" w:rsidRDefault="00AC7697" w:rsidP="00AC7697">
            <w:pPr>
              <w:spacing w:after="0" w:line="240" w:lineRule="auto"/>
              <w:jc w:val="right"/>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$68.65</w:t>
            </w:r>
          </w:p>
        </w:tc>
        <w:tc>
          <w:tcPr>
            <w:tcW w:w="1239"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8"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$3,020,050.80</w:t>
            </w:r>
          </w:p>
        </w:tc>
      </w:tr>
      <w:tr w:rsidR="00AC7697" w:rsidRPr="00AC7697" w:rsidTr="00AC7697">
        <w:trPr>
          <w:trHeight w:val="264"/>
          <w:jc w:val="center"/>
        </w:trPr>
        <w:tc>
          <w:tcPr>
            <w:tcW w:w="2820" w:type="dxa"/>
            <w:tcBorders>
              <w:top w:val="nil"/>
              <w:left w:val="single" w:sz="8" w:space="0" w:color="auto"/>
              <w:bottom w:val="single" w:sz="4" w:space="0" w:color="auto"/>
              <w:right w:val="single" w:sz="4" w:space="0" w:color="auto"/>
            </w:tcBorders>
            <w:shd w:val="clear" w:color="auto" w:fill="auto"/>
            <w:vAlign w:val="bottom"/>
            <w:hideMark/>
          </w:tcPr>
          <w:p w:rsidR="00AC7697" w:rsidRPr="00AC7697" w:rsidRDefault="00AC7697" w:rsidP="00AC7697">
            <w:pPr>
              <w:spacing w:after="0" w:line="240" w:lineRule="auto"/>
              <w:jc w:val="right"/>
              <w:rPr>
                <w:rFonts w:ascii="Times New Roman" w:eastAsia="Times New Roman" w:hAnsi="Times New Roman" w:cs="Times New Roman"/>
                <w:b/>
                <w:bCs/>
                <w:color w:val="000000"/>
                <w:sz w:val="20"/>
                <w:szCs w:val="20"/>
              </w:rPr>
            </w:pPr>
            <w:r w:rsidRPr="00AC7697">
              <w:rPr>
                <w:rFonts w:ascii="Times New Roman" w:eastAsia="Times New Roman" w:hAnsi="Times New Roman" w:cs="Times New Roman"/>
                <w:b/>
                <w:bCs/>
                <w:color w:val="000000"/>
                <w:sz w:val="20"/>
                <w:szCs w:val="20"/>
              </w:rPr>
              <w:t>TOTAL INTERNAL COST</w:t>
            </w:r>
          </w:p>
        </w:tc>
        <w:tc>
          <w:tcPr>
            <w:tcW w:w="1427" w:type="dxa"/>
            <w:tcBorders>
              <w:top w:val="nil"/>
              <w:left w:val="nil"/>
              <w:bottom w:val="single" w:sz="4" w:space="0" w:color="auto"/>
              <w:right w:val="single" w:sz="4" w:space="0" w:color="auto"/>
            </w:tcBorders>
            <w:shd w:val="clear" w:color="auto" w:fill="auto"/>
            <w:vAlign w:val="bottom"/>
            <w:hideMark/>
          </w:tcPr>
          <w:p w:rsidR="00AC7697" w:rsidRPr="00AC7697" w:rsidRDefault="00AC7697" w:rsidP="00AC7697">
            <w:pPr>
              <w:spacing w:after="0" w:line="240" w:lineRule="auto"/>
              <w:jc w:val="right"/>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AC7697" w:rsidRPr="00AC7697" w:rsidRDefault="00AC7697" w:rsidP="00AC7697">
            <w:pPr>
              <w:spacing w:after="0" w:line="240" w:lineRule="auto"/>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8" w:space="0" w:color="auto"/>
            </w:tcBorders>
            <w:shd w:val="clear" w:color="auto" w:fill="auto"/>
            <w:noWrap/>
            <w:vAlign w:val="bottom"/>
            <w:hideMark/>
          </w:tcPr>
          <w:p w:rsidR="00AC7697" w:rsidRPr="00AC7697" w:rsidRDefault="00AC7697" w:rsidP="00AC7697">
            <w:pPr>
              <w:spacing w:after="0" w:line="240" w:lineRule="auto"/>
              <w:jc w:val="center"/>
              <w:rPr>
                <w:rFonts w:ascii="Times New Roman" w:eastAsia="Times New Roman" w:hAnsi="Times New Roman" w:cs="Times New Roman"/>
                <w:color w:val="000000"/>
                <w:sz w:val="20"/>
                <w:szCs w:val="20"/>
              </w:rPr>
            </w:pPr>
            <w:r w:rsidRPr="00AC7697">
              <w:rPr>
                <w:rFonts w:ascii="Times New Roman" w:eastAsia="Times New Roman" w:hAnsi="Times New Roman" w:cs="Times New Roman"/>
                <w:color w:val="000000"/>
                <w:sz w:val="20"/>
                <w:szCs w:val="20"/>
              </w:rPr>
              <w:t>$3,020,050.80</w:t>
            </w:r>
          </w:p>
        </w:tc>
      </w:tr>
    </w:tbl>
    <w:p w:rsidR="00725F92" w:rsidRPr="00725F92" w:rsidRDefault="00725F92" w:rsidP="00725F92">
      <w:pPr>
        <w:pStyle w:val="Default"/>
        <w:ind w:left="720"/>
      </w:pPr>
    </w:p>
    <w:p w:rsidR="00AC7697" w:rsidRDefault="00AC7697" w:rsidP="00AC7697">
      <w:pPr>
        <w:pStyle w:val="ListParagraph"/>
        <w:spacing w:after="0" w:line="240" w:lineRule="auto"/>
        <w:rPr>
          <w:rFonts w:ascii="Times New Roman" w:hAnsi="Times New Roman" w:cs="Times New Roman"/>
          <w:sz w:val="24"/>
          <w:szCs w:val="24"/>
          <w:u w:val="single"/>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u w:val="single"/>
        </w:rPr>
      </w:pPr>
      <w:r w:rsidRPr="00725F92">
        <w:rPr>
          <w:rFonts w:ascii="Times New Roman" w:hAnsi="Times New Roman" w:cs="Times New Roman"/>
          <w:sz w:val="24"/>
          <w:szCs w:val="24"/>
          <w:u w:val="single"/>
        </w:rPr>
        <w:t>Capital, Start-Up and Maintenance Costs</w:t>
      </w:r>
    </w:p>
    <w:p w:rsidR="00725F92" w:rsidRPr="00725F92" w:rsidRDefault="00725F92" w:rsidP="00725F92">
      <w:pPr>
        <w:spacing w:after="0" w:line="240" w:lineRule="auto"/>
        <w:ind w:left="720" w:firstLine="720"/>
        <w:rPr>
          <w:rFonts w:ascii="Times New Roman" w:hAnsi="Times New Roman" w:cs="Times New Roman"/>
          <w:sz w:val="24"/>
          <w:szCs w:val="24"/>
          <w:u w:val="single"/>
        </w:rPr>
      </w:pPr>
    </w:p>
    <w:p w:rsidR="00725F92" w:rsidRDefault="002850CA" w:rsidP="00121BE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None</w:t>
      </w:r>
      <w:r w:rsidR="00725F92" w:rsidRPr="00725F92">
        <w:rPr>
          <w:rFonts w:ascii="Times New Roman" w:hAnsi="Times New Roman" w:cs="Times New Roman"/>
          <w:sz w:val="24"/>
          <w:szCs w:val="24"/>
        </w:rPr>
        <w:t>.</w:t>
      </w:r>
    </w:p>
    <w:p w:rsidR="00121BE8" w:rsidRDefault="00121BE8" w:rsidP="00121BE8">
      <w:pPr>
        <w:spacing w:after="0" w:line="240" w:lineRule="auto"/>
        <w:ind w:left="144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Estimated Annual Cost to the Federal Government</w:t>
      </w:r>
    </w:p>
    <w:p w:rsidR="00725F92" w:rsidRPr="00725F92" w:rsidRDefault="00725F92" w:rsidP="00725F92">
      <w:pPr>
        <w:spacing w:after="0" w:line="240" w:lineRule="auto"/>
        <w:ind w:left="720" w:firstLine="720"/>
        <w:rPr>
          <w:rFonts w:ascii="Times New Roman" w:hAnsi="Times New Roman" w:cs="Times New Roman"/>
          <w:sz w:val="24"/>
          <w:szCs w:val="24"/>
        </w:rPr>
      </w:pPr>
    </w:p>
    <w:p w:rsidR="00725F92" w:rsidRPr="00725F92" w:rsidRDefault="002850CA" w:rsidP="00121BE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None</w:t>
      </w:r>
      <w:r w:rsidR="00725F92" w:rsidRPr="00725F92">
        <w:rPr>
          <w:rFonts w:ascii="Times New Roman" w:hAnsi="Times New Roman" w:cs="Times New Roman"/>
          <w:sz w:val="24"/>
          <w:szCs w:val="24"/>
        </w:rPr>
        <w:t>.</w:t>
      </w:r>
    </w:p>
    <w:p w:rsidR="00725F92" w:rsidRDefault="00725F92" w:rsidP="00725F92">
      <w:pPr>
        <w:spacing w:after="0" w:line="240" w:lineRule="auto"/>
        <w:ind w:left="720" w:firstLine="720"/>
        <w:rPr>
          <w:rFonts w:ascii="Times New Roman" w:hAnsi="Times New Roman" w:cs="Times New Roman"/>
          <w:sz w:val="24"/>
          <w:szCs w:val="24"/>
        </w:rPr>
      </w:pPr>
    </w:p>
    <w:p w:rsidR="004775DF" w:rsidRDefault="004775DF" w:rsidP="00725F92">
      <w:pPr>
        <w:spacing w:after="0" w:line="240" w:lineRule="auto"/>
        <w:ind w:left="720" w:firstLine="720"/>
        <w:rPr>
          <w:rFonts w:ascii="Times New Roman" w:hAnsi="Times New Roman" w:cs="Times New Roman"/>
          <w:sz w:val="24"/>
          <w:szCs w:val="24"/>
        </w:rPr>
      </w:pPr>
    </w:p>
    <w:p w:rsidR="004775DF" w:rsidRDefault="004775DF" w:rsidP="00725F92">
      <w:pPr>
        <w:spacing w:after="0" w:line="240" w:lineRule="auto"/>
        <w:ind w:left="720" w:firstLine="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Reason for Change in Burden</w:t>
      </w:r>
    </w:p>
    <w:p w:rsidR="00725F92" w:rsidRPr="00725F92" w:rsidRDefault="00725F92" w:rsidP="00725F92">
      <w:pPr>
        <w:spacing w:after="0" w:line="240" w:lineRule="auto"/>
        <w:ind w:left="720" w:firstLine="720"/>
        <w:rPr>
          <w:rFonts w:ascii="Times New Roman" w:hAnsi="Times New Roman" w:cs="Times New Roman"/>
          <w:sz w:val="24"/>
          <w:szCs w:val="24"/>
        </w:rPr>
      </w:pPr>
    </w:p>
    <w:p w:rsidR="00AC7697" w:rsidRPr="00AC7697" w:rsidRDefault="00711475" w:rsidP="00121BE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268,727 reduction is burden hours is the result of agency adjustment.  </w:t>
      </w:r>
      <w:r w:rsidR="00AC7697" w:rsidRPr="00AC7697">
        <w:rPr>
          <w:rFonts w:ascii="Times New Roman" w:hAnsi="Times New Roman" w:cs="Times New Roman"/>
          <w:sz w:val="24"/>
          <w:szCs w:val="24"/>
        </w:rPr>
        <w:t xml:space="preserve">While the </w:t>
      </w:r>
      <w:r w:rsidR="00AC7697">
        <w:rPr>
          <w:rFonts w:ascii="Times New Roman" w:hAnsi="Times New Roman" w:cs="Times New Roman"/>
          <w:sz w:val="24"/>
          <w:szCs w:val="24"/>
        </w:rPr>
        <w:t>NPRM</w:t>
      </w:r>
      <w:r w:rsidR="00AC7697" w:rsidRPr="00AC7697">
        <w:rPr>
          <w:rFonts w:ascii="Times New Roman" w:hAnsi="Times New Roman" w:cs="Times New Roman"/>
          <w:sz w:val="24"/>
          <w:szCs w:val="24"/>
        </w:rPr>
        <w:t xml:space="preserve"> would not change the amount of time that institutions spend complying with the Title XI appraisal regulation, the </w:t>
      </w:r>
      <w:r w:rsidR="00AC7697">
        <w:rPr>
          <w:rFonts w:ascii="Times New Roman" w:hAnsi="Times New Roman" w:cs="Times New Roman"/>
          <w:sz w:val="24"/>
          <w:szCs w:val="24"/>
        </w:rPr>
        <w:t xml:space="preserve">FDIC is </w:t>
      </w:r>
      <w:r>
        <w:rPr>
          <w:rFonts w:ascii="Times New Roman" w:hAnsi="Times New Roman" w:cs="Times New Roman"/>
          <w:sz w:val="24"/>
          <w:szCs w:val="24"/>
        </w:rPr>
        <w:t xml:space="preserve">now using 5 minutes, as opposed to the previously reported 45 minutes, as the average time required to </w:t>
      </w:r>
      <w:r w:rsidR="003A2792">
        <w:rPr>
          <w:rFonts w:ascii="Times New Roman" w:hAnsi="Times New Roman" w:cs="Times New Roman"/>
          <w:sz w:val="24"/>
          <w:szCs w:val="24"/>
        </w:rPr>
        <w:t>document</w:t>
      </w:r>
      <w:r>
        <w:rPr>
          <w:rFonts w:ascii="Times New Roman" w:hAnsi="Times New Roman" w:cs="Times New Roman"/>
          <w:sz w:val="24"/>
          <w:szCs w:val="24"/>
        </w:rPr>
        <w:t xml:space="preserve"> the file for an appraisal or an evaluation.  </w:t>
      </w:r>
      <w:r w:rsidR="003A2792">
        <w:rPr>
          <w:rFonts w:ascii="Times New Roman" w:hAnsi="Times New Roman" w:cs="Times New Roman"/>
          <w:sz w:val="24"/>
          <w:szCs w:val="24"/>
        </w:rPr>
        <w:t>This updated</w:t>
      </w:r>
      <w:r w:rsidR="00AC7697" w:rsidRPr="00AC7697">
        <w:rPr>
          <w:rFonts w:ascii="Times New Roman" w:hAnsi="Times New Roman" w:cs="Times New Roman"/>
          <w:sz w:val="24"/>
          <w:szCs w:val="24"/>
        </w:rPr>
        <w:t xml:space="preserve"> methodology for calculating the burden of the in</w:t>
      </w:r>
      <w:r>
        <w:rPr>
          <w:rFonts w:ascii="Times New Roman" w:hAnsi="Times New Roman" w:cs="Times New Roman"/>
          <w:sz w:val="24"/>
          <w:szCs w:val="24"/>
        </w:rPr>
        <w:t xml:space="preserve">formation collection </w:t>
      </w:r>
      <w:r w:rsidR="003A2792">
        <w:rPr>
          <w:rFonts w:ascii="Times New Roman" w:hAnsi="Times New Roman" w:cs="Times New Roman"/>
          <w:sz w:val="24"/>
          <w:szCs w:val="24"/>
        </w:rPr>
        <w:t xml:space="preserve">is </w:t>
      </w:r>
      <w:r>
        <w:rPr>
          <w:rFonts w:ascii="Times New Roman" w:hAnsi="Times New Roman" w:cs="Times New Roman"/>
          <w:sz w:val="24"/>
          <w:szCs w:val="24"/>
        </w:rPr>
        <w:t xml:space="preserve">based on </w:t>
      </w:r>
      <w:r w:rsidR="003A2792">
        <w:rPr>
          <w:rFonts w:ascii="Times New Roman" w:hAnsi="Times New Roman" w:cs="Times New Roman"/>
          <w:sz w:val="24"/>
          <w:szCs w:val="24"/>
        </w:rPr>
        <w:t>current information, FDIC experience and advances in technology</w:t>
      </w:r>
      <w:r w:rsidR="00AC7697" w:rsidRPr="00AC7697">
        <w:rPr>
          <w:rFonts w:ascii="Times New Roman" w:hAnsi="Times New Roman" w:cs="Times New Roman"/>
          <w:sz w:val="24"/>
          <w:szCs w:val="24"/>
        </w:rPr>
        <w:t>.</w:t>
      </w:r>
      <w:r>
        <w:rPr>
          <w:rFonts w:ascii="Times New Roman" w:hAnsi="Times New Roman" w:cs="Times New Roman"/>
          <w:sz w:val="24"/>
          <w:szCs w:val="24"/>
        </w:rPr>
        <w:t xml:space="preserve">  </w:t>
      </w:r>
    </w:p>
    <w:p w:rsidR="00AC7697" w:rsidRDefault="00AC7697" w:rsidP="00725F92">
      <w:pPr>
        <w:spacing w:after="0" w:line="240" w:lineRule="auto"/>
        <w:ind w:left="720"/>
        <w:rPr>
          <w:rFonts w:ascii="Times New Roman" w:hAnsi="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Publication.</w:t>
      </w:r>
    </w:p>
    <w:p w:rsidR="00725F92" w:rsidRPr="00725F92" w:rsidRDefault="00725F92" w:rsidP="00725F92">
      <w:pPr>
        <w:spacing w:after="0" w:line="240" w:lineRule="auto"/>
        <w:ind w:left="240" w:firstLine="720"/>
        <w:rPr>
          <w:rFonts w:ascii="Times New Roman" w:hAnsi="Times New Roman" w:cs="Times New Roman"/>
          <w:sz w:val="24"/>
          <w:szCs w:val="24"/>
        </w:rPr>
      </w:pPr>
    </w:p>
    <w:p w:rsidR="002850CA" w:rsidRDefault="00725F92" w:rsidP="002850CA">
      <w:pPr>
        <w:tabs>
          <w:tab w:val="left" w:pos="-720"/>
        </w:tabs>
        <w:suppressAutoHyphens/>
        <w:ind w:left="1440"/>
        <w:rPr>
          <w:rFonts w:ascii="Times New Roman" w:hAnsi="Times New Roman"/>
          <w:sz w:val="24"/>
        </w:rPr>
      </w:pPr>
      <w:r w:rsidRPr="00725F92">
        <w:rPr>
          <w:rFonts w:ascii="Times New Roman" w:hAnsi="Times New Roman" w:cs="Times New Roman"/>
          <w:sz w:val="24"/>
          <w:szCs w:val="24"/>
        </w:rPr>
        <w:t xml:space="preserve">Not applicable.  </w:t>
      </w:r>
      <w:r w:rsidR="002850CA">
        <w:rPr>
          <w:rFonts w:ascii="Times New Roman" w:hAnsi="Times New Roman"/>
          <w:sz w:val="24"/>
        </w:rPr>
        <w:t xml:space="preserve">The information is not published. </w:t>
      </w: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u w:val="single"/>
        </w:rPr>
      </w:pPr>
      <w:r w:rsidRPr="00725F92">
        <w:rPr>
          <w:rFonts w:ascii="Times New Roman" w:hAnsi="Times New Roman" w:cs="Times New Roman"/>
          <w:sz w:val="24"/>
          <w:szCs w:val="24"/>
          <w:u w:val="single"/>
        </w:rPr>
        <w:t>Display of Expiration Dates</w:t>
      </w:r>
    </w:p>
    <w:p w:rsidR="00725F92" w:rsidRPr="00725F92" w:rsidRDefault="00725F92" w:rsidP="00725F92">
      <w:pPr>
        <w:spacing w:after="0" w:line="240" w:lineRule="auto"/>
        <w:ind w:left="540" w:firstLine="180"/>
        <w:rPr>
          <w:rFonts w:ascii="Times New Roman" w:hAnsi="Times New Roman" w:cs="Times New Roman"/>
          <w:sz w:val="24"/>
          <w:szCs w:val="24"/>
        </w:rPr>
      </w:pPr>
    </w:p>
    <w:p w:rsidR="00725F92" w:rsidRDefault="00121BE8" w:rsidP="00121BE8">
      <w:pPr>
        <w:spacing w:after="0" w:line="240" w:lineRule="auto"/>
        <w:ind w:left="720" w:firstLine="720"/>
        <w:rPr>
          <w:rFonts w:ascii="Times New Roman" w:hAnsi="Times New Roman"/>
          <w:sz w:val="24"/>
        </w:rPr>
      </w:pPr>
      <w:r>
        <w:rPr>
          <w:rFonts w:ascii="Times New Roman" w:hAnsi="Times New Roman"/>
          <w:sz w:val="24"/>
        </w:rPr>
        <w:t>Not applicable.</w:t>
      </w:r>
    </w:p>
    <w:p w:rsidR="00121BE8" w:rsidRPr="00725F92" w:rsidRDefault="00121BE8" w:rsidP="00121BE8">
      <w:pPr>
        <w:spacing w:after="0" w:line="240" w:lineRule="auto"/>
        <w:ind w:left="720" w:firstLine="720"/>
        <w:rPr>
          <w:rFonts w:ascii="Times New Roman" w:hAnsi="Times New Roman" w:cs="Times New Roman"/>
          <w:sz w:val="24"/>
          <w:szCs w:val="24"/>
        </w:rPr>
      </w:pPr>
    </w:p>
    <w:p w:rsidR="00725F92" w:rsidRPr="00725F92" w:rsidRDefault="00725F92" w:rsidP="00725F92">
      <w:pPr>
        <w:pStyle w:val="ListParagraph"/>
        <w:numPr>
          <w:ilvl w:val="0"/>
          <w:numId w:val="2"/>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Exceptions to Certification</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121BE8" w:rsidP="00121BE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None</w:t>
      </w:r>
      <w:r w:rsidR="00725F92" w:rsidRPr="00725F92">
        <w:rPr>
          <w:rFonts w:ascii="Times New Roman" w:hAnsi="Times New Roman" w:cs="Times New Roman"/>
          <w:sz w:val="24"/>
          <w:szCs w:val="24"/>
        </w:rPr>
        <w:t>.</w:t>
      </w:r>
    </w:p>
    <w:p w:rsidR="00725F92" w:rsidRPr="00725F92" w:rsidRDefault="00725F92" w:rsidP="00725F92">
      <w:pPr>
        <w:spacing w:after="0" w:line="240" w:lineRule="auto"/>
        <w:rPr>
          <w:rFonts w:ascii="Times New Roman" w:hAnsi="Times New Roman" w:cs="Times New Roman"/>
          <w:sz w:val="24"/>
          <w:szCs w:val="24"/>
        </w:rPr>
      </w:pPr>
    </w:p>
    <w:p w:rsidR="00121BE8" w:rsidRPr="00121BE8" w:rsidRDefault="00121BE8" w:rsidP="00121BE8">
      <w:pPr>
        <w:pStyle w:val="ListParagraph"/>
        <w:spacing w:after="0" w:line="240" w:lineRule="auto"/>
        <w:rPr>
          <w:rFonts w:ascii="Times New Roman" w:hAnsi="Times New Roman" w:cs="Times New Roman"/>
          <w:sz w:val="24"/>
          <w:szCs w:val="24"/>
        </w:rPr>
      </w:pPr>
    </w:p>
    <w:p w:rsidR="00725F92" w:rsidRPr="00725F92" w:rsidRDefault="00725F92" w:rsidP="00725F92">
      <w:pPr>
        <w:pStyle w:val="ListParagraph"/>
        <w:numPr>
          <w:ilvl w:val="0"/>
          <w:numId w:val="1"/>
        </w:numPr>
        <w:spacing w:after="0" w:line="240" w:lineRule="auto"/>
        <w:rPr>
          <w:rFonts w:ascii="Times New Roman" w:hAnsi="Times New Roman" w:cs="Times New Roman"/>
          <w:sz w:val="24"/>
          <w:szCs w:val="24"/>
        </w:rPr>
      </w:pPr>
      <w:r w:rsidRPr="00725F92">
        <w:rPr>
          <w:rFonts w:ascii="Times New Roman" w:hAnsi="Times New Roman" w:cs="Times New Roman"/>
          <w:sz w:val="24"/>
          <w:szCs w:val="24"/>
          <w:u w:val="single"/>
        </w:rPr>
        <w:t>Statistical Methods</w:t>
      </w:r>
    </w:p>
    <w:p w:rsidR="00725F92" w:rsidRPr="00725F92" w:rsidRDefault="00725F92" w:rsidP="00725F92">
      <w:pPr>
        <w:spacing w:after="0" w:line="240" w:lineRule="auto"/>
        <w:rPr>
          <w:rFonts w:ascii="Times New Roman" w:hAnsi="Times New Roman" w:cs="Times New Roman"/>
          <w:sz w:val="24"/>
          <w:szCs w:val="24"/>
        </w:rPr>
      </w:pPr>
    </w:p>
    <w:p w:rsidR="00725F92" w:rsidRPr="00725F92" w:rsidRDefault="00725F92" w:rsidP="00725F92">
      <w:pPr>
        <w:spacing w:after="0" w:line="240" w:lineRule="auto"/>
        <w:ind w:firstLine="720"/>
        <w:rPr>
          <w:rFonts w:ascii="Times New Roman" w:hAnsi="Times New Roman" w:cs="Times New Roman"/>
          <w:sz w:val="24"/>
          <w:szCs w:val="24"/>
        </w:rPr>
      </w:pPr>
      <w:r w:rsidRPr="00725F92">
        <w:rPr>
          <w:rFonts w:ascii="Times New Roman" w:hAnsi="Times New Roman" w:cs="Times New Roman"/>
          <w:sz w:val="24"/>
          <w:szCs w:val="24"/>
        </w:rPr>
        <w:t>Not applicable.</w:t>
      </w:r>
    </w:p>
    <w:p w:rsidR="00A90257" w:rsidRPr="00725F92" w:rsidRDefault="00A90257">
      <w:pPr>
        <w:rPr>
          <w:rFonts w:ascii="Times New Roman" w:hAnsi="Times New Roman" w:cs="Times New Roman"/>
          <w:sz w:val="24"/>
          <w:szCs w:val="24"/>
        </w:rPr>
      </w:pPr>
    </w:p>
    <w:sectPr w:rsidR="00A90257" w:rsidRPr="00725F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07" w:rsidRDefault="00C12007" w:rsidP="00725F92">
      <w:pPr>
        <w:spacing w:after="0" w:line="240" w:lineRule="auto"/>
      </w:pPr>
      <w:r>
        <w:separator/>
      </w:r>
    </w:p>
  </w:endnote>
  <w:endnote w:type="continuationSeparator" w:id="0">
    <w:p w:rsidR="00C12007" w:rsidRDefault="00C12007" w:rsidP="0072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037315"/>
      <w:docPartObj>
        <w:docPartGallery w:val="Page Numbers (Bottom of Page)"/>
        <w:docPartUnique/>
      </w:docPartObj>
    </w:sdtPr>
    <w:sdtEndPr>
      <w:rPr>
        <w:rFonts w:ascii="Times New Roman" w:hAnsi="Times New Roman" w:cs="Times New Roman"/>
        <w:noProof/>
        <w:sz w:val="24"/>
        <w:szCs w:val="24"/>
      </w:rPr>
    </w:sdtEndPr>
    <w:sdtContent>
      <w:p w:rsidR="006F4D80" w:rsidRPr="006F4D80" w:rsidRDefault="006F4D80">
        <w:pPr>
          <w:pStyle w:val="Footer"/>
          <w:jc w:val="center"/>
          <w:rPr>
            <w:rFonts w:ascii="Times New Roman" w:hAnsi="Times New Roman" w:cs="Times New Roman"/>
            <w:sz w:val="24"/>
            <w:szCs w:val="24"/>
          </w:rPr>
        </w:pPr>
        <w:r w:rsidRPr="006F4D80">
          <w:rPr>
            <w:rFonts w:ascii="Times New Roman" w:hAnsi="Times New Roman" w:cs="Times New Roman"/>
            <w:sz w:val="24"/>
            <w:szCs w:val="24"/>
          </w:rPr>
          <w:fldChar w:fldCharType="begin"/>
        </w:r>
        <w:r w:rsidRPr="006F4D80">
          <w:rPr>
            <w:rFonts w:ascii="Times New Roman" w:hAnsi="Times New Roman" w:cs="Times New Roman"/>
            <w:sz w:val="24"/>
            <w:szCs w:val="24"/>
          </w:rPr>
          <w:instrText xml:space="preserve"> PAGE   \* MERGEFORMAT </w:instrText>
        </w:r>
        <w:r w:rsidRPr="006F4D80">
          <w:rPr>
            <w:rFonts w:ascii="Times New Roman" w:hAnsi="Times New Roman" w:cs="Times New Roman"/>
            <w:sz w:val="24"/>
            <w:szCs w:val="24"/>
          </w:rPr>
          <w:fldChar w:fldCharType="separate"/>
        </w:r>
        <w:r w:rsidR="00E54BBB">
          <w:rPr>
            <w:rFonts w:ascii="Times New Roman" w:hAnsi="Times New Roman" w:cs="Times New Roman"/>
            <w:noProof/>
            <w:sz w:val="24"/>
            <w:szCs w:val="24"/>
          </w:rPr>
          <w:t>1</w:t>
        </w:r>
        <w:r w:rsidRPr="006F4D80">
          <w:rPr>
            <w:rFonts w:ascii="Times New Roman" w:hAnsi="Times New Roman" w:cs="Times New Roman"/>
            <w:noProof/>
            <w:sz w:val="24"/>
            <w:szCs w:val="24"/>
          </w:rPr>
          <w:fldChar w:fldCharType="end"/>
        </w:r>
      </w:p>
    </w:sdtContent>
  </w:sdt>
  <w:p w:rsidR="003B691B" w:rsidRDefault="003B6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07" w:rsidRDefault="00C12007" w:rsidP="00725F92">
      <w:pPr>
        <w:spacing w:after="0" w:line="240" w:lineRule="auto"/>
      </w:pPr>
      <w:r>
        <w:separator/>
      </w:r>
    </w:p>
  </w:footnote>
  <w:footnote w:type="continuationSeparator" w:id="0">
    <w:p w:rsidR="00C12007" w:rsidRDefault="00C12007" w:rsidP="00725F92">
      <w:pPr>
        <w:spacing w:after="0" w:line="240" w:lineRule="auto"/>
      </w:pPr>
      <w:r>
        <w:continuationSeparator/>
      </w:r>
    </w:p>
  </w:footnote>
  <w:footnote w:id="1">
    <w:p w:rsidR="00725F92" w:rsidRDefault="00725F92" w:rsidP="00725F92">
      <w:pPr>
        <w:pStyle w:val="FootnoteText"/>
        <w:rPr>
          <w:sz w:val="24"/>
          <w:szCs w:val="24"/>
        </w:rPr>
      </w:pPr>
      <w:r w:rsidRPr="00EF7AE9">
        <w:rPr>
          <w:rStyle w:val="FootnoteReference"/>
          <w:vertAlign w:val="superscript"/>
        </w:rPr>
        <w:footnoteRef/>
      </w:r>
      <w:r w:rsidRPr="00EF7AE9">
        <w:rPr>
          <w:vertAlign w:val="superscript"/>
        </w:rPr>
        <w:t xml:space="preserve"> </w:t>
      </w:r>
      <w:r w:rsidRPr="00EF7AE9">
        <w:rPr>
          <w:u w:val="single"/>
        </w:rPr>
        <w:t>Real Estate Appraisals; Notice of Proposed Rulemaking</w:t>
      </w:r>
      <w:r w:rsidRPr="00BA3B78">
        <w:t>,</w:t>
      </w:r>
      <w:r w:rsidRPr="00675B5D">
        <w:t xml:space="preserve"> 82 FR </w:t>
      </w:r>
      <w:r w:rsidR="00AE0544">
        <w:t>35478</w:t>
      </w:r>
      <w:r w:rsidRPr="00675B5D">
        <w:t xml:space="preserve"> (July 31, 2017). </w:t>
      </w:r>
      <w:r w:rsidR="00675B5D" w:rsidRPr="00675B5D">
        <w:t xml:space="preserve">The NPRM </w:t>
      </w:r>
      <w:r w:rsidR="00675B5D">
        <w:t xml:space="preserve">was issued </w:t>
      </w:r>
      <w:r w:rsidR="00675B5D" w:rsidRPr="00D36190">
        <w:t xml:space="preserve">by the FDIC, the </w:t>
      </w:r>
      <w:r w:rsidR="00675B5D" w:rsidRPr="00D36190">
        <w:rPr>
          <w:color w:val="000000" w:themeColor="text1"/>
        </w:rPr>
        <w:t>Office of the Comptroller of the Currency, Treasury and the Board of Governors of the Federal Reserve System</w:t>
      </w:r>
      <w:r w:rsidR="00EF7AE9">
        <w:rPr>
          <w:color w:val="000000" w:themeColor="text1"/>
        </w:rPr>
        <w:t>.</w:t>
      </w:r>
      <w:r w:rsidR="00675B5D" w:rsidRPr="00D36190">
        <w:rPr>
          <w:color w:val="000000" w:themeColor="text1"/>
        </w:rPr>
        <w:t xml:space="preserve"> </w:t>
      </w:r>
      <w:r w:rsidR="00D36190" w:rsidRPr="00D36190">
        <w:t xml:space="preserve">The FDIC is issuing this NPRM pursuant to </w:t>
      </w:r>
      <w:r w:rsidR="00D36190">
        <w:t xml:space="preserve">its authority under </w:t>
      </w:r>
      <w:r w:rsidR="00D36190" w:rsidRPr="00D36190">
        <w:t>12 U.S.C. 1818, 1819 and 1831p-1.</w:t>
      </w:r>
      <w:r w:rsidR="00D36190" w:rsidRPr="00675B5D">
        <w:rPr>
          <w:sz w:val="24"/>
          <w:szCs w:val="24"/>
        </w:rPr>
        <w:t xml:space="preserve"> </w:t>
      </w:r>
      <w:r w:rsidR="00D36190">
        <w:rPr>
          <w:sz w:val="24"/>
          <w:szCs w:val="24"/>
        </w:rPr>
        <w:t xml:space="preserve"> </w:t>
      </w:r>
    </w:p>
    <w:p w:rsidR="00E01D9F" w:rsidRPr="00675B5D" w:rsidRDefault="00E01D9F" w:rsidP="00725F92">
      <w:pPr>
        <w:pStyle w:val="FootnoteText"/>
      </w:pPr>
    </w:p>
  </w:footnote>
  <w:footnote w:id="2">
    <w:p w:rsidR="00675B5D" w:rsidRDefault="00675B5D">
      <w:pPr>
        <w:pStyle w:val="FootnoteText"/>
      </w:pPr>
      <w:r w:rsidRPr="00675B5D">
        <w:rPr>
          <w:rStyle w:val="FootnoteReference"/>
          <w:vertAlign w:val="superscript"/>
        </w:rPr>
        <w:footnoteRef/>
      </w:r>
      <w:r>
        <w:t xml:space="preserve"> </w:t>
      </w:r>
      <w:r w:rsidRPr="00675B5D">
        <w:t>12 CFR Part 323.</w:t>
      </w:r>
    </w:p>
    <w:p w:rsidR="00E01D9F" w:rsidRDefault="00E01D9F">
      <w:pPr>
        <w:pStyle w:val="FootnoteText"/>
      </w:pPr>
    </w:p>
  </w:footnote>
  <w:footnote w:id="3">
    <w:p w:rsidR="00BC71D9" w:rsidRDefault="00BC71D9" w:rsidP="00BC71D9">
      <w:pPr>
        <w:pStyle w:val="FootnoteText"/>
      </w:pPr>
      <w:r w:rsidRPr="00675B5D">
        <w:rPr>
          <w:rStyle w:val="FootnoteReference"/>
          <w:vertAlign w:val="superscript"/>
        </w:rPr>
        <w:footnoteRef/>
      </w:r>
      <w:r w:rsidRPr="000E1D5C">
        <w:t xml:space="preserve"> </w:t>
      </w:r>
      <w:r w:rsidRPr="000E1D5C">
        <w:rPr>
          <w:u w:val="single"/>
        </w:rPr>
        <w:t>See</w:t>
      </w:r>
      <w:r w:rsidRPr="000E1D5C">
        <w:t xml:space="preserve"> 59 FR 29482 (June 7, 1994).  </w:t>
      </w:r>
    </w:p>
    <w:p w:rsidR="00E01D9F" w:rsidRPr="000E1D5C" w:rsidRDefault="00E01D9F" w:rsidP="00BC71D9">
      <w:pPr>
        <w:pStyle w:val="FootnoteText"/>
      </w:pPr>
    </w:p>
  </w:footnote>
  <w:footnote w:id="4">
    <w:p w:rsidR="00BC71D9" w:rsidRDefault="00BC71D9" w:rsidP="00BC71D9">
      <w:pPr>
        <w:pStyle w:val="FootnoteText"/>
      </w:pPr>
      <w:r w:rsidRPr="00675B5D">
        <w:rPr>
          <w:rStyle w:val="FootnoteReference"/>
          <w:vertAlign w:val="superscript"/>
        </w:rPr>
        <w:footnoteRef/>
      </w:r>
      <w:r w:rsidRPr="000E1D5C">
        <w:t xml:space="preserve"> For loans and extensions of credit, the transaction value is the amount of the loan or extension of credit.  For sales, leases, purchases, investments in or exchanges of real property, the transaction value is the market value of the real property.  For the pooling of loans or interests in real property for resale or purchase, the transaction value is the amount of each such loan or the market value of each such real property, respectively.  </w:t>
      </w:r>
      <w:r w:rsidRPr="000E1D5C">
        <w:rPr>
          <w:u w:val="single"/>
        </w:rPr>
        <w:t>See</w:t>
      </w:r>
      <w:r w:rsidRPr="000E1D5C">
        <w:t xml:space="preserve"> CFR 323.2(m).</w:t>
      </w:r>
    </w:p>
    <w:p w:rsidR="00E01D9F" w:rsidRPr="000E1D5C" w:rsidRDefault="00E01D9F" w:rsidP="00BC71D9">
      <w:pPr>
        <w:pStyle w:val="FootnoteText"/>
      </w:pPr>
    </w:p>
  </w:footnote>
  <w:footnote w:id="5">
    <w:p w:rsidR="00D36190" w:rsidRDefault="00D36190" w:rsidP="00D36190">
      <w:pPr>
        <w:pStyle w:val="FootnoteText"/>
        <w:tabs>
          <w:tab w:val="left" w:pos="720"/>
        </w:tabs>
      </w:pPr>
      <w:r w:rsidRPr="00675B5D">
        <w:rPr>
          <w:rStyle w:val="FootnoteReference"/>
          <w:vertAlign w:val="superscript"/>
        </w:rPr>
        <w:footnoteRef/>
      </w:r>
      <w:r w:rsidRPr="00675B5D">
        <w:rPr>
          <w:vertAlign w:val="superscript"/>
        </w:rPr>
        <w:t xml:space="preserve"> </w:t>
      </w:r>
      <w:r>
        <w:rPr>
          <w:vertAlign w:val="superscript"/>
        </w:rPr>
        <w:t xml:space="preserve"> </w:t>
      </w:r>
      <w:r w:rsidRPr="0098214A">
        <w:rPr>
          <w:rFonts w:eastAsia="Calibri"/>
          <w:color w:val="000000" w:themeColor="text1"/>
        </w:rPr>
        <w:t>Qualifying business loans are business loans that are real estate-related financial transactions and that are not dependent on the sale of, or rental income derived from, real estate as the primary source of repayment.</w:t>
      </w:r>
      <w:r>
        <w:rPr>
          <w:rFonts w:eastAsia="Calibri"/>
          <w:color w:val="000000" w:themeColor="text1"/>
        </w:rPr>
        <w:t xml:space="preserve"> </w:t>
      </w:r>
      <w:r w:rsidRPr="000E1D5C">
        <w:t>12 CFR 323.3(a)(5).</w:t>
      </w:r>
    </w:p>
    <w:p w:rsidR="00E01D9F" w:rsidRPr="000E1D5C" w:rsidRDefault="00E01D9F" w:rsidP="00D36190">
      <w:pPr>
        <w:pStyle w:val="FootnoteText"/>
        <w:tabs>
          <w:tab w:val="left" w:pos="720"/>
        </w:tabs>
      </w:pPr>
    </w:p>
  </w:footnote>
  <w:footnote w:id="6">
    <w:p w:rsidR="00BC71D9" w:rsidRDefault="00BC71D9" w:rsidP="00BC71D9">
      <w:pPr>
        <w:pStyle w:val="FootnoteText"/>
      </w:pPr>
      <w:r w:rsidRPr="00675B5D">
        <w:rPr>
          <w:rStyle w:val="FootnoteReference"/>
          <w:vertAlign w:val="superscript"/>
        </w:rPr>
        <w:footnoteRef/>
      </w:r>
      <w:r w:rsidRPr="00675B5D">
        <w:rPr>
          <w:vertAlign w:val="superscript"/>
        </w:rPr>
        <w:t xml:space="preserve"> </w:t>
      </w:r>
      <w:r w:rsidRPr="000E1D5C">
        <w:rPr>
          <w:u w:val="single"/>
        </w:rPr>
        <w:t>See</w:t>
      </w:r>
      <w:r w:rsidRPr="000E1D5C">
        <w:t xml:space="preserve"> 12 CFR 323.3(a)(1) and (5).</w:t>
      </w:r>
    </w:p>
    <w:p w:rsidR="00E01D9F" w:rsidRPr="000E1D5C" w:rsidRDefault="00E01D9F" w:rsidP="00BC71D9">
      <w:pPr>
        <w:pStyle w:val="FootnoteText"/>
      </w:pPr>
    </w:p>
  </w:footnote>
  <w:footnote w:id="7">
    <w:p w:rsidR="00BF2334" w:rsidRDefault="00BF2334" w:rsidP="00BF2334">
      <w:pPr>
        <w:pStyle w:val="FootnoteText"/>
      </w:pPr>
      <w:r w:rsidRPr="00675B5D">
        <w:rPr>
          <w:rStyle w:val="FootnoteReference"/>
          <w:vertAlign w:val="superscript"/>
        </w:rPr>
        <w:footnoteRef/>
      </w:r>
      <w:r w:rsidRPr="000E1D5C">
        <w:t xml:space="preserve"> </w:t>
      </w:r>
      <w:r w:rsidRPr="000E1D5C">
        <w:rPr>
          <w:u w:val="single"/>
        </w:rPr>
        <w:t>See</w:t>
      </w:r>
      <w:r w:rsidRPr="000E1D5C">
        <w:t xml:space="preserve"> 12 CFR 323.3(b).</w:t>
      </w:r>
    </w:p>
    <w:p w:rsidR="00E01D9F" w:rsidRPr="0098214A" w:rsidRDefault="00E01D9F" w:rsidP="00BF2334">
      <w:pPr>
        <w:pStyle w:val="FootnoteText"/>
        <w:rPr>
          <w:sz w:val="24"/>
          <w:szCs w:val="24"/>
        </w:rPr>
      </w:pPr>
    </w:p>
  </w:footnote>
  <w:footnote w:id="8">
    <w:p w:rsidR="00725F92" w:rsidRDefault="00725F92" w:rsidP="00725F92">
      <w:pPr>
        <w:pStyle w:val="FootnoteText"/>
        <w:rPr>
          <w:rStyle w:val="Hyperlink"/>
        </w:rPr>
      </w:pPr>
      <w:r w:rsidRPr="002A442A">
        <w:rPr>
          <w:rStyle w:val="FootnoteReference"/>
          <w:rFonts w:eastAsia="Calibri"/>
          <w:vertAlign w:val="superscript"/>
        </w:rPr>
        <w:footnoteRef/>
      </w:r>
      <w:r w:rsidRPr="002A442A">
        <w:rPr>
          <w:vertAlign w:val="superscript"/>
        </w:rPr>
        <w:t xml:space="preserve"> </w:t>
      </w:r>
      <w:r w:rsidRPr="002A442A">
        <w:rPr>
          <w:color w:val="000000"/>
          <w:u w:val="single"/>
        </w:rPr>
        <w:t>See</w:t>
      </w:r>
      <w:r w:rsidRPr="002A442A">
        <w:rPr>
          <w:color w:val="000000"/>
        </w:rPr>
        <w:t xml:space="preserve"> </w:t>
      </w:r>
      <w:hyperlink r:id="rId1" w:history="1">
        <w:r w:rsidRPr="002A442A">
          <w:rPr>
            <w:rStyle w:val="Hyperlink"/>
          </w:rPr>
          <w:t>https://www.ffiec.gov/pdf/FFIEC_forms/FFIEC031_201703_f.pdf</w:t>
        </w:r>
      </w:hyperlink>
      <w:r w:rsidRPr="002A442A">
        <w:rPr>
          <w:rStyle w:val="Hyperlink"/>
        </w:rPr>
        <w:t>.</w:t>
      </w:r>
    </w:p>
    <w:p w:rsidR="00E01D9F" w:rsidRPr="002A442A" w:rsidRDefault="00E01D9F" w:rsidP="00725F92">
      <w:pPr>
        <w:pStyle w:val="FootnoteText"/>
      </w:pPr>
    </w:p>
  </w:footnote>
  <w:footnote w:id="9">
    <w:p w:rsidR="00725F92" w:rsidRDefault="00725F92" w:rsidP="00725F92">
      <w:pPr>
        <w:pStyle w:val="FootnoteText"/>
      </w:pPr>
      <w:r w:rsidRPr="00725F92">
        <w:rPr>
          <w:rStyle w:val="FootnoteReference"/>
          <w:vertAlign w:val="superscript"/>
        </w:rPr>
        <w:footnoteRef/>
      </w:r>
      <w:r w:rsidRPr="00725F92">
        <w:t xml:space="preserve"> 5 U.S.C. 601 </w:t>
      </w:r>
      <w:r w:rsidRPr="00725F92">
        <w:rPr>
          <w:u w:val="single"/>
        </w:rPr>
        <w:t>et seq</w:t>
      </w:r>
      <w:r w:rsidRPr="00725F92">
        <w:t>.</w:t>
      </w:r>
    </w:p>
    <w:p w:rsidR="00E01D9F" w:rsidRPr="00725F92" w:rsidRDefault="00E01D9F" w:rsidP="00725F92">
      <w:pPr>
        <w:pStyle w:val="FootnoteText"/>
      </w:pPr>
    </w:p>
  </w:footnote>
  <w:footnote w:id="10">
    <w:p w:rsidR="00725F92" w:rsidRDefault="00725F92" w:rsidP="00725F92">
      <w:pPr>
        <w:pStyle w:val="FootnoteText"/>
      </w:pPr>
      <w:r w:rsidRPr="00725F92">
        <w:rPr>
          <w:rStyle w:val="FootnoteReference"/>
          <w:vertAlign w:val="superscript"/>
        </w:rPr>
        <w:footnoteRef/>
      </w:r>
      <w:r w:rsidRPr="00725F92">
        <w:rPr>
          <w:vertAlign w:val="superscript"/>
        </w:rPr>
        <w:t xml:space="preserve">  </w:t>
      </w:r>
      <w:r w:rsidRPr="00725F92">
        <w:t>The proposed definition of “Commercial Real Estate Transaction” would largely capture the following four categories of loans secured by real estate in the Call Report (FFIEC 031; RCFD 1410), namely loans that are: (1) for construction, land development, and other land loans; (2) secured by farmland; (3) secured by residential properties with five or more units; or (4) secured by nonfarm nonresidential properties.  However, loans that provide both initial construction funding and permanent financing and are reported as construction, land development, and other land loans during the construction phase would be excluded from the definition.</w:t>
      </w:r>
    </w:p>
    <w:p w:rsidR="00E01D9F" w:rsidRPr="0098214A" w:rsidRDefault="00E01D9F" w:rsidP="00725F92">
      <w:pPr>
        <w:pStyle w:val="FootnoteText"/>
        <w:rPr>
          <w:sz w:val="24"/>
          <w:szCs w:val="24"/>
        </w:rPr>
      </w:pPr>
    </w:p>
  </w:footnote>
  <w:footnote w:id="11">
    <w:p w:rsidR="00AC7697" w:rsidRPr="00755715" w:rsidRDefault="00AC7697" w:rsidP="00AC7697">
      <w:pPr>
        <w:pStyle w:val="FootnoteText"/>
      </w:pPr>
      <w:r w:rsidRPr="00AC7697">
        <w:rPr>
          <w:rStyle w:val="FootnoteReference"/>
          <w:vertAlign w:val="superscript"/>
        </w:rPr>
        <w:footnoteRef/>
      </w:r>
      <w:r w:rsidRPr="00755715">
        <w:t xml:space="preserve"> </w:t>
      </w:r>
      <w:r>
        <w:t>T</w:t>
      </w:r>
      <w:r w:rsidRPr="00AC7697">
        <w:t>he FDIC estimates that the average hourly compensation for a loan officer is $68.65 an hour. The hourly compensation estimate is based on published compensation rates for Credit Counselors and Loan Officers ($43.40).  The estimate includes the March 2017 75th percentile hourly wage rate reported by the BLS, National Industry-Specific Occupational Employment and Wage Estimates.  The reported hourly wage rate is adjusted for changes in the CPI-U between May 2016 and March 2017 (1.83 percent) and grossed up by 155.3 percent to account for non-monetary compensation as reported by the March 2017 Employer Costs for Employee Compensation Data.</w:t>
      </w:r>
      <w:r w:rsidRPr="0075571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4D1"/>
    <w:multiLevelType w:val="hybridMultilevel"/>
    <w:tmpl w:val="1054C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A68F9"/>
    <w:multiLevelType w:val="hybridMultilevel"/>
    <w:tmpl w:val="752A683A"/>
    <w:lvl w:ilvl="0" w:tplc="77660EAE">
      <w:start w:val="1"/>
      <w:numFmt w:val="decimal"/>
      <w:lvlText w:val="%1."/>
      <w:lvlJc w:val="left"/>
      <w:pPr>
        <w:ind w:left="720" w:firstLine="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92"/>
    <w:rsid w:val="00121BE8"/>
    <w:rsid w:val="001C693B"/>
    <w:rsid w:val="002850CA"/>
    <w:rsid w:val="002A442A"/>
    <w:rsid w:val="003A2792"/>
    <w:rsid w:val="003B691B"/>
    <w:rsid w:val="004775DF"/>
    <w:rsid w:val="00643A12"/>
    <w:rsid w:val="00675B5D"/>
    <w:rsid w:val="006F4D80"/>
    <w:rsid w:val="00711475"/>
    <w:rsid w:val="00725F92"/>
    <w:rsid w:val="00737F2B"/>
    <w:rsid w:val="00831CC1"/>
    <w:rsid w:val="008A2305"/>
    <w:rsid w:val="00A05F65"/>
    <w:rsid w:val="00A77932"/>
    <w:rsid w:val="00A90257"/>
    <w:rsid w:val="00AC7697"/>
    <w:rsid w:val="00AE0544"/>
    <w:rsid w:val="00BA3B78"/>
    <w:rsid w:val="00BC71D9"/>
    <w:rsid w:val="00BF2334"/>
    <w:rsid w:val="00C12007"/>
    <w:rsid w:val="00C331C0"/>
    <w:rsid w:val="00CB3EDF"/>
    <w:rsid w:val="00CD14F8"/>
    <w:rsid w:val="00CF0C3B"/>
    <w:rsid w:val="00D36190"/>
    <w:rsid w:val="00D552FF"/>
    <w:rsid w:val="00E01D9F"/>
    <w:rsid w:val="00E54BBB"/>
    <w:rsid w:val="00E7672B"/>
    <w:rsid w:val="00EF7AE9"/>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qFormat/>
    <w:rsid w:val="00725F92"/>
  </w:style>
  <w:style w:type="paragraph" w:styleId="FootnoteText">
    <w:name w:val="footnote text"/>
    <w:aliases w:val="Footnote Text Char Char,ft,fn,ALTS FOOTNOTE,Style 15,Style 40 Char Char,Style 40 Char,Footnote Text Char Char Char Char Char Char Char Char Char Char Char Char Char Char Char Char Char,Footnote Text Char1 Char Char,ORP Footnote,Car,Char"/>
    <w:basedOn w:val="Normal"/>
    <w:link w:val="FootnoteTextChar"/>
    <w:qFormat/>
    <w:rsid w:val="00725F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t Char,fn Char,ALTS FOOTNOTE Char,Style 15 Char,Style 40 Char Char Char,Style 40 Char Char1,Footnote Text Char Char Char Char Char Char Char Char Char Char Char Char Char Char Char Char Char Char,Car Char"/>
    <w:basedOn w:val="DefaultParagraphFont"/>
    <w:link w:val="FootnoteText"/>
    <w:rsid w:val="00725F92"/>
    <w:rPr>
      <w:rFonts w:ascii="Times New Roman" w:eastAsia="Times New Roman" w:hAnsi="Times New Roman" w:cs="Times New Roman"/>
      <w:sz w:val="20"/>
      <w:szCs w:val="20"/>
    </w:rPr>
  </w:style>
  <w:style w:type="paragraph" w:customStyle="1" w:styleId="Default">
    <w:name w:val="Default"/>
    <w:rsid w:val="00725F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725F92"/>
    <w:rPr>
      <w:rFonts w:cs="Times New Roman"/>
      <w:color w:val="0000FF"/>
      <w:u w:val="single"/>
    </w:rPr>
  </w:style>
  <w:style w:type="character" w:styleId="FollowedHyperlink">
    <w:name w:val="FollowedHyperlink"/>
    <w:basedOn w:val="DefaultParagraphFont"/>
    <w:uiPriority w:val="99"/>
    <w:semiHidden/>
    <w:unhideWhenUsed/>
    <w:rsid w:val="00725F92"/>
    <w:rPr>
      <w:color w:val="800080" w:themeColor="followedHyperlink"/>
      <w:u w:val="single"/>
    </w:rPr>
  </w:style>
  <w:style w:type="paragraph" w:styleId="ListParagraph">
    <w:name w:val="List Paragraph"/>
    <w:basedOn w:val="Normal"/>
    <w:uiPriority w:val="34"/>
    <w:qFormat/>
    <w:rsid w:val="00725F92"/>
    <w:pPr>
      <w:ind w:left="720"/>
      <w:contextualSpacing/>
    </w:pPr>
  </w:style>
  <w:style w:type="paragraph" w:styleId="Header">
    <w:name w:val="header"/>
    <w:basedOn w:val="Normal"/>
    <w:link w:val="HeaderChar"/>
    <w:uiPriority w:val="99"/>
    <w:unhideWhenUsed/>
    <w:rsid w:val="003B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1B"/>
  </w:style>
  <w:style w:type="paragraph" w:styleId="Footer">
    <w:name w:val="footer"/>
    <w:basedOn w:val="Normal"/>
    <w:link w:val="FooterChar"/>
    <w:uiPriority w:val="99"/>
    <w:unhideWhenUsed/>
    <w:rsid w:val="003B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1B"/>
  </w:style>
  <w:style w:type="paragraph" w:styleId="BalloonText">
    <w:name w:val="Balloon Text"/>
    <w:basedOn w:val="Normal"/>
    <w:link w:val="BalloonTextChar"/>
    <w:uiPriority w:val="99"/>
    <w:semiHidden/>
    <w:unhideWhenUsed/>
    <w:rsid w:val="003B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1B"/>
    <w:rPr>
      <w:rFonts w:ascii="Tahoma" w:hAnsi="Tahoma" w:cs="Tahoma"/>
      <w:sz w:val="16"/>
      <w:szCs w:val="16"/>
    </w:rPr>
  </w:style>
  <w:style w:type="character" w:styleId="CommentReference">
    <w:name w:val="annotation reference"/>
    <w:basedOn w:val="DefaultParagraphFont"/>
    <w:uiPriority w:val="99"/>
    <w:semiHidden/>
    <w:unhideWhenUsed/>
    <w:rsid w:val="00A05F65"/>
    <w:rPr>
      <w:sz w:val="16"/>
      <w:szCs w:val="16"/>
    </w:rPr>
  </w:style>
  <w:style w:type="paragraph" w:styleId="CommentText">
    <w:name w:val="annotation text"/>
    <w:basedOn w:val="Normal"/>
    <w:link w:val="CommentTextChar"/>
    <w:uiPriority w:val="99"/>
    <w:semiHidden/>
    <w:unhideWhenUsed/>
    <w:rsid w:val="00A05F65"/>
    <w:pPr>
      <w:spacing w:line="240" w:lineRule="auto"/>
    </w:pPr>
    <w:rPr>
      <w:sz w:val="20"/>
      <w:szCs w:val="20"/>
    </w:rPr>
  </w:style>
  <w:style w:type="character" w:customStyle="1" w:styleId="CommentTextChar">
    <w:name w:val="Comment Text Char"/>
    <w:basedOn w:val="DefaultParagraphFont"/>
    <w:link w:val="CommentText"/>
    <w:uiPriority w:val="99"/>
    <w:semiHidden/>
    <w:rsid w:val="00A05F65"/>
    <w:rPr>
      <w:sz w:val="20"/>
      <w:szCs w:val="20"/>
    </w:rPr>
  </w:style>
  <w:style w:type="paragraph" w:styleId="CommentSubject">
    <w:name w:val="annotation subject"/>
    <w:basedOn w:val="CommentText"/>
    <w:next w:val="CommentText"/>
    <w:link w:val="CommentSubjectChar"/>
    <w:uiPriority w:val="99"/>
    <w:semiHidden/>
    <w:unhideWhenUsed/>
    <w:rsid w:val="00A05F65"/>
    <w:rPr>
      <w:b/>
      <w:bCs/>
    </w:rPr>
  </w:style>
  <w:style w:type="character" w:customStyle="1" w:styleId="CommentSubjectChar">
    <w:name w:val="Comment Subject Char"/>
    <w:basedOn w:val="CommentTextChar"/>
    <w:link w:val="CommentSubject"/>
    <w:uiPriority w:val="99"/>
    <w:semiHidden/>
    <w:rsid w:val="00A05F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qFormat/>
    <w:rsid w:val="00725F92"/>
  </w:style>
  <w:style w:type="paragraph" w:styleId="FootnoteText">
    <w:name w:val="footnote text"/>
    <w:aliases w:val="Footnote Text Char Char,ft,fn,ALTS FOOTNOTE,Style 15,Style 40 Char Char,Style 40 Char,Footnote Text Char Char Char Char Char Char Char Char Char Char Char Char Char Char Char Char Char,Footnote Text Char1 Char Char,ORP Footnote,Car,Char"/>
    <w:basedOn w:val="Normal"/>
    <w:link w:val="FootnoteTextChar"/>
    <w:qFormat/>
    <w:rsid w:val="00725F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t Char,fn Char,ALTS FOOTNOTE Char,Style 15 Char,Style 40 Char Char Char,Style 40 Char Char1,Footnote Text Char Char Char Char Char Char Char Char Char Char Char Char Char Char Char Char Char Char,Car Char"/>
    <w:basedOn w:val="DefaultParagraphFont"/>
    <w:link w:val="FootnoteText"/>
    <w:rsid w:val="00725F92"/>
    <w:rPr>
      <w:rFonts w:ascii="Times New Roman" w:eastAsia="Times New Roman" w:hAnsi="Times New Roman" w:cs="Times New Roman"/>
      <w:sz w:val="20"/>
      <w:szCs w:val="20"/>
    </w:rPr>
  </w:style>
  <w:style w:type="paragraph" w:customStyle="1" w:styleId="Default">
    <w:name w:val="Default"/>
    <w:rsid w:val="00725F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725F92"/>
    <w:rPr>
      <w:rFonts w:cs="Times New Roman"/>
      <w:color w:val="0000FF"/>
      <w:u w:val="single"/>
    </w:rPr>
  </w:style>
  <w:style w:type="character" w:styleId="FollowedHyperlink">
    <w:name w:val="FollowedHyperlink"/>
    <w:basedOn w:val="DefaultParagraphFont"/>
    <w:uiPriority w:val="99"/>
    <w:semiHidden/>
    <w:unhideWhenUsed/>
    <w:rsid w:val="00725F92"/>
    <w:rPr>
      <w:color w:val="800080" w:themeColor="followedHyperlink"/>
      <w:u w:val="single"/>
    </w:rPr>
  </w:style>
  <w:style w:type="paragraph" w:styleId="ListParagraph">
    <w:name w:val="List Paragraph"/>
    <w:basedOn w:val="Normal"/>
    <w:uiPriority w:val="34"/>
    <w:qFormat/>
    <w:rsid w:val="00725F92"/>
    <w:pPr>
      <w:ind w:left="720"/>
      <w:contextualSpacing/>
    </w:pPr>
  </w:style>
  <w:style w:type="paragraph" w:styleId="Header">
    <w:name w:val="header"/>
    <w:basedOn w:val="Normal"/>
    <w:link w:val="HeaderChar"/>
    <w:uiPriority w:val="99"/>
    <w:unhideWhenUsed/>
    <w:rsid w:val="003B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1B"/>
  </w:style>
  <w:style w:type="paragraph" w:styleId="Footer">
    <w:name w:val="footer"/>
    <w:basedOn w:val="Normal"/>
    <w:link w:val="FooterChar"/>
    <w:uiPriority w:val="99"/>
    <w:unhideWhenUsed/>
    <w:rsid w:val="003B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1B"/>
  </w:style>
  <w:style w:type="paragraph" w:styleId="BalloonText">
    <w:name w:val="Balloon Text"/>
    <w:basedOn w:val="Normal"/>
    <w:link w:val="BalloonTextChar"/>
    <w:uiPriority w:val="99"/>
    <w:semiHidden/>
    <w:unhideWhenUsed/>
    <w:rsid w:val="003B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1B"/>
    <w:rPr>
      <w:rFonts w:ascii="Tahoma" w:hAnsi="Tahoma" w:cs="Tahoma"/>
      <w:sz w:val="16"/>
      <w:szCs w:val="16"/>
    </w:rPr>
  </w:style>
  <w:style w:type="character" w:styleId="CommentReference">
    <w:name w:val="annotation reference"/>
    <w:basedOn w:val="DefaultParagraphFont"/>
    <w:uiPriority w:val="99"/>
    <w:semiHidden/>
    <w:unhideWhenUsed/>
    <w:rsid w:val="00A05F65"/>
    <w:rPr>
      <w:sz w:val="16"/>
      <w:szCs w:val="16"/>
    </w:rPr>
  </w:style>
  <w:style w:type="paragraph" w:styleId="CommentText">
    <w:name w:val="annotation text"/>
    <w:basedOn w:val="Normal"/>
    <w:link w:val="CommentTextChar"/>
    <w:uiPriority w:val="99"/>
    <w:semiHidden/>
    <w:unhideWhenUsed/>
    <w:rsid w:val="00A05F65"/>
    <w:pPr>
      <w:spacing w:line="240" w:lineRule="auto"/>
    </w:pPr>
    <w:rPr>
      <w:sz w:val="20"/>
      <w:szCs w:val="20"/>
    </w:rPr>
  </w:style>
  <w:style w:type="character" w:customStyle="1" w:styleId="CommentTextChar">
    <w:name w:val="Comment Text Char"/>
    <w:basedOn w:val="DefaultParagraphFont"/>
    <w:link w:val="CommentText"/>
    <w:uiPriority w:val="99"/>
    <w:semiHidden/>
    <w:rsid w:val="00A05F65"/>
    <w:rPr>
      <w:sz w:val="20"/>
      <w:szCs w:val="20"/>
    </w:rPr>
  </w:style>
  <w:style w:type="paragraph" w:styleId="CommentSubject">
    <w:name w:val="annotation subject"/>
    <w:basedOn w:val="CommentText"/>
    <w:next w:val="CommentText"/>
    <w:link w:val="CommentSubjectChar"/>
    <w:uiPriority w:val="99"/>
    <w:semiHidden/>
    <w:unhideWhenUsed/>
    <w:rsid w:val="00A05F65"/>
    <w:rPr>
      <w:b/>
      <w:bCs/>
    </w:rPr>
  </w:style>
  <w:style w:type="character" w:customStyle="1" w:styleId="CommentSubjectChar">
    <w:name w:val="Comment Subject Char"/>
    <w:basedOn w:val="CommentTextChar"/>
    <w:link w:val="CommentSubject"/>
    <w:uiPriority w:val="99"/>
    <w:semiHidden/>
    <w:rsid w:val="00A05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23683">
      <w:bodyDiv w:val="1"/>
      <w:marLeft w:val="0"/>
      <w:marRight w:val="0"/>
      <w:marTop w:val="0"/>
      <w:marBottom w:val="0"/>
      <w:divBdr>
        <w:top w:val="none" w:sz="0" w:space="0" w:color="auto"/>
        <w:left w:val="none" w:sz="0" w:space="0" w:color="auto"/>
        <w:bottom w:val="none" w:sz="0" w:space="0" w:color="auto"/>
        <w:right w:val="none" w:sz="0" w:space="0" w:color="auto"/>
      </w:divBdr>
    </w:div>
    <w:div w:id="14282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fiec.gov/pdf/FFIEC_forms/FFIEC031_201703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2017-07-31T20:27:00Z</dcterms:created>
  <dcterms:modified xsi:type="dcterms:W3CDTF">2017-07-31T20:27:00Z</dcterms:modified>
</cp:coreProperties>
</file>