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0A" w:rsidRDefault="0003770A" w:rsidP="0003770A">
      <w:pPr>
        <w:jc w:val="center"/>
        <w:rPr>
          <w:rFonts w:ascii="Arial" w:hAnsi="Arial"/>
          <w:b/>
        </w:rPr>
      </w:pPr>
      <w:bookmarkStart w:id="0" w:name="_GoBack"/>
      <w:bookmarkEnd w:id="0"/>
      <w:r w:rsidRPr="008A3E8A">
        <w:rPr>
          <w:rFonts w:ascii="Arial" w:hAnsi="Arial"/>
          <w:b/>
        </w:rPr>
        <w:t>Nonsubstantive Change</w:t>
      </w:r>
      <w:r>
        <w:rPr>
          <w:rFonts w:ascii="Arial" w:hAnsi="Arial"/>
          <w:b/>
        </w:rPr>
        <w:t xml:space="preserve"> Request</w:t>
      </w:r>
    </w:p>
    <w:p w:rsidR="0003770A" w:rsidRDefault="006B39D0" w:rsidP="0003770A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  <w:r w:rsidRPr="006B39D0">
        <w:rPr>
          <w:rFonts w:ascii="Arial" w:hAnsi="Arial" w:cs="Arial"/>
          <w:b/>
        </w:rPr>
        <w:t>10 CFR 73, Physical Protection of Plants and Materials</w:t>
      </w:r>
    </w:p>
    <w:p w:rsidR="00116DBE" w:rsidRDefault="0003770A" w:rsidP="00116DBE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  <w:r w:rsidRPr="0058471A">
        <w:rPr>
          <w:rFonts w:ascii="Arial" w:hAnsi="Arial" w:cs="Arial"/>
          <w:b/>
        </w:rPr>
        <w:t>(3150-0</w:t>
      </w:r>
      <w:r>
        <w:rPr>
          <w:rFonts w:ascii="Arial" w:hAnsi="Arial" w:cs="Arial"/>
          <w:b/>
        </w:rPr>
        <w:t>002</w:t>
      </w:r>
      <w:r w:rsidRPr="0058471A">
        <w:rPr>
          <w:rFonts w:ascii="Arial" w:hAnsi="Arial" w:cs="Arial"/>
          <w:b/>
        </w:rPr>
        <w:t>)</w:t>
      </w:r>
    </w:p>
    <w:p w:rsidR="00116DBE" w:rsidRDefault="00116DBE" w:rsidP="00116DBE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</w:p>
    <w:p w:rsidR="005B1B06" w:rsidRDefault="00600C65" w:rsidP="00116DBE">
      <w:pPr>
        <w:widowControl w:val="0"/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In August 2015,</w:t>
      </w:r>
      <w:r w:rsidR="00116DBE">
        <w:rPr>
          <w:rFonts w:ascii="Arial" w:hAnsi="Arial" w:cs="Arial"/>
        </w:rPr>
        <w:t xml:space="preserve"> the NRC submitted</w:t>
      </w:r>
      <w:r>
        <w:rPr>
          <w:rFonts w:ascii="Arial" w:hAnsi="Arial" w:cs="Arial"/>
        </w:rPr>
        <w:t>,</w:t>
      </w:r>
      <w:r w:rsidR="00116DBE">
        <w:rPr>
          <w:rFonts w:ascii="Arial" w:hAnsi="Arial" w:cs="Arial"/>
        </w:rPr>
        <w:t xml:space="preserve"> and OMB approved, information collections associated with the Cyber Security Event Notifications Final Rule.  </w:t>
      </w:r>
      <w:r w:rsidR="005B1B06">
        <w:rPr>
          <w:rFonts w:ascii="Arial" w:hAnsi="Arial" w:cs="Arial"/>
        </w:rPr>
        <w:t>The burden increase was</w:t>
      </w:r>
      <w:r w:rsidR="00116DBE" w:rsidRPr="006B5C57">
        <w:rPr>
          <w:rFonts w:ascii="Arial" w:hAnsi="Arial" w:cs="Arial"/>
        </w:rPr>
        <w:t xml:space="preserve"> associated with the addition of new cyber security event notification requirements to </w:t>
      </w:r>
      <w:r w:rsidR="005B1B06">
        <w:rPr>
          <w:rFonts w:ascii="Arial" w:hAnsi="Arial" w:cs="Arial"/>
        </w:rPr>
        <w:t xml:space="preserve">10 CFR </w:t>
      </w:r>
      <w:r w:rsidR="00116DBE" w:rsidRPr="006B5C57">
        <w:rPr>
          <w:rFonts w:ascii="Arial" w:hAnsi="Arial" w:cs="Arial"/>
        </w:rPr>
        <w:t>Part 73</w:t>
      </w:r>
      <w:r w:rsidR="006B39D0">
        <w:rPr>
          <w:rFonts w:ascii="Arial" w:hAnsi="Arial" w:cs="Arial"/>
        </w:rPr>
        <w:t>, Physical Protection of Plants and Materials.  The rule requires</w:t>
      </w:r>
      <w:r w:rsidR="00116DBE">
        <w:rPr>
          <w:rFonts w:ascii="Arial" w:hAnsi="Arial" w:cs="Arial"/>
        </w:rPr>
        <w:t xml:space="preserve"> licensees subject to the provisions of </w:t>
      </w:r>
      <w:r w:rsidR="00116DBE" w:rsidRPr="0068726D">
        <w:rPr>
          <w:rFonts w:ascii="Arial" w:hAnsi="Arial" w:cs="Arial"/>
        </w:rPr>
        <w:t>section 73.54</w:t>
      </w:r>
      <w:r w:rsidR="00116DBE">
        <w:rPr>
          <w:rFonts w:ascii="Arial" w:hAnsi="Arial" w:cs="Arial"/>
        </w:rPr>
        <w:t xml:space="preserve"> </w:t>
      </w:r>
      <w:r w:rsidR="00116DBE" w:rsidRPr="0068726D">
        <w:rPr>
          <w:rFonts w:ascii="Arial" w:hAnsi="Arial" w:cs="Arial"/>
        </w:rPr>
        <w:t>to</w:t>
      </w:r>
      <w:r w:rsidR="00116DBE">
        <w:rPr>
          <w:rFonts w:ascii="Arial" w:hAnsi="Arial" w:cs="Arial"/>
        </w:rPr>
        <w:t>:</w:t>
      </w:r>
    </w:p>
    <w:p w:rsidR="005B1B06" w:rsidRDefault="00116DBE" w:rsidP="005B1B06">
      <w:pPr>
        <w:widowControl w:val="0"/>
        <w:tabs>
          <w:tab w:val="center" w:pos="46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Pr="0068726D">
        <w:rPr>
          <w:rFonts w:ascii="Arial" w:hAnsi="Arial" w:cs="Arial"/>
        </w:rPr>
        <w:t xml:space="preserve"> report certain cyber security events to the NRC within the timeliness requirements specified</w:t>
      </w:r>
      <w:r>
        <w:rPr>
          <w:rFonts w:ascii="Arial" w:hAnsi="Arial" w:cs="Arial"/>
        </w:rPr>
        <w:t xml:space="preserve">; </w:t>
      </w:r>
    </w:p>
    <w:p w:rsidR="005B1B06" w:rsidRDefault="00116DBE" w:rsidP="005B1B06">
      <w:pPr>
        <w:widowControl w:val="0"/>
        <w:tabs>
          <w:tab w:val="center" w:pos="46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2B3FA3">
        <w:rPr>
          <w:rFonts w:ascii="Arial" w:hAnsi="Arial" w:cs="Arial"/>
        </w:rPr>
        <w:t xml:space="preserve">use their site corrective action program to </w:t>
      </w:r>
      <w:r>
        <w:rPr>
          <w:rFonts w:ascii="Arial" w:hAnsi="Arial" w:cs="Arial"/>
        </w:rPr>
        <w:t xml:space="preserve">record information on </w:t>
      </w:r>
      <w:r w:rsidRPr="002B3FA3">
        <w:rPr>
          <w:rFonts w:ascii="Arial" w:hAnsi="Arial" w:cs="Arial"/>
        </w:rPr>
        <w:t xml:space="preserve">cyber security </w:t>
      </w:r>
      <w:r>
        <w:rPr>
          <w:rFonts w:ascii="Arial" w:hAnsi="Arial" w:cs="Arial"/>
        </w:rPr>
        <w:t xml:space="preserve">events; and </w:t>
      </w:r>
    </w:p>
    <w:p w:rsidR="00116DBE" w:rsidRDefault="00116DBE" w:rsidP="005B1B06">
      <w:pPr>
        <w:widowControl w:val="0"/>
        <w:tabs>
          <w:tab w:val="center" w:pos="46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68726D">
        <w:rPr>
          <w:rFonts w:ascii="Arial" w:hAnsi="Arial" w:cs="Arial"/>
        </w:rPr>
        <w:t>submit written security follow-up reports to the NRC for certain notifications made under section 73.7</w:t>
      </w:r>
      <w:r>
        <w:rPr>
          <w:rFonts w:ascii="Arial" w:hAnsi="Arial" w:cs="Arial"/>
        </w:rPr>
        <w:t>7</w:t>
      </w:r>
      <w:r w:rsidRPr="0068726D">
        <w:rPr>
          <w:rFonts w:ascii="Arial" w:hAnsi="Arial" w:cs="Arial"/>
        </w:rPr>
        <w:t>.</w:t>
      </w:r>
    </w:p>
    <w:p w:rsidR="005B1B06" w:rsidRDefault="005B1B06" w:rsidP="00116DBE">
      <w:pPr>
        <w:widowControl w:val="0"/>
        <w:tabs>
          <w:tab w:val="center" w:pos="4680"/>
        </w:tabs>
        <w:rPr>
          <w:rFonts w:ascii="Arial" w:hAnsi="Arial" w:cs="Arial"/>
        </w:rPr>
      </w:pPr>
    </w:p>
    <w:p w:rsidR="005B1B06" w:rsidRDefault="005B1B06" w:rsidP="00116DBE">
      <w:pPr>
        <w:widowControl w:val="0"/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Because </w:t>
      </w:r>
      <w:r w:rsidR="00600C65">
        <w:rPr>
          <w:rFonts w:ascii="Arial" w:hAnsi="Arial" w:cs="Arial"/>
        </w:rPr>
        <w:t>the renewal of</w:t>
      </w:r>
      <w:r>
        <w:rPr>
          <w:rFonts w:ascii="Arial" w:hAnsi="Arial" w:cs="Arial"/>
        </w:rPr>
        <w:t xml:space="preserve"> Part 73 information collections </w:t>
      </w:r>
      <w:r w:rsidR="00600C65">
        <w:rPr>
          <w:rFonts w:ascii="Arial" w:hAnsi="Arial" w:cs="Arial"/>
        </w:rPr>
        <w:t xml:space="preserve">(3150-0002) </w:t>
      </w:r>
      <w:r>
        <w:rPr>
          <w:rFonts w:ascii="Arial" w:hAnsi="Arial" w:cs="Arial"/>
        </w:rPr>
        <w:t xml:space="preserve">was submitted in ROCIS at </w:t>
      </w:r>
      <w:r w:rsidR="00600C65">
        <w:rPr>
          <w:rFonts w:ascii="Arial" w:hAnsi="Arial" w:cs="Arial"/>
        </w:rPr>
        <w:t>the time the rule needed to be submitted</w:t>
      </w:r>
      <w:r>
        <w:rPr>
          <w:rFonts w:ascii="Arial" w:hAnsi="Arial" w:cs="Arial"/>
        </w:rPr>
        <w:t>,</w:t>
      </w:r>
      <w:r w:rsidR="006B39D0">
        <w:rPr>
          <w:rFonts w:ascii="Arial" w:hAnsi="Arial" w:cs="Arial"/>
        </w:rPr>
        <w:t xml:space="preserve"> and</w:t>
      </w:r>
      <w:r w:rsidR="00600C65">
        <w:rPr>
          <w:rFonts w:ascii="Arial" w:hAnsi="Arial" w:cs="Arial"/>
        </w:rPr>
        <w:t xml:space="preserve"> because</w:t>
      </w:r>
      <w:r w:rsidR="006B39D0">
        <w:rPr>
          <w:rFonts w:ascii="Arial" w:hAnsi="Arial" w:cs="Arial"/>
        </w:rPr>
        <w:t xml:space="preserve"> ROCIS does not allow submission of multiple actions under the same clearance,</w:t>
      </w:r>
      <w:r>
        <w:rPr>
          <w:rFonts w:ascii="Arial" w:hAnsi="Arial" w:cs="Arial"/>
        </w:rPr>
        <w:t xml:space="preserve"> the NRC was not able to </w:t>
      </w:r>
      <w:r w:rsidR="00600C65">
        <w:rPr>
          <w:rFonts w:ascii="Arial" w:hAnsi="Arial" w:cs="Arial"/>
        </w:rPr>
        <w:t xml:space="preserve">submit the cyber security event notification burden under the Part 73 clearance number </w:t>
      </w:r>
      <w:r>
        <w:rPr>
          <w:rFonts w:ascii="Arial" w:hAnsi="Arial" w:cs="Arial"/>
        </w:rPr>
        <w:t>(3150-0002).  Instead, a new clearance number was created for the burden associated with the Cyber Security Event Notifications Final Rule (3150-0230)</w:t>
      </w:r>
      <w:r w:rsidR="006B39D0">
        <w:rPr>
          <w:rFonts w:ascii="Arial" w:hAnsi="Arial" w:cs="Arial"/>
        </w:rPr>
        <w:t xml:space="preserve">.  This new clearance number temporarily provided </w:t>
      </w:r>
      <w:r>
        <w:rPr>
          <w:rFonts w:ascii="Arial" w:hAnsi="Arial" w:cs="Arial"/>
        </w:rPr>
        <w:t>place for the burden until it could be transferred into the Part 73 clearance.</w:t>
      </w:r>
    </w:p>
    <w:p w:rsidR="005B1B06" w:rsidRDefault="005B1B06" w:rsidP="00116DBE">
      <w:pPr>
        <w:widowControl w:val="0"/>
        <w:tabs>
          <w:tab w:val="center" w:pos="4680"/>
        </w:tabs>
        <w:rPr>
          <w:rFonts w:ascii="Arial" w:hAnsi="Arial" w:cs="Arial"/>
        </w:rPr>
      </w:pPr>
    </w:p>
    <w:p w:rsidR="005B1B06" w:rsidRDefault="005B1B06" w:rsidP="00116DBE">
      <w:pPr>
        <w:widowControl w:val="0"/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This non-substantive change request is a request to transfer </w:t>
      </w:r>
      <w:r w:rsidR="006B39D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burden associated with the Cyber Security Event final rule from </w:t>
      </w:r>
      <w:r w:rsidR="004B5F89">
        <w:rPr>
          <w:rFonts w:ascii="Arial" w:hAnsi="Arial" w:cs="Arial"/>
        </w:rPr>
        <w:t>the temporar</w:t>
      </w:r>
      <w:r w:rsidR="006B39D0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clearance 3150-0230 to the Part 73 clearance, 3150-0002.  The burden to be transferred is as follows:</w:t>
      </w:r>
    </w:p>
    <w:p w:rsidR="005B1B06" w:rsidRDefault="005B1B06" w:rsidP="00116DBE">
      <w:pPr>
        <w:widowControl w:val="0"/>
        <w:tabs>
          <w:tab w:val="center" w:pos="4680"/>
        </w:tabs>
        <w:rPr>
          <w:rFonts w:ascii="Arial" w:hAnsi="Arial" w:cs="Arial"/>
        </w:rPr>
      </w:pPr>
    </w:p>
    <w:p w:rsidR="005B1B06" w:rsidRDefault="005B1B06" w:rsidP="005B1B06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  <w:r w:rsidRPr="005B1B06">
        <w:rPr>
          <w:noProof/>
        </w:rPr>
        <w:drawing>
          <wp:inline distT="0" distB="0" distL="0" distR="0" wp14:anchorId="2464D6E5" wp14:editId="4B94E1D6">
            <wp:extent cx="4183380" cy="14097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B06" w:rsidRDefault="005B1B06" w:rsidP="005B1B06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</w:p>
    <w:p w:rsidR="005B1B06" w:rsidRDefault="006B39D0" w:rsidP="005B1B06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  <w:r w:rsidRPr="006B39D0">
        <w:rPr>
          <w:noProof/>
        </w:rPr>
        <w:drawing>
          <wp:inline distT="0" distB="0" distL="0" distR="0" wp14:anchorId="29A8B5FF" wp14:editId="485AB6A7">
            <wp:extent cx="4183380" cy="1409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9D0" w:rsidRDefault="006B39D0" w:rsidP="005B1B06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</w:p>
    <w:p w:rsidR="006B39D0" w:rsidRPr="006B39D0" w:rsidRDefault="006B39D0" w:rsidP="006B39D0">
      <w:pPr>
        <w:widowControl w:val="0"/>
        <w:tabs>
          <w:tab w:val="center" w:pos="4680"/>
        </w:tabs>
        <w:rPr>
          <w:rFonts w:ascii="Arial" w:hAnsi="Arial" w:cs="Arial"/>
        </w:rPr>
      </w:pPr>
      <w:r w:rsidRPr="006B39D0">
        <w:rPr>
          <w:rFonts w:ascii="Arial" w:hAnsi="Arial" w:cs="Arial"/>
        </w:rPr>
        <w:t xml:space="preserve">After the </w:t>
      </w:r>
      <w:r>
        <w:rPr>
          <w:rFonts w:ascii="Arial" w:hAnsi="Arial" w:cs="Arial"/>
        </w:rPr>
        <w:t>burden is transferred from 3150-0230 to 3150-0002, NRC staff will enter a discontinuation request in ROCIS for 3150-0230.</w:t>
      </w:r>
    </w:p>
    <w:sectPr w:rsidR="006B39D0" w:rsidRPr="006B3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8896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0A"/>
    <w:rsid w:val="000272DF"/>
    <w:rsid w:val="0003770A"/>
    <w:rsid w:val="00071C94"/>
    <w:rsid w:val="00083874"/>
    <w:rsid w:val="000847EE"/>
    <w:rsid w:val="000856B9"/>
    <w:rsid w:val="00097C17"/>
    <w:rsid w:val="000C42B8"/>
    <w:rsid w:val="000F682C"/>
    <w:rsid w:val="0010679C"/>
    <w:rsid w:val="00116DBE"/>
    <w:rsid w:val="00132762"/>
    <w:rsid w:val="001530EB"/>
    <w:rsid w:val="001B2A47"/>
    <w:rsid w:val="001C31D0"/>
    <w:rsid w:val="00212A17"/>
    <w:rsid w:val="002B35E7"/>
    <w:rsid w:val="002C78DE"/>
    <w:rsid w:val="003308FC"/>
    <w:rsid w:val="00340C9E"/>
    <w:rsid w:val="00365528"/>
    <w:rsid w:val="00377C49"/>
    <w:rsid w:val="003F78FD"/>
    <w:rsid w:val="00414DC5"/>
    <w:rsid w:val="004177FB"/>
    <w:rsid w:val="0046207E"/>
    <w:rsid w:val="00465B0E"/>
    <w:rsid w:val="00477FA0"/>
    <w:rsid w:val="0049685A"/>
    <w:rsid w:val="004B5F89"/>
    <w:rsid w:val="004C5827"/>
    <w:rsid w:val="004D63B6"/>
    <w:rsid w:val="0051145C"/>
    <w:rsid w:val="00515F6B"/>
    <w:rsid w:val="00535719"/>
    <w:rsid w:val="00550A84"/>
    <w:rsid w:val="005713D3"/>
    <w:rsid w:val="005B1B06"/>
    <w:rsid w:val="005C7F04"/>
    <w:rsid w:val="005F37DD"/>
    <w:rsid w:val="00600C65"/>
    <w:rsid w:val="00646719"/>
    <w:rsid w:val="00646D25"/>
    <w:rsid w:val="00653ED0"/>
    <w:rsid w:val="00674055"/>
    <w:rsid w:val="006758A5"/>
    <w:rsid w:val="00684762"/>
    <w:rsid w:val="006B39D0"/>
    <w:rsid w:val="006F192E"/>
    <w:rsid w:val="006F6864"/>
    <w:rsid w:val="006F6B42"/>
    <w:rsid w:val="00740F25"/>
    <w:rsid w:val="00754C77"/>
    <w:rsid w:val="007607ED"/>
    <w:rsid w:val="0076250B"/>
    <w:rsid w:val="007862A5"/>
    <w:rsid w:val="00792D66"/>
    <w:rsid w:val="007C42B4"/>
    <w:rsid w:val="007E1FF3"/>
    <w:rsid w:val="007F5C1C"/>
    <w:rsid w:val="00802EF7"/>
    <w:rsid w:val="00816A1C"/>
    <w:rsid w:val="00871282"/>
    <w:rsid w:val="008746E1"/>
    <w:rsid w:val="008B48D4"/>
    <w:rsid w:val="009222A0"/>
    <w:rsid w:val="00927F54"/>
    <w:rsid w:val="00935D27"/>
    <w:rsid w:val="009820AE"/>
    <w:rsid w:val="009E6D64"/>
    <w:rsid w:val="00A37B5C"/>
    <w:rsid w:val="00A846D9"/>
    <w:rsid w:val="00B07665"/>
    <w:rsid w:val="00B3395B"/>
    <w:rsid w:val="00B609BB"/>
    <w:rsid w:val="00BB7A88"/>
    <w:rsid w:val="00BB7ABA"/>
    <w:rsid w:val="00C4688C"/>
    <w:rsid w:val="00C63889"/>
    <w:rsid w:val="00C733D1"/>
    <w:rsid w:val="00C7443F"/>
    <w:rsid w:val="00CF49BC"/>
    <w:rsid w:val="00D05E00"/>
    <w:rsid w:val="00D25054"/>
    <w:rsid w:val="00D43157"/>
    <w:rsid w:val="00D45812"/>
    <w:rsid w:val="00D52E87"/>
    <w:rsid w:val="00D84F19"/>
    <w:rsid w:val="00D867B9"/>
    <w:rsid w:val="00DA4E54"/>
    <w:rsid w:val="00DB0179"/>
    <w:rsid w:val="00DF1168"/>
    <w:rsid w:val="00E568DF"/>
    <w:rsid w:val="00E63E0E"/>
    <w:rsid w:val="00E678F7"/>
    <w:rsid w:val="00E81583"/>
    <w:rsid w:val="00EC4C77"/>
    <w:rsid w:val="00EE6F30"/>
    <w:rsid w:val="00F0354D"/>
    <w:rsid w:val="00F86409"/>
    <w:rsid w:val="00F95848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0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116DB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116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0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116DB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116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Benney, Kristen</dc:creator>
  <cp:keywords/>
  <dc:description/>
  <cp:lastModifiedBy>SYSTEM</cp:lastModifiedBy>
  <cp:revision>2</cp:revision>
  <dcterms:created xsi:type="dcterms:W3CDTF">2017-07-17T21:00:00Z</dcterms:created>
  <dcterms:modified xsi:type="dcterms:W3CDTF">2017-07-17T21:00:00Z</dcterms:modified>
</cp:coreProperties>
</file>