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20C" w:rsidRDefault="0038720C" w:rsidP="001B3BBE">
      <w:pPr>
        <w:jc w:val="center"/>
        <w:rPr>
          <w:b/>
        </w:rPr>
      </w:pPr>
      <w:bookmarkStart w:id="0" w:name="_GoBack"/>
      <w:bookmarkEnd w:id="0"/>
      <w:r>
        <w:rPr>
          <w:b/>
        </w:rPr>
        <w:tab/>
      </w:r>
      <w:r>
        <w:rPr>
          <w:b/>
        </w:rPr>
        <w:tab/>
      </w:r>
      <w:r>
        <w:rPr>
          <w:b/>
        </w:rPr>
        <w:tab/>
      </w:r>
      <w:r>
        <w:rPr>
          <w:b/>
        </w:rPr>
        <w:tab/>
      </w:r>
      <w:r>
        <w:rPr>
          <w:b/>
        </w:rPr>
        <w:tab/>
      </w:r>
      <w:r>
        <w:rPr>
          <w:b/>
        </w:rPr>
        <w:tab/>
      </w:r>
      <w:r>
        <w:rPr>
          <w:b/>
        </w:rPr>
        <w:tab/>
      </w:r>
      <w:r>
        <w:rPr>
          <w:b/>
        </w:rPr>
        <w:tab/>
      </w:r>
      <w:r>
        <w:rPr>
          <w:b/>
        </w:rPr>
        <w:tab/>
      </w:r>
      <w:r>
        <w:rPr>
          <w:b/>
        </w:rPr>
        <w:tab/>
        <w:t>August 2017</w:t>
      </w:r>
    </w:p>
    <w:p w:rsidR="001B3BBE" w:rsidRDefault="001B3BBE" w:rsidP="001B3BBE">
      <w:pPr>
        <w:jc w:val="center"/>
        <w:rPr>
          <w:b/>
        </w:rPr>
      </w:pPr>
      <w:r>
        <w:rPr>
          <w:b/>
        </w:rPr>
        <w:t xml:space="preserve">Importation of Female Squash Flowers from Israel </w:t>
      </w:r>
    </w:p>
    <w:p w:rsidR="001B3BBE" w:rsidRDefault="00A76F4D" w:rsidP="001B3BBE">
      <w:pPr>
        <w:jc w:val="center"/>
        <w:rPr>
          <w:b/>
        </w:rPr>
      </w:pPr>
      <w:r>
        <w:rPr>
          <w:b/>
        </w:rPr>
        <w:t xml:space="preserve">Into the Continental United States </w:t>
      </w:r>
    </w:p>
    <w:p w:rsidR="00FB1365" w:rsidRDefault="00FB1365" w:rsidP="001B3BBE">
      <w:pPr>
        <w:jc w:val="center"/>
        <w:rPr>
          <w:b/>
        </w:rPr>
      </w:pPr>
      <w:r>
        <w:rPr>
          <w:b/>
        </w:rPr>
        <w:t>OMB No. 0579-</w:t>
      </w:r>
      <w:r w:rsidR="00421315">
        <w:rPr>
          <w:b/>
        </w:rPr>
        <w:t>0406</w:t>
      </w:r>
    </w:p>
    <w:p w:rsidR="001B3BBE" w:rsidRPr="000331A2" w:rsidRDefault="001B3BBE" w:rsidP="001B3BBE">
      <w:pPr>
        <w:jc w:val="center"/>
        <w:rPr>
          <w:b/>
        </w:rPr>
      </w:pPr>
    </w:p>
    <w:p w:rsidR="001B3BBE" w:rsidRDefault="001B3BBE" w:rsidP="001B3BBE">
      <w:pPr>
        <w:rPr>
          <w:b/>
        </w:rPr>
      </w:pPr>
      <w:r w:rsidRPr="00570C9D">
        <w:rPr>
          <w:b/>
        </w:rPr>
        <w:t>A.  Justification</w:t>
      </w:r>
    </w:p>
    <w:p w:rsidR="001B3BBE" w:rsidRDefault="001B3BBE" w:rsidP="001B3BBE">
      <w:pPr>
        <w:rPr>
          <w:b/>
        </w:rPr>
      </w:pPr>
    </w:p>
    <w:p w:rsidR="001B3BBE" w:rsidRDefault="001B3BBE" w:rsidP="001B3BBE">
      <w:r>
        <w:rPr>
          <w:b/>
        </w:rPr>
        <w:t>1.  Explain the circumstances that make the collection of information necessary.  Identify any legal or administrative requirements that necessitate the collection.</w:t>
      </w:r>
    </w:p>
    <w:p w:rsidR="001B3BBE" w:rsidRDefault="001B3BBE" w:rsidP="001B3BBE"/>
    <w:p w:rsidR="00FB1365" w:rsidRDefault="001B3BBE" w:rsidP="001B3BBE">
      <w:r>
        <w:t xml:space="preserve">The United States Department of Agriculture, Animal and Plant Health Inspection Service (APHIS), is responsible for preventing plant diseases or insect pests from entering the </w:t>
      </w:r>
    </w:p>
    <w:p w:rsidR="001B3BBE" w:rsidRDefault="001B3BBE" w:rsidP="001B3BBE">
      <w:r>
        <w:t>United States, preventing the spread of pests and noxious weeds not widely distributed in the United States, and eradicating those imported pests when eradication is feasible.  The Plant Protection Act</w:t>
      </w:r>
      <w:r w:rsidR="00FB1365">
        <w:t xml:space="preserve"> (7 U.S.C. 7701, </w:t>
      </w:r>
      <w:r w:rsidR="00FB1365" w:rsidRPr="004F5900">
        <w:rPr>
          <w:u w:val="single"/>
        </w:rPr>
        <w:t>et</w:t>
      </w:r>
      <w:r w:rsidR="00FB1365">
        <w:rPr>
          <w:u w:val="single"/>
        </w:rPr>
        <w:t xml:space="preserve"> </w:t>
      </w:r>
      <w:r w:rsidR="00FB1365">
        <w:t xml:space="preserve"> </w:t>
      </w:r>
      <w:r w:rsidR="00FB1365" w:rsidRPr="004F5900">
        <w:rPr>
          <w:u w:val="single"/>
        </w:rPr>
        <w:t>seq</w:t>
      </w:r>
      <w:r w:rsidR="00FB1365">
        <w:t>.)</w:t>
      </w:r>
      <w:r>
        <w:t xml:space="preserve"> authorizes the Department to carry out its mission.</w:t>
      </w:r>
    </w:p>
    <w:p w:rsidR="001B3BBE" w:rsidRDefault="001B3BBE" w:rsidP="001B3BBE"/>
    <w:p w:rsidR="001B3BBE" w:rsidRDefault="001B3BBE" w:rsidP="001B3BBE">
      <w:r>
        <w:t xml:space="preserve">Under the Plant </w:t>
      </w:r>
      <w:r w:rsidR="00FB1365">
        <w:t>Protection Act,</w:t>
      </w:r>
      <w:r>
        <w:t xml:space="preserve"> the Secretary of Agriculture is authorized to prohibit or restrict the importatio</w:t>
      </w:r>
      <w:r w:rsidR="00FB1365">
        <w:t>n, entry, or movement of plants</w:t>
      </w:r>
      <w:r>
        <w:t xml:space="preserve"> and plant pests to prevent the introduction of plant pests into the United States or their dissemination within the United States.</w:t>
      </w:r>
    </w:p>
    <w:p w:rsidR="001B3BBE" w:rsidRDefault="001B3BBE" w:rsidP="001B3BBE"/>
    <w:p w:rsidR="001B3BBE" w:rsidRDefault="001B3BBE" w:rsidP="001B3BBE">
      <w:r>
        <w:t>The regulations in “Subpart-Fruits and Vegetables” (7 CFR 319.56 through 319.56-</w:t>
      </w:r>
      <w:r w:rsidR="00D91290">
        <w:t xml:space="preserve">76 </w:t>
      </w:r>
      <w:r>
        <w:t xml:space="preserve">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rsidR="000A4AA7" w:rsidRDefault="000A4AA7" w:rsidP="001B3BBE"/>
    <w:p w:rsidR="000A4AA7" w:rsidRPr="002007E7" w:rsidRDefault="000A4AA7" w:rsidP="000A4AA7">
      <w:pPr>
        <w:pStyle w:val="HTMLPreformatted"/>
        <w:rPr>
          <w:rFonts w:ascii="Times New Roman" w:hAnsi="Times New Roman" w:cs="Times New Roman"/>
          <w:sz w:val="24"/>
          <w:szCs w:val="24"/>
        </w:rPr>
      </w:pPr>
      <w:r>
        <w:rPr>
          <w:rFonts w:ascii="Times New Roman" w:hAnsi="Times New Roman" w:cs="Times New Roman"/>
          <w:sz w:val="24"/>
          <w:szCs w:val="24"/>
        </w:rPr>
        <w:t>APHIS</w:t>
      </w:r>
      <w:r w:rsidR="00F13020">
        <w:rPr>
          <w:rFonts w:ascii="Times New Roman" w:hAnsi="Times New Roman" w:cs="Times New Roman"/>
          <w:sz w:val="24"/>
          <w:szCs w:val="24"/>
        </w:rPr>
        <w:t xml:space="preserve">’ </w:t>
      </w:r>
      <w:r w:rsidR="00D91290">
        <w:rPr>
          <w:rFonts w:ascii="Times New Roman" w:hAnsi="Times New Roman" w:cs="Times New Roman"/>
          <w:sz w:val="24"/>
          <w:szCs w:val="24"/>
        </w:rPr>
        <w:t>amended the</w:t>
      </w:r>
      <w:r w:rsidRPr="002007E7">
        <w:rPr>
          <w:rFonts w:ascii="Times New Roman" w:hAnsi="Times New Roman" w:cs="Times New Roman"/>
          <w:sz w:val="24"/>
          <w:szCs w:val="24"/>
        </w:rPr>
        <w:t xml:space="preserve"> </w:t>
      </w:r>
      <w:r>
        <w:rPr>
          <w:rFonts w:ascii="Times New Roman" w:hAnsi="Times New Roman" w:cs="Times New Roman"/>
          <w:sz w:val="24"/>
          <w:szCs w:val="24"/>
        </w:rPr>
        <w:t xml:space="preserve">regulations governing the importation of </w:t>
      </w:r>
      <w:r w:rsidRPr="002007E7">
        <w:rPr>
          <w:rFonts w:ascii="Times New Roman" w:hAnsi="Times New Roman" w:cs="Times New Roman"/>
          <w:sz w:val="24"/>
          <w:szCs w:val="24"/>
        </w:rPr>
        <w:t xml:space="preserve">fruits and vegetables to allow the importation of </w:t>
      </w:r>
      <w:r>
        <w:rPr>
          <w:rFonts w:ascii="Times New Roman" w:hAnsi="Times New Roman" w:cs="Times New Roman"/>
          <w:sz w:val="24"/>
          <w:szCs w:val="24"/>
        </w:rPr>
        <w:t xml:space="preserve">female squash flowers </w:t>
      </w:r>
      <w:r w:rsidRPr="002007E7">
        <w:rPr>
          <w:rFonts w:ascii="Times New Roman" w:hAnsi="Times New Roman" w:cs="Times New Roman"/>
          <w:sz w:val="24"/>
          <w:szCs w:val="24"/>
        </w:rPr>
        <w:t xml:space="preserve">from </w:t>
      </w:r>
      <w:r>
        <w:rPr>
          <w:rFonts w:ascii="Times New Roman" w:hAnsi="Times New Roman" w:cs="Times New Roman"/>
          <w:sz w:val="24"/>
          <w:szCs w:val="24"/>
        </w:rPr>
        <w:t>Israel</w:t>
      </w:r>
      <w:r w:rsidRPr="002007E7">
        <w:rPr>
          <w:rFonts w:ascii="Times New Roman" w:hAnsi="Times New Roman" w:cs="Times New Roman"/>
          <w:sz w:val="24"/>
          <w:szCs w:val="24"/>
        </w:rPr>
        <w:t xml:space="preserve"> into the continental United States.  As a condition of entry, </w:t>
      </w:r>
      <w:r>
        <w:rPr>
          <w:rFonts w:ascii="Times New Roman" w:hAnsi="Times New Roman" w:cs="Times New Roman"/>
          <w:sz w:val="24"/>
          <w:szCs w:val="24"/>
        </w:rPr>
        <w:t>female squash flowers</w:t>
      </w:r>
      <w:r w:rsidRPr="002007E7">
        <w:rPr>
          <w:rFonts w:ascii="Times New Roman" w:hAnsi="Times New Roman" w:cs="Times New Roman"/>
          <w:sz w:val="24"/>
          <w:szCs w:val="24"/>
        </w:rPr>
        <w:t xml:space="preserve"> from </w:t>
      </w:r>
      <w:r>
        <w:rPr>
          <w:rFonts w:ascii="Times New Roman" w:hAnsi="Times New Roman" w:cs="Times New Roman"/>
          <w:sz w:val="24"/>
          <w:szCs w:val="24"/>
        </w:rPr>
        <w:t>Israel</w:t>
      </w:r>
      <w:r w:rsidRPr="002007E7">
        <w:rPr>
          <w:rFonts w:ascii="Times New Roman" w:hAnsi="Times New Roman" w:cs="Times New Roman"/>
          <w:sz w:val="24"/>
          <w:szCs w:val="24"/>
        </w:rPr>
        <w:t xml:space="preserve"> w</w:t>
      </w:r>
      <w:r w:rsidR="00F13020">
        <w:rPr>
          <w:rFonts w:ascii="Times New Roman" w:hAnsi="Times New Roman" w:cs="Times New Roman"/>
          <w:sz w:val="24"/>
          <w:szCs w:val="24"/>
        </w:rPr>
        <w:t>ill</w:t>
      </w:r>
      <w:r w:rsidRPr="002007E7">
        <w:rPr>
          <w:rFonts w:ascii="Times New Roman" w:hAnsi="Times New Roman" w:cs="Times New Roman"/>
          <w:sz w:val="24"/>
          <w:szCs w:val="24"/>
        </w:rPr>
        <w:t xml:space="preserve"> be subject to a systems approach that w</w:t>
      </w:r>
      <w:r w:rsidR="00F13020">
        <w:rPr>
          <w:rFonts w:ascii="Times New Roman" w:hAnsi="Times New Roman" w:cs="Times New Roman"/>
          <w:sz w:val="24"/>
          <w:szCs w:val="24"/>
        </w:rPr>
        <w:t>ill</w:t>
      </w:r>
      <w:r w:rsidRPr="002007E7">
        <w:rPr>
          <w:rFonts w:ascii="Times New Roman" w:hAnsi="Times New Roman" w:cs="Times New Roman"/>
          <w:sz w:val="24"/>
          <w:szCs w:val="24"/>
        </w:rPr>
        <w:t xml:space="preserve"> include requirements for pest exclusion at the production site</w:t>
      </w:r>
      <w:r>
        <w:rPr>
          <w:rFonts w:ascii="Times New Roman" w:hAnsi="Times New Roman" w:cs="Times New Roman"/>
          <w:sz w:val="24"/>
          <w:szCs w:val="24"/>
        </w:rPr>
        <w:t xml:space="preserve"> and</w:t>
      </w:r>
      <w:r w:rsidRPr="002007E7">
        <w:rPr>
          <w:rFonts w:ascii="Times New Roman" w:hAnsi="Times New Roman" w:cs="Times New Roman"/>
          <w:sz w:val="24"/>
          <w:szCs w:val="24"/>
        </w:rPr>
        <w:t xml:space="preserve"> fruit fly trapping and monitoring.  The </w:t>
      </w:r>
      <w:r>
        <w:rPr>
          <w:rFonts w:ascii="Times New Roman" w:hAnsi="Times New Roman" w:cs="Times New Roman"/>
          <w:sz w:val="24"/>
          <w:szCs w:val="24"/>
        </w:rPr>
        <w:t>female squash flowers</w:t>
      </w:r>
      <w:r w:rsidRPr="002007E7">
        <w:rPr>
          <w:rFonts w:ascii="Times New Roman" w:hAnsi="Times New Roman" w:cs="Times New Roman"/>
          <w:sz w:val="24"/>
          <w:szCs w:val="24"/>
        </w:rPr>
        <w:t xml:space="preserve"> w</w:t>
      </w:r>
      <w:r w:rsidR="00F13020">
        <w:rPr>
          <w:rFonts w:ascii="Times New Roman" w:hAnsi="Times New Roman" w:cs="Times New Roman"/>
          <w:sz w:val="24"/>
          <w:szCs w:val="24"/>
        </w:rPr>
        <w:t>ill</w:t>
      </w:r>
      <w:r w:rsidRPr="002007E7">
        <w:rPr>
          <w:rFonts w:ascii="Times New Roman" w:hAnsi="Times New Roman" w:cs="Times New Roman"/>
          <w:sz w:val="24"/>
          <w:szCs w:val="24"/>
        </w:rPr>
        <w:t xml:space="preserve"> also be required to be accompanied by a phytosani</w:t>
      </w:r>
      <w:r w:rsidR="00601F53">
        <w:rPr>
          <w:rFonts w:ascii="Times New Roman" w:hAnsi="Times New Roman" w:cs="Times New Roman"/>
          <w:sz w:val="24"/>
          <w:szCs w:val="24"/>
        </w:rPr>
        <w:t>tary certificate issued by the National Plant Protection O</w:t>
      </w:r>
      <w:r w:rsidRPr="002007E7">
        <w:rPr>
          <w:rFonts w:ascii="Times New Roman" w:hAnsi="Times New Roman" w:cs="Times New Roman"/>
          <w:sz w:val="24"/>
          <w:szCs w:val="24"/>
        </w:rPr>
        <w:t xml:space="preserve">rganization </w:t>
      </w:r>
      <w:r w:rsidR="00601F53">
        <w:rPr>
          <w:rFonts w:ascii="Times New Roman" w:hAnsi="Times New Roman" w:cs="Times New Roman"/>
          <w:sz w:val="24"/>
          <w:szCs w:val="24"/>
        </w:rPr>
        <w:t xml:space="preserve">(NPPO) </w:t>
      </w:r>
      <w:r w:rsidRPr="002007E7">
        <w:rPr>
          <w:rFonts w:ascii="Times New Roman" w:hAnsi="Times New Roman" w:cs="Times New Roman"/>
          <w:sz w:val="24"/>
          <w:szCs w:val="24"/>
        </w:rPr>
        <w:t xml:space="preserve">of </w:t>
      </w:r>
      <w:r>
        <w:rPr>
          <w:rFonts w:ascii="Times New Roman" w:hAnsi="Times New Roman" w:cs="Times New Roman"/>
          <w:sz w:val="24"/>
          <w:szCs w:val="24"/>
        </w:rPr>
        <w:t>Israel</w:t>
      </w:r>
      <w:r w:rsidRPr="002007E7">
        <w:rPr>
          <w:rFonts w:ascii="Times New Roman" w:hAnsi="Times New Roman" w:cs="Times New Roman"/>
          <w:sz w:val="24"/>
          <w:szCs w:val="24"/>
        </w:rPr>
        <w:t xml:space="preserve"> with an additional declaration that the </w:t>
      </w:r>
      <w:r>
        <w:rPr>
          <w:rFonts w:ascii="Times New Roman" w:hAnsi="Times New Roman" w:cs="Times New Roman"/>
          <w:sz w:val="24"/>
          <w:szCs w:val="24"/>
        </w:rPr>
        <w:t>female squash flowers</w:t>
      </w:r>
      <w:r w:rsidRPr="002007E7">
        <w:rPr>
          <w:rFonts w:ascii="Times New Roman" w:hAnsi="Times New Roman" w:cs="Times New Roman"/>
          <w:sz w:val="24"/>
          <w:szCs w:val="24"/>
        </w:rPr>
        <w:t xml:space="preserve"> </w:t>
      </w:r>
      <w:r>
        <w:rPr>
          <w:rFonts w:ascii="Times New Roman" w:hAnsi="Times New Roman" w:cs="Times New Roman"/>
          <w:sz w:val="24"/>
          <w:szCs w:val="24"/>
        </w:rPr>
        <w:t>ha</w:t>
      </w:r>
      <w:r w:rsidR="00F13020">
        <w:rPr>
          <w:rFonts w:ascii="Times New Roman" w:hAnsi="Times New Roman" w:cs="Times New Roman"/>
          <w:sz w:val="24"/>
          <w:szCs w:val="24"/>
        </w:rPr>
        <w:t>ve</w:t>
      </w:r>
      <w:r>
        <w:rPr>
          <w:rFonts w:ascii="Times New Roman" w:hAnsi="Times New Roman" w:cs="Times New Roman"/>
          <w:sz w:val="24"/>
          <w:szCs w:val="24"/>
        </w:rPr>
        <w:t xml:space="preserve"> been inspected and found free of quarantine pests</w:t>
      </w:r>
      <w:r w:rsidRPr="002007E7">
        <w:rPr>
          <w:rFonts w:ascii="Times New Roman" w:hAnsi="Times New Roman" w:cs="Times New Roman"/>
          <w:sz w:val="24"/>
          <w:szCs w:val="24"/>
        </w:rPr>
        <w:t>.  This action w</w:t>
      </w:r>
      <w:r w:rsidR="00F13020">
        <w:rPr>
          <w:rFonts w:ascii="Times New Roman" w:hAnsi="Times New Roman" w:cs="Times New Roman"/>
          <w:sz w:val="24"/>
          <w:szCs w:val="24"/>
        </w:rPr>
        <w:t>ill</w:t>
      </w:r>
      <w:r w:rsidRPr="002007E7">
        <w:rPr>
          <w:rFonts w:ascii="Times New Roman" w:hAnsi="Times New Roman" w:cs="Times New Roman"/>
          <w:sz w:val="24"/>
          <w:szCs w:val="24"/>
        </w:rPr>
        <w:t xml:space="preserve"> allow for the importation of </w:t>
      </w:r>
      <w:r>
        <w:rPr>
          <w:rFonts w:ascii="Times New Roman" w:hAnsi="Times New Roman" w:cs="Times New Roman"/>
          <w:sz w:val="24"/>
          <w:szCs w:val="24"/>
        </w:rPr>
        <w:t xml:space="preserve">female squash flowers </w:t>
      </w:r>
      <w:r w:rsidRPr="002007E7">
        <w:rPr>
          <w:rFonts w:ascii="Times New Roman" w:hAnsi="Times New Roman" w:cs="Times New Roman"/>
          <w:sz w:val="24"/>
          <w:szCs w:val="24"/>
        </w:rPr>
        <w:t xml:space="preserve">from </w:t>
      </w:r>
      <w:r>
        <w:rPr>
          <w:rFonts w:ascii="Times New Roman" w:hAnsi="Times New Roman" w:cs="Times New Roman"/>
          <w:sz w:val="24"/>
          <w:szCs w:val="24"/>
        </w:rPr>
        <w:t>Israel</w:t>
      </w:r>
      <w:r w:rsidRPr="002007E7">
        <w:rPr>
          <w:rFonts w:ascii="Times New Roman" w:hAnsi="Times New Roman" w:cs="Times New Roman"/>
          <w:sz w:val="24"/>
          <w:szCs w:val="24"/>
        </w:rPr>
        <w:t xml:space="preserve"> into the continental United States while continuing to provide protection against the introduction of quarantine pests.  </w:t>
      </w:r>
    </w:p>
    <w:p w:rsidR="000A4AA7" w:rsidRDefault="000A4AA7" w:rsidP="001B3BBE"/>
    <w:p w:rsidR="001B3BBE" w:rsidRDefault="001B3BBE" w:rsidP="001B3BBE">
      <w:r>
        <w:t>APHIS is asking OMB to approve its use of these information collection activities,</w:t>
      </w:r>
      <w:r w:rsidR="00601F53">
        <w:t xml:space="preserve"> for </w:t>
      </w:r>
      <w:r w:rsidR="00D91290">
        <w:t xml:space="preserve">an additional </w:t>
      </w:r>
      <w:r w:rsidR="00601F53">
        <w:t>3 years,</w:t>
      </w:r>
      <w:r>
        <w:t xml:space="preserve"> associated with its efforts to prevent the spread of fruit flies and other plant pests from entering into the United States.</w:t>
      </w:r>
    </w:p>
    <w:p w:rsidR="001B3BBE" w:rsidRDefault="001B3BBE" w:rsidP="001B3BBE"/>
    <w:p w:rsidR="00601F53" w:rsidRDefault="00601F53" w:rsidP="001B3BBE"/>
    <w:p w:rsidR="001B3BBE" w:rsidRDefault="001B3BBE" w:rsidP="001B3BBE">
      <w:pPr>
        <w:rPr>
          <w:b/>
        </w:rPr>
      </w:pPr>
      <w:r w:rsidRPr="00543FFA">
        <w:rPr>
          <w:b/>
        </w:rPr>
        <w:t>2.  Indicate how, by whom, and for what purpose the information is to be used.  Except for a new collection, indicate the actual use the agency has made of the information received from the current collection.</w:t>
      </w:r>
    </w:p>
    <w:p w:rsidR="00F13020" w:rsidRDefault="00F13020" w:rsidP="001B3BBE">
      <w:pPr>
        <w:rPr>
          <w:b/>
        </w:rPr>
      </w:pPr>
    </w:p>
    <w:p w:rsidR="00AC1A11" w:rsidRPr="00AC1A11" w:rsidRDefault="00AC1A11" w:rsidP="001B3BBE">
      <w:r>
        <w:lastRenderedPageBreak/>
        <w:t xml:space="preserve">APHIS uses the following information activities to </w:t>
      </w:r>
      <w:r w:rsidRPr="002007E7">
        <w:t xml:space="preserve">allow the importation of </w:t>
      </w:r>
      <w:r>
        <w:t xml:space="preserve">female squash flowers </w:t>
      </w:r>
      <w:r w:rsidRPr="002007E7">
        <w:t xml:space="preserve">from </w:t>
      </w:r>
      <w:r>
        <w:t>Israel</w:t>
      </w:r>
      <w:r w:rsidRPr="002007E7">
        <w:t xml:space="preserve"> into the continental United States.  </w:t>
      </w:r>
    </w:p>
    <w:p w:rsidR="001B3BBE" w:rsidRDefault="001B3BBE" w:rsidP="001B3BBE">
      <w:pPr>
        <w:rPr>
          <w:b/>
        </w:rPr>
      </w:pPr>
    </w:p>
    <w:p w:rsidR="007F4C5A" w:rsidRPr="00AC1A11" w:rsidRDefault="00D91290" w:rsidP="007F4C5A">
      <w:pPr>
        <w:rPr>
          <w:b/>
          <w:iCs/>
          <w:u w:val="single"/>
        </w:rPr>
      </w:pPr>
      <w:r>
        <w:rPr>
          <w:b/>
          <w:iCs/>
          <w:u w:val="single"/>
        </w:rPr>
        <w:t xml:space="preserve">7CFR 319.56.68 (a)(1) </w:t>
      </w:r>
      <w:r w:rsidR="00CB7D62">
        <w:rPr>
          <w:b/>
          <w:iCs/>
          <w:u w:val="single"/>
        </w:rPr>
        <w:t xml:space="preserve">Production Site </w:t>
      </w:r>
      <w:r w:rsidR="00CB7D62" w:rsidRPr="00AC1A11">
        <w:rPr>
          <w:b/>
          <w:iCs/>
          <w:u w:val="single"/>
        </w:rPr>
        <w:t>R</w:t>
      </w:r>
      <w:r w:rsidR="007F4C5A" w:rsidRPr="00AC1A11">
        <w:rPr>
          <w:b/>
          <w:iCs/>
          <w:u w:val="single"/>
        </w:rPr>
        <w:t>egistration</w:t>
      </w:r>
      <w:r w:rsidR="007C6FAC">
        <w:rPr>
          <w:b/>
          <w:iCs/>
          <w:u w:val="single"/>
        </w:rPr>
        <w:t xml:space="preserve"> </w:t>
      </w:r>
      <w:r>
        <w:rPr>
          <w:b/>
          <w:iCs/>
          <w:u w:val="single"/>
        </w:rPr>
        <w:t>–</w:t>
      </w:r>
      <w:r w:rsidR="007C6FAC">
        <w:rPr>
          <w:b/>
          <w:iCs/>
          <w:u w:val="single"/>
        </w:rPr>
        <w:t xml:space="preserve"> </w:t>
      </w:r>
      <w:r>
        <w:rPr>
          <w:b/>
          <w:iCs/>
          <w:u w:val="single"/>
        </w:rPr>
        <w:t>(</w:t>
      </w:r>
      <w:r w:rsidR="007C6FAC">
        <w:rPr>
          <w:b/>
          <w:iCs/>
          <w:u w:val="single"/>
        </w:rPr>
        <w:t>Business</w:t>
      </w:r>
      <w:r w:rsidR="0038720C">
        <w:rPr>
          <w:b/>
          <w:iCs/>
          <w:u w:val="single"/>
        </w:rPr>
        <w:t>) (Foreign Govt</w:t>
      </w:r>
      <w:r>
        <w:rPr>
          <w:b/>
          <w:iCs/>
          <w:u w:val="single"/>
        </w:rPr>
        <w:t>)</w:t>
      </w:r>
      <w:r w:rsidR="00AC1A11">
        <w:rPr>
          <w:b/>
          <w:iCs/>
        </w:rPr>
        <w:t xml:space="preserve"> - </w:t>
      </w:r>
      <w:r w:rsidR="00AC1A11">
        <w:rPr>
          <w:iCs/>
        </w:rPr>
        <w:t>Pro</w:t>
      </w:r>
      <w:r w:rsidR="007F4C5A" w:rsidRPr="00AC1A11">
        <w:t>duction</w:t>
      </w:r>
      <w:r w:rsidR="007F4C5A" w:rsidRPr="007F4C5A">
        <w:t xml:space="preserve"> sites in which the female squash flowers are produc</w:t>
      </w:r>
      <w:r w:rsidR="00AC1A11">
        <w:t>ed must be registered with the NPPO</w:t>
      </w:r>
      <w:r w:rsidR="007F4C5A" w:rsidRPr="007F4C5A">
        <w:t xml:space="preserve"> of Israel.  Initial approval of production sites must be completed jointly by the NPPO of Israel and APHIS.</w:t>
      </w:r>
      <w:r w:rsidR="007F4C5A" w:rsidRPr="002007E7">
        <w:t xml:space="preserve">  </w:t>
      </w:r>
    </w:p>
    <w:p w:rsidR="001B3BBE" w:rsidRDefault="001B3BBE" w:rsidP="001B3BBE">
      <w:pPr>
        <w:pStyle w:val="DefaultText"/>
        <w:rPr>
          <w:rStyle w:val="InitialStyle"/>
          <w:rFonts w:cs="Courier New"/>
          <w:szCs w:val="24"/>
        </w:rPr>
      </w:pPr>
    </w:p>
    <w:p w:rsidR="007F4C5A" w:rsidRPr="00216D42" w:rsidRDefault="0038720C" w:rsidP="007F4C5A">
      <w:r>
        <w:rPr>
          <w:b/>
          <w:u w:val="single"/>
        </w:rPr>
        <w:t xml:space="preserve">7CFR 319.56.68(b)(1) </w:t>
      </w:r>
      <w:r w:rsidR="00AE53CA">
        <w:rPr>
          <w:b/>
          <w:u w:val="single"/>
        </w:rPr>
        <w:t>Trapping Records</w:t>
      </w:r>
      <w:r w:rsidR="00AC1A11">
        <w:rPr>
          <w:b/>
          <w:u w:val="single"/>
        </w:rPr>
        <w:t xml:space="preserve"> (Recordkeeping)</w:t>
      </w:r>
      <w:r w:rsidR="007C6FAC">
        <w:rPr>
          <w:b/>
          <w:u w:val="single"/>
        </w:rPr>
        <w:t xml:space="preserve"> </w:t>
      </w:r>
      <w:r w:rsidR="00D91290">
        <w:rPr>
          <w:b/>
          <w:u w:val="single"/>
        </w:rPr>
        <w:t>–</w:t>
      </w:r>
      <w:r w:rsidR="007C6FAC">
        <w:rPr>
          <w:b/>
          <w:u w:val="single"/>
        </w:rPr>
        <w:t xml:space="preserve"> </w:t>
      </w:r>
      <w:r>
        <w:rPr>
          <w:b/>
          <w:u w:val="single"/>
        </w:rPr>
        <w:t>(Foreign Govt</w:t>
      </w:r>
      <w:r w:rsidR="00D91290">
        <w:rPr>
          <w:b/>
          <w:u w:val="single"/>
        </w:rPr>
        <w:t>)</w:t>
      </w:r>
      <w:r w:rsidR="00AC1A11">
        <w:rPr>
          <w:b/>
        </w:rPr>
        <w:t xml:space="preserve"> </w:t>
      </w:r>
      <w:r w:rsidR="001B3BBE">
        <w:t xml:space="preserve">- </w:t>
      </w:r>
      <w:r w:rsidR="007F4C5A" w:rsidRPr="007F4C5A">
        <w:t>The NPPO of Israel must set and maintain fruit fly traps with an</w:t>
      </w:r>
      <w:r w:rsidR="000A4AA7">
        <w:t xml:space="preserve"> </w:t>
      </w:r>
      <w:r w:rsidR="007F4C5A" w:rsidRPr="007F4C5A">
        <w:t>APHIS-approved bait at a rate of one trap per hectare, with a minimum of one trap in each PES and one outside the entrance of each PES.  The NPPO of Israel must check the traps every 7 days and maintain records of trap placement, trap maintenance, and captures of any fruit flies of concern.  The NPPO must maintain trapping records and make the records available to APHIS upon request.</w:t>
      </w:r>
      <w:r w:rsidR="007F4C5A" w:rsidRPr="002007E7">
        <w:rPr>
          <w:b/>
        </w:rPr>
        <w:t xml:space="preserve">  </w:t>
      </w:r>
    </w:p>
    <w:p w:rsidR="001B3BBE" w:rsidRDefault="001B3BBE" w:rsidP="001B3BBE">
      <w:pPr>
        <w:pStyle w:val="DefaultText"/>
        <w:rPr>
          <w:rStyle w:val="InitialStyle"/>
          <w:rFonts w:cs="Courier New"/>
          <w:szCs w:val="24"/>
        </w:rPr>
      </w:pPr>
    </w:p>
    <w:p w:rsidR="00D91290" w:rsidRPr="00D91290" w:rsidRDefault="0038720C" w:rsidP="00D91290">
      <w:r>
        <w:rPr>
          <w:b/>
          <w:u w:val="single"/>
        </w:rPr>
        <w:t xml:space="preserve">7CFR 319.56.68(d) </w:t>
      </w:r>
      <w:r w:rsidR="00AE53CA" w:rsidRPr="00D91290">
        <w:rPr>
          <w:b/>
          <w:u w:val="single"/>
        </w:rPr>
        <w:t>Box Markings</w:t>
      </w:r>
      <w:r w:rsidR="007C6FAC" w:rsidRPr="00D91290">
        <w:rPr>
          <w:b/>
          <w:u w:val="single"/>
        </w:rPr>
        <w:t xml:space="preserve"> </w:t>
      </w:r>
      <w:r w:rsidR="00D91290" w:rsidRPr="00D91290">
        <w:rPr>
          <w:b/>
          <w:u w:val="single"/>
        </w:rPr>
        <w:t>–</w:t>
      </w:r>
      <w:r w:rsidR="007C6FAC" w:rsidRPr="00D91290">
        <w:rPr>
          <w:b/>
          <w:u w:val="single"/>
        </w:rPr>
        <w:t xml:space="preserve"> </w:t>
      </w:r>
      <w:r w:rsidR="00D91290" w:rsidRPr="00D91290">
        <w:rPr>
          <w:b/>
          <w:u w:val="single"/>
        </w:rPr>
        <w:t>(</w:t>
      </w:r>
      <w:r w:rsidR="007C6FAC" w:rsidRPr="00D91290">
        <w:rPr>
          <w:b/>
          <w:u w:val="single"/>
        </w:rPr>
        <w:t>Business</w:t>
      </w:r>
      <w:r w:rsidR="00D91290" w:rsidRPr="00D91290">
        <w:rPr>
          <w:b/>
          <w:u w:val="single"/>
        </w:rPr>
        <w:t>)</w:t>
      </w:r>
      <w:r w:rsidR="00AC1A11" w:rsidRPr="00D91290">
        <w:rPr>
          <w:b/>
        </w:rPr>
        <w:t xml:space="preserve"> </w:t>
      </w:r>
      <w:r w:rsidR="001B3BBE" w:rsidRPr="00D91290">
        <w:t xml:space="preserve">– </w:t>
      </w:r>
      <w:r w:rsidR="00AE53CA" w:rsidRPr="00D91290">
        <w:t xml:space="preserve">Before being removed from the PES, harvested female squash flowers must be placed in field cartons or containers that are marked to show the official registration number of the production site. </w:t>
      </w:r>
      <w:r w:rsidR="00D91290" w:rsidRPr="00D91290">
        <w:t>The place of production where the flowers were grown must remain identifiable from the time when the blossoms leave the production site, to the packinghouse, and through the export process.</w:t>
      </w:r>
    </w:p>
    <w:p w:rsidR="001B3BBE" w:rsidRPr="00D91290" w:rsidRDefault="001B3BBE" w:rsidP="00D91290"/>
    <w:p w:rsidR="001B3BBE" w:rsidRDefault="00D91290" w:rsidP="000A4AA7">
      <w:pPr>
        <w:rPr>
          <w:iCs/>
        </w:rPr>
      </w:pPr>
      <w:r w:rsidRPr="00D91290">
        <w:rPr>
          <w:b/>
          <w:u w:val="single"/>
        </w:rPr>
        <w:t>7CFR 319.56.68</w:t>
      </w:r>
      <w:r>
        <w:rPr>
          <w:b/>
          <w:u w:val="single"/>
        </w:rPr>
        <w:t xml:space="preserve">(f)  </w:t>
      </w:r>
      <w:r w:rsidR="001B3BBE" w:rsidRPr="006851D7">
        <w:rPr>
          <w:b/>
          <w:u w:val="single"/>
        </w:rPr>
        <w:t>Phytosa</w:t>
      </w:r>
      <w:r w:rsidR="00CB7D62">
        <w:rPr>
          <w:b/>
          <w:u w:val="single"/>
        </w:rPr>
        <w:t>nitary Certificate) w/A</w:t>
      </w:r>
      <w:r w:rsidR="001B3BBE" w:rsidRPr="006851D7">
        <w:rPr>
          <w:b/>
          <w:u w:val="single"/>
        </w:rPr>
        <w:t>dditional Declaration</w:t>
      </w:r>
      <w:r w:rsidR="007C6FAC">
        <w:rPr>
          <w:b/>
          <w:u w:val="single"/>
        </w:rPr>
        <w:t xml:space="preserve"> – </w:t>
      </w:r>
      <w:r w:rsidR="0038720C">
        <w:rPr>
          <w:b/>
          <w:u w:val="single"/>
        </w:rPr>
        <w:t>(Foreign Govt) (Business)</w:t>
      </w:r>
      <w:r w:rsidR="0038720C">
        <w:t xml:space="preserve"> </w:t>
      </w:r>
      <w:r w:rsidR="001B3BBE">
        <w:t xml:space="preserve">- </w:t>
      </w:r>
      <w:r w:rsidR="000A4AA7">
        <w:t>E</w:t>
      </w:r>
      <w:r w:rsidR="000A4AA7" w:rsidRPr="000A4AA7">
        <w:rPr>
          <w:iCs/>
        </w:rPr>
        <w:t>ach consignment of female squash flowers would have to be accompanied by a phytosanitary certificate issued by the NPPO of Israel with an additional declaration stating that the consignment has been inspected and found free of</w:t>
      </w:r>
      <w:r w:rsidR="000A4AA7" w:rsidRPr="000A4AA7">
        <w:t xml:space="preserve"> </w:t>
      </w:r>
      <w:r w:rsidR="000A4AA7" w:rsidRPr="000A4AA7">
        <w:rPr>
          <w:u w:val="single"/>
        </w:rPr>
        <w:t>C</w:t>
      </w:r>
      <w:r w:rsidR="000A4AA7" w:rsidRPr="000A4AA7">
        <w:t xml:space="preserve">. </w:t>
      </w:r>
      <w:r w:rsidR="000A4AA7" w:rsidRPr="000A4AA7">
        <w:rPr>
          <w:u w:val="single"/>
        </w:rPr>
        <w:t>capitata</w:t>
      </w:r>
      <w:r w:rsidR="000A4AA7" w:rsidRPr="000A4AA7">
        <w:t xml:space="preserve">, </w:t>
      </w:r>
      <w:r w:rsidR="000A4AA7" w:rsidRPr="000A4AA7">
        <w:rPr>
          <w:u w:val="single"/>
        </w:rPr>
        <w:t>D</w:t>
      </w:r>
      <w:r w:rsidR="000A4AA7" w:rsidRPr="000A4AA7">
        <w:t>. </w:t>
      </w:r>
      <w:r w:rsidR="000A4AA7" w:rsidRPr="000A4AA7">
        <w:rPr>
          <w:u w:val="single"/>
        </w:rPr>
        <w:t>ciliatus,</w:t>
      </w:r>
      <w:r w:rsidR="000A4AA7" w:rsidRPr="000A4AA7">
        <w:t xml:space="preserve"> </w:t>
      </w:r>
      <w:r w:rsidR="000A4AA7" w:rsidRPr="000A4AA7">
        <w:rPr>
          <w:u w:val="single"/>
        </w:rPr>
        <w:t>H</w:t>
      </w:r>
      <w:r w:rsidR="000A4AA7" w:rsidRPr="000A4AA7">
        <w:t xml:space="preserve">. </w:t>
      </w:r>
      <w:r w:rsidR="000A4AA7" w:rsidRPr="000A4AA7">
        <w:rPr>
          <w:u w:val="single"/>
        </w:rPr>
        <w:t>armigera</w:t>
      </w:r>
      <w:r w:rsidR="000A4AA7" w:rsidRPr="000A4AA7">
        <w:t xml:space="preserve">, and </w:t>
      </w:r>
      <w:r w:rsidR="000A4AA7" w:rsidRPr="000A4AA7">
        <w:rPr>
          <w:u w:val="single"/>
        </w:rPr>
        <w:t>S</w:t>
      </w:r>
      <w:r w:rsidR="000A4AA7" w:rsidRPr="000A4AA7">
        <w:t xml:space="preserve">. </w:t>
      </w:r>
      <w:r w:rsidR="000A4AA7" w:rsidRPr="000A4AA7">
        <w:rPr>
          <w:u w:val="single"/>
        </w:rPr>
        <w:t>dorsalis</w:t>
      </w:r>
      <w:r w:rsidR="000A4AA7" w:rsidRPr="000A4AA7">
        <w:rPr>
          <w:iCs/>
        </w:rPr>
        <w:t>.</w:t>
      </w:r>
    </w:p>
    <w:p w:rsidR="00D91290" w:rsidRDefault="00D91290" w:rsidP="000A4AA7">
      <w:pPr>
        <w:rPr>
          <w:iCs/>
        </w:rPr>
      </w:pPr>
    </w:p>
    <w:p w:rsidR="00D91290" w:rsidRDefault="00D91290" w:rsidP="00D91290">
      <w:r w:rsidRPr="00D91290">
        <w:rPr>
          <w:b/>
          <w:iCs/>
          <w:u w:val="single"/>
        </w:rPr>
        <w:t xml:space="preserve">7CFR 319.56.68 (a)(2) </w:t>
      </w:r>
      <w:r w:rsidR="0038720C">
        <w:rPr>
          <w:b/>
          <w:iCs/>
          <w:u w:val="single"/>
        </w:rPr>
        <w:t xml:space="preserve"> Production Site Inspections  (Business) (Foreign Govt</w:t>
      </w:r>
      <w:r w:rsidRPr="00D91290">
        <w:rPr>
          <w:b/>
          <w:iCs/>
          <w:u w:val="single"/>
        </w:rPr>
        <w:t>)</w:t>
      </w:r>
      <w:r w:rsidR="0038720C">
        <w:rPr>
          <w:iCs/>
        </w:rPr>
        <w:t xml:space="preserve"> - </w:t>
      </w:r>
      <w:r>
        <w:t>The NPPO of Israel must visit and inspect the production sites. APHIS may monitor the production sites if necessary.</w:t>
      </w:r>
    </w:p>
    <w:p w:rsidR="00D91290" w:rsidRPr="00D91290" w:rsidRDefault="00D91290" w:rsidP="000A4AA7">
      <w:pPr>
        <w:rPr>
          <w:b/>
          <w:iCs/>
          <w:u w:val="single"/>
        </w:rPr>
      </w:pPr>
    </w:p>
    <w:p w:rsidR="001B3BBE" w:rsidRDefault="001B3BBE" w:rsidP="001B3BBE">
      <w:pPr>
        <w:rPr>
          <w:lang w:val="en-GB"/>
        </w:rPr>
      </w:pPr>
      <w:r>
        <w:t xml:space="preserve"> </w:t>
      </w:r>
    </w:p>
    <w:p w:rsidR="001B3BBE" w:rsidRDefault="001B3BBE" w:rsidP="001B3BBE">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rsidR="001B3BBE" w:rsidRDefault="001B3BBE" w:rsidP="001B3BBE">
      <w:pPr>
        <w:rPr>
          <w:b/>
        </w:rPr>
      </w:pPr>
    </w:p>
    <w:p w:rsidR="00E72A2D" w:rsidRDefault="001B3BBE" w:rsidP="001B3BBE">
      <w:pPr>
        <w:pStyle w:val="DefaultText"/>
      </w:pPr>
      <w:r w:rsidRPr="00F754AF">
        <w:rPr>
          <w:rStyle w:val="InitialStyle"/>
          <w:rFonts w:ascii="Times New Roman" w:hAnsi="Times New Roman"/>
          <w:szCs w:val="24"/>
        </w:rPr>
        <w:t>APHIS has no control or influence over when forei</w:t>
      </w:r>
      <w:r w:rsidR="00AC1A11">
        <w:rPr>
          <w:rStyle w:val="InitialStyle"/>
          <w:rFonts w:ascii="Times New Roman" w:hAnsi="Times New Roman"/>
          <w:szCs w:val="24"/>
        </w:rPr>
        <w:t>gn countries will automate their phytosanitary</w:t>
      </w:r>
      <w:r w:rsidRPr="00F754AF">
        <w:rPr>
          <w:rStyle w:val="InitialStyle"/>
          <w:rFonts w:ascii="Times New Roman" w:hAnsi="Times New Roman"/>
          <w:szCs w:val="24"/>
        </w:rPr>
        <w:t xml:space="preserve"> certificates.</w:t>
      </w:r>
      <w:r w:rsidR="00E72A2D">
        <w:rPr>
          <w:rStyle w:val="InitialStyle"/>
          <w:rFonts w:ascii="Times New Roman" w:hAnsi="Times New Roman"/>
          <w:szCs w:val="24"/>
        </w:rPr>
        <w:t xml:space="preserve">  </w:t>
      </w:r>
      <w:r w:rsidR="00E72A2D">
        <w:t xml:space="preserve">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through a Single Window concept.   APHIS is also establishing a system known as e-File for CARPOL (Certification, Accreditation, </w:t>
      </w:r>
    </w:p>
    <w:p w:rsidR="001B3BBE" w:rsidRPr="00F754AF" w:rsidRDefault="00E72A2D" w:rsidP="001B3BBE">
      <w:pPr>
        <w:pStyle w:val="DefaultText"/>
        <w:rPr>
          <w:rStyle w:val="InitialStyle"/>
          <w:rFonts w:ascii="Times New Roman" w:hAnsi="Times New Roman"/>
          <w:szCs w:val="24"/>
        </w:rPr>
      </w:pPr>
      <w:r>
        <w:lastRenderedPageBreak/>
        <w:t>Registration, Permitting, and Other Licensing) activities.  This new system will strive to automate some of these information collection activities.  The system is still being developed and business processes continue to be identified and mapped.</w:t>
      </w:r>
    </w:p>
    <w:p w:rsidR="001B3BBE" w:rsidRDefault="001B3BBE" w:rsidP="001B3BBE"/>
    <w:p w:rsidR="00AC1A11" w:rsidRDefault="00AC1A11" w:rsidP="001B3BBE"/>
    <w:p w:rsidR="001B3BBE" w:rsidRDefault="001B3BBE" w:rsidP="001B3BBE">
      <w:pPr>
        <w:rPr>
          <w:b/>
        </w:rPr>
      </w:pPr>
      <w:r w:rsidRPr="000B6718">
        <w:rPr>
          <w:b/>
        </w:rPr>
        <w:t>4.  Describe efforts to identify duplication.  Show specifically why any similar information already available cannot be used or modified for use of the purpose described in item 2 above.</w:t>
      </w:r>
    </w:p>
    <w:p w:rsidR="001B3BBE" w:rsidRDefault="001B3BBE" w:rsidP="001B3BBE">
      <w:pPr>
        <w:rPr>
          <w:b/>
        </w:rPr>
      </w:pPr>
    </w:p>
    <w:p w:rsidR="001B3BBE" w:rsidRPr="00F51A92" w:rsidRDefault="001B3BBE" w:rsidP="001B3BBE">
      <w:r>
        <w:t>The information APHIS collects is exclusive to its mission of preventing the spread of plant pests and is not available from any other source.</w:t>
      </w:r>
    </w:p>
    <w:p w:rsidR="001B3BBE" w:rsidRDefault="001B3BBE" w:rsidP="001B3BBE">
      <w:pPr>
        <w:rPr>
          <w:b/>
        </w:rPr>
      </w:pPr>
    </w:p>
    <w:p w:rsidR="0038720C" w:rsidRDefault="0038720C" w:rsidP="001B3BBE">
      <w:pPr>
        <w:rPr>
          <w:b/>
        </w:rPr>
      </w:pPr>
    </w:p>
    <w:p w:rsidR="001B3BBE" w:rsidRPr="00892FC6" w:rsidRDefault="001B3BBE" w:rsidP="001B3BBE">
      <w:pPr>
        <w:rPr>
          <w:b/>
        </w:rPr>
      </w:pPr>
      <w:r w:rsidRPr="00892FC6">
        <w:rPr>
          <w:b/>
        </w:rPr>
        <w:t>5.  If the collection of information impacts small businesses or other small entities, describe any methods used to minimize burden.</w:t>
      </w:r>
    </w:p>
    <w:p w:rsidR="001B3BBE" w:rsidRPr="00892FC6" w:rsidRDefault="001B3BBE" w:rsidP="001B3BBE">
      <w:pPr>
        <w:rPr>
          <w:b/>
        </w:rPr>
      </w:pPr>
    </w:p>
    <w:p w:rsidR="001B3BBE" w:rsidRDefault="001B3BBE" w:rsidP="001B3BBE">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w:t>
      </w:r>
      <w:r w:rsidR="002D4A01">
        <w:t>ries.  APHIS estimates that 90</w:t>
      </w:r>
      <w:r w:rsidR="00A030AA">
        <w:t xml:space="preserve"> percent</w:t>
      </w:r>
      <w:r>
        <w:t xml:space="preserve"> of the </w:t>
      </w:r>
      <w:r w:rsidR="002D4A01">
        <w:t xml:space="preserve">business </w:t>
      </w:r>
      <w:r>
        <w:t>respondents are small entities.</w:t>
      </w:r>
    </w:p>
    <w:p w:rsidR="001B3BBE" w:rsidRDefault="001B3BBE" w:rsidP="001B3BBE"/>
    <w:p w:rsidR="00A030AA" w:rsidRDefault="00A030AA" w:rsidP="001B3BBE"/>
    <w:p w:rsidR="001B3BBE" w:rsidRDefault="001B3BBE" w:rsidP="001B3BBE">
      <w:pPr>
        <w:rPr>
          <w:b/>
        </w:rPr>
      </w:pPr>
      <w:r w:rsidRPr="00892FC6">
        <w:rPr>
          <w:b/>
        </w:rPr>
        <w:t>6.  Describe the consequences to Federal program or policy activities if the collection is not conducted or is conducted less frequently, as well as any technical or legal obstacles to reducing burden.</w:t>
      </w:r>
    </w:p>
    <w:p w:rsidR="001B3BBE" w:rsidRDefault="001B3BBE" w:rsidP="001B3BBE">
      <w:pPr>
        <w:pStyle w:val="DefaultText"/>
        <w:rPr>
          <w:rStyle w:val="InitialStyle"/>
          <w:rFonts w:ascii="Times New Roman" w:hAnsi="Times New Roman"/>
        </w:rPr>
      </w:pPr>
    </w:p>
    <w:p w:rsidR="00A030AA" w:rsidRDefault="001B3BBE" w:rsidP="001B3BBE">
      <w:pPr>
        <w:pStyle w:val="DefaultText"/>
        <w:rPr>
          <w:rStyle w:val="InitialStyle"/>
          <w:rFonts w:ascii="Times New Roman" w:hAnsi="Times New Roman"/>
        </w:rPr>
      </w:pPr>
      <w:r w:rsidRPr="00632CAC">
        <w:rPr>
          <w:rStyle w:val="InitialStyle"/>
          <w:rFonts w:ascii="Times New Roman" w:hAnsi="Times New Roman"/>
        </w:rPr>
        <w:t>Failing to collect this information w</w:t>
      </w:r>
      <w:r w:rsidR="00F13020">
        <w:rPr>
          <w:rStyle w:val="InitialStyle"/>
          <w:rFonts w:ascii="Times New Roman" w:hAnsi="Times New Roman"/>
        </w:rPr>
        <w:t>ill</w:t>
      </w:r>
      <w:r w:rsidRPr="00632CAC">
        <w:rPr>
          <w:rStyle w:val="InitialStyle"/>
          <w:rFonts w:ascii="Times New Roman" w:hAnsi="Times New Roman"/>
        </w:rPr>
        <w:t xml:space="preserve"> cripple APHIS’ ability to ensur</w:t>
      </w:r>
      <w:r>
        <w:rPr>
          <w:rStyle w:val="InitialStyle"/>
          <w:rFonts w:ascii="Times New Roman" w:hAnsi="Times New Roman"/>
        </w:rPr>
        <w:t xml:space="preserve">e that </w:t>
      </w:r>
      <w:r w:rsidR="00651BBE">
        <w:rPr>
          <w:rStyle w:val="InitialStyle"/>
          <w:rFonts w:ascii="Times New Roman" w:hAnsi="Times New Roman"/>
        </w:rPr>
        <w:t xml:space="preserve">female squash flowers from Israel </w:t>
      </w:r>
      <w:r w:rsidRPr="00632CAC">
        <w:rPr>
          <w:rStyle w:val="InitialStyle"/>
          <w:rFonts w:ascii="Times New Roman" w:hAnsi="Times New Roman"/>
        </w:rPr>
        <w:t xml:space="preserve">are not carrying plant pests.  If plant pests were introduced into the </w:t>
      </w:r>
    </w:p>
    <w:p w:rsidR="001B3BBE" w:rsidRDefault="00A030AA" w:rsidP="001B3BBE">
      <w:pPr>
        <w:pStyle w:val="DefaultText"/>
      </w:pPr>
      <w:r>
        <w:rPr>
          <w:rStyle w:val="InitialStyle"/>
          <w:rFonts w:ascii="Times New Roman" w:hAnsi="Times New Roman"/>
        </w:rPr>
        <w:t>United States, growers</w:t>
      </w:r>
      <w:r w:rsidR="001B3BBE" w:rsidRPr="00632CAC">
        <w:rPr>
          <w:rStyle w:val="InitialStyle"/>
          <w:rFonts w:ascii="Times New Roman" w:hAnsi="Times New Roman"/>
        </w:rPr>
        <w:t xml:space="preserve"> would suffer millions of dollars in </w:t>
      </w:r>
      <w:r w:rsidR="001B3BBE">
        <w:rPr>
          <w:rStyle w:val="InitialStyle"/>
          <w:rFonts w:ascii="Times New Roman" w:hAnsi="Times New Roman"/>
        </w:rPr>
        <w:t>losses</w:t>
      </w:r>
      <w:r w:rsidR="001B3BBE" w:rsidRPr="00632CAC">
        <w:rPr>
          <w:rStyle w:val="InitialStyle"/>
          <w:rFonts w:ascii="Times New Roman" w:hAnsi="Times New Roman"/>
        </w:rPr>
        <w:t>.</w:t>
      </w:r>
    </w:p>
    <w:p w:rsidR="001B3BBE" w:rsidRDefault="001B3BBE" w:rsidP="001B3BBE"/>
    <w:p w:rsidR="001B3BBE" w:rsidRPr="00C840DA" w:rsidRDefault="001B3BBE" w:rsidP="001B3BBE"/>
    <w:p w:rsidR="001B3BBE" w:rsidRDefault="001B3BBE" w:rsidP="001B3BBE">
      <w:pPr>
        <w:rPr>
          <w:b/>
        </w:rPr>
      </w:pPr>
      <w:r w:rsidRPr="009264A5">
        <w:rPr>
          <w:b/>
        </w:rPr>
        <w:t>7.  Explain any special circumstances that require the collection to be conducted in a manner inconsistent with the general information collection guidelines in 5 CFR 1320.5.</w:t>
      </w:r>
    </w:p>
    <w:p w:rsidR="001B3BBE" w:rsidRDefault="001B3BBE" w:rsidP="001B3BBE">
      <w:pPr>
        <w:pStyle w:val="300"/>
        <w:rPr>
          <w:sz w:val="24"/>
          <w:szCs w:val="24"/>
        </w:rPr>
      </w:pPr>
    </w:p>
    <w:p w:rsidR="001B3BBE" w:rsidRDefault="001B3BBE" w:rsidP="001B3BBE">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1B3BBE" w:rsidRDefault="001B3BBE" w:rsidP="001B3BBE">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7C6FAC" w:rsidRDefault="007C6FAC" w:rsidP="007C6FAC">
      <w:pPr>
        <w:spacing w:after="80"/>
        <w:ind w:left="1170"/>
      </w:pPr>
      <w:r w:rsidRPr="007F4C5A">
        <w:t>The NPPO of Israel must check the traps every 7 days and maintain records of trap placement, trap maintenance, and captures of any fruit flies of concern.</w:t>
      </w:r>
    </w:p>
    <w:p w:rsidR="001B3BBE" w:rsidRDefault="001B3BBE" w:rsidP="001B3BBE">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1B3BBE" w:rsidRDefault="001B3BBE" w:rsidP="001B3BBE">
      <w:pPr>
        <w:numPr>
          <w:ilvl w:val="0"/>
          <w:numId w:val="4"/>
        </w:numPr>
        <w:tabs>
          <w:tab w:val="clear" w:pos="360"/>
        </w:tabs>
        <w:spacing w:after="80"/>
        <w:ind w:left="1170" w:hanging="450"/>
        <w:rPr>
          <w:b/>
        </w:rPr>
      </w:pPr>
      <w:r>
        <w:rPr>
          <w:b/>
        </w:rPr>
        <w:t>requiring respondents to retain re</w:t>
      </w:r>
      <w:r>
        <w:rPr>
          <w:b/>
        </w:rPr>
        <w:softHyphen/>
        <w:t>cords, oth</w:t>
      </w:r>
      <w:r w:rsidR="00CB7D62">
        <w:rPr>
          <w:b/>
        </w:rPr>
        <w:t>er than health, medical, government</w:t>
      </w:r>
      <w:r>
        <w:rPr>
          <w:b/>
        </w:rPr>
        <w:t xml:space="preserve"> contract, grant-in-aid, or tax records for more than three years;</w:t>
      </w:r>
    </w:p>
    <w:p w:rsidR="001B3BBE" w:rsidRDefault="001B3BBE" w:rsidP="001B3BBE">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1B3BBE" w:rsidRDefault="001B3BBE" w:rsidP="001B3BBE">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1B3BBE" w:rsidRDefault="001B3BBE" w:rsidP="001B3BBE">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1B3BBE" w:rsidRPr="00CB7D62" w:rsidRDefault="001B3BBE" w:rsidP="001B3BBE">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CB7D62" w:rsidRPr="005C04DA" w:rsidRDefault="00CB7D62" w:rsidP="00CB7D62">
      <w:pPr>
        <w:spacing w:after="80"/>
        <w:ind w:left="1170"/>
        <w:rPr>
          <w:rFonts w:ascii="CG Times" w:hAnsi="CG Times"/>
        </w:rPr>
      </w:pPr>
    </w:p>
    <w:p w:rsidR="001B3BBE" w:rsidRDefault="001B3BBE" w:rsidP="001B3BBE">
      <w:r>
        <w:t xml:space="preserve">No </w:t>
      </w:r>
      <w:r w:rsidR="007C6FAC">
        <w:t xml:space="preserve">other </w:t>
      </w:r>
      <w:r>
        <w:t>special circumstances exist that would require this collection to be conducted in a manner inconsistent with the general information collection guidelines in 5 CFR 1320.5.</w:t>
      </w:r>
    </w:p>
    <w:p w:rsidR="001B3BBE" w:rsidRDefault="001B3BBE" w:rsidP="001B3BBE"/>
    <w:p w:rsidR="00CB7D62" w:rsidRDefault="00CB7D62" w:rsidP="001B3BBE"/>
    <w:p w:rsidR="001B3BBE" w:rsidRPr="001321BE" w:rsidRDefault="001B3BBE" w:rsidP="001B3BBE">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1B3BBE" w:rsidRDefault="001B3BBE" w:rsidP="001B3BBE"/>
    <w:p w:rsidR="001B3BBE" w:rsidRDefault="00F037C7" w:rsidP="001B3BBE">
      <w:r>
        <w:t>APHIS</w:t>
      </w:r>
      <w:r w:rsidR="002D4A01">
        <w:t xml:space="preserve"> recently</w:t>
      </w:r>
      <w:r>
        <w:t xml:space="preserve"> consulted with t</w:t>
      </w:r>
      <w:r w:rsidR="001B3BBE">
        <w:t xml:space="preserve">he following individuals </w:t>
      </w:r>
      <w:r>
        <w:t>re</w:t>
      </w:r>
      <w:r w:rsidR="002D4A01">
        <w:t>garding this program</w:t>
      </w:r>
      <w:r>
        <w:t xml:space="preserve">: </w:t>
      </w:r>
    </w:p>
    <w:p w:rsidR="001B3BBE" w:rsidRDefault="001B3BBE" w:rsidP="001B3BBE"/>
    <w:p w:rsidR="00AE53CA" w:rsidRPr="00AE53CA" w:rsidRDefault="00F037C7" w:rsidP="00AE53CA">
      <w:r w:rsidRPr="00F037C7">
        <w:t>Lea Lichtnaier</w:t>
      </w:r>
      <w:r w:rsidR="002D4A01">
        <w:t xml:space="preserve">, </w:t>
      </w:r>
      <w:r>
        <w:t xml:space="preserve">Director </w:t>
      </w:r>
    </w:p>
    <w:p w:rsidR="00AE53CA" w:rsidRDefault="00AE53CA" w:rsidP="00AE53CA">
      <w:r w:rsidRPr="00AE53CA">
        <w:t>Plant Protection and Inspection Services (PPIS)</w:t>
      </w:r>
    </w:p>
    <w:p w:rsidR="00EB331E" w:rsidRPr="00EB331E" w:rsidRDefault="0046712A" w:rsidP="00AE53CA">
      <w:pPr>
        <w:rPr>
          <w:rStyle w:val="ft"/>
          <w:color w:val="222222"/>
        </w:rPr>
      </w:pPr>
      <w:r>
        <w:rPr>
          <w:rStyle w:val="ft"/>
          <w:color w:val="222222"/>
        </w:rPr>
        <w:t>P.O. Box 78</w:t>
      </w:r>
    </w:p>
    <w:p w:rsidR="00AE53CA" w:rsidRPr="00EB331E" w:rsidRDefault="00AE53CA" w:rsidP="00AE53CA">
      <w:r w:rsidRPr="00EB331E">
        <w:rPr>
          <w:rStyle w:val="ft"/>
          <w:color w:val="222222"/>
        </w:rPr>
        <w:t>Bet Dagan 50250. Israel</w:t>
      </w:r>
    </w:p>
    <w:p w:rsidR="00AE53CA" w:rsidRPr="00AE53CA" w:rsidRDefault="00AE53CA" w:rsidP="00AE53CA">
      <w:r w:rsidRPr="00AE53CA">
        <w:t>Phone: 972-3-9681585</w:t>
      </w:r>
    </w:p>
    <w:p w:rsidR="00F037C7" w:rsidRPr="00F037C7" w:rsidRDefault="00620ED8" w:rsidP="00AE53CA">
      <w:hyperlink r:id="rId10" w:history="1">
        <w:r w:rsidR="00F037C7" w:rsidRPr="00F037C7">
          <w:rPr>
            <w:rStyle w:val="Hyperlink"/>
          </w:rPr>
          <w:t>leal@moag.gov.il</w:t>
        </w:r>
      </w:hyperlink>
    </w:p>
    <w:p w:rsidR="00AE53CA" w:rsidRDefault="00AE53CA" w:rsidP="001B3BBE"/>
    <w:p w:rsidR="00B10394" w:rsidRDefault="00F037C7" w:rsidP="00B10394">
      <w:r>
        <w:t>Shoki Koren</w:t>
      </w:r>
    </w:p>
    <w:p w:rsidR="004E31B1" w:rsidRDefault="004E31B1" w:rsidP="00B10394">
      <w:r>
        <w:t>Agriculture Center</w:t>
      </w:r>
    </w:p>
    <w:p w:rsidR="004E31B1" w:rsidRDefault="004E31B1" w:rsidP="00B10394">
      <w:r>
        <w:t>Ministry of Agriculture and Rural Development</w:t>
      </w:r>
    </w:p>
    <w:p w:rsidR="004E31B1" w:rsidRPr="004E31B1" w:rsidRDefault="002D4A01" w:rsidP="00B10394">
      <w:pPr>
        <w:rPr>
          <w:rStyle w:val="st1"/>
          <w:color w:val="222222"/>
        </w:rPr>
      </w:pPr>
      <w:r>
        <w:rPr>
          <w:rStyle w:val="st1"/>
          <w:color w:val="222222"/>
        </w:rPr>
        <w:t>P.O. Box</w:t>
      </w:r>
      <w:r w:rsidR="004E31B1" w:rsidRPr="004E31B1">
        <w:rPr>
          <w:rStyle w:val="st1"/>
          <w:color w:val="222222"/>
        </w:rPr>
        <w:t xml:space="preserve"> 50200 </w:t>
      </w:r>
    </w:p>
    <w:p w:rsidR="00F037C7" w:rsidRPr="00EB331E" w:rsidRDefault="004E31B1" w:rsidP="00F037C7">
      <w:r w:rsidRPr="004E31B1">
        <w:rPr>
          <w:rStyle w:val="st1"/>
          <w:color w:val="222222"/>
        </w:rPr>
        <w:t>Bet-Dagan (03) 9485555</w:t>
      </w:r>
      <w:r w:rsidR="00F037C7">
        <w:rPr>
          <w:rStyle w:val="st1"/>
          <w:color w:val="222222"/>
        </w:rPr>
        <w:t xml:space="preserve"> </w:t>
      </w:r>
      <w:r w:rsidR="00F037C7" w:rsidRPr="00EB331E">
        <w:rPr>
          <w:rStyle w:val="ft"/>
          <w:color w:val="222222"/>
        </w:rPr>
        <w:t>Israel</w:t>
      </w:r>
    </w:p>
    <w:p w:rsidR="000B5955" w:rsidRDefault="000B5955" w:rsidP="00B10394"/>
    <w:p w:rsidR="001B3BBE" w:rsidRDefault="00F037C7" w:rsidP="007C6FAC">
      <w:pPr>
        <w:rPr>
          <w:color w:val="000000"/>
        </w:rPr>
      </w:pPr>
      <w:r>
        <w:rPr>
          <w:color w:val="000000"/>
        </w:rPr>
        <w:t xml:space="preserve">Trang Dang </w:t>
      </w:r>
      <w:r w:rsidR="00B10394">
        <w:rPr>
          <w:color w:val="000000"/>
        </w:rPr>
        <w:t xml:space="preserve"> </w:t>
      </w:r>
    </w:p>
    <w:p w:rsidR="001B3BBE" w:rsidRDefault="00B10394" w:rsidP="001B3BBE">
      <w:pPr>
        <w:autoSpaceDE w:val="0"/>
        <w:autoSpaceDN w:val="0"/>
        <w:rPr>
          <w:color w:val="000000"/>
        </w:rPr>
      </w:pPr>
      <w:r>
        <w:rPr>
          <w:color w:val="000000"/>
        </w:rPr>
        <w:t xml:space="preserve">Content Specialist </w:t>
      </w:r>
    </w:p>
    <w:p w:rsidR="004E31B1" w:rsidRDefault="00B10394" w:rsidP="001B3BBE">
      <w:r>
        <w:t>Agriculture Marketing Resource Center</w:t>
      </w:r>
      <w:r w:rsidR="001B3BBE" w:rsidRPr="007D7C10">
        <w:br/>
      </w:r>
      <w:r>
        <w:t>Iowa State University</w:t>
      </w:r>
    </w:p>
    <w:p w:rsidR="004E31B1" w:rsidRDefault="004E31B1" w:rsidP="001B3BBE">
      <w:r>
        <w:t xml:space="preserve">1111 NSRIC </w:t>
      </w:r>
    </w:p>
    <w:p w:rsidR="00F037C7" w:rsidRDefault="004E31B1" w:rsidP="004E31B1">
      <w:r>
        <w:t>Ames, IA 50011-3310</w:t>
      </w:r>
    </w:p>
    <w:p w:rsidR="00F037C7" w:rsidRDefault="002D4A01" w:rsidP="004E31B1">
      <w:pPr>
        <w:rPr>
          <w:lang w:val="en"/>
        </w:rPr>
      </w:pPr>
      <w:r>
        <w:rPr>
          <w:lang w:val="en"/>
        </w:rPr>
        <w:t>Phone:  979</w:t>
      </w:r>
      <w:r w:rsidR="00F037C7">
        <w:rPr>
          <w:lang w:val="en"/>
        </w:rPr>
        <w:t xml:space="preserve">-847-5805 </w:t>
      </w:r>
    </w:p>
    <w:p w:rsidR="00D85202" w:rsidRDefault="00D85202" w:rsidP="004E31B1">
      <w:r>
        <w:t xml:space="preserve">On Monday, May 22, 2017, pages 23171-23172, APHIS published in the Federal Register, a </w:t>
      </w:r>
    </w:p>
    <w:p w:rsidR="00CB7D62" w:rsidRDefault="00D85202" w:rsidP="004E31B1">
      <w:r>
        <w:t>60-day notice seeking public comments on its plans to request a 3-year renewal of this collection of information.  No comments from the public were received.</w:t>
      </w:r>
    </w:p>
    <w:p w:rsidR="00D85202" w:rsidRDefault="00D85202" w:rsidP="004E31B1"/>
    <w:p w:rsidR="00CB7D62" w:rsidRDefault="00CB7D62" w:rsidP="004E31B1"/>
    <w:p w:rsidR="001B3BBE" w:rsidRDefault="001B3BBE" w:rsidP="001B3BBE">
      <w:pPr>
        <w:autoSpaceDE w:val="0"/>
        <w:autoSpaceDN w:val="0"/>
        <w:adjustRightInd w:val="0"/>
        <w:rPr>
          <w:b/>
        </w:rPr>
      </w:pPr>
      <w:r w:rsidRPr="00BF15C7">
        <w:rPr>
          <w:rStyle w:val="InitialStyle"/>
          <w:rFonts w:ascii="Times New Roman" w:hAnsi="Times New Roman"/>
        </w:rPr>
        <w:t> </w:t>
      </w:r>
      <w:r w:rsidRPr="00CE174E">
        <w:rPr>
          <w:b/>
        </w:rPr>
        <w:t>9.  Explain any decision to provide any payment or gift to respondents, other than reenumeration of contractors or grantees.</w:t>
      </w:r>
    </w:p>
    <w:p w:rsidR="001B3BBE" w:rsidRDefault="001B3BBE" w:rsidP="001B3BBE">
      <w:pPr>
        <w:rPr>
          <w:b/>
        </w:rPr>
      </w:pPr>
    </w:p>
    <w:p w:rsidR="001B3BBE" w:rsidRDefault="001B3BBE" w:rsidP="001B3BBE">
      <w:r>
        <w:t>This information collection activity involves no payments or gifts to respondents.</w:t>
      </w:r>
    </w:p>
    <w:p w:rsidR="001B3BBE" w:rsidRDefault="001B3BBE" w:rsidP="001B3BBE"/>
    <w:p w:rsidR="00CB7D62" w:rsidRDefault="00CB7D62" w:rsidP="001B3BBE"/>
    <w:p w:rsidR="001B3BBE" w:rsidRPr="00CE174E" w:rsidRDefault="001B3BBE" w:rsidP="001B3BBE">
      <w:pPr>
        <w:rPr>
          <w:b/>
        </w:rPr>
      </w:pPr>
      <w:r w:rsidRPr="00CE174E">
        <w:rPr>
          <w:b/>
        </w:rPr>
        <w:t>10.  Describe any assurance of confidentiality provided to respondents and the basis for the assurance in statute, regulation, or agency policy.</w:t>
      </w:r>
    </w:p>
    <w:p w:rsidR="00493F5B" w:rsidRDefault="00493F5B" w:rsidP="001B3BBE"/>
    <w:p w:rsidR="00493F5B" w:rsidRDefault="001B3BBE" w:rsidP="001B3BBE">
      <w:r>
        <w:t xml:space="preserve">No additional assurance of confidentiality is provided with this information collection.  </w:t>
      </w:r>
      <w:r w:rsidR="00493F5B">
        <w:t xml:space="preserve"> Any and all information obtained in this collection shall not be disclosed except in accordance with </w:t>
      </w:r>
    </w:p>
    <w:p w:rsidR="001B3BBE" w:rsidRDefault="001B3BBE" w:rsidP="001B3BBE">
      <w:r>
        <w:t>5 U.S.C. 552a.</w:t>
      </w:r>
    </w:p>
    <w:p w:rsidR="001B3BBE" w:rsidRDefault="001B3BBE" w:rsidP="001B3BBE"/>
    <w:p w:rsidR="00CB7D62" w:rsidRDefault="00CB7D62" w:rsidP="001B3BBE"/>
    <w:p w:rsidR="001B3BBE" w:rsidRDefault="001B3BBE" w:rsidP="001B3BBE">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B3BBE" w:rsidRDefault="001B3BBE" w:rsidP="001B3BBE">
      <w:pPr>
        <w:rPr>
          <w:b/>
        </w:rPr>
      </w:pPr>
    </w:p>
    <w:p w:rsidR="001B3BBE" w:rsidRDefault="001B3BBE" w:rsidP="001B3BBE">
      <w:r>
        <w:t>This information collection activity asks no questions of</w:t>
      </w:r>
      <w:r w:rsidR="00272C17">
        <w:t xml:space="preserve"> a</w:t>
      </w:r>
      <w:r>
        <w:t xml:space="preserve"> personal or sensitive nature.</w:t>
      </w:r>
    </w:p>
    <w:p w:rsidR="001B3BBE" w:rsidRDefault="001B3BBE" w:rsidP="001B3BBE"/>
    <w:p w:rsidR="004D0ED1" w:rsidRDefault="004D0ED1" w:rsidP="001B3BBE"/>
    <w:p w:rsidR="001B3BBE" w:rsidRDefault="001B3BBE" w:rsidP="001B3BBE">
      <w:r w:rsidRPr="00AE1E01">
        <w:rPr>
          <w:b/>
        </w:rPr>
        <w:t>12.  Provide estimates of hour burden of the collection of information.  Indicate the number of respondents, frequency of response, annual hour burden, and an explanation of how the burden was estimated</w:t>
      </w:r>
      <w:r>
        <w:t>.</w:t>
      </w:r>
    </w:p>
    <w:p w:rsidR="001B3BBE" w:rsidRDefault="001B3BBE" w:rsidP="001B3BBE"/>
    <w:p w:rsidR="001B3BBE" w:rsidRDefault="001B3BBE" w:rsidP="001B3BBE">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1B3BBE" w:rsidRDefault="001B3BBE" w:rsidP="001B3BBE">
      <w:pPr>
        <w:rPr>
          <w:b/>
        </w:rPr>
      </w:pPr>
    </w:p>
    <w:p w:rsidR="001B3BBE" w:rsidRDefault="001B3BBE" w:rsidP="001B3BBE">
      <w:r>
        <w:t xml:space="preserve">See APHIS Form 71 for hour burden estimates.  </w:t>
      </w:r>
    </w:p>
    <w:p w:rsidR="00D85202" w:rsidRDefault="00D85202" w:rsidP="001B3BBE"/>
    <w:p w:rsidR="001B3BBE" w:rsidRDefault="001B3BBE" w:rsidP="001B3BBE">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rsidR="001B3BBE" w:rsidRDefault="001B3BBE" w:rsidP="001B3BBE">
      <w:pPr>
        <w:rPr>
          <w:b/>
        </w:rPr>
      </w:pPr>
      <w:r>
        <w:rPr>
          <w:b/>
        </w:rPr>
        <w:t xml:space="preserve"> </w:t>
      </w:r>
    </w:p>
    <w:p w:rsidR="001B3BBE" w:rsidRDefault="00D85202" w:rsidP="001B3BBE">
      <w:r>
        <w:t xml:space="preserve">APHIS estimates the </w:t>
      </w:r>
      <w:r w:rsidR="001B3BBE">
        <w:t xml:space="preserve">annualized </w:t>
      </w:r>
      <w:r>
        <w:t xml:space="preserve">cost to </w:t>
      </w:r>
      <w:r w:rsidR="004D0ED1">
        <w:t>respondents to be $</w:t>
      </w:r>
      <w:r>
        <w:t>15,651.40</w:t>
      </w:r>
      <w:r w:rsidR="004D0ED1">
        <w:t>.  APHIS arrived</w:t>
      </w:r>
      <w:r w:rsidR="001B3BBE">
        <w:t xml:space="preserve"> at this figure by multiplying the total burden hours (</w:t>
      </w:r>
      <w:r>
        <w:t>556</w:t>
      </w:r>
      <w:r w:rsidR="001B3BBE">
        <w:t>) by the estimated average hourly wage of the above respondents ($2</w:t>
      </w:r>
      <w:r w:rsidR="006B7B43">
        <w:t>8.15</w:t>
      </w:r>
      <w:r w:rsidR="004D0ED1">
        <w:t xml:space="preserve">).   </w:t>
      </w:r>
      <w:r>
        <w:t xml:space="preserve">  556</w:t>
      </w:r>
      <w:r w:rsidR="004D0ED1">
        <w:t xml:space="preserve"> x $</w:t>
      </w:r>
      <w:r w:rsidR="006B7B43">
        <w:t>28.15</w:t>
      </w:r>
      <w:r w:rsidR="004D0ED1">
        <w:t xml:space="preserve"> = $1</w:t>
      </w:r>
      <w:r>
        <w:t>5,651.40</w:t>
      </w:r>
    </w:p>
    <w:p w:rsidR="004D0ED1" w:rsidRDefault="004D0ED1" w:rsidP="001B3BBE"/>
    <w:p w:rsidR="00184683" w:rsidRDefault="00184683" w:rsidP="00184683">
      <w:pPr>
        <w:pStyle w:val="DefaultText"/>
        <w:rPr>
          <w:rStyle w:val="InitialStyle"/>
          <w:rFonts w:ascii="Times New Roman" w:hAnsi="Times New Roman"/>
          <w:szCs w:val="24"/>
        </w:rPr>
      </w:pPr>
      <w:r w:rsidRPr="00184683">
        <w:rPr>
          <w:rStyle w:val="InitialStyle"/>
          <w:rFonts w:ascii="Times New Roman" w:hAnsi="Times New Roman"/>
          <w:szCs w:val="24"/>
        </w:rPr>
        <w:t xml:space="preserve">The estimated </w:t>
      </w:r>
      <w:r w:rsidR="00D85202">
        <w:rPr>
          <w:rStyle w:val="InitialStyle"/>
          <w:rFonts w:ascii="Times New Roman" w:hAnsi="Times New Roman"/>
          <w:szCs w:val="24"/>
        </w:rPr>
        <w:t xml:space="preserve">average hourly wage </w:t>
      </w:r>
      <w:r w:rsidRPr="00184683">
        <w:rPr>
          <w:rStyle w:val="InitialStyle"/>
          <w:rFonts w:ascii="Times New Roman" w:hAnsi="Times New Roman"/>
          <w:szCs w:val="24"/>
        </w:rPr>
        <w:t>was developed by using his</w:t>
      </w:r>
      <w:r w:rsidR="00D85202">
        <w:rPr>
          <w:rStyle w:val="InitialStyle"/>
          <w:rFonts w:ascii="Times New Roman" w:hAnsi="Times New Roman"/>
          <w:szCs w:val="24"/>
        </w:rPr>
        <w:t xml:space="preserve">torical data, and </w:t>
      </w:r>
      <w:r w:rsidRPr="00184683">
        <w:rPr>
          <w:rStyle w:val="InitialStyle"/>
          <w:rFonts w:ascii="Times New Roman" w:hAnsi="Times New Roman"/>
          <w:szCs w:val="24"/>
        </w:rPr>
        <w:t xml:space="preserve">through discussions with </w:t>
      </w:r>
      <w:r>
        <w:rPr>
          <w:rStyle w:val="InitialStyle"/>
          <w:rFonts w:ascii="Times New Roman" w:hAnsi="Times New Roman"/>
          <w:szCs w:val="24"/>
        </w:rPr>
        <w:t xml:space="preserve">importers </w:t>
      </w:r>
      <w:r w:rsidR="00CA5220">
        <w:rPr>
          <w:rStyle w:val="InitialStyle"/>
          <w:rFonts w:ascii="Times New Roman" w:hAnsi="Times New Roman"/>
          <w:szCs w:val="24"/>
        </w:rPr>
        <w:t>from Israel</w:t>
      </w:r>
      <w:r w:rsidRPr="00184683">
        <w:rPr>
          <w:rStyle w:val="InitialStyle"/>
          <w:rFonts w:ascii="Times New Roman" w:hAnsi="Times New Roman"/>
          <w:szCs w:val="24"/>
        </w:rPr>
        <w:t xml:space="preserve"> an</w:t>
      </w:r>
      <w:r w:rsidR="00D85202">
        <w:rPr>
          <w:rStyle w:val="InitialStyle"/>
          <w:rFonts w:ascii="Times New Roman" w:hAnsi="Times New Roman"/>
          <w:szCs w:val="24"/>
        </w:rPr>
        <w:t>d APHIS’ International Services specialists.</w:t>
      </w:r>
    </w:p>
    <w:p w:rsidR="006B7B43" w:rsidRDefault="006B7B43" w:rsidP="00184683">
      <w:pPr>
        <w:pStyle w:val="DefaultText"/>
        <w:rPr>
          <w:rStyle w:val="InitialStyle"/>
          <w:rFonts w:ascii="Times New Roman" w:hAnsi="Times New Roman"/>
          <w:szCs w:val="24"/>
        </w:rPr>
      </w:pPr>
    </w:p>
    <w:p w:rsidR="00D85202" w:rsidRPr="00184683" w:rsidRDefault="00D85202" w:rsidP="00184683">
      <w:pPr>
        <w:pStyle w:val="DefaultText"/>
        <w:rPr>
          <w:rStyle w:val="InitialStyle"/>
          <w:rFonts w:ascii="Times New Roman" w:hAnsi="Times New Roman"/>
          <w:szCs w:val="24"/>
        </w:rPr>
      </w:pPr>
    </w:p>
    <w:p w:rsidR="001B3BBE" w:rsidRDefault="001B3BBE" w:rsidP="001B3BBE">
      <w:pPr>
        <w:rPr>
          <w:b/>
        </w:rPr>
      </w:pPr>
      <w:r w:rsidRPr="00D95F4A">
        <w:rPr>
          <w:b/>
        </w:rPr>
        <w:t>13.  Provide estimates of the total annual cost burden to respondents or recordkeepers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rsidR="001B3BBE" w:rsidRDefault="001B3BBE" w:rsidP="001B3BBE">
      <w:pPr>
        <w:rPr>
          <w:b/>
        </w:rPr>
      </w:pPr>
    </w:p>
    <w:p w:rsidR="001B3BBE" w:rsidRDefault="001B3BBE" w:rsidP="001B3BBE">
      <w:r>
        <w:t>There is zero annual cost burden associated with the capital and start-up cost, maintenance costs, and purchase of services in connection with this program.</w:t>
      </w:r>
    </w:p>
    <w:p w:rsidR="001B3BBE" w:rsidRDefault="001B3BBE" w:rsidP="001B3BBE"/>
    <w:p w:rsidR="007C6FAC" w:rsidRDefault="007C6FAC" w:rsidP="001B3BBE"/>
    <w:p w:rsidR="001B3BBE" w:rsidRPr="00D95F4A" w:rsidRDefault="001B3BBE" w:rsidP="001B3BBE">
      <w:pPr>
        <w:rPr>
          <w:b/>
        </w:rPr>
      </w:pPr>
      <w:r w:rsidRPr="00D95F4A">
        <w:rPr>
          <w:b/>
        </w:rPr>
        <w:t>14.  Provide estimates of</w:t>
      </w:r>
      <w:r w:rsidR="008A39BF">
        <w:rPr>
          <w:b/>
        </w:rPr>
        <w:t xml:space="preserve"> the</w:t>
      </w:r>
      <w:r w:rsidRPr="00D95F4A">
        <w:rPr>
          <w:b/>
        </w:rPr>
        <w:t xml:space="preserve"> annualized cost </w:t>
      </w:r>
      <w:r w:rsidR="008A39BF">
        <w:rPr>
          <w:b/>
        </w:rPr>
        <w:t xml:space="preserve">for </w:t>
      </w:r>
      <w:r w:rsidRPr="00D95F4A">
        <w:rPr>
          <w:b/>
        </w:rPr>
        <w:t>the Federal government.  Provide a description of the method used to estimate cost and any other expense that would not have been incurred without this collection of information.</w:t>
      </w:r>
    </w:p>
    <w:p w:rsidR="001B3BBE" w:rsidRPr="00D95F4A" w:rsidRDefault="001B3BBE" w:rsidP="001B3BBE"/>
    <w:p w:rsidR="001B3BBE" w:rsidRDefault="001B3BBE" w:rsidP="001B3BBE">
      <w:r>
        <w:t>The estimated cost for the Federal Government is $</w:t>
      </w:r>
      <w:r w:rsidR="008A39BF">
        <w:t>2,285</w:t>
      </w:r>
      <w:r w:rsidR="007F55EA">
        <w:t>.  (See APHIS Form 79.)</w:t>
      </w:r>
    </w:p>
    <w:p w:rsidR="001B3BBE" w:rsidRDefault="001B3BBE" w:rsidP="001B3BBE"/>
    <w:p w:rsidR="000B5955" w:rsidRDefault="000B5955" w:rsidP="001B3BBE"/>
    <w:p w:rsidR="001B3BBE" w:rsidRDefault="001B3BBE" w:rsidP="001B3BBE">
      <w:pPr>
        <w:rPr>
          <w:b/>
        </w:rPr>
      </w:pPr>
      <w:r w:rsidRPr="00D95F4A">
        <w:rPr>
          <w:b/>
        </w:rPr>
        <w:t>15.  Explain the reasons for any program changes or adjustments reported in Items 13 or 14 of the OMB 83-1.</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table that charts list of burden"/>
      </w:tblPr>
      <w:tblGrid>
        <w:gridCol w:w="50"/>
        <w:gridCol w:w="1471"/>
        <w:gridCol w:w="1288"/>
        <w:gridCol w:w="1288"/>
        <w:gridCol w:w="1288"/>
        <w:gridCol w:w="1288"/>
        <w:gridCol w:w="1288"/>
        <w:gridCol w:w="1288"/>
        <w:gridCol w:w="201"/>
      </w:tblGrid>
      <w:tr w:rsidR="00F67830" w:rsidTr="00F67830">
        <w:trPr>
          <w:tblCellSpacing w:w="15" w:type="dxa"/>
        </w:trPr>
        <w:tc>
          <w:tcPr>
            <w:tcW w:w="4968" w:type="pct"/>
            <w:gridSpan w:val="9"/>
          </w:tcPr>
          <w:p w:rsidR="00F67830" w:rsidRDefault="00F67830">
            <w:pPr>
              <w:rPr>
                <w:color w:val="000000"/>
              </w:rPr>
            </w:pPr>
          </w:p>
        </w:tc>
      </w:tr>
      <w:tr w:rsidR="00F67830" w:rsidTr="00F67830">
        <w:tblPrEx>
          <w:tblCellSpacing w:w="0" w:type="nil"/>
          <w:tblBorders>
            <w:top w:val="single" w:sz="6" w:space="0" w:color="C5DBEC"/>
            <w:left w:val="single" w:sz="6" w:space="0" w:color="C5DBEC"/>
            <w:bottom w:val="single" w:sz="6" w:space="0" w:color="C5DBEC"/>
            <w:right w:val="single" w:sz="6" w:space="0" w:color="C5DBEC"/>
          </w:tblBorders>
        </w:tblPrEx>
        <w:trPr>
          <w:gridBefore w:val="1"/>
          <w:gridAfter w:val="1"/>
          <w:wAfter w:w="159" w:type="dxa"/>
        </w:trPr>
        <w:tc>
          <w:tcPr>
            <w:tcW w:w="783" w:type="pct"/>
            <w:tcBorders>
              <w:top w:val="outset" w:sz="6" w:space="0" w:color="auto"/>
              <w:left w:val="outset" w:sz="6" w:space="0" w:color="auto"/>
              <w:bottom w:val="outset" w:sz="6" w:space="0" w:color="auto"/>
              <w:right w:val="outset" w:sz="6" w:space="0" w:color="auto"/>
            </w:tcBorders>
            <w:vAlign w:val="center"/>
            <w:hideMark/>
          </w:tcPr>
          <w:p w:rsidR="00F67830" w:rsidRDefault="00F67830">
            <w:pPr>
              <w:jc w:val="center"/>
              <w:rPr>
                <w:b/>
                <w:bCs/>
                <w:color w:val="000000"/>
              </w:rPr>
            </w:pPr>
            <w:r>
              <w:rPr>
                <w:b/>
                <w:bCs/>
                <w:color w:val="000000"/>
              </w:rPr>
              <w:t> </w:t>
            </w:r>
          </w:p>
        </w:tc>
        <w:tc>
          <w:tcPr>
            <w:tcW w:w="683" w:type="pct"/>
            <w:tcBorders>
              <w:top w:val="outset" w:sz="6" w:space="0" w:color="auto"/>
              <w:left w:val="outset" w:sz="6" w:space="0" w:color="auto"/>
              <w:bottom w:val="outset" w:sz="6" w:space="0" w:color="auto"/>
              <w:right w:val="outset" w:sz="6" w:space="0" w:color="auto"/>
            </w:tcBorders>
            <w:vAlign w:val="center"/>
            <w:hideMark/>
          </w:tcPr>
          <w:p w:rsidR="00F67830" w:rsidRDefault="00F67830">
            <w:pPr>
              <w:jc w:val="center"/>
              <w:rPr>
                <w:b/>
                <w:bCs/>
                <w:color w:val="000000"/>
              </w:rPr>
            </w:pPr>
            <w:r>
              <w:rPr>
                <w:b/>
                <w:bCs/>
                <w:color w:val="000000"/>
              </w:rPr>
              <w:t>Requested</w:t>
            </w:r>
          </w:p>
        </w:tc>
        <w:tc>
          <w:tcPr>
            <w:tcW w:w="683" w:type="pct"/>
            <w:tcBorders>
              <w:top w:val="outset" w:sz="6" w:space="0" w:color="auto"/>
              <w:left w:val="outset" w:sz="6" w:space="0" w:color="auto"/>
              <w:bottom w:val="outset" w:sz="6" w:space="0" w:color="auto"/>
              <w:right w:val="outset" w:sz="6" w:space="0" w:color="auto"/>
            </w:tcBorders>
            <w:vAlign w:val="center"/>
            <w:hideMark/>
          </w:tcPr>
          <w:p w:rsidR="00F67830" w:rsidRDefault="00F67830">
            <w:pPr>
              <w:jc w:val="center"/>
              <w:rPr>
                <w:b/>
                <w:bCs/>
                <w:color w:val="000000"/>
              </w:rPr>
            </w:pPr>
            <w:r>
              <w:rPr>
                <w:b/>
                <w:bCs/>
                <w:color w:val="000000"/>
              </w:rPr>
              <w:t>Program Change Due to New Statute</w:t>
            </w:r>
          </w:p>
        </w:tc>
        <w:tc>
          <w:tcPr>
            <w:tcW w:w="683" w:type="pct"/>
            <w:tcBorders>
              <w:top w:val="outset" w:sz="6" w:space="0" w:color="auto"/>
              <w:left w:val="outset" w:sz="6" w:space="0" w:color="auto"/>
              <w:bottom w:val="outset" w:sz="6" w:space="0" w:color="auto"/>
              <w:right w:val="outset" w:sz="6" w:space="0" w:color="auto"/>
            </w:tcBorders>
            <w:vAlign w:val="center"/>
            <w:hideMark/>
          </w:tcPr>
          <w:p w:rsidR="00F67830" w:rsidRDefault="00F67830">
            <w:pPr>
              <w:jc w:val="center"/>
              <w:rPr>
                <w:b/>
                <w:bCs/>
                <w:color w:val="000000"/>
              </w:rPr>
            </w:pPr>
            <w:r>
              <w:rPr>
                <w:b/>
                <w:bCs/>
                <w:color w:val="000000"/>
              </w:rPr>
              <w:t>Program Change Due to Agency Discretion</w:t>
            </w:r>
          </w:p>
        </w:tc>
        <w:tc>
          <w:tcPr>
            <w:tcW w:w="683" w:type="pct"/>
            <w:tcBorders>
              <w:top w:val="outset" w:sz="6" w:space="0" w:color="auto"/>
              <w:left w:val="outset" w:sz="6" w:space="0" w:color="auto"/>
              <w:bottom w:val="outset" w:sz="6" w:space="0" w:color="auto"/>
              <w:right w:val="outset" w:sz="6" w:space="0" w:color="auto"/>
            </w:tcBorders>
            <w:vAlign w:val="center"/>
            <w:hideMark/>
          </w:tcPr>
          <w:p w:rsidR="00F67830" w:rsidRDefault="00F67830">
            <w:pPr>
              <w:jc w:val="center"/>
              <w:rPr>
                <w:b/>
                <w:bCs/>
                <w:color w:val="000000"/>
              </w:rPr>
            </w:pPr>
            <w:r>
              <w:rPr>
                <w:b/>
                <w:bCs/>
                <w:color w:val="000000"/>
              </w:rPr>
              <w:t>Change Due to Adjustment in Agency Estimate</w:t>
            </w:r>
          </w:p>
        </w:tc>
        <w:tc>
          <w:tcPr>
            <w:tcW w:w="683" w:type="pct"/>
            <w:tcBorders>
              <w:top w:val="outset" w:sz="6" w:space="0" w:color="auto"/>
              <w:left w:val="outset" w:sz="6" w:space="0" w:color="auto"/>
              <w:bottom w:val="outset" w:sz="6" w:space="0" w:color="auto"/>
              <w:right w:val="outset" w:sz="6" w:space="0" w:color="auto"/>
            </w:tcBorders>
            <w:vAlign w:val="center"/>
            <w:hideMark/>
          </w:tcPr>
          <w:p w:rsidR="00F67830" w:rsidRDefault="00F67830">
            <w:pPr>
              <w:jc w:val="center"/>
              <w:rPr>
                <w:b/>
                <w:bCs/>
                <w:color w:val="000000"/>
              </w:rPr>
            </w:pPr>
            <w:r>
              <w:rPr>
                <w:b/>
                <w:bCs/>
                <w:color w:val="000000"/>
              </w:rPr>
              <w:t>Change Due to Potential Violation of the PRA</w:t>
            </w:r>
          </w:p>
        </w:tc>
        <w:tc>
          <w:tcPr>
            <w:tcW w:w="683" w:type="pct"/>
            <w:tcBorders>
              <w:top w:val="outset" w:sz="6" w:space="0" w:color="auto"/>
              <w:left w:val="outset" w:sz="6" w:space="0" w:color="auto"/>
              <w:bottom w:val="outset" w:sz="6" w:space="0" w:color="auto"/>
              <w:right w:val="outset" w:sz="6" w:space="0" w:color="auto"/>
            </w:tcBorders>
            <w:vAlign w:val="center"/>
            <w:hideMark/>
          </w:tcPr>
          <w:p w:rsidR="00F67830" w:rsidRDefault="00F67830">
            <w:pPr>
              <w:jc w:val="center"/>
              <w:rPr>
                <w:b/>
                <w:bCs/>
                <w:color w:val="000000"/>
              </w:rPr>
            </w:pPr>
            <w:r>
              <w:rPr>
                <w:b/>
                <w:bCs/>
                <w:color w:val="000000"/>
              </w:rPr>
              <w:t>Previously Approved</w:t>
            </w:r>
          </w:p>
        </w:tc>
      </w:tr>
      <w:tr w:rsidR="00F67830" w:rsidTr="00F67830">
        <w:tblPrEx>
          <w:tblCellSpacing w:w="0" w:type="nil"/>
          <w:tblBorders>
            <w:top w:val="single" w:sz="6" w:space="0" w:color="C5DBEC"/>
            <w:left w:val="single" w:sz="6" w:space="0" w:color="C5DBEC"/>
            <w:bottom w:val="single" w:sz="6" w:space="0" w:color="C5DBEC"/>
            <w:right w:val="single" w:sz="6" w:space="0" w:color="C5DBEC"/>
          </w:tblBorders>
        </w:tblPrEx>
        <w:trPr>
          <w:gridBefore w:val="1"/>
          <w:gridAfter w:val="1"/>
          <w:wAfter w:w="159" w:type="dxa"/>
        </w:trPr>
        <w:tc>
          <w:tcPr>
            <w:tcW w:w="0" w:type="auto"/>
            <w:tcBorders>
              <w:top w:val="outset" w:sz="6" w:space="0" w:color="auto"/>
              <w:left w:val="outset" w:sz="6" w:space="0" w:color="auto"/>
              <w:bottom w:val="outset" w:sz="6" w:space="0" w:color="auto"/>
              <w:right w:val="outset" w:sz="6" w:space="0" w:color="auto"/>
            </w:tcBorders>
            <w:hideMark/>
          </w:tcPr>
          <w:p w:rsidR="00F67830" w:rsidRDefault="00F67830">
            <w:pPr>
              <w:rPr>
                <w:color w:val="000000"/>
              </w:rPr>
            </w:pPr>
            <w:r>
              <w:rPr>
                <w:color w:val="000000"/>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F67830" w:rsidRDefault="00F67830">
            <w:pPr>
              <w:rPr>
                <w:color w:val="000000"/>
              </w:rPr>
            </w:pPr>
            <w:r>
              <w:rPr>
                <w:color w:val="000000"/>
              </w:rPr>
              <w:t>  11,091</w:t>
            </w:r>
            <w:r>
              <w:rPr>
                <w:color w:val="000000"/>
              </w:rPr>
              <w:object w:dxaOrig="225" w:dyaOrig="225">
                <v:shape id="_x0000_i1049" type="#_x0000_t75" style="width:1in;height:18pt" o:ole="">
                  <v:imagedata r:id="rId11" o:title=""/>
                </v:shape>
                <w:control r:id="rId12" w:name="DefaultOcxName1" w:shapeid="_x0000_i1049"/>
              </w:object>
            </w:r>
          </w:p>
        </w:tc>
        <w:tc>
          <w:tcPr>
            <w:tcW w:w="0" w:type="auto"/>
            <w:tcBorders>
              <w:top w:val="outset" w:sz="6" w:space="0" w:color="auto"/>
              <w:left w:val="outset" w:sz="6" w:space="0" w:color="auto"/>
              <w:bottom w:val="outset" w:sz="6" w:space="0" w:color="auto"/>
              <w:right w:val="outset" w:sz="6" w:space="0" w:color="auto"/>
            </w:tcBorders>
            <w:hideMark/>
          </w:tcPr>
          <w:p w:rsidR="00F67830" w:rsidRDefault="00F67830">
            <w:pPr>
              <w:rPr>
                <w:color w:val="000000"/>
              </w:rPr>
            </w:pPr>
            <w:r>
              <w:rPr>
                <w:color w:val="000000"/>
              </w:rPr>
              <w:t>  0</w:t>
            </w:r>
            <w:r>
              <w:rPr>
                <w:color w:val="000000"/>
              </w:rPr>
              <w:object w:dxaOrig="225" w:dyaOrig="225">
                <v:shape id="_x0000_i1052" type="#_x0000_t75" style="width:1in;height:18pt" o:ole="">
                  <v:imagedata r:id="rId13" o:title=""/>
                </v:shape>
                <w:control r:id="rId14" w:name="DefaultOcxName2" w:shapeid="_x0000_i1052"/>
              </w:object>
            </w:r>
          </w:p>
        </w:tc>
        <w:tc>
          <w:tcPr>
            <w:tcW w:w="0" w:type="auto"/>
            <w:tcBorders>
              <w:top w:val="outset" w:sz="6" w:space="0" w:color="auto"/>
              <w:left w:val="outset" w:sz="6" w:space="0" w:color="auto"/>
              <w:bottom w:val="outset" w:sz="6" w:space="0" w:color="auto"/>
              <w:right w:val="outset" w:sz="6" w:space="0" w:color="auto"/>
            </w:tcBorders>
            <w:hideMark/>
          </w:tcPr>
          <w:p w:rsidR="00F67830" w:rsidRDefault="00F67830">
            <w:pPr>
              <w:rPr>
                <w:color w:val="000000"/>
              </w:rPr>
            </w:pPr>
            <w:r>
              <w:rPr>
                <w:color w:val="000000"/>
              </w:rPr>
              <w:t>  633</w:t>
            </w:r>
            <w:r>
              <w:rPr>
                <w:color w:val="000000"/>
              </w:rPr>
              <w:object w:dxaOrig="225" w:dyaOrig="225">
                <v:shape id="_x0000_i1055" type="#_x0000_t75" style="width:1in;height:18pt" o:ole="">
                  <v:imagedata r:id="rId15" o:title=""/>
                </v:shape>
                <w:control r:id="rId16" w:name="DefaultOcxName3" w:shapeid="_x0000_i1055"/>
              </w:object>
            </w:r>
          </w:p>
        </w:tc>
        <w:tc>
          <w:tcPr>
            <w:tcW w:w="0" w:type="auto"/>
            <w:tcBorders>
              <w:top w:val="outset" w:sz="6" w:space="0" w:color="auto"/>
              <w:left w:val="outset" w:sz="6" w:space="0" w:color="auto"/>
              <w:bottom w:val="outset" w:sz="6" w:space="0" w:color="auto"/>
              <w:right w:val="outset" w:sz="6" w:space="0" w:color="auto"/>
            </w:tcBorders>
            <w:hideMark/>
          </w:tcPr>
          <w:p w:rsidR="00F67830" w:rsidRDefault="00F67830">
            <w:pPr>
              <w:rPr>
                <w:color w:val="000000"/>
              </w:rPr>
            </w:pPr>
            <w:r>
              <w:rPr>
                <w:color w:val="000000"/>
              </w:rPr>
              <w:t>  0</w:t>
            </w:r>
            <w:r>
              <w:rPr>
                <w:color w:val="000000"/>
              </w:rPr>
              <w:object w:dxaOrig="225" w:dyaOrig="225">
                <v:shape id="_x0000_i1058" type="#_x0000_t75" style="width:1in;height:18pt" o:ole="">
                  <v:imagedata r:id="rId17" o:title=""/>
                </v:shape>
                <w:control r:id="rId18" w:name="DefaultOcxName4" w:shapeid="_x0000_i1058"/>
              </w:object>
            </w:r>
          </w:p>
        </w:tc>
        <w:tc>
          <w:tcPr>
            <w:tcW w:w="0" w:type="auto"/>
            <w:tcBorders>
              <w:top w:val="outset" w:sz="6" w:space="0" w:color="auto"/>
              <w:left w:val="outset" w:sz="6" w:space="0" w:color="auto"/>
              <w:bottom w:val="outset" w:sz="6" w:space="0" w:color="auto"/>
              <w:right w:val="outset" w:sz="6" w:space="0" w:color="auto"/>
            </w:tcBorders>
            <w:hideMark/>
          </w:tcPr>
          <w:p w:rsidR="00F67830" w:rsidRDefault="00F67830">
            <w:pPr>
              <w:rPr>
                <w:color w:val="000000"/>
              </w:rPr>
            </w:pPr>
            <w:r>
              <w:rPr>
                <w:color w:val="000000"/>
              </w:rPr>
              <w:t>  0</w:t>
            </w:r>
            <w:r>
              <w:rPr>
                <w:color w:val="000000"/>
              </w:rPr>
              <w:object w:dxaOrig="225" w:dyaOrig="225">
                <v:shape id="_x0000_i1061" type="#_x0000_t75" style="width:1in;height:18pt" o:ole="">
                  <v:imagedata r:id="rId19" o:title=""/>
                </v:shape>
                <w:control r:id="rId20" w:name="DefaultOcxName5" w:shapeid="_x0000_i1061"/>
              </w:object>
            </w:r>
          </w:p>
        </w:tc>
        <w:tc>
          <w:tcPr>
            <w:tcW w:w="0" w:type="auto"/>
            <w:tcBorders>
              <w:top w:val="outset" w:sz="6" w:space="0" w:color="auto"/>
              <w:left w:val="outset" w:sz="6" w:space="0" w:color="auto"/>
              <w:bottom w:val="outset" w:sz="6" w:space="0" w:color="auto"/>
              <w:right w:val="outset" w:sz="6" w:space="0" w:color="auto"/>
            </w:tcBorders>
            <w:hideMark/>
          </w:tcPr>
          <w:p w:rsidR="00F67830" w:rsidRDefault="00F67830">
            <w:pPr>
              <w:rPr>
                <w:color w:val="000000"/>
              </w:rPr>
            </w:pPr>
            <w:r>
              <w:rPr>
                <w:color w:val="000000"/>
              </w:rPr>
              <w:t>  10,458</w:t>
            </w:r>
            <w:r>
              <w:rPr>
                <w:color w:val="000000"/>
              </w:rPr>
              <w:object w:dxaOrig="225" w:dyaOrig="225">
                <v:shape id="_x0000_i1064" type="#_x0000_t75" style="width:1in;height:18pt" o:ole="">
                  <v:imagedata r:id="rId21" o:title=""/>
                </v:shape>
                <w:control r:id="rId22" w:name="DefaultOcxName6" w:shapeid="_x0000_i1064"/>
              </w:object>
            </w:r>
          </w:p>
        </w:tc>
      </w:tr>
      <w:tr w:rsidR="00F67830" w:rsidTr="00F67830">
        <w:tblPrEx>
          <w:tblCellSpacing w:w="0" w:type="nil"/>
          <w:tblBorders>
            <w:top w:val="single" w:sz="6" w:space="0" w:color="C5DBEC"/>
            <w:left w:val="single" w:sz="6" w:space="0" w:color="C5DBEC"/>
            <w:bottom w:val="single" w:sz="6" w:space="0" w:color="C5DBEC"/>
            <w:right w:val="single" w:sz="6" w:space="0" w:color="C5DBEC"/>
          </w:tblBorders>
        </w:tblPrEx>
        <w:trPr>
          <w:gridBefore w:val="1"/>
          <w:gridAfter w:val="1"/>
          <w:wAfter w:w="159" w:type="dxa"/>
        </w:trPr>
        <w:tc>
          <w:tcPr>
            <w:tcW w:w="0" w:type="auto"/>
            <w:tcBorders>
              <w:top w:val="outset" w:sz="6" w:space="0" w:color="auto"/>
              <w:left w:val="outset" w:sz="6" w:space="0" w:color="auto"/>
              <w:bottom w:val="outset" w:sz="6" w:space="0" w:color="auto"/>
              <w:right w:val="outset" w:sz="6" w:space="0" w:color="auto"/>
            </w:tcBorders>
            <w:hideMark/>
          </w:tcPr>
          <w:p w:rsidR="00F67830" w:rsidRDefault="00F67830">
            <w:pPr>
              <w:rPr>
                <w:color w:val="000000"/>
              </w:rPr>
            </w:pPr>
            <w:r>
              <w:rPr>
                <w:color w:val="000000"/>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F67830" w:rsidRDefault="00F67830">
            <w:pPr>
              <w:rPr>
                <w:color w:val="000000"/>
              </w:rPr>
            </w:pPr>
            <w:r>
              <w:rPr>
                <w:color w:val="000000"/>
              </w:rPr>
              <w:t>  556</w:t>
            </w:r>
            <w:r>
              <w:rPr>
                <w:color w:val="000000"/>
              </w:rPr>
              <w:object w:dxaOrig="225" w:dyaOrig="225">
                <v:shape id="_x0000_i1067" type="#_x0000_t75" style="width:1in;height:18pt" o:ole="">
                  <v:imagedata r:id="rId23" o:title=""/>
                </v:shape>
                <w:control r:id="rId24" w:name="DefaultOcxName7" w:shapeid="_x0000_i1067"/>
              </w:object>
            </w:r>
          </w:p>
        </w:tc>
        <w:tc>
          <w:tcPr>
            <w:tcW w:w="0" w:type="auto"/>
            <w:tcBorders>
              <w:top w:val="outset" w:sz="6" w:space="0" w:color="auto"/>
              <w:left w:val="outset" w:sz="6" w:space="0" w:color="auto"/>
              <w:bottom w:val="outset" w:sz="6" w:space="0" w:color="auto"/>
              <w:right w:val="outset" w:sz="6" w:space="0" w:color="auto"/>
            </w:tcBorders>
            <w:hideMark/>
          </w:tcPr>
          <w:p w:rsidR="00F67830" w:rsidRDefault="00F67830">
            <w:pPr>
              <w:rPr>
                <w:color w:val="000000"/>
              </w:rPr>
            </w:pPr>
            <w:r>
              <w:rPr>
                <w:color w:val="000000"/>
              </w:rPr>
              <w:t>  0</w:t>
            </w:r>
            <w:r>
              <w:rPr>
                <w:color w:val="000000"/>
              </w:rPr>
              <w:object w:dxaOrig="225" w:dyaOrig="225">
                <v:shape id="_x0000_i1070" type="#_x0000_t75" style="width:1in;height:18pt" o:ole="">
                  <v:imagedata r:id="rId25" o:title=""/>
                </v:shape>
                <w:control r:id="rId26" w:name="DefaultOcxName8" w:shapeid="_x0000_i1070"/>
              </w:object>
            </w:r>
          </w:p>
        </w:tc>
        <w:tc>
          <w:tcPr>
            <w:tcW w:w="0" w:type="auto"/>
            <w:tcBorders>
              <w:top w:val="outset" w:sz="6" w:space="0" w:color="auto"/>
              <w:left w:val="outset" w:sz="6" w:space="0" w:color="auto"/>
              <w:bottom w:val="outset" w:sz="6" w:space="0" w:color="auto"/>
              <w:right w:val="outset" w:sz="6" w:space="0" w:color="auto"/>
            </w:tcBorders>
            <w:hideMark/>
          </w:tcPr>
          <w:p w:rsidR="00F67830" w:rsidRDefault="00F67830">
            <w:pPr>
              <w:rPr>
                <w:color w:val="000000"/>
              </w:rPr>
            </w:pPr>
            <w:r>
              <w:rPr>
                <w:color w:val="000000"/>
              </w:rPr>
              <w:t>  80</w:t>
            </w:r>
            <w:r>
              <w:rPr>
                <w:color w:val="000000"/>
              </w:rPr>
              <w:object w:dxaOrig="225" w:dyaOrig="225">
                <v:shape id="_x0000_i1073" type="#_x0000_t75" style="width:1in;height:18pt" o:ole="">
                  <v:imagedata r:id="rId27" o:title=""/>
                </v:shape>
                <w:control r:id="rId28" w:name="DefaultOcxName9" w:shapeid="_x0000_i1073"/>
              </w:object>
            </w:r>
          </w:p>
        </w:tc>
        <w:tc>
          <w:tcPr>
            <w:tcW w:w="0" w:type="auto"/>
            <w:tcBorders>
              <w:top w:val="outset" w:sz="6" w:space="0" w:color="auto"/>
              <w:left w:val="outset" w:sz="6" w:space="0" w:color="auto"/>
              <w:bottom w:val="outset" w:sz="6" w:space="0" w:color="auto"/>
              <w:right w:val="outset" w:sz="6" w:space="0" w:color="auto"/>
            </w:tcBorders>
            <w:hideMark/>
          </w:tcPr>
          <w:p w:rsidR="00F67830" w:rsidRDefault="00F67830">
            <w:pPr>
              <w:rPr>
                <w:color w:val="000000"/>
              </w:rPr>
            </w:pPr>
            <w:r>
              <w:rPr>
                <w:color w:val="000000"/>
              </w:rPr>
              <w:t>  0</w:t>
            </w:r>
            <w:r>
              <w:rPr>
                <w:color w:val="000000"/>
              </w:rPr>
              <w:object w:dxaOrig="225" w:dyaOrig="225">
                <v:shape id="_x0000_i1076" type="#_x0000_t75" style="width:1in;height:18pt" o:ole="">
                  <v:imagedata r:id="rId29" o:title=""/>
                </v:shape>
                <w:control r:id="rId30" w:name="DefaultOcxName10" w:shapeid="_x0000_i1076"/>
              </w:object>
            </w:r>
          </w:p>
        </w:tc>
        <w:tc>
          <w:tcPr>
            <w:tcW w:w="0" w:type="auto"/>
            <w:tcBorders>
              <w:top w:val="outset" w:sz="6" w:space="0" w:color="auto"/>
              <w:left w:val="outset" w:sz="6" w:space="0" w:color="auto"/>
              <w:bottom w:val="outset" w:sz="6" w:space="0" w:color="auto"/>
              <w:right w:val="outset" w:sz="6" w:space="0" w:color="auto"/>
            </w:tcBorders>
            <w:hideMark/>
          </w:tcPr>
          <w:p w:rsidR="00F67830" w:rsidRDefault="00F67830">
            <w:pPr>
              <w:rPr>
                <w:color w:val="000000"/>
              </w:rPr>
            </w:pPr>
            <w:r>
              <w:rPr>
                <w:color w:val="000000"/>
              </w:rPr>
              <w:t>  0</w:t>
            </w:r>
            <w:r>
              <w:rPr>
                <w:color w:val="000000"/>
              </w:rPr>
              <w:object w:dxaOrig="225" w:dyaOrig="225">
                <v:shape id="_x0000_i1079" type="#_x0000_t75" style="width:1in;height:18pt" o:ole="">
                  <v:imagedata r:id="rId31" o:title=""/>
                </v:shape>
                <w:control r:id="rId32" w:name="DefaultOcxName11" w:shapeid="_x0000_i1079"/>
              </w:object>
            </w:r>
          </w:p>
        </w:tc>
        <w:tc>
          <w:tcPr>
            <w:tcW w:w="0" w:type="auto"/>
            <w:tcBorders>
              <w:top w:val="outset" w:sz="6" w:space="0" w:color="auto"/>
              <w:left w:val="outset" w:sz="6" w:space="0" w:color="auto"/>
              <w:bottom w:val="outset" w:sz="6" w:space="0" w:color="auto"/>
              <w:right w:val="outset" w:sz="6" w:space="0" w:color="auto"/>
            </w:tcBorders>
            <w:hideMark/>
          </w:tcPr>
          <w:p w:rsidR="00F67830" w:rsidRDefault="00F67830">
            <w:pPr>
              <w:rPr>
                <w:color w:val="000000"/>
              </w:rPr>
            </w:pPr>
            <w:r>
              <w:rPr>
                <w:color w:val="000000"/>
              </w:rPr>
              <w:t>  476</w:t>
            </w:r>
          </w:p>
        </w:tc>
      </w:tr>
    </w:tbl>
    <w:p w:rsidR="000D4BA1" w:rsidRDefault="000D4BA1" w:rsidP="000D4BA1"/>
    <w:p w:rsidR="000D4BA1" w:rsidRDefault="000D4BA1" w:rsidP="000D4BA1">
      <w:r>
        <w:t xml:space="preserve">There is a program change in this renewal due to the following burden items that were inadvertently omitted from the previous renewal but are now included in this information collection:  Phytosanitary Certificates (business); Production Site Registration (Foreign Government); and Production Site Inspections (Foreign Government) (Business).  </w:t>
      </w:r>
    </w:p>
    <w:p w:rsidR="000D4BA1" w:rsidRDefault="000D4BA1" w:rsidP="000D4BA1"/>
    <w:p w:rsidR="000D4BA1" w:rsidRPr="00112366" w:rsidRDefault="000D4BA1" w:rsidP="000D4BA1">
      <w:r>
        <w:t>The number of annual responses increased from 10,458 to 11,091 due to all of the additions above; and the number of burden</w:t>
      </w:r>
      <w:r w:rsidR="00F67830">
        <w:t xml:space="preserve"> hours increased from 476 to 556</w:t>
      </w:r>
      <w:r>
        <w:t xml:space="preserve"> hours.</w:t>
      </w:r>
    </w:p>
    <w:p w:rsidR="000D4BA1" w:rsidRDefault="000D4BA1" w:rsidP="000D4BA1">
      <w:pPr>
        <w:rPr>
          <w:b/>
        </w:rPr>
      </w:pPr>
    </w:p>
    <w:p w:rsidR="00E47266" w:rsidRDefault="00E47266" w:rsidP="001B3BBE"/>
    <w:p w:rsidR="00F67830" w:rsidRDefault="00F67830" w:rsidP="001B3BBE">
      <w:pPr>
        <w:rPr>
          <w:b/>
        </w:rPr>
      </w:pPr>
    </w:p>
    <w:p w:rsidR="001B3BBE" w:rsidRDefault="001B3BBE" w:rsidP="001B3BBE">
      <w:r>
        <w:rPr>
          <w:b/>
        </w:rPr>
        <w:t>1</w:t>
      </w:r>
      <w:r w:rsidRPr="00D95F4A">
        <w:rPr>
          <w:b/>
        </w:rPr>
        <w:t>6.  For collections of information whose results are planned to be published, outline plans for tabulation and publication</w:t>
      </w:r>
      <w:r>
        <w:t>.</w:t>
      </w:r>
    </w:p>
    <w:p w:rsidR="001B3BBE" w:rsidRDefault="001B3BBE" w:rsidP="001B3BBE"/>
    <w:p w:rsidR="001B3BBE" w:rsidRDefault="001B3BBE" w:rsidP="001B3BBE">
      <w:r>
        <w:t>APHIS has no plans to tabulate or pub</w:t>
      </w:r>
      <w:r w:rsidR="00E47266">
        <w:t>lish the information it collect</w:t>
      </w:r>
      <w:r w:rsidR="000B5955">
        <w:t>s</w:t>
      </w:r>
      <w:r>
        <w:t>.</w:t>
      </w:r>
    </w:p>
    <w:p w:rsidR="001B3BBE" w:rsidRDefault="001B3BBE" w:rsidP="001B3BBE"/>
    <w:p w:rsidR="00E47266" w:rsidRDefault="00E47266" w:rsidP="001B3BBE"/>
    <w:p w:rsidR="001B3BBE" w:rsidRPr="00F60BC6" w:rsidRDefault="001B3BBE" w:rsidP="001B3BBE">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rsidR="001B3BBE" w:rsidRDefault="001B3BBE" w:rsidP="001B3BBE"/>
    <w:p w:rsidR="001B3BBE" w:rsidRDefault="001B3BBE" w:rsidP="001B3BBE">
      <w:r>
        <w:t>There are no USDA forms involved in this information collection.</w:t>
      </w:r>
    </w:p>
    <w:p w:rsidR="000B5955" w:rsidRDefault="000B5955" w:rsidP="001B3BBE"/>
    <w:p w:rsidR="000B5955" w:rsidRDefault="000B5955" w:rsidP="001B3BBE"/>
    <w:p w:rsidR="001B3BBE" w:rsidRDefault="001B3BBE" w:rsidP="001B3BBE">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rsidR="001B3BBE" w:rsidRDefault="001B3BBE" w:rsidP="001B3BBE">
      <w:pPr>
        <w:rPr>
          <w:b/>
        </w:rPr>
      </w:pPr>
    </w:p>
    <w:p w:rsidR="001B3BBE" w:rsidRDefault="001B3BBE" w:rsidP="001B3BBE">
      <w:r>
        <w:t>APHIS is able to certify compliance wit</w:t>
      </w:r>
      <w:r w:rsidR="00E47266">
        <w:t>h all the provisions under the A</w:t>
      </w:r>
      <w:r>
        <w:t>ct.</w:t>
      </w:r>
    </w:p>
    <w:p w:rsidR="001B3BBE" w:rsidRDefault="001B3BBE" w:rsidP="001B3BBE"/>
    <w:p w:rsidR="001B3BBE" w:rsidRPr="00F60BC6" w:rsidRDefault="001B3BBE" w:rsidP="001B3BBE">
      <w:pPr>
        <w:rPr>
          <w:b/>
        </w:rPr>
      </w:pPr>
      <w:r w:rsidRPr="00F60BC6">
        <w:rPr>
          <w:b/>
        </w:rPr>
        <w:t>B.  Collections of Information Employing Statistical Methods.</w:t>
      </w:r>
    </w:p>
    <w:p w:rsidR="001B3BBE" w:rsidRDefault="001B3BBE" w:rsidP="001B3BBE"/>
    <w:p w:rsidR="00304443" w:rsidRDefault="001B3BBE" w:rsidP="001B3BBE">
      <w:r>
        <w:t>Statistical methods are not used in this information collection.</w:t>
      </w:r>
    </w:p>
    <w:sectPr w:rsidR="00304443" w:rsidSect="00304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EC40095"/>
    <w:multiLevelType w:val="multilevel"/>
    <w:tmpl w:val="FDD0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8002289"/>
    <w:multiLevelType w:val="hybridMultilevel"/>
    <w:tmpl w:val="C03AEEAA"/>
    <w:lvl w:ilvl="0" w:tplc="20AA6D26">
      <w:start w:val="1"/>
      <w:numFmt w:val="decimal"/>
      <w:lvlText w:val="%1."/>
      <w:lvlJc w:val="left"/>
      <w:pPr>
        <w:ind w:left="735" w:hanging="360"/>
      </w:pPr>
      <w:rPr>
        <w:color w:val="1F497D"/>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9"/>
  </w:num>
  <w:num w:numId="4">
    <w:abstractNumId w:val="8"/>
  </w:num>
  <w:num w:numId="5">
    <w:abstractNumId w:val="5"/>
  </w:num>
  <w:num w:numId="6">
    <w:abstractNumId w:val="0"/>
  </w:num>
  <w:num w:numId="7">
    <w:abstractNumId w:val="3"/>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BE"/>
    <w:rsid w:val="00076F7A"/>
    <w:rsid w:val="000A4AA7"/>
    <w:rsid w:val="000B5955"/>
    <w:rsid w:val="000D4BA1"/>
    <w:rsid w:val="000E5CEB"/>
    <w:rsid w:val="000F1A8B"/>
    <w:rsid w:val="00152BE2"/>
    <w:rsid w:val="00184683"/>
    <w:rsid w:val="001B3326"/>
    <w:rsid w:val="001B3BBE"/>
    <w:rsid w:val="001E336F"/>
    <w:rsid w:val="00214C0A"/>
    <w:rsid w:val="002344A1"/>
    <w:rsid w:val="0023675C"/>
    <w:rsid w:val="00272C17"/>
    <w:rsid w:val="00274830"/>
    <w:rsid w:val="002C5353"/>
    <w:rsid w:val="002D4A01"/>
    <w:rsid w:val="002F3C36"/>
    <w:rsid w:val="00304443"/>
    <w:rsid w:val="00313AF5"/>
    <w:rsid w:val="003528FB"/>
    <w:rsid w:val="00384191"/>
    <w:rsid w:val="0038720C"/>
    <w:rsid w:val="003D1D6C"/>
    <w:rsid w:val="00421315"/>
    <w:rsid w:val="0043375E"/>
    <w:rsid w:val="00464E4D"/>
    <w:rsid w:val="0046712A"/>
    <w:rsid w:val="00493F5B"/>
    <w:rsid w:val="004A4361"/>
    <w:rsid w:val="004D0ED1"/>
    <w:rsid w:val="004E0B88"/>
    <w:rsid w:val="004E31B1"/>
    <w:rsid w:val="00543D7A"/>
    <w:rsid w:val="0059017A"/>
    <w:rsid w:val="005934E3"/>
    <w:rsid w:val="005B2230"/>
    <w:rsid w:val="005F506E"/>
    <w:rsid w:val="00601F53"/>
    <w:rsid w:val="0060306D"/>
    <w:rsid w:val="00620ED8"/>
    <w:rsid w:val="00651BBE"/>
    <w:rsid w:val="006B7B43"/>
    <w:rsid w:val="006D4E30"/>
    <w:rsid w:val="007028AD"/>
    <w:rsid w:val="00712112"/>
    <w:rsid w:val="007C17AD"/>
    <w:rsid w:val="007C6FAC"/>
    <w:rsid w:val="007F06F2"/>
    <w:rsid w:val="007F486E"/>
    <w:rsid w:val="007F4C5A"/>
    <w:rsid w:val="007F55EA"/>
    <w:rsid w:val="00800CED"/>
    <w:rsid w:val="008A0A9D"/>
    <w:rsid w:val="008A39BF"/>
    <w:rsid w:val="008A7DE6"/>
    <w:rsid w:val="008C2A2F"/>
    <w:rsid w:val="009047D0"/>
    <w:rsid w:val="00967C28"/>
    <w:rsid w:val="009C5DD2"/>
    <w:rsid w:val="009E4FCE"/>
    <w:rsid w:val="009E797C"/>
    <w:rsid w:val="00A030AA"/>
    <w:rsid w:val="00A24987"/>
    <w:rsid w:val="00A66DF3"/>
    <w:rsid w:val="00A76F4D"/>
    <w:rsid w:val="00A97BC4"/>
    <w:rsid w:val="00AC071F"/>
    <w:rsid w:val="00AC1A11"/>
    <w:rsid w:val="00AE53CA"/>
    <w:rsid w:val="00AF1E7E"/>
    <w:rsid w:val="00B10394"/>
    <w:rsid w:val="00B15616"/>
    <w:rsid w:val="00B451FD"/>
    <w:rsid w:val="00B66B22"/>
    <w:rsid w:val="00BB1A15"/>
    <w:rsid w:val="00BB3D6A"/>
    <w:rsid w:val="00BB47D2"/>
    <w:rsid w:val="00BE5203"/>
    <w:rsid w:val="00BF60B3"/>
    <w:rsid w:val="00C001F8"/>
    <w:rsid w:val="00C94E3F"/>
    <w:rsid w:val="00CA5220"/>
    <w:rsid w:val="00CA7FC5"/>
    <w:rsid w:val="00CB7D62"/>
    <w:rsid w:val="00CD238A"/>
    <w:rsid w:val="00CD4CF2"/>
    <w:rsid w:val="00CE09C4"/>
    <w:rsid w:val="00D85202"/>
    <w:rsid w:val="00D856F4"/>
    <w:rsid w:val="00D91290"/>
    <w:rsid w:val="00DD1944"/>
    <w:rsid w:val="00E122EA"/>
    <w:rsid w:val="00E47266"/>
    <w:rsid w:val="00E72A2D"/>
    <w:rsid w:val="00E9623A"/>
    <w:rsid w:val="00EB331E"/>
    <w:rsid w:val="00F037C7"/>
    <w:rsid w:val="00F13020"/>
    <w:rsid w:val="00F67830"/>
    <w:rsid w:val="00F940C9"/>
    <w:rsid w:val="00F9667C"/>
    <w:rsid w:val="00FB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38"/>
    <o:shapelayout v:ext="edit">
      <o:idmap v:ext="edit" data="1"/>
    </o:shapelayout>
  </w:shapeDefaults>
  <w:decimalSymbol w:val="."/>
  <w:listSeparator w:val=","/>
  <w14:docId w14:val="6074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BE"/>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3BBE"/>
    <w:rPr>
      <w:color w:val="0000FF"/>
      <w:u w:val="single"/>
    </w:rPr>
  </w:style>
  <w:style w:type="paragraph" w:customStyle="1" w:styleId="DefaultText">
    <w:name w:val="Default Text"/>
    <w:basedOn w:val="Normal"/>
    <w:rsid w:val="001B3BBE"/>
    <w:pPr>
      <w:overflowPunct w:val="0"/>
      <w:autoSpaceDE w:val="0"/>
      <w:autoSpaceDN w:val="0"/>
      <w:adjustRightInd w:val="0"/>
      <w:textAlignment w:val="baseline"/>
    </w:pPr>
    <w:rPr>
      <w:szCs w:val="20"/>
    </w:rPr>
  </w:style>
  <w:style w:type="character" w:customStyle="1" w:styleId="InitialStyle">
    <w:name w:val="InitialStyle"/>
    <w:rsid w:val="001B3BBE"/>
    <w:rPr>
      <w:rFonts w:ascii="Courier New" w:hAnsi="Courier New"/>
      <w:color w:val="auto"/>
      <w:spacing w:val="0"/>
      <w:sz w:val="24"/>
    </w:rPr>
  </w:style>
  <w:style w:type="paragraph" w:customStyle="1" w:styleId="300">
    <w:name w:val="300"/>
    <w:basedOn w:val="Normal"/>
    <w:rsid w:val="001B3BBE"/>
    <w:pPr>
      <w:overflowPunct w:val="0"/>
      <w:autoSpaceDE w:val="0"/>
      <w:autoSpaceDN w:val="0"/>
      <w:adjustRightInd w:val="0"/>
      <w:textAlignment w:val="baseline"/>
    </w:pPr>
    <w:rPr>
      <w:sz w:val="20"/>
      <w:szCs w:val="20"/>
    </w:rPr>
  </w:style>
  <w:style w:type="character" w:customStyle="1" w:styleId="ft">
    <w:name w:val="ft"/>
    <w:basedOn w:val="DefaultParagraphFont"/>
    <w:rsid w:val="00AE53CA"/>
  </w:style>
  <w:style w:type="paragraph" w:styleId="HTMLPreformatted">
    <w:name w:val="HTML Preformatted"/>
    <w:basedOn w:val="Normal"/>
    <w:link w:val="HTMLPreformattedChar"/>
    <w:uiPriority w:val="99"/>
    <w:unhideWhenUsed/>
    <w:rsid w:val="000A4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A4AA7"/>
    <w:rPr>
      <w:rFonts w:ascii="Courier New" w:eastAsia="Times New Roman" w:hAnsi="Courier New" w:cs="Courier New"/>
      <w:sz w:val="20"/>
      <w:szCs w:val="20"/>
    </w:rPr>
  </w:style>
  <w:style w:type="paragraph" w:styleId="ListParagraph">
    <w:name w:val="List Paragraph"/>
    <w:basedOn w:val="Normal"/>
    <w:uiPriority w:val="34"/>
    <w:qFormat/>
    <w:rsid w:val="00B10394"/>
    <w:pPr>
      <w:spacing w:before="100" w:beforeAutospacing="1" w:after="100" w:afterAutospacing="1"/>
      <w:ind w:left="720"/>
    </w:pPr>
    <w:rPr>
      <w:rFonts w:eastAsiaTheme="minorHAnsi"/>
    </w:rPr>
  </w:style>
  <w:style w:type="character" w:customStyle="1" w:styleId="st1">
    <w:name w:val="st1"/>
    <w:basedOn w:val="DefaultParagraphFont"/>
    <w:rsid w:val="004E31B1"/>
  </w:style>
  <w:style w:type="paragraph" w:styleId="NormalWeb">
    <w:name w:val="Normal (Web)"/>
    <w:basedOn w:val="Normal"/>
    <w:uiPriority w:val="99"/>
    <w:semiHidden/>
    <w:unhideWhenUsed/>
    <w:rsid w:val="00D91290"/>
    <w:pPr>
      <w:spacing w:before="100" w:beforeAutospacing="1" w:after="100" w:afterAutospacing="1"/>
      <w:ind w:firstLine="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BE"/>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3BBE"/>
    <w:rPr>
      <w:color w:val="0000FF"/>
      <w:u w:val="single"/>
    </w:rPr>
  </w:style>
  <w:style w:type="paragraph" w:customStyle="1" w:styleId="DefaultText">
    <w:name w:val="Default Text"/>
    <w:basedOn w:val="Normal"/>
    <w:rsid w:val="001B3BBE"/>
    <w:pPr>
      <w:overflowPunct w:val="0"/>
      <w:autoSpaceDE w:val="0"/>
      <w:autoSpaceDN w:val="0"/>
      <w:adjustRightInd w:val="0"/>
      <w:textAlignment w:val="baseline"/>
    </w:pPr>
    <w:rPr>
      <w:szCs w:val="20"/>
    </w:rPr>
  </w:style>
  <w:style w:type="character" w:customStyle="1" w:styleId="InitialStyle">
    <w:name w:val="InitialStyle"/>
    <w:rsid w:val="001B3BBE"/>
    <w:rPr>
      <w:rFonts w:ascii="Courier New" w:hAnsi="Courier New"/>
      <w:color w:val="auto"/>
      <w:spacing w:val="0"/>
      <w:sz w:val="24"/>
    </w:rPr>
  </w:style>
  <w:style w:type="paragraph" w:customStyle="1" w:styleId="300">
    <w:name w:val="300"/>
    <w:basedOn w:val="Normal"/>
    <w:rsid w:val="001B3BBE"/>
    <w:pPr>
      <w:overflowPunct w:val="0"/>
      <w:autoSpaceDE w:val="0"/>
      <w:autoSpaceDN w:val="0"/>
      <w:adjustRightInd w:val="0"/>
      <w:textAlignment w:val="baseline"/>
    </w:pPr>
    <w:rPr>
      <w:sz w:val="20"/>
      <w:szCs w:val="20"/>
    </w:rPr>
  </w:style>
  <w:style w:type="character" w:customStyle="1" w:styleId="ft">
    <w:name w:val="ft"/>
    <w:basedOn w:val="DefaultParagraphFont"/>
    <w:rsid w:val="00AE53CA"/>
  </w:style>
  <w:style w:type="paragraph" w:styleId="HTMLPreformatted">
    <w:name w:val="HTML Preformatted"/>
    <w:basedOn w:val="Normal"/>
    <w:link w:val="HTMLPreformattedChar"/>
    <w:uiPriority w:val="99"/>
    <w:unhideWhenUsed/>
    <w:rsid w:val="000A4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A4AA7"/>
    <w:rPr>
      <w:rFonts w:ascii="Courier New" w:eastAsia="Times New Roman" w:hAnsi="Courier New" w:cs="Courier New"/>
      <w:sz w:val="20"/>
      <w:szCs w:val="20"/>
    </w:rPr>
  </w:style>
  <w:style w:type="paragraph" w:styleId="ListParagraph">
    <w:name w:val="List Paragraph"/>
    <w:basedOn w:val="Normal"/>
    <w:uiPriority w:val="34"/>
    <w:qFormat/>
    <w:rsid w:val="00B10394"/>
    <w:pPr>
      <w:spacing w:before="100" w:beforeAutospacing="1" w:after="100" w:afterAutospacing="1"/>
      <w:ind w:left="720"/>
    </w:pPr>
    <w:rPr>
      <w:rFonts w:eastAsiaTheme="minorHAnsi"/>
    </w:rPr>
  </w:style>
  <w:style w:type="character" w:customStyle="1" w:styleId="st1">
    <w:name w:val="st1"/>
    <w:basedOn w:val="DefaultParagraphFont"/>
    <w:rsid w:val="004E31B1"/>
  </w:style>
  <w:style w:type="paragraph" w:styleId="NormalWeb">
    <w:name w:val="Normal (Web)"/>
    <w:basedOn w:val="Normal"/>
    <w:uiPriority w:val="99"/>
    <w:semiHidden/>
    <w:unhideWhenUsed/>
    <w:rsid w:val="00D91290"/>
    <w:pPr>
      <w:spacing w:before="100" w:beforeAutospacing="1" w:after="100" w:afterAutospacing="1"/>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90529">
      <w:bodyDiv w:val="1"/>
      <w:marLeft w:val="0"/>
      <w:marRight w:val="0"/>
      <w:marTop w:val="30"/>
      <w:marBottom w:val="750"/>
      <w:divBdr>
        <w:top w:val="none" w:sz="0" w:space="0" w:color="auto"/>
        <w:left w:val="none" w:sz="0" w:space="0" w:color="auto"/>
        <w:bottom w:val="none" w:sz="0" w:space="0" w:color="auto"/>
        <w:right w:val="none" w:sz="0" w:space="0" w:color="auto"/>
      </w:divBdr>
      <w:divsChild>
        <w:div w:id="2125806828">
          <w:marLeft w:val="0"/>
          <w:marRight w:val="0"/>
          <w:marTop w:val="0"/>
          <w:marBottom w:val="0"/>
          <w:divBdr>
            <w:top w:val="none" w:sz="0" w:space="0" w:color="auto"/>
            <w:left w:val="none" w:sz="0" w:space="0" w:color="auto"/>
            <w:bottom w:val="none" w:sz="0" w:space="0" w:color="auto"/>
            <w:right w:val="none" w:sz="0" w:space="0" w:color="auto"/>
          </w:divBdr>
        </w:div>
      </w:divsChild>
    </w:div>
    <w:div w:id="202863713">
      <w:bodyDiv w:val="1"/>
      <w:marLeft w:val="0"/>
      <w:marRight w:val="0"/>
      <w:marTop w:val="0"/>
      <w:marBottom w:val="0"/>
      <w:divBdr>
        <w:top w:val="none" w:sz="0" w:space="0" w:color="auto"/>
        <w:left w:val="none" w:sz="0" w:space="0" w:color="auto"/>
        <w:bottom w:val="none" w:sz="0" w:space="0" w:color="auto"/>
        <w:right w:val="none" w:sz="0" w:space="0" w:color="auto"/>
      </w:divBdr>
    </w:div>
    <w:div w:id="1749225977">
      <w:bodyDiv w:val="1"/>
      <w:marLeft w:val="0"/>
      <w:marRight w:val="0"/>
      <w:marTop w:val="0"/>
      <w:marBottom w:val="0"/>
      <w:divBdr>
        <w:top w:val="none" w:sz="0" w:space="0" w:color="auto"/>
        <w:left w:val="none" w:sz="0" w:space="0" w:color="auto"/>
        <w:bottom w:val="none" w:sz="0" w:space="0" w:color="auto"/>
        <w:right w:val="none" w:sz="0" w:space="0" w:color="auto"/>
      </w:divBdr>
      <w:divsChild>
        <w:div w:id="1522283846">
          <w:marLeft w:val="0"/>
          <w:marRight w:val="0"/>
          <w:marTop w:val="0"/>
          <w:marBottom w:val="0"/>
          <w:divBdr>
            <w:top w:val="none" w:sz="0" w:space="0" w:color="auto"/>
            <w:left w:val="none" w:sz="0" w:space="0" w:color="auto"/>
            <w:bottom w:val="none" w:sz="0" w:space="0" w:color="auto"/>
            <w:right w:val="none" w:sz="0" w:space="0" w:color="auto"/>
          </w:divBdr>
          <w:divsChild>
            <w:div w:id="1525241988">
              <w:marLeft w:val="0"/>
              <w:marRight w:val="0"/>
              <w:marTop w:val="0"/>
              <w:marBottom w:val="0"/>
              <w:divBdr>
                <w:top w:val="single" w:sz="6" w:space="11" w:color="FCFCFC"/>
                <w:left w:val="single" w:sz="6" w:space="11" w:color="ECECEC"/>
                <w:bottom w:val="single" w:sz="6" w:space="4" w:color="ECECEC"/>
                <w:right w:val="single" w:sz="6" w:space="11" w:color="ECECEC"/>
              </w:divBdr>
              <w:divsChild>
                <w:div w:id="83303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control" Target="activeX/activeX1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10" Type="http://schemas.openxmlformats.org/officeDocument/2006/relationships/hyperlink" Target="mailto:leal@moag.gov.il" TargetMode="External"/><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9.wmf"/><Relationship Id="rId30" Type="http://schemas.openxmlformats.org/officeDocument/2006/relationships/control" Target="activeX/activeX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APHIS_x0020_docket_x0020__x0023_ xmlns="64E31D74-685E-46CD-AE51-A264634057B8" xsi:nil="true"/>
    <Document_x0020_type xmlns="64E31D74-685E-46CD-AE51-A264634057B8">Supporting Statement</Document_x0020_type>
    <OMB_x0020_control_x0020__x0023_ xmlns="64E31D74-685E-46CD-AE51-A264634057B8">0579-0406</OMB_x0020_control_x0020__x0023_>
    <Prject_x0020_Type xmlns="64E31D74-685E-46CD-AE51-A264634057B8">Imports- Q56 and Q37</Prject_x0020_Type>
    <Content_x0020_Type xmlns="64E31D74-685E-46CD-AE51-A264634057B8">Renewal</Content_x0020_Type>
    <Project_x0020_Name xmlns="64E31D74-685E-46CD-AE51-A264634057B8">Israel Female Squash Flowers </Project_x0020_Name>
    <_dlc_DocId xmlns="ed6d8045-9bce-45b8-96e9-ffa15b628daa">A7UXA6N55WET-2455-786</_dlc_DocId>
    <_dlc_DocIdUrl xmlns="ed6d8045-9bce-45b8-96e9-ffa15b628daa">
      <Url>http://sp.we.aphis.gov/PPQ/policy/php/PCC/Paperwork Burden/_layouts/DocIdRedir.aspx?ID=A7UXA6N55WET-2455-786</Url>
      <Description>A7UXA6N55WET-2455-786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28617-EBC1-4725-87A0-0B324FE43CAB}">
  <ds:schemaRefs>
    <ds:schemaRef ds:uri="http://schemas.microsoft.com/sharepoint/events"/>
  </ds:schemaRefs>
</ds:datastoreItem>
</file>

<file path=customXml/itemProps2.xml><?xml version="1.0" encoding="utf-8"?>
<ds:datastoreItem xmlns:ds="http://schemas.openxmlformats.org/officeDocument/2006/customXml" ds:itemID="{F522E451-09ED-4716-BDE2-BCE00CF9485D}">
  <ds:schemaRefs>
    <ds:schemaRef ds:uri="64E31D74-685E-46CD-AE51-A264634057B8"/>
    <ds:schemaRef ds:uri="http://purl.org/dc/elements/1.1/"/>
    <ds:schemaRef ds:uri="http://purl.org/dc/terms/"/>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ed6d8045-9bce-45b8-96e9-ffa15b628daa"/>
    <ds:schemaRef ds:uri="http://schemas.microsoft.com/office/2006/metadata/properties"/>
  </ds:schemaRefs>
</ds:datastoreItem>
</file>

<file path=customXml/itemProps3.xml><?xml version="1.0" encoding="utf-8"?>
<ds:datastoreItem xmlns:ds="http://schemas.openxmlformats.org/officeDocument/2006/customXml" ds:itemID="{7A634911-0457-4CA7-B49A-759AF86AF37B}">
  <ds:schemaRefs>
    <ds:schemaRef ds:uri="http://schemas.microsoft.com/sharepoint/v3/contenttype/forms"/>
  </ds:schemaRefs>
</ds:datastoreItem>
</file>

<file path=customXml/itemProps4.xml><?xml version="1.0" encoding="utf-8"?>
<ds:datastoreItem xmlns:ds="http://schemas.openxmlformats.org/officeDocument/2006/customXml" ds:itemID="{8CDAEB0B-2179-40A1-A027-589FD3AE0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USDA-APHIS</Company>
  <LinksUpToDate>false</LinksUpToDate>
  <CharactersWithSpaces>15527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lgilbert</dc:creator>
  <cp:lastModifiedBy>SYSTEM</cp:lastModifiedBy>
  <cp:revision>2</cp:revision>
  <cp:lastPrinted>2017-08-25T19:56:00Z</cp:lastPrinted>
  <dcterms:created xsi:type="dcterms:W3CDTF">2017-08-25T19:57:00Z</dcterms:created>
  <dcterms:modified xsi:type="dcterms:W3CDTF">2017-08-25T19:57:00Z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92d0028e-111a-4915-8828-9cdb613ce57e</vt:lpwstr>
  </property>
</Properties>
</file>