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9C" w:rsidRPr="00CF1844" w:rsidRDefault="00CC5ABF">
      <w:pPr>
        <w:jc w:val="center"/>
      </w:pPr>
      <w:r>
        <w:t xml:space="preserve">Prescription Drug </w:t>
      </w:r>
      <w:r w:rsidR="0004139C" w:rsidRPr="00CF1844">
        <w:t>User Fee Cover Sheet - Form FDA 3397</w:t>
      </w:r>
    </w:p>
    <w:p w:rsidR="00221D10" w:rsidRPr="00CF1844" w:rsidRDefault="00221D10">
      <w:pPr>
        <w:rPr>
          <w:u w:val="single"/>
        </w:rPr>
      </w:pPr>
    </w:p>
    <w:p w:rsidR="00221D10" w:rsidRPr="00CF1844" w:rsidRDefault="003D269D" w:rsidP="003D269D">
      <w:pPr>
        <w:jc w:val="center"/>
      </w:pPr>
      <w:r w:rsidRPr="00CF1844">
        <w:t>OMB # 0910-0297</w:t>
      </w:r>
    </w:p>
    <w:p w:rsidR="0004139C" w:rsidRPr="00CF1844" w:rsidRDefault="0004139C" w:rsidP="0004139C">
      <w:pPr>
        <w:jc w:val="center"/>
      </w:pPr>
    </w:p>
    <w:p w:rsidR="0004139C" w:rsidRPr="00CF1844" w:rsidRDefault="0004139C" w:rsidP="0004139C">
      <w:pPr>
        <w:jc w:val="center"/>
      </w:pPr>
      <w:r w:rsidRPr="00CF1844">
        <w:t>SUPPORTING STATEMENT</w:t>
      </w:r>
    </w:p>
    <w:p w:rsidR="0004139C" w:rsidRDefault="001C2B4A">
      <w:pPr>
        <w:rPr>
          <w:b/>
        </w:rPr>
      </w:pPr>
      <w:r>
        <w:rPr>
          <w:b/>
        </w:rPr>
        <w:t xml:space="preserve">Terms of Clearance:  </w:t>
      </w:r>
      <w:r w:rsidRPr="00F626BE">
        <w:t>None</w:t>
      </w:r>
      <w:r w:rsidR="00905CEA" w:rsidRPr="00F626BE">
        <w:t>.</w:t>
      </w:r>
    </w:p>
    <w:p w:rsidR="001C2B4A" w:rsidRDefault="001C2B4A">
      <w:pPr>
        <w:rPr>
          <w:b/>
        </w:rPr>
      </w:pPr>
    </w:p>
    <w:p w:rsidR="00221D10" w:rsidRDefault="00905CEA">
      <w:pPr>
        <w:rPr>
          <w:b/>
        </w:rPr>
      </w:pPr>
      <w:r>
        <w:rPr>
          <w:b/>
        </w:rPr>
        <w:t xml:space="preserve">A.  </w:t>
      </w:r>
      <w:r w:rsidR="00221D10" w:rsidRPr="0004139C">
        <w:rPr>
          <w:b/>
        </w:rPr>
        <w:t>J</w:t>
      </w:r>
      <w:r w:rsidR="0004139C">
        <w:rPr>
          <w:b/>
        </w:rPr>
        <w:t>ustification</w:t>
      </w:r>
    </w:p>
    <w:p w:rsidR="0004139C" w:rsidRPr="0004139C" w:rsidRDefault="0004139C"/>
    <w:p w:rsidR="00221D10" w:rsidRPr="0004139C" w:rsidRDefault="0004139C">
      <w:pPr>
        <w:rPr>
          <w:u w:val="single"/>
        </w:rPr>
      </w:pPr>
      <w:r>
        <w:t xml:space="preserve">1.  </w:t>
      </w:r>
      <w:r>
        <w:rPr>
          <w:u w:val="single"/>
        </w:rPr>
        <w:t>Circumstances Making the Collection of Information Necessary</w:t>
      </w:r>
    </w:p>
    <w:p w:rsidR="00221D10" w:rsidRDefault="00221D10"/>
    <w:p w:rsidR="00221D10" w:rsidRDefault="00221D10">
      <w:r>
        <w:t>The Food and Drug Administration (FDA) is requesting an extension of Office of Management and Budget (OMB) Control No. 0910-0297 and OMB approval for the collection of information for the Form FDA 33</w:t>
      </w:r>
      <w:r w:rsidR="00F47C55">
        <w:t xml:space="preserve">97, </w:t>
      </w:r>
      <w:r w:rsidR="00CC5ABF">
        <w:t xml:space="preserve">Prescription Drug </w:t>
      </w:r>
      <w:r w:rsidR="00F47C55">
        <w:t>User Fee Cover Sheet</w:t>
      </w:r>
      <w:r w:rsidR="00E9315E">
        <w:t xml:space="preserve"> (Tab A)</w:t>
      </w:r>
      <w:r>
        <w:t xml:space="preserve">.  </w:t>
      </w:r>
    </w:p>
    <w:p w:rsidR="00221D10" w:rsidRDefault="00221D10"/>
    <w:p w:rsidR="00221D10" w:rsidRDefault="00221D10">
      <w:r>
        <w:t xml:space="preserve">Under </w:t>
      </w:r>
      <w:r w:rsidR="008009EE">
        <w:t xml:space="preserve">the prescription drug user fee provisions </w:t>
      </w:r>
      <w:r>
        <w:t>of the Federal Food, Drug, and Cosmetic Act</w:t>
      </w:r>
      <w:r w:rsidR="00E46BD5">
        <w:t xml:space="preserve"> (the FD&amp;C Act) </w:t>
      </w:r>
      <w:r>
        <w:t xml:space="preserve"> (</w:t>
      </w:r>
      <w:r w:rsidR="008009EE">
        <w:t>sections 735 and 736 (</w:t>
      </w:r>
      <w:r>
        <w:t>21 U.S.C. 379g and 379h)</w:t>
      </w:r>
      <w:r w:rsidR="008009EE">
        <w:t>)</w:t>
      </w:r>
      <w:r>
        <w:t xml:space="preserve">, </w:t>
      </w:r>
      <w:r w:rsidR="009B19DB">
        <w:t>as amended, FDA</w:t>
      </w:r>
      <w:r>
        <w:t xml:space="preserve"> has the authority to assess and collect user fees for certain </w:t>
      </w:r>
      <w:r w:rsidR="00A43850">
        <w:t>new drug applications (NDAs)</w:t>
      </w:r>
      <w:r>
        <w:t xml:space="preserve"> and</w:t>
      </w:r>
      <w:r w:rsidR="00A43850">
        <w:t xml:space="preserve"> new</w:t>
      </w:r>
      <w:r>
        <w:t xml:space="preserve"> biologics license applications </w:t>
      </w:r>
      <w:r w:rsidR="00880AB6">
        <w:t>(BLAs)</w:t>
      </w:r>
      <w:r w:rsidR="00A43850">
        <w:t xml:space="preserve"> </w:t>
      </w:r>
      <w:r>
        <w:t>and supplements</w:t>
      </w:r>
      <w:r w:rsidR="00DA3DD4">
        <w:t xml:space="preserve"> to those applications</w:t>
      </w:r>
      <w:r>
        <w:t>.  Under this authority, pharmaceutical companies pay a fee for certain new</w:t>
      </w:r>
      <w:r w:rsidR="00DA3DD4">
        <w:t xml:space="preserve"> NDAs</w:t>
      </w:r>
      <w:r>
        <w:t xml:space="preserve">, </w:t>
      </w:r>
      <w:r w:rsidR="00DA3DD4">
        <w:t>BLAs</w:t>
      </w:r>
      <w:r w:rsidR="00BF28BE">
        <w:t>, or supplements</w:t>
      </w:r>
      <w:r w:rsidR="009B19DB">
        <w:t xml:space="preserve"> </w:t>
      </w:r>
      <w:r w:rsidR="00DA3DD4">
        <w:t xml:space="preserve">to NDAs or BLAs </w:t>
      </w:r>
      <w:r w:rsidR="009B19DB">
        <w:t>submitted to the Agency</w:t>
      </w:r>
      <w:r>
        <w:t xml:space="preserve"> for review.</w:t>
      </w:r>
      <w:r w:rsidR="00995139">
        <w:t xml:space="preserve">  Be</w:t>
      </w:r>
      <w:r w:rsidR="000A6587">
        <w:t>cause the submission of</w:t>
      </w:r>
      <w:r w:rsidR="00995139">
        <w:t xml:space="preserve"> user fees concurrently with applications and supplements is required, review of an application or supplement by FDA cannot begin until the fee is submitted.</w:t>
      </w:r>
      <w:r w:rsidR="000A6587">
        <w:t xml:space="preserve">  </w:t>
      </w:r>
      <w:r w:rsidR="00D502E6">
        <w:t xml:space="preserve">The </w:t>
      </w:r>
      <w:r w:rsidR="00CC5ABF">
        <w:t xml:space="preserve">Prescription Drug </w:t>
      </w:r>
      <w:r w:rsidR="00D502E6">
        <w:t xml:space="preserve">User Fee Cover Sheet, </w:t>
      </w:r>
      <w:r w:rsidR="000A6587">
        <w:t>Form FDA 3397</w:t>
      </w:r>
      <w:r w:rsidR="00880AB6">
        <w:t>,</w:t>
      </w:r>
      <w:r w:rsidR="000A6587">
        <w:t xml:space="preserve"> need not be submitted for</w:t>
      </w:r>
      <w:r w:rsidR="00D502E6">
        <w:t xml:space="preserve"> certain FDA-regulated products, e.g.,</w:t>
      </w:r>
      <w:r w:rsidR="000A6587">
        <w:t xml:space="preserve"> g</w:t>
      </w:r>
      <w:r>
        <w:t>eneric drugs,</w:t>
      </w:r>
      <w:r w:rsidR="00D502E6">
        <w:t xml:space="preserve"> </w:t>
      </w:r>
      <w:r w:rsidR="00880AB6">
        <w:t xml:space="preserve">and </w:t>
      </w:r>
      <w:r w:rsidR="00850467">
        <w:t>W</w:t>
      </w:r>
      <w:r w:rsidR="00D502E6">
        <w:t xml:space="preserve">hole </w:t>
      </w:r>
      <w:r w:rsidR="00850467">
        <w:t>B</w:t>
      </w:r>
      <w:r w:rsidR="00D502E6">
        <w:t>lood and</w:t>
      </w:r>
      <w:r>
        <w:t xml:space="preserve"> blood</w:t>
      </w:r>
      <w:r w:rsidR="00D502E6">
        <w:t xml:space="preserve"> components</w:t>
      </w:r>
      <w:r>
        <w:t xml:space="preserve"> for transfusi</w:t>
      </w:r>
      <w:r w:rsidR="00FD2568">
        <w:t>on</w:t>
      </w:r>
      <w:r w:rsidR="00D502E6">
        <w:t xml:space="preserve">.  The </w:t>
      </w:r>
      <w:r w:rsidR="00880AB6">
        <w:t xml:space="preserve">list </w:t>
      </w:r>
      <w:r w:rsidR="00D502E6">
        <w:t xml:space="preserve">of exempted products </w:t>
      </w:r>
      <w:r w:rsidR="00A43850">
        <w:t>is</w:t>
      </w:r>
      <w:r w:rsidR="00D502E6">
        <w:t xml:space="preserve"> included under the instructions on this form.</w:t>
      </w:r>
    </w:p>
    <w:p w:rsidR="00221D10" w:rsidRDefault="00221D10"/>
    <w:p w:rsidR="00221D10" w:rsidRDefault="00221D10"/>
    <w:p w:rsidR="00221D10" w:rsidRPr="00BF28BE" w:rsidRDefault="00BF28BE">
      <w:pPr>
        <w:rPr>
          <w:u w:val="single"/>
        </w:rPr>
      </w:pPr>
      <w:r>
        <w:t xml:space="preserve">2.  </w:t>
      </w:r>
      <w:r>
        <w:rPr>
          <w:u w:val="single"/>
        </w:rPr>
        <w:t>Purpose and Use of the Information Collection</w:t>
      </w:r>
    </w:p>
    <w:p w:rsidR="00221D10" w:rsidRDefault="00221D10"/>
    <w:p w:rsidR="00221D10" w:rsidRDefault="00221D10">
      <w:r>
        <w:t xml:space="preserve">The </w:t>
      </w:r>
      <w:r w:rsidR="00CC5ABF">
        <w:t xml:space="preserve">Prescription Drug </w:t>
      </w:r>
      <w:r>
        <w:t>User Fee Cover Sheet</w:t>
      </w:r>
      <w:r w:rsidR="003F0F87">
        <w:t xml:space="preserve">, Form FDA 3397, </w:t>
      </w:r>
      <w:r w:rsidR="00D502E6">
        <w:t>is required</w:t>
      </w:r>
      <w:r>
        <w:t xml:space="preserve"> to be included with each</w:t>
      </w:r>
      <w:r w:rsidR="00D502E6">
        <w:t xml:space="preserve"> applicable</w:t>
      </w:r>
      <w:r>
        <w:t xml:space="preserve"> </w:t>
      </w:r>
      <w:r w:rsidR="00880AB6">
        <w:t>NDA</w:t>
      </w:r>
      <w:r w:rsidR="003F0F87">
        <w:t xml:space="preserve">, </w:t>
      </w:r>
      <w:r w:rsidR="00880AB6">
        <w:t>BLA</w:t>
      </w:r>
      <w:r>
        <w:t>, and supplemental application</w:t>
      </w:r>
      <w:r w:rsidR="001E4E91">
        <w:t xml:space="preserve"> to an NDA or BLA</w:t>
      </w:r>
      <w:r>
        <w:t xml:space="preserve"> submitted to FDA for review.</w:t>
      </w:r>
      <w:r w:rsidR="00995139">
        <w:t xml:space="preserve">  The</w:t>
      </w:r>
      <w:r w:rsidR="003F0F87">
        <w:t xml:space="preserve"> </w:t>
      </w:r>
      <w:r w:rsidR="00CC5ABF">
        <w:t xml:space="preserve">Prescription Drug </w:t>
      </w:r>
      <w:r w:rsidR="003F0F87">
        <w:t>User Fee Cover Sheet is designed to provide the minimum necessary information to determine whether a fee is required for the review of an application</w:t>
      </w:r>
      <w:r w:rsidR="001E4E91">
        <w:t xml:space="preserve"> or supplement</w:t>
      </w:r>
      <w:r w:rsidR="003F0F87">
        <w:t>, to determine the amount of the fee required, and to ac</w:t>
      </w:r>
      <w:r w:rsidR="003C6265">
        <w:t>co</w:t>
      </w:r>
      <w:r w:rsidR="00F47C55">
        <w:t>unt for and track user fees.  The form</w:t>
      </w:r>
      <w:r w:rsidR="003C6265">
        <w:t xml:space="preserve"> provides a cross-reference of the fee submitted for an applica</w:t>
      </w:r>
      <w:r w:rsidR="00D502E6">
        <w:t>tion</w:t>
      </w:r>
      <w:r w:rsidR="003C6265">
        <w:t xml:space="preserve"> </w:t>
      </w:r>
      <w:r w:rsidR="001E4E91">
        <w:t xml:space="preserve">or supplement </w:t>
      </w:r>
      <w:r w:rsidR="003C6265">
        <w:t>utilizing a unique number tracking system.</w:t>
      </w:r>
      <w:r w:rsidR="00FB7390">
        <w:t xml:space="preserve">  It also identifies pertinent statutory provisions under which the application may qualify for a fee exemption.  </w:t>
      </w:r>
      <w:r w:rsidR="003F0F87">
        <w:t>The information collected is used by FDA’s</w:t>
      </w:r>
      <w:r>
        <w:t xml:space="preserve"> Center for Drug Evaluation and Research (CDER) and Center for Biologics Evaluation and Research (CBER) to initiate th</w:t>
      </w:r>
      <w:r w:rsidR="00262CBA">
        <w:t xml:space="preserve">e administrative screening of </w:t>
      </w:r>
      <w:r w:rsidR="008B6AD1">
        <w:t>NDAs, BLAs,</w:t>
      </w:r>
      <w:r w:rsidR="00262CBA">
        <w:t xml:space="preserve"> and</w:t>
      </w:r>
      <w:r w:rsidR="00F91CB9">
        <w:t>/</w:t>
      </w:r>
      <w:r>
        <w:t>or supplement</w:t>
      </w:r>
      <w:r w:rsidR="00262CBA">
        <w:t>al applications</w:t>
      </w:r>
      <w:r w:rsidR="001E4E91">
        <w:t xml:space="preserve"> to NDAs or BLAs</w:t>
      </w:r>
      <w:r>
        <w:t xml:space="preserve">. </w:t>
      </w:r>
    </w:p>
    <w:p w:rsidR="00221D10" w:rsidRDefault="00221D10"/>
    <w:p w:rsidR="00221D10" w:rsidRPr="00262CBA" w:rsidRDefault="00213F03">
      <w:pPr>
        <w:rPr>
          <w:u w:val="single"/>
        </w:rPr>
      </w:pPr>
      <w:r>
        <w:br w:type="page"/>
      </w:r>
      <w:r w:rsidR="00262CBA" w:rsidRPr="00174D43">
        <w:lastRenderedPageBreak/>
        <w:t>3.</w:t>
      </w:r>
      <w:r w:rsidR="003843CD">
        <w:t xml:space="preserve">  </w:t>
      </w:r>
      <w:r w:rsidR="00262CBA">
        <w:rPr>
          <w:u w:val="single"/>
        </w:rPr>
        <w:t>Use of the Improved Information Technology and Burden Reduction</w:t>
      </w:r>
    </w:p>
    <w:p w:rsidR="00221D10" w:rsidRDefault="00221D10"/>
    <w:p w:rsidR="001C2B4A" w:rsidRDefault="00221D10">
      <w:r>
        <w:t xml:space="preserve">The </w:t>
      </w:r>
      <w:r w:rsidR="00CC5ABF">
        <w:t xml:space="preserve">Prescription Drug </w:t>
      </w:r>
      <w:r>
        <w:t>User Fee Cover Shee</w:t>
      </w:r>
      <w:r w:rsidR="003C6265">
        <w:t>t</w:t>
      </w:r>
      <w:r w:rsidR="00880AB6">
        <w:t>,</w:t>
      </w:r>
      <w:r w:rsidR="00880AB6" w:rsidRPr="00880AB6">
        <w:t xml:space="preserve"> </w:t>
      </w:r>
      <w:r w:rsidR="00880AB6">
        <w:t>Form FDA 3397,</w:t>
      </w:r>
      <w:r w:rsidR="00C353FF">
        <w:t xml:space="preserve"> </w:t>
      </w:r>
      <w:r w:rsidR="001E4E91">
        <w:t xml:space="preserve">is </w:t>
      </w:r>
      <w:r w:rsidR="00923D0B">
        <w:t>accessed and submitted electronically.</w:t>
      </w:r>
    </w:p>
    <w:p w:rsidR="001C2B4A" w:rsidRDefault="00221D10">
      <w:r>
        <w:t xml:space="preserve">  </w:t>
      </w:r>
    </w:p>
    <w:p w:rsidR="0096442A" w:rsidRDefault="00221D10">
      <w:r>
        <w:t>FDA is not aware of any other improved technology to reduce the burden.</w:t>
      </w:r>
      <w:r w:rsidR="001C2B4A">
        <w:t xml:space="preserve">  </w:t>
      </w:r>
      <w:r w:rsidR="0096442A">
        <w:t>FDA continues to pursue methods of applying technology to further reduce the burden to the respondents of the collection of information.</w:t>
      </w:r>
    </w:p>
    <w:p w:rsidR="00221D10" w:rsidRDefault="00221D10"/>
    <w:p w:rsidR="00221D10" w:rsidRDefault="00221D10"/>
    <w:p w:rsidR="00221D10" w:rsidRPr="00174D43" w:rsidRDefault="003843CD">
      <w:pPr>
        <w:rPr>
          <w:u w:val="single"/>
        </w:rPr>
      </w:pPr>
      <w:r>
        <w:t>4.</w:t>
      </w:r>
      <w:r w:rsidR="00174D43">
        <w:t xml:space="preserve">  </w:t>
      </w:r>
      <w:r w:rsidR="00867086">
        <w:rPr>
          <w:u w:val="single"/>
        </w:rPr>
        <w:t>Efforts to I</w:t>
      </w:r>
      <w:r w:rsidR="00174D43">
        <w:rPr>
          <w:u w:val="single"/>
        </w:rPr>
        <w:t>dentify Duplication and Use of Similar Information</w:t>
      </w:r>
    </w:p>
    <w:p w:rsidR="00221D10" w:rsidRDefault="00221D10">
      <w:pPr>
        <w:rPr>
          <w:u w:val="single"/>
        </w:rPr>
      </w:pPr>
    </w:p>
    <w:p w:rsidR="00221D10" w:rsidRDefault="00221D10">
      <w:pPr>
        <w:rPr>
          <w:u w:val="single"/>
        </w:rPr>
      </w:pPr>
      <w:r>
        <w:t>FDA is the only agency that requires this information.  The required information is not available from any other source.</w:t>
      </w:r>
    </w:p>
    <w:p w:rsidR="00221D10" w:rsidRDefault="00221D10"/>
    <w:p w:rsidR="00221D10" w:rsidRDefault="00221D10"/>
    <w:p w:rsidR="00221D10" w:rsidRPr="00174D43" w:rsidRDefault="003843CD">
      <w:pPr>
        <w:rPr>
          <w:u w:val="single"/>
        </w:rPr>
      </w:pPr>
      <w:r>
        <w:t>5.</w:t>
      </w:r>
      <w:r w:rsidR="00174D43">
        <w:t xml:space="preserve">  </w:t>
      </w:r>
      <w:r w:rsidR="00174D43">
        <w:rPr>
          <w:u w:val="single"/>
        </w:rPr>
        <w:t>Impact on Small Businesses or Other Small Entities</w:t>
      </w:r>
    </w:p>
    <w:p w:rsidR="00221D10" w:rsidRDefault="00221D10">
      <w:pPr>
        <w:rPr>
          <w:u w:val="single"/>
        </w:rPr>
      </w:pPr>
    </w:p>
    <w:p w:rsidR="00221D10" w:rsidRDefault="009407EA">
      <w:r>
        <w:t>This collection of information applies to small as well as large facilities</w:t>
      </w:r>
      <w:r w:rsidR="00221D10">
        <w:t>.</w:t>
      </w:r>
      <w:r w:rsidR="001C2B4A">
        <w:t xml:space="preserve">  Although </w:t>
      </w:r>
      <w:r w:rsidR="00221D10">
        <w:t>FDA</w:t>
      </w:r>
      <w:r w:rsidR="001C2B4A">
        <w:t xml:space="preserve"> must</w:t>
      </w:r>
      <w:r w:rsidR="00221D10">
        <w:t xml:space="preserve"> apply t</w:t>
      </w:r>
      <w:r w:rsidR="001C2B4A">
        <w:t>he</w:t>
      </w:r>
      <w:r w:rsidR="00221D10">
        <w:t xml:space="preserve"> statutory</w:t>
      </w:r>
      <w:r w:rsidR="001C2B4A">
        <w:t xml:space="preserve"> and regulatory</w:t>
      </w:r>
      <w:r w:rsidR="00221D10">
        <w:t xml:space="preserve"> requirements</w:t>
      </w:r>
      <w:r w:rsidR="001C2B4A">
        <w:t xml:space="preserve"> to all enterprises</w:t>
      </w:r>
      <w:r w:rsidR="00221D10">
        <w:t>, FDA does provide special help to small businesses.  CBER’s Office of Communicati</w:t>
      </w:r>
      <w:r w:rsidR="00C12AFF">
        <w:t>on, Outreach, and Development, Division of Manufacturers</w:t>
      </w:r>
      <w:r w:rsidR="00221D10">
        <w:t xml:space="preserve"> Assistance</w:t>
      </w:r>
      <w:r w:rsidR="00C12AFF">
        <w:t xml:space="preserve"> and Training</w:t>
      </w:r>
      <w:r w:rsidR="001C2B4A">
        <w:t xml:space="preserve">, and </w:t>
      </w:r>
      <w:r w:rsidR="00221D10">
        <w:t>CDER</w:t>
      </w:r>
      <w:r w:rsidR="005D6643">
        <w:t xml:space="preserve">’s </w:t>
      </w:r>
      <w:r w:rsidR="00FB7390">
        <w:t xml:space="preserve">Office of Communication, </w:t>
      </w:r>
      <w:r w:rsidR="005D6643">
        <w:t>Division of Drug Information</w:t>
      </w:r>
      <w:r w:rsidR="00923D0B">
        <w:t xml:space="preserve"> provid</w:t>
      </w:r>
      <w:r>
        <w:t>e</w:t>
      </w:r>
      <w:r w:rsidR="00923D0B">
        <w:t xml:space="preserve"> assistance to small businesses</w:t>
      </w:r>
      <w:r>
        <w:t xml:space="preserve"> subject to FDA’s regulatory requirements</w:t>
      </w:r>
      <w:r w:rsidR="00923D0B">
        <w:t>.</w:t>
      </w:r>
    </w:p>
    <w:p w:rsidR="00221D10" w:rsidRDefault="00221D10"/>
    <w:p w:rsidR="00221D10" w:rsidRDefault="0096442A">
      <w:r>
        <w:t xml:space="preserve">The </w:t>
      </w:r>
      <w:r w:rsidR="00001F95">
        <w:t>p</w:t>
      </w:r>
      <w:r>
        <w:t xml:space="preserve">rescription </w:t>
      </w:r>
      <w:r w:rsidR="00001F95">
        <w:t>d</w:t>
      </w:r>
      <w:r>
        <w:t xml:space="preserve">rug </w:t>
      </w:r>
      <w:r w:rsidR="00001F95">
        <w:t>u</w:t>
      </w:r>
      <w:r>
        <w:t xml:space="preserve">ser </w:t>
      </w:r>
      <w:r w:rsidR="00001F95">
        <w:t>f</w:t>
      </w:r>
      <w:r>
        <w:t xml:space="preserve">ee </w:t>
      </w:r>
      <w:r w:rsidR="00001F95">
        <w:t xml:space="preserve">provisions of the </w:t>
      </w:r>
      <w:r w:rsidR="004F5A23">
        <w:t xml:space="preserve">FD&amp;C </w:t>
      </w:r>
      <w:r>
        <w:t xml:space="preserve">Act </w:t>
      </w:r>
      <w:r w:rsidR="00221D10">
        <w:t>include a wa</w:t>
      </w:r>
      <w:r w:rsidR="006F26AE">
        <w:t>i</w:t>
      </w:r>
      <w:r w:rsidR="00221D10">
        <w:t>ver provision for small businesses.  Businesses that have been granted a waiver of fees under this pr</w:t>
      </w:r>
      <w:r w:rsidR="00FB7390">
        <w:t>ovision can note their waiver</w:t>
      </w:r>
      <w:r w:rsidR="00221D10">
        <w:t xml:space="preserve"> from the f</w:t>
      </w:r>
      <w:r w:rsidR="00E9315E">
        <w:t>ee requirement by utilizing the</w:t>
      </w:r>
      <w:r w:rsidR="00221D10">
        <w:t xml:space="preserve"> </w:t>
      </w:r>
      <w:r w:rsidR="00CC5ABF">
        <w:t xml:space="preserve">Prescription Drug </w:t>
      </w:r>
      <w:r w:rsidR="00221D10">
        <w:t>User Fee Cover Sheet.</w:t>
      </w:r>
    </w:p>
    <w:p w:rsidR="00221D10" w:rsidRDefault="00221D10"/>
    <w:p w:rsidR="00221D10" w:rsidRDefault="00221D10"/>
    <w:p w:rsidR="00221D10" w:rsidRPr="00174D43" w:rsidRDefault="003843CD">
      <w:pPr>
        <w:rPr>
          <w:u w:val="single"/>
        </w:rPr>
      </w:pPr>
      <w:r>
        <w:t>6.</w:t>
      </w:r>
      <w:r w:rsidR="00174D43">
        <w:t xml:space="preserve">  </w:t>
      </w:r>
      <w:r w:rsidR="00174D43">
        <w:rPr>
          <w:u w:val="single"/>
        </w:rPr>
        <w:t>Consequences of Collecting the Information Less Frequently</w:t>
      </w:r>
    </w:p>
    <w:p w:rsidR="00221D10" w:rsidRDefault="00221D10"/>
    <w:p w:rsidR="00221D10" w:rsidRDefault="00255CCB">
      <w:r>
        <w:t xml:space="preserve">The </w:t>
      </w:r>
      <w:r w:rsidR="00CC5ABF">
        <w:t xml:space="preserve">Prescription Drug </w:t>
      </w:r>
      <w:r>
        <w:t>User Fee Cover Sheet</w:t>
      </w:r>
      <w:r w:rsidR="00221D10">
        <w:t xml:space="preserve"> is not used for the periodic collection of information.  Rather, the form is to be used once for each specific application or supplement at the time of submission.  Its intent is to provide specific information to allow FDA to determine that the correct fee</w:t>
      </w:r>
      <w:r>
        <w:t>, if any,</w:t>
      </w:r>
      <w:r w:rsidR="00221D10">
        <w:t xml:space="preserve"> has been paid to allow prompt acceptance and initiation of the review of </w:t>
      </w:r>
      <w:r w:rsidR="009407EA">
        <w:t>NDAs</w:t>
      </w:r>
      <w:r w:rsidR="00A912DA">
        <w:t xml:space="preserve">, </w:t>
      </w:r>
      <w:r w:rsidR="009407EA">
        <w:t>BLAs</w:t>
      </w:r>
      <w:r w:rsidR="009B19DB">
        <w:t>,</w:t>
      </w:r>
      <w:r w:rsidR="00221D10">
        <w:t xml:space="preserve"> and supplements</w:t>
      </w:r>
      <w:r w:rsidR="009407EA">
        <w:t xml:space="preserve"> to these applications</w:t>
      </w:r>
      <w:r w:rsidR="00221D10">
        <w:t>.  There can be no less frequent information collection than one request per application without the consequence of potential delay of acceptance of applications for which information necessary to process them is not provided.</w:t>
      </w:r>
    </w:p>
    <w:p w:rsidR="00221D10" w:rsidRDefault="00221D10"/>
    <w:p w:rsidR="00221D10" w:rsidRDefault="00221D10"/>
    <w:p w:rsidR="00221D10" w:rsidRPr="00AA7640" w:rsidRDefault="003843CD">
      <w:pPr>
        <w:rPr>
          <w:u w:val="single"/>
        </w:rPr>
      </w:pPr>
      <w:r>
        <w:t>7.</w:t>
      </w:r>
      <w:r w:rsidR="00AA7640">
        <w:t xml:space="preserve">  </w:t>
      </w:r>
      <w:r w:rsidR="00FF0C91">
        <w:rPr>
          <w:u w:val="single"/>
        </w:rPr>
        <w:t>Special Circumstances R</w:t>
      </w:r>
      <w:r w:rsidR="00AA7640">
        <w:rPr>
          <w:u w:val="single"/>
        </w:rPr>
        <w:t>elating to the Guidelines of 5 CFR 1320.5</w:t>
      </w:r>
    </w:p>
    <w:p w:rsidR="00221D10" w:rsidRDefault="00221D10"/>
    <w:p w:rsidR="00221D10" w:rsidRDefault="00221D10">
      <w:r>
        <w:t xml:space="preserve">There are </w:t>
      </w:r>
      <w:r w:rsidR="0096442A">
        <w:t>no special circumstances for this</w:t>
      </w:r>
      <w:r>
        <w:t xml:space="preserve"> collec</w:t>
      </w:r>
      <w:r w:rsidR="0096442A">
        <w:t>tion of information</w:t>
      </w:r>
      <w:r>
        <w:t>.</w:t>
      </w:r>
    </w:p>
    <w:p w:rsidR="00A912DA" w:rsidRDefault="00A912DA"/>
    <w:p w:rsidR="00A912DA" w:rsidRDefault="00A912DA"/>
    <w:p w:rsidR="00221D10" w:rsidRPr="00AA7640" w:rsidRDefault="003843CD" w:rsidP="007254C7">
      <w:pPr>
        <w:ind w:left="270" w:hanging="270"/>
        <w:rPr>
          <w:u w:val="single"/>
        </w:rPr>
      </w:pPr>
      <w:r>
        <w:t>8.</w:t>
      </w:r>
      <w:r w:rsidR="00AA7640">
        <w:t xml:space="preserve">  </w:t>
      </w:r>
      <w:r w:rsidR="00AA7640">
        <w:rPr>
          <w:u w:val="single"/>
        </w:rPr>
        <w:t>Comme</w:t>
      </w:r>
      <w:r w:rsidR="00BD566D">
        <w:rPr>
          <w:u w:val="single"/>
        </w:rPr>
        <w:t>nts in Response to the Federal R</w:t>
      </w:r>
      <w:r w:rsidR="00AA7640">
        <w:rPr>
          <w:u w:val="single"/>
        </w:rPr>
        <w:t>egister Notice and Efforts to Consult Outside the Agency</w:t>
      </w:r>
    </w:p>
    <w:p w:rsidR="00221D10" w:rsidRDefault="00221D10"/>
    <w:p w:rsidR="00221D10" w:rsidRDefault="00221D10">
      <w:r>
        <w:t>In accordance with 5 CFR 1320.8(d),</w:t>
      </w:r>
      <w:r w:rsidR="00AA7640">
        <w:t xml:space="preserve"> FDA published</w:t>
      </w:r>
      <w:r>
        <w:t xml:space="preserve"> a 60</w:t>
      </w:r>
      <w:r w:rsidR="00E60303">
        <w:t xml:space="preserve"> </w:t>
      </w:r>
      <w:r>
        <w:t>day no</w:t>
      </w:r>
      <w:r w:rsidR="000905E9">
        <w:t>tice for public comment</w:t>
      </w:r>
      <w:r w:rsidR="00255CCB">
        <w:t xml:space="preserve"> in the </w:t>
      </w:r>
      <w:r w:rsidR="00E60303">
        <w:t xml:space="preserve">FEDERAL REGISTER </w:t>
      </w:r>
      <w:r w:rsidR="0096442A">
        <w:t xml:space="preserve">of </w:t>
      </w:r>
      <w:r w:rsidR="00351A3A">
        <w:t>April 15</w:t>
      </w:r>
      <w:r w:rsidR="0096442A">
        <w:t>, 201</w:t>
      </w:r>
      <w:r w:rsidR="009407EA">
        <w:t>5</w:t>
      </w:r>
      <w:r w:rsidR="00AA7640">
        <w:t xml:space="preserve"> </w:t>
      </w:r>
      <w:r w:rsidR="00FF0C91">
        <w:t>(</w:t>
      </w:r>
      <w:r w:rsidR="00351A3A">
        <w:t>80</w:t>
      </w:r>
      <w:r w:rsidR="0096442A">
        <w:t xml:space="preserve"> FR </w:t>
      </w:r>
      <w:r w:rsidR="00351A3A">
        <w:t>20232</w:t>
      </w:r>
      <w:r w:rsidR="00FF0C91">
        <w:t>)</w:t>
      </w:r>
      <w:r>
        <w:t>.</w:t>
      </w:r>
      <w:r w:rsidR="00255CCB">
        <w:t xml:space="preserve">  </w:t>
      </w:r>
      <w:r w:rsidR="00E86324">
        <w:t>No c</w:t>
      </w:r>
      <w:r w:rsidR="0096442A">
        <w:t>omments were received.</w:t>
      </w:r>
    </w:p>
    <w:p w:rsidR="00E86324" w:rsidRDefault="00E86324"/>
    <w:p w:rsidR="005F1F93" w:rsidRDefault="005F1F93"/>
    <w:p w:rsidR="00221D10" w:rsidRPr="00BD566D" w:rsidRDefault="003843CD">
      <w:pPr>
        <w:rPr>
          <w:u w:val="single"/>
        </w:rPr>
      </w:pPr>
      <w:r>
        <w:t>9.</w:t>
      </w:r>
      <w:r w:rsidR="00BD566D">
        <w:t xml:space="preserve">  </w:t>
      </w:r>
      <w:r w:rsidR="00BD566D">
        <w:rPr>
          <w:u w:val="single"/>
        </w:rPr>
        <w:t>Explanation of Any Payment or Gift to Respondents</w:t>
      </w:r>
    </w:p>
    <w:p w:rsidR="00221D10" w:rsidRDefault="00221D10"/>
    <w:p w:rsidR="00221D10" w:rsidRDefault="00221D10">
      <w:r>
        <w:t xml:space="preserve">No payment or gift </w:t>
      </w:r>
      <w:r w:rsidR="00E23ABA">
        <w:t>was provided</w:t>
      </w:r>
      <w:r>
        <w:t xml:space="preserve"> to respondents.</w:t>
      </w:r>
    </w:p>
    <w:p w:rsidR="00221D10" w:rsidRDefault="00221D10"/>
    <w:p w:rsidR="005F1F93" w:rsidRDefault="005F1F93"/>
    <w:p w:rsidR="00BD566D" w:rsidRPr="00BD566D" w:rsidRDefault="003843CD">
      <w:pPr>
        <w:rPr>
          <w:u w:val="single"/>
        </w:rPr>
      </w:pPr>
      <w:r>
        <w:t>10.</w:t>
      </w:r>
      <w:r w:rsidR="00BD566D">
        <w:t xml:space="preserve">  </w:t>
      </w:r>
      <w:r w:rsidR="00BD566D">
        <w:rPr>
          <w:u w:val="single"/>
        </w:rPr>
        <w:t>Assurance of Confidentiality Provided to Respondents</w:t>
      </w:r>
    </w:p>
    <w:p w:rsidR="00221D10" w:rsidRDefault="00221D10"/>
    <w:p w:rsidR="00221D10" w:rsidRDefault="00221D10">
      <w:r>
        <w:t>The confidentiality of information received by FDA is consistent with the Freedom of Information Ac</w:t>
      </w:r>
      <w:r w:rsidR="0061652F">
        <w:t>t (FOI</w:t>
      </w:r>
      <w:r w:rsidR="009407EA">
        <w:t>A)</w:t>
      </w:r>
      <w:r w:rsidR="0061652F">
        <w:t xml:space="preserve"> and </w:t>
      </w:r>
      <w:r w:rsidR="00E23ABA">
        <w:t xml:space="preserve">FDA’s </w:t>
      </w:r>
      <w:r w:rsidR="009407EA">
        <w:t xml:space="preserve">published </w:t>
      </w:r>
      <w:r w:rsidR="00E23ABA">
        <w:t>regulations</w:t>
      </w:r>
      <w:r w:rsidR="009407EA">
        <w:t xml:space="preserve"> of “Public Information”</w:t>
      </w:r>
      <w:r w:rsidR="00E23ABA">
        <w:t xml:space="preserve"> </w:t>
      </w:r>
      <w:r w:rsidR="009407EA">
        <w:t>(</w:t>
      </w:r>
      <w:r w:rsidR="00E23ABA">
        <w:t>21 CFR Part 20</w:t>
      </w:r>
      <w:r w:rsidR="009407EA">
        <w:t>)</w:t>
      </w:r>
      <w:r w:rsidR="00F233AC">
        <w:t>.</w:t>
      </w:r>
      <w:r w:rsidR="009407EA">
        <w:t xml:space="preserve">  Proprietary or trade secret information is deleted from any information released by FDA under the Freedom of Information Act.</w:t>
      </w:r>
    </w:p>
    <w:p w:rsidR="00221D10" w:rsidRDefault="00221D10"/>
    <w:p w:rsidR="005F1F93" w:rsidRDefault="005F1F93"/>
    <w:p w:rsidR="00221D10" w:rsidRPr="00B97776" w:rsidRDefault="003843CD">
      <w:pPr>
        <w:rPr>
          <w:u w:val="single"/>
        </w:rPr>
      </w:pPr>
      <w:r>
        <w:t xml:space="preserve">11.  </w:t>
      </w:r>
      <w:r w:rsidRPr="00B97776">
        <w:rPr>
          <w:u w:val="single"/>
        </w:rPr>
        <w:t>Justification for Sensitive Questions</w:t>
      </w:r>
    </w:p>
    <w:p w:rsidR="00221D10" w:rsidRDefault="00221D10"/>
    <w:p w:rsidR="00221D10" w:rsidRDefault="00221D10">
      <w:r>
        <w:t>Questions of a sensitive nature are not applicabl</w:t>
      </w:r>
      <w:r w:rsidR="00E23ABA">
        <w:t>e to this collection of information</w:t>
      </w:r>
      <w:r w:rsidR="00B31ACA">
        <w:t>.</w:t>
      </w:r>
    </w:p>
    <w:p w:rsidR="00221D10" w:rsidRDefault="00221D10"/>
    <w:p w:rsidR="005F1F93" w:rsidRDefault="005F1F93"/>
    <w:p w:rsidR="00221D10" w:rsidRPr="00191A3A" w:rsidRDefault="00191A3A">
      <w:r>
        <w:t xml:space="preserve">12.  </w:t>
      </w:r>
      <w:r w:rsidRPr="00191A3A">
        <w:rPr>
          <w:u w:val="single"/>
        </w:rPr>
        <w:t>Estimates of Annualized Burden Hours and Costs</w:t>
      </w:r>
    </w:p>
    <w:p w:rsidR="00221D10" w:rsidRDefault="00221D10"/>
    <w:p w:rsidR="00221D10" w:rsidRDefault="00221D10">
      <w:r>
        <w:t>The</w:t>
      </w:r>
      <w:r w:rsidR="007C7064">
        <w:t xml:space="preserve"> total</w:t>
      </w:r>
      <w:r>
        <w:t xml:space="preserve"> estimated annual burden for th</w:t>
      </w:r>
      <w:r w:rsidR="007C7064">
        <w:t>is</w:t>
      </w:r>
      <w:r w:rsidR="00A912DA">
        <w:t xml:space="preserve"> collection</w:t>
      </w:r>
      <w:r w:rsidR="007C7064">
        <w:t xml:space="preserve"> of information</w:t>
      </w:r>
      <w:r w:rsidR="00E23ABA">
        <w:t xml:space="preserve"> is </w:t>
      </w:r>
      <w:r w:rsidR="00CF57BA">
        <w:t>1,855</w:t>
      </w:r>
      <w:r>
        <w:t xml:space="preserve"> hours.</w:t>
      </w:r>
    </w:p>
    <w:p w:rsidR="00221D10" w:rsidRDefault="00221D10"/>
    <w:p w:rsidR="00867086" w:rsidRDefault="00867086" w:rsidP="00867086">
      <w:pPr>
        <w:tabs>
          <w:tab w:val="left" w:pos="360"/>
          <w:tab w:val="left" w:pos="450"/>
        </w:tabs>
        <w:rPr>
          <w:u w:val="single"/>
        </w:rPr>
      </w:pPr>
      <w:r>
        <w:t xml:space="preserve">       </w:t>
      </w:r>
      <w:r>
        <w:rPr>
          <w:u w:val="single"/>
        </w:rPr>
        <w:t>12 a. Annualized Hour Burden Estimate</w:t>
      </w:r>
    </w:p>
    <w:p w:rsidR="00867086" w:rsidRDefault="00867086" w:rsidP="00867086">
      <w:pPr>
        <w:tabs>
          <w:tab w:val="left" w:pos="360"/>
          <w:tab w:val="left" w:pos="450"/>
        </w:tabs>
        <w:rPr>
          <w:u w:val="single"/>
        </w:rPr>
      </w:pPr>
    </w:p>
    <w:p w:rsidR="00221D10" w:rsidRDefault="00221D10">
      <w:pPr>
        <w:rPr>
          <w:vertAlign w:val="superscript"/>
        </w:rPr>
      </w:pPr>
    </w:p>
    <w:tbl>
      <w:tblPr>
        <w:tblW w:w="9630" w:type="dxa"/>
        <w:tblInd w:w="120" w:type="dxa"/>
        <w:tblLayout w:type="fixed"/>
        <w:tblCellMar>
          <w:left w:w="120" w:type="dxa"/>
          <w:right w:w="120" w:type="dxa"/>
        </w:tblCellMar>
        <w:tblLook w:val="0000" w:firstRow="0" w:lastRow="0" w:firstColumn="0" w:lastColumn="0" w:noHBand="0" w:noVBand="0"/>
      </w:tblPr>
      <w:tblGrid>
        <w:gridCol w:w="2160"/>
        <w:gridCol w:w="1800"/>
        <w:gridCol w:w="1890"/>
        <w:gridCol w:w="1260"/>
        <w:gridCol w:w="1530"/>
        <w:gridCol w:w="990"/>
      </w:tblGrid>
      <w:tr w:rsidR="00221D10" w:rsidTr="00E9315E">
        <w:tc>
          <w:tcPr>
            <w:tcW w:w="2160" w:type="dxa"/>
            <w:tcBorders>
              <w:top w:val="single" w:sz="4" w:space="0" w:color="000000"/>
              <w:left w:val="single" w:sz="4" w:space="0" w:color="000000"/>
              <w:right w:val="single" w:sz="4" w:space="0" w:color="000000"/>
            </w:tcBorders>
          </w:tcPr>
          <w:p w:rsidR="00221D10" w:rsidRDefault="00E86324">
            <w:pPr>
              <w:spacing w:after="58"/>
              <w:jc w:val="center"/>
            </w:pPr>
            <w:r>
              <w:t xml:space="preserve">FDA </w:t>
            </w:r>
            <w:r w:rsidR="00221D10">
              <w:t>Form No.</w:t>
            </w:r>
          </w:p>
        </w:tc>
        <w:tc>
          <w:tcPr>
            <w:tcW w:w="1800" w:type="dxa"/>
            <w:tcBorders>
              <w:top w:val="single" w:sz="4" w:space="0" w:color="000000"/>
              <w:left w:val="single" w:sz="4" w:space="0" w:color="000000"/>
              <w:right w:val="single" w:sz="4" w:space="0" w:color="000000"/>
            </w:tcBorders>
          </w:tcPr>
          <w:p w:rsidR="00221D10" w:rsidRDefault="00E86324" w:rsidP="00905CEA">
            <w:pPr>
              <w:tabs>
                <w:tab w:val="left" w:pos="420"/>
              </w:tabs>
              <w:spacing w:after="58"/>
              <w:jc w:val="center"/>
            </w:pPr>
            <w:r>
              <w:t>No. of r</w:t>
            </w:r>
            <w:r w:rsidR="00221D10">
              <w:t>espondents</w:t>
            </w:r>
          </w:p>
        </w:tc>
        <w:tc>
          <w:tcPr>
            <w:tcW w:w="1890" w:type="dxa"/>
            <w:tcBorders>
              <w:top w:val="single" w:sz="4" w:space="0" w:color="000000"/>
              <w:left w:val="single" w:sz="4" w:space="0" w:color="000000"/>
              <w:right w:val="single" w:sz="4" w:space="0" w:color="000000"/>
            </w:tcBorders>
          </w:tcPr>
          <w:p w:rsidR="00221D10" w:rsidRDefault="009B19DB">
            <w:pPr>
              <w:spacing w:after="58"/>
              <w:jc w:val="center"/>
            </w:pPr>
            <w:r>
              <w:t>Number of responses per respondent</w:t>
            </w:r>
          </w:p>
        </w:tc>
        <w:tc>
          <w:tcPr>
            <w:tcW w:w="1260" w:type="dxa"/>
            <w:tcBorders>
              <w:top w:val="single" w:sz="4" w:space="0" w:color="000000"/>
              <w:left w:val="single" w:sz="4" w:space="0" w:color="000000"/>
              <w:right w:val="single" w:sz="4" w:space="0" w:color="000000"/>
            </w:tcBorders>
          </w:tcPr>
          <w:p w:rsidR="00221D10" w:rsidRDefault="00E86324">
            <w:pPr>
              <w:spacing w:after="58"/>
              <w:jc w:val="center"/>
            </w:pPr>
            <w:r>
              <w:t>Total annual r</w:t>
            </w:r>
            <w:r w:rsidR="00221D10">
              <w:t>esponses</w:t>
            </w:r>
          </w:p>
        </w:tc>
        <w:tc>
          <w:tcPr>
            <w:tcW w:w="1530" w:type="dxa"/>
            <w:tcBorders>
              <w:top w:val="single" w:sz="4" w:space="0" w:color="000000"/>
              <w:left w:val="single" w:sz="4" w:space="0" w:color="000000"/>
              <w:right w:val="single" w:sz="4" w:space="0" w:color="000000"/>
            </w:tcBorders>
          </w:tcPr>
          <w:p w:rsidR="00221D10" w:rsidRDefault="009B19DB">
            <w:pPr>
              <w:spacing w:after="58"/>
              <w:jc w:val="center"/>
            </w:pPr>
            <w:r>
              <w:t>Average burden per r</w:t>
            </w:r>
            <w:r w:rsidR="00221D10">
              <w:t>esponse</w:t>
            </w:r>
          </w:p>
        </w:tc>
        <w:tc>
          <w:tcPr>
            <w:tcW w:w="990" w:type="dxa"/>
            <w:tcBorders>
              <w:top w:val="single" w:sz="4" w:space="0" w:color="000000"/>
              <w:left w:val="single" w:sz="4" w:space="0" w:color="000000"/>
              <w:right w:val="single" w:sz="4" w:space="0" w:color="000000"/>
            </w:tcBorders>
          </w:tcPr>
          <w:p w:rsidR="00221D10" w:rsidRDefault="00E86324">
            <w:pPr>
              <w:spacing w:after="58"/>
              <w:jc w:val="center"/>
            </w:pPr>
            <w:r>
              <w:t>Total h</w:t>
            </w:r>
            <w:r w:rsidR="00221D10">
              <w:t>ours</w:t>
            </w:r>
          </w:p>
        </w:tc>
      </w:tr>
      <w:tr w:rsidR="00221D10" w:rsidTr="00E9315E">
        <w:tc>
          <w:tcPr>
            <w:tcW w:w="2160" w:type="dxa"/>
            <w:tcBorders>
              <w:top w:val="double" w:sz="4" w:space="0" w:color="auto"/>
              <w:left w:val="single" w:sz="4" w:space="0" w:color="000000"/>
              <w:bottom w:val="single" w:sz="4" w:space="0" w:color="auto"/>
              <w:right w:val="single" w:sz="4" w:space="0" w:color="000000"/>
            </w:tcBorders>
          </w:tcPr>
          <w:p w:rsidR="00221D10" w:rsidRDefault="00221D10">
            <w:pPr>
              <w:spacing w:after="58"/>
              <w:jc w:val="center"/>
            </w:pPr>
            <w:r>
              <w:t>FDA 3397</w:t>
            </w:r>
          </w:p>
        </w:tc>
        <w:tc>
          <w:tcPr>
            <w:tcW w:w="1800" w:type="dxa"/>
            <w:tcBorders>
              <w:top w:val="double" w:sz="4" w:space="0" w:color="auto"/>
              <w:left w:val="single" w:sz="4" w:space="0" w:color="000000"/>
              <w:bottom w:val="single" w:sz="4" w:space="0" w:color="auto"/>
              <w:right w:val="single" w:sz="4" w:space="0" w:color="000000"/>
            </w:tcBorders>
          </w:tcPr>
          <w:p w:rsidR="00221D10" w:rsidRDefault="0054038E">
            <w:pPr>
              <w:spacing w:after="58"/>
              <w:jc w:val="center"/>
            </w:pPr>
            <w:r>
              <w:t>2</w:t>
            </w:r>
            <w:r w:rsidR="00CF57BA">
              <w:t>9</w:t>
            </w:r>
            <w:r w:rsidR="00E23ABA">
              <w:t>0</w:t>
            </w:r>
          </w:p>
        </w:tc>
        <w:tc>
          <w:tcPr>
            <w:tcW w:w="1890" w:type="dxa"/>
            <w:tcBorders>
              <w:top w:val="double" w:sz="4" w:space="0" w:color="auto"/>
              <w:left w:val="single" w:sz="4" w:space="0" w:color="000000"/>
              <w:bottom w:val="single" w:sz="4" w:space="0" w:color="auto"/>
              <w:right w:val="single" w:sz="4" w:space="0" w:color="000000"/>
            </w:tcBorders>
          </w:tcPr>
          <w:p w:rsidR="00221D10" w:rsidRDefault="0054038E">
            <w:pPr>
              <w:spacing w:after="58"/>
              <w:jc w:val="center"/>
            </w:pPr>
            <w:r>
              <w:t>1</w:t>
            </w:r>
            <w:r w:rsidR="00CF57BA">
              <w:t>2.7</w:t>
            </w:r>
            <w:r w:rsidR="00E23ABA">
              <w:t>9</w:t>
            </w:r>
          </w:p>
        </w:tc>
        <w:tc>
          <w:tcPr>
            <w:tcW w:w="1260" w:type="dxa"/>
            <w:tcBorders>
              <w:top w:val="double" w:sz="4" w:space="0" w:color="auto"/>
              <w:left w:val="single" w:sz="4" w:space="0" w:color="000000"/>
              <w:bottom w:val="single" w:sz="4" w:space="0" w:color="auto"/>
              <w:right w:val="single" w:sz="4" w:space="0" w:color="000000"/>
            </w:tcBorders>
          </w:tcPr>
          <w:p w:rsidR="00221D10" w:rsidRDefault="00CF57BA">
            <w:pPr>
              <w:spacing w:after="58"/>
              <w:jc w:val="center"/>
              <w:rPr>
                <w:vertAlign w:val="superscript"/>
              </w:rPr>
            </w:pPr>
            <w:r>
              <w:t>3,710</w:t>
            </w:r>
          </w:p>
        </w:tc>
        <w:tc>
          <w:tcPr>
            <w:tcW w:w="1530" w:type="dxa"/>
            <w:tcBorders>
              <w:top w:val="double" w:sz="4" w:space="0" w:color="auto"/>
              <w:left w:val="single" w:sz="4" w:space="0" w:color="000000"/>
              <w:bottom w:val="single" w:sz="4" w:space="0" w:color="auto"/>
              <w:right w:val="single" w:sz="4" w:space="0" w:color="000000"/>
            </w:tcBorders>
          </w:tcPr>
          <w:p w:rsidR="00221D10" w:rsidRDefault="00191A3A">
            <w:pPr>
              <w:spacing w:after="58"/>
              <w:jc w:val="center"/>
            </w:pPr>
            <w:r>
              <w:t>0.50</w:t>
            </w:r>
            <w:r w:rsidR="00E9315E">
              <w:t xml:space="preserve">          (30 minutes)       </w:t>
            </w:r>
          </w:p>
        </w:tc>
        <w:tc>
          <w:tcPr>
            <w:tcW w:w="990" w:type="dxa"/>
            <w:tcBorders>
              <w:top w:val="double" w:sz="4" w:space="0" w:color="auto"/>
              <w:left w:val="single" w:sz="4" w:space="0" w:color="000000"/>
              <w:bottom w:val="single" w:sz="4" w:space="0" w:color="auto"/>
              <w:right w:val="single" w:sz="4" w:space="0" w:color="000000"/>
            </w:tcBorders>
          </w:tcPr>
          <w:p w:rsidR="00221D10" w:rsidRDefault="00CF57BA">
            <w:pPr>
              <w:spacing w:after="58"/>
              <w:jc w:val="center"/>
            </w:pPr>
            <w:r>
              <w:t>1,855</w:t>
            </w:r>
          </w:p>
        </w:tc>
      </w:tr>
    </w:tbl>
    <w:p w:rsidR="00221D10" w:rsidRDefault="00221D10"/>
    <w:p w:rsidR="00221D10" w:rsidRDefault="00221D10">
      <w:r>
        <w:t>Respondents to this collection of information are new drug and biologics manufacturers.  Based on FDA's database</w:t>
      </w:r>
      <w:r w:rsidR="0054038E">
        <w:t xml:space="preserve"> </w:t>
      </w:r>
      <w:r w:rsidR="00E23ABA">
        <w:t>system for fiscal year (FY) 201</w:t>
      </w:r>
      <w:r w:rsidR="00CF57BA">
        <w:t>4</w:t>
      </w:r>
      <w:r w:rsidR="00E23ABA">
        <w:t>, there are an estimated 2</w:t>
      </w:r>
      <w:r w:rsidR="00CF57BA">
        <w:t>9</w:t>
      </w:r>
      <w:r w:rsidR="00E23ABA">
        <w:t>0</w:t>
      </w:r>
      <w:r>
        <w:t xml:space="preserve"> manufacturers of products subject to</w:t>
      </w:r>
      <w:r w:rsidR="00FF0C91">
        <w:t xml:space="preserve"> the </w:t>
      </w:r>
      <w:r w:rsidR="00CF57BA">
        <w:t>P</w:t>
      </w:r>
      <w:r w:rsidR="004D2FBE">
        <w:t xml:space="preserve">rescription </w:t>
      </w:r>
      <w:r w:rsidR="00CF57BA">
        <w:t>D</w:t>
      </w:r>
      <w:r w:rsidR="004D2FBE">
        <w:t xml:space="preserve">rug </w:t>
      </w:r>
      <w:r w:rsidR="00CF57BA">
        <w:t>U</w:t>
      </w:r>
      <w:r w:rsidR="00FF0C91">
        <w:t xml:space="preserve">ser </w:t>
      </w:r>
      <w:r w:rsidR="00CF57BA">
        <w:t>F</w:t>
      </w:r>
      <w:r w:rsidR="00FF0C91">
        <w:t xml:space="preserve">ee </w:t>
      </w:r>
      <w:r w:rsidR="00CF57BA">
        <w:t>Act (Pub. L. 105-115)</w:t>
      </w:r>
      <w:r w:rsidR="00B97776">
        <w:t xml:space="preserve">.  </w:t>
      </w:r>
      <w:r>
        <w:t>The total number of annual responses is based on the number of submissions receive</w:t>
      </w:r>
      <w:r w:rsidR="00191A3A">
        <w:t>d by</w:t>
      </w:r>
      <w:r w:rsidR="005F14C3">
        <w:t xml:space="preserve"> FDA in FY 201</w:t>
      </w:r>
      <w:r w:rsidR="00CF57BA">
        <w:t>4</w:t>
      </w:r>
      <w:r w:rsidR="00FF0C91">
        <w:t>.  CDER received</w:t>
      </w:r>
      <w:r w:rsidR="005F14C3">
        <w:t xml:space="preserve"> 3,</w:t>
      </w:r>
      <w:r w:rsidR="00CF57BA">
        <w:t>005</w:t>
      </w:r>
      <w:r>
        <w:t xml:space="preserve"> annual responses</w:t>
      </w:r>
      <w:r w:rsidR="00191A3A">
        <w:t xml:space="preserve"> that include the following</w:t>
      </w:r>
      <w:r w:rsidR="00FF0C91">
        <w:t xml:space="preserve"> submissions</w:t>
      </w:r>
      <w:r w:rsidR="005F14C3">
        <w:t xml:space="preserve">: </w:t>
      </w:r>
      <w:r w:rsidR="00E86324">
        <w:t xml:space="preserve"> </w:t>
      </w:r>
      <w:r w:rsidR="005F14C3">
        <w:t>1</w:t>
      </w:r>
      <w:r w:rsidR="00CF57BA">
        <w:t>28</w:t>
      </w:r>
      <w:r>
        <w:t xml:space="preserve"> </w:t>
      </w:r>
      <w:r w:rsidR="00880AB6">
        <w:t>NDAs</w:t>
      </w:r>
      <w:r>
        <w:t>;</w:t>
      </w:r>
      <w:r w:rsidR="0054038E">
        <w:t xml:space="preserve"> </w:t>
      </w:r>
      <w:r w:rsidR="00CF57BA">
        <w:t>7</w:t>
      </w:r>
      <w:r w:rsidR="0054038E">
        <w:t xml:space="preserve"> </w:t>
      </w:r>
      <w:r w:rsidR="00880AB6">
        <w:t>BLA</w:t>
      </w:r>
      <w:r w:rsidR="005F14C3">
        <w:t>s; 1,</w:t>
      </w:r>
      <w:r w:rsidR="00CF57BA">
        <w:t>586</w:t>
      </w:r>
      <w:r w:rsidR="00191A3A">
        <w:t xml:space="preserve"> manufacturing</w:t>
      </w:r>
      <w:r w:rsidR="005F14C3">
        <w:t xml:space="preserve"> supplements; 1,</w:t>
      </w:r>
      <w:r w:rsidR="00CF57BA">
        <w:t>081</w:t>
      </w:r>
      <w:r>
        <w:t xml:space="preserve"> labeling suppl</w:t>
      </w:r>
      <w:r w:rsidR="005F14C3">
        <w:t xml:space="preserve">ements; and </w:t>
      </w:r>
      <w:r w:rsidR="00CF57BA">
        <w:t>203</w:t>
      </w:r>
      <w:r>
        <w:t xml:space="preserve"> efficacy </w:t>
      </w:r>
      <w:r w:rsidR="00FF0C91">
        <w:t>supplements.  CBER received</w:t>
      </w:r>
      <w:r w:rsidR="005F14C3">
        <w:t xml:space="preserve"> 7</w:t>
      </w:r>
      <w:r w:rsidR="00CF57BA">
        <w:t>05</w:t>
      </w:r>
      <w:r>
        <w:t xml:space="preserve"> annual response</w:t>
      </w:r>
      <w:r w:rsidR="00AD62AD">
        <w:t>s that include the following</w:t>
      </w:r>
      <w:r w:rsidR="00FF0C91">
        <w:t xml:space="preserve"> submissions</w:t>
      </w:r>
      <w:r w:rsidR="005F14C3">
        <w:t xml:space="preserve">: </w:t>
      </w:r>
      <w:r w:rsidR="00E86324">
        <w:t xml:space="preserve"> </w:t>
      </w:r>
      <w:r w:rsidR="00CF57BA">
        <w:t>11</w:t>
      </w:r>
      <w:r>
        <w:t xml:space="preserve"> </w:t>
      </w:r>
      <w:r w:rsidR="00880AB6">
        <w:t>BLAs</w:t>
      </w:r>
      <w:r w:rsidR="005F14C3">
        <w:t>; 6</w:t>
      </w:r>
      <w:r w:rsidR="00CF57BA">
        <w:t>11</w:t>
      </w:r>
      <w:r w:rsidR="005F14C3">
        <w:t xml:space="preserve"> </w:t>
      </w:r>
      <w:r w:rsidR="005F14C3">
        <w:lastRenderedPageBreak/>
        <w:t xml:space="preserve">manufacturing supplements; </w:t>
      </w:r>
      <w:r w:rsidR="00CF57BA">
        <w:t>6</w:t>
      </w:r>
      <w:r w:rsidR="005F14C3">
        <w:t xml:space="preserve">4 labeling supplements; and </w:t>
      </w:r>
      <w:r w:rsidR="00CF57BA">
        <w:t>19</w:t>
      </w:r>
      <w:r>
        <w:t xml:space="preserve"> efficacy supplemen</w:t>
      </w:r>
      <w:r w:rsidR="00FF0C91">
        <w:t xml:space="preserve">ts.  </w:t>
      </w:r>
      <w:r>
        <w:t xml:space="preserve">The estimated hours per response are based on past FDA experience with the various </w:t>
      </w:r>
      <w:r w:rsidR="00B97776">
        <w:t>submissions</w:t>
      </w:r>
      <w:r w:rsidR="00F233AC">
        <w:t>.</w:t>
      </w:r>
    </w:p>
    <w:p w:rsidR="00E9315E" w:rsidRDefault="00E9315E"/>
    <w:p w:rsidR="005F1F93" w:rsidRDefault="005F1F93"/>
    <w:p w:rsidR="00867086" w:rsidRPr="00867086" w:rsidRDefault="00C432A1" w:rsidP="00C432A1">
      <w:pPr>
        <w:tabs>
          <w:tab w:val="left" w:pos="360"/>
          <w:tab w:val="left" w:pos="450"/>
          <w:tab w:val="left" w:pos="540"/>
        </w:tabs>
        <w:rPr>
          <w:u w:val="single"/>
        </w:rPr>
      </w:pPr>
      <w:r>
        <w:t xml:space="preserve">        </w:t>
      </w:r>
      <w:r>
        <w:rPr>
          <w:u w:val="single"/>
        </w:rPr>
        <w:t>1</w:t>
      </w:r>
      <w:r w:rsidR="00867086">
        <w:rPr>
          <w:u w:val="single"/>
        </w:rPr>
        <w:t>2 b. Annualized Cost Burden Estimate.</w:t>
      </w:r>
    </w:p>
    <w:p w:rsidR="00221D10" w:rsidRDefault="00221D10"/>
    <w:p w:rsidR="00221D10" w:rsidRDefault="00221D10">
      <w:pPr>
        <w:pStyle w:val="Heading1"/>
      </w:pPr>
      <w:r>
        <w:t>Cost to Respondents</w:t>
      </w:r>
    </w:p>
    <w:p w:rsidR="00221D10" w:rsidRDefault="00221D10"/>
    <w:p w:rsidR="00221D10" w:rsidRDefault="00221D10"/>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340"/>
      </w:tblGrid>
      <w:tr w:rsidR="00221D10">
        <w:trPr>
          <w:cantSplit/>
          <w:trHeight w:val="403"/>
        </w:trPr>
        <w:tc>
          <w:tcPr>
            <w:tcW w:w="2340" w:type="dxa"/>
            <w:tcBorders>
              <w:top w:val="single" w:sz="6" w:space="0" w:color="auto"/>
              <w:left w:val="single" w:sz="6" w:space="0" w:color="auto"/>
              <w:bottom w:val="double" w:sz="4" w:space="0" w:color="auto"/>
            </w:tcBorders>
          </w:tcPr>
          <w:p w:rsidR="00221D10" w:rsidRDefault="00221D10">
            <w:pPr>
              <w:jc w:val="center"/>
            </w:pPr>
            <w:r>
              <w:br w:type="page"/>
              <w:t>Activity</w:t>
            </w:r>
          </w:p>
        </w:tc>
        <w:tc>
          <w:tcPr>
            <w:tcW w:w="2340" w:type="dxa"/>
            <w:tcBorders>
              <w:top w:val="single" w:sz="6" w:space="0" w:color="auto"/>
              <w:left w:val="single" w:sz="6" w:space="0" w:color="auto"/>
              <w:bottom w:val="double" w:sz="4" w:space="0" w:color="auto"/>
            </w:tcBorders>
          </w:tcPr>
          <w:p w:rsidR="00221D10" w:rsidRDefault="00905CEA" w:rsidP="00905CEA">
            <w:pPr>
              <w:jc w:val="center"/>
            </w:pPr>
            <w:r>
              <w:t xml:space="preserve">Total Burden </w:t>
            </w:r>
            <w:r w:rsidR="00221D10">
              <w:t xml:space="preserve"> Hours</w:t>
            </w:r>
          </w:p>
        </w:tc>
        <w:tc>
          <w:tcPr>
            <w:tcW w:w="2340" w:type="dxa"/>
            <w:tcBorders>
              <w:top w:val="single" w:sz="6" w:space="0" w:color="auto"/>
              <w:left w:val="single" w:sz="6" w:space="0" w:color="auto"/>
              <w:bottom w:val="double" w:sz="4" w:space="0" w:color="auto"/>
            </w:tcBorders>
          </w:tcPr>
          <w:p w:rsidR="00221D10" w:rsidRDefault="00905CEA" w:rsidP="00905CEA">
            <w:pPr>
              <w:jc w:val="center"/>
            </w:pPr>
            <w:r>
              <w:t xml:space="preserve">Hourly Wage </w:t>
            </w:r>
            <w:r w:rsidR="00221D10">
              <w:t xml:space="preserve"> </w:t>
            </w:r>
            <w:r>
              <w:t>Rate</w:t>
            </w:r>
          </w:p>
        </w:tc>
        <w:tc>
          <w:tcPr>
            <w:tcW w:w="2340" w:type="dxa"/>
            <w:tcBorders>
              <w:top w:val="single" w:sz="6" w:space="0" w:color="auto"/>
              <w:left w:val="single" w:sz="6" w:space="0" w:color="auto"/>
              <w:bottom w:val="double" w:sz="4" w:space="0" w:color="auto"/>
              <w:right w:val="single" w:sz="6" w:space="0" w:color="auto"/>
            </w:tcBorders>
          </w:tcPr>
          <w:p w:rsidR="00221D10" w:rsidRDefault="00221D10">
            <w:pPr>
              <w:jc w:val="center"/>
            </w:pPr>
            <w:r>
              <w:t xml:space="preserve">Total </w:t>
            </w:r>
            <w:r w:rsidR="00905CEA">
              <w:t xml:space="preserve">Respondent </w:t>
            </w:r>
            <w:r>
              <w:t>Cost</w:t>
            </w:r>
          </w:p>
        </w:tc>
      </w:tr>
      <w:tr w:rsidR="00221D10">
        <w:trPr>
          <w:cantSplit/>
          <w:trHeight w:val="403"/>
        </w:trPr>
        <w:tc>
          <w:tcPr>
            <w:tcW w:w="2340" w:type="dxa"/>
            <w:tcBorders>
              <w:left w:val="single" w:sz="4" w:space="0" w:color="auto"/>
              <w:bottom w:val="single" w:sz="4" w:space="0" w:color="auto"/>
              <w:right w:val="single" w:sz="4" w:space="0" w:color="auto"/>
            </w:tcBorders>
          </w:tcPr>
          <w:p w:rsidR="00221D10" w:rsidRDefault="00221D10">
            <w:pPr>
              <w:jc w:val="center"/>
            </w:pPr>
            <w:r>
              <w:t>Reporting</w:t>
            </w:r>
          </w:p>
        </w:tc>
        <w:tc>
          <w:tcPr>
            <w:tcW w:w="2340" w:type="dxa"/>
            <w:tcBorders>
              <w:left w:val="single" w:sz="4" w:space="0" w:color="auto"/>
              <w:bottom w:val="single" w:sz="4" w:space="0" w:color="auto"/>
              <w:right w:val="single" w:sz="4" w:space="0" w:color="auto"/>
            </w:tcBorders>
          </w:tcPr>
          <w:p w:rsidR="00221D10" w:rsidRDefault="00E35D2D">
            <w:pPr>
              <w:jc w:val="center"/>
            </w:pPr>
            <w:r>
              <w:t>1,855</w:t>
            </w:r>
          </w:p>
        </w:tc>
        <w:tc>
          <w:tcPr>
            <w:tcW w:w="2340" w:type="dxa"/>
            <w:tcBorders>
              <w:left w:val="single" w:sz="4" w:space="0" w:color="auto"/>
              <w:bottom w:val="single" w:sz="4" w:space="0" w:color="auto"/>
              <w:right w:val="single" w:sz="4" w:space="0" w:color="auto"/>
            </w:tcBorders>
          </w:tcPr>
          <w:p w:rsidR="00221D10" w:rsidRDefault="00C9587A">
            <w:pPr>
              <w:jc w:val="center"/>
            </w:pPr>
            <w:r>
              <w:t>$</w:t>
            </w:r>
            <w:r w:rsidR="005F14C3">
              <w:t>5</w:t>
            </w:r>
            <w:r w:rsidR="00E35D2D">
              <w:t>6</w:t>
            </w:r>
          </w:p>
        </w:tc>
        <w:tc>
          <w:tcPr>
            <w:tcW w:w="2340" w:type="dxa"/>
            <w:tcBorders>
              <w:left w:val="single" w:sz="4" w:space="0" w:color="auto"/>
              <w:bottom w:val="single" w:sz="4" w:space="0" w:color="auto"/>
              <w:right w:val="single" w:sz="4" w:space="0" w:color="auto"/>
            </w:tcBorders>
          </w:tcPr>
          <w:p w:rsidR="00221D10" w:rsidRDefault="00C9587A">
            <w:pPr>
              <w:jc w:val="center"/>
            </w:pPr>
            <w:r>
              <w:t>$</w:t>
            </w:r>
            <w:r w:rsidR="005F14C3">
              <w:t>10</w:t>
            </w:r>
            <w:r w:rsidR="00E35D2D">
              <w:t>3,880</w:t>
            </w:r>
          </w:p>
        </w:tc>
      </w:tr>
    </w:tbl>
    <w:p w:rsidR="00221D10" w:rsidRDefault="00221D10"/>
    <w:p w:rsidR="00221D10" w:rsidRDefault="00221D10">
      <w:r>
        <w:t xml:space="preserve">The cost to respondents is based on the salary of a regulatory affairs </w:t>
      </w:r>
      <w:r w:rsidR="0011248C">
        <w:t xml:space="preserve">specialist, at a </w:t>
      </w:r>
      <w:r w:rsidR="005F14C3">
        <w:t>pay rate of $5</w:t>
      </w:r>
      <w:r w:rsidR="00351A3A">
        <w:t>6</w:t>
      </w:r>
      <w:r>
        <w:t xml:space="preserve"> per hour, who is respo</w:t>
      </w:r>
      <w:r w:rsidR="007C7064">
        <w:t>nsible for filling out</w:t>
      </w:r>
      <w:r w:rsidR="00B97776">
        <w:t xml:space="preserve"> and submitting the </w:t>
      </w:r>
      <w:r w:rsidR="00CC5ABF">
        <w:t xml:space="preserve">Prescription Drug </w:t>
      </w:r>
      <w:r w:rsidR="00B97776">
        <w:t>User Fee Cover Sheet</w:t>
      </w:r>
      <w:r>
        <w:t>.  This salary estimate includes benefits</w:t>
      </w:r>
      <w:r w:rsidR="00E9315E">
        <w:t>,</w:t>
      </w:r>
      <w:r>
        <w:t xml:space="preserve"> but no overhead costs.</w:t>
      </w:r>
    </w:p>
    <w:p w:rsidR="00221D10" w:rsidRDefault="00221D10"/>
    <w:p w:rsidR="005F1F93" w:rsidRDefault="005F1F93"/>
    <w:p w:rsidR="00221D10" w:rsidRPr="00DF0F8A" w:rsidRDefault="00221D10">
      <w:pPr>
        <w:rPr>
          <w:bCs/>
          <w:u w:val="single"/>
        </w:rPr>
      </w:pPr>
      <w:r>
        <w:t xml:space="preserve"> </w:t>
      </w:r>
      <w:r w:rsidR="00DF0F8A">
        <w:rPr>
          <w:bCs/>
        </w:rPr>
        <w:t xml:space="preserve">13.  </w:t>
      </w:r>
      <w:r w:rsidR="00DF0F8A">
        <w:rPr>
          <w:bCs/>
          <w:u w:val="single"/>
        </w:rPr>
        <w:t xml:space="preserve">Estimates of Other Total Annual </w:t>
      </w:r>
      <w:r w:rsidR="00FF0C91">
        <w:rPr>
          <w:bCs/>
          <w:u w:val="single"/>
        </w:rPr>
        <w:t>Cost</w:t>
      </w:r>
      <w:r w:rsidR="008742CD">
        <w:rPr>
          <w:bCs/>
          <w:u w:val="single"/>
        </w:rPr>
        <w:t>s</w:t>
      </w:r>
      <w:r w:rsidR="00FF0C91">
        <w:rPr>
          <w:bCs/>
          <w:u w:val="single"/>
        </w:rPr>
        <w:t xml:space="preserve"> to Respondents and</w:t>
      </w:r>
      <w:r w:rsidR="008742CD">
        <w:rPr>
          <w:bCs/>
          <w:u w:val="single"/>
        </w:rPr>
        <w:t>/or</w:t>
      </w:r>
      <w:r w:rsidR="00FF0C91">
        <w:rPr>
          <w:bCs/>
          <w:u w:val="single"/>
        </w:rPr>
        <w:t xml:space="preserve"> R</w:t>
      </w:r>
      <w:r w:rsidR="008742CD">
        <w:rPr>
          <w:bCs/>
          <w:u w:val="single"/>
        </w:rPr>
        <w:t>ecordk</w:t>
      </w:r>
      <w:r w:rsidR="00DF0F8A">
        <w:rPr>
          <w:bCs/>
          <w:u w:val="single"/>
        </w:rPr>
        <w:t>eepers</w:t>
      </w:r>
      <w:r w:rsidR="008742CD">
        <w:rPr>
          <w:bCs/>
          <w:u w:val="single"/>
        </w:rPr>
        <w:t>/Capital Costs</w:t>
      </w:r>
    </w:p>
    <w:p w:rsidR="00221D10" w:rsidRDefault="00221D10"/>
    <w:p w:rsidR="00221D10" w:rsidRPr="00213187" w:rsidRDefault="00221D10">
      <w:r>
        <w:t>There are no capital</w:t>
      </w:r>
      <w:r w:rsidR="00E60303">
        <w:t>, start-</w:t>
      </w:r>
      <w:bookmarkStart w:id="0" w:name="_GoBack"/>
      <w:bookmarkEnd w:id="0"/>
      <w:r w:rsidR="00E60303">
        <w:t xml:space="preserve">up, </w:t>
      </w:r>
      <w:r w:rsidR="00213187">
        <w:t xml:space="preserve">operating </w:t>
      </w:r>
      <w:r w:rsidR="00E60303">
        <w:t xml:space="preserve">or </w:t>
      </w:r>
      <w:r w:rsidR="00213187">
        <w:t xml:space="preserve">maintenance costs </w:t>
      </w:r>
      <w:r w:rsidR="007C7064">
        <w:t>associated with this information</w:t>
      </w:r>
      <w:r w:rsidR="00E60303">
        <w:t xml:space="preserve"> collection</w:t>
      </w:r>
      <w:r w:rsidR="007C7064">
        <w:t xml:space="preserve">. </w:t>
      </w:r>
    </w:p>
    <w:p w:rsidR="00221D10" w:rsidRDefault="00221D10">
      <w:pPr>
        <w:rPr>
          <w:u w:val="single"/>
        </w:rPr>
      </w:pPr>
    </w:p>
    <w:p w:rsidR="005F1F93" w:rsidRDefault="005F1F93">
      <w:pPr>
        <w:rPr>
          <w:u w:val="single"/>
        </w:rPr>
      </w:pPr>
    </w:p>
    <w:p w:rsidR="00221D10" w:rsidRPr="00DF0F8A" w:rsidRDefault="00DF0F8A">
      <w:pPr>
        <w:rPr>
          <w:u w:val="single"/>
        </w:rPr>
      </w:pPr>
      <w:r>
        <w:t xml:space="preserve">14.  </w:t>
      </w:r>
      <w:r>
        <w:rPr>
          <w:u w:val="single"/>
        </w:rPr>
        <w:t>Annualized Cost to the Federal Government</w:t>
      </w:r>
    </w:p>
    <w:p w:rsidR="00221D10" w:rsidRDefault="00221D10"/>
    <w:p w:rsidR="00221D10" w:rsidRDefault="00221D10">
      <w:r>
        <w:t>The estimat</w:t>
      </w:r>
      <w:r w:rsidR="00C3579D">
        <w:t>ed annual cost to FDA is $</w:t>
      </w:r>
      <w:r w:rsidR="007B4DA1">
        <w:t>200,340</w:t>
      </w:r>
      <w:r>
        <w:t xml:space="preserve">.    </w:t>
      </w:r>
    </w:p>
    <w:p w:rsidR="00221D10" w:rsidRDefault="00221D10"/>
    <w:tbl>
      <w:tblPr>
        <w:tblW w:w="0" w:type="auto"/>
        <w:tblInd w:w="100" w:type="dxa"/>
        <w:tblLayout w:type="fixed"/>
        <w:tblCellMar>
          <w:left w:w="100" w:type="dxa"/>
          <w:right w:w="100" w:type="dxa"/>
        </w:tblCellMar>
        <w:tblLook w:val="0000" w:firstRow="0" w:lastRow="0" w:firstColumn="0" w:lastColumn="0" w:noHBand="0" w:noVBand="0"/>
      </w:tblPr>
      <w:tblGrid>
        <w:gridCol w:w="2880"/>
        <w:gridCol w:w="1800"/>
        <w:gridCol w:w="1710"/>
        <w:gridCol w:w="1530"/>
        <w:gridCol w:w="1530"/>
      </w:tblGrid>
      <w:tr w:rsidR="00221D10">
        <w:trPr>
          <w:cantSplit/>
          <w:trHeight w:val="403"/>
        </w:trPr>
        <w:tc>
          <w:tcPr>
            <w:tcW w:w="2880" w:type="dxa"/>
            <w:tcBorders>
              <w:top w:val="single" w:sz="6" w:space="0" w:color="auto"/>
              <w:left w:val="single" w:sz="6" w:space="0" w:color="auto"/>
            </w:tcBorders>
          </w:tcPr>
          <w:p w:rsidR="00221D10" w:rsidRDefault="00221D10">
            <w:pPr>
              <w:jc w:val="center"/>
            </w:pPr>
            <w:r>
              <w:t>Activity</w:t>
            </w:r>
          </w:p>
        </w:tc>
        <w:tc>
          <w:tcPr>
            <w:tcW w:w="1800" w:type="dxa"/>
            <w:tcBorders>
              <w:top w:val="single" w:sz="6" w:space="0" w:color="auto"/>
              <w:left w:val="single" w:sz="6" w:space="0" w:color="auto"/>
            </w:tcBorders>
          </w:tcPr>
          <w:p w:rsidR="00221D10" w:rsidRDefault="00221D10">
            <w:pPr>
              <w:jc w:val="center"/>
            </w:pPr>
            <w:r>
              <w:t>Number of Responses</w:t>
            </w:r>
          </w:p>
        </w:tc>
        <w:tc>
          <w:tcPr>
            <w:tcW w:w="1710" w:type="dxa"/>
            <w:tcBorders>
              <w:top w:val="single" w:sz="6" w:space="0" w:color="auto"/>
              <w:left w:val="single" w:sz="6" w:space="0" w:color="auto"/>
            </w:tcBorders>
          </w:tcPr>
          <w:p w:rsidR="00221D10" w:rsidRDefault="00221D10">
            <w:pPr>
              <w:jc w:val="center"/>
            </w:pPr>
            <w:r>
              <w:t>Hours per Response</w:t>
            </w:r>
          </w:p>
        </w:tc>
        <w:tc>
          <w:tcPr>
            <w:tcW w:w="1530" w:type="dxa"/>
            <w:tcBorders>
              <w:top w:val="single" w:sz="6" w:space="0" w:color="auto"/>
              <w:left w:val="single" w:sz="6" w:space="0" w:color="auto"/>
            </w:tcBorders>
          </w:tcPr>
          <w:p w:rsidR="00221D10" w:rsidRDefault="00221D10">
            <w:pPr>
              <w:jc w:val="center"/>
            </w:pPr>
            <w:r>
              <w:t>Cost per Hour</w:t>
            </w:r>
          </w:p>
        </w:tc>
        <w:tc>
          <w:tcPr>
            <w:tcW w:w="1530" w:type="dxa"/>
            <w:tcBorders>
              <w:top w:val="single" w:sz="6" w:space="0" w:color="auto"/>
              <w:left w:val="single" w:sz="6" w:space="0" w:color="auto"/>
              <w:right w:val="single" w:sz="6" w:space="0" w:color="auto"/>
            </w:tcBorders>
          </w:tcPr>
          <w:p w:rsidR="00221D10" w:rsidRDefault="00221D10">
            <w:pPr>
              <w:jc w:val="center"/>
            </w:pPr>
            <w:r>
              <w:t>Total Cost</w:t>
            </w:r>
          </w:p>
        </w:tc>
      </w:tr>
      <w:tr w:rsidR="00221D10">
        <w:trPr>
          <w:cantSplit/>
          <w:trHeight w:val="403"/>
        </w:trPr>
        <w:tc>
          <w:tcPr>
            <w:tcW w:w="2880" w:type="dxa"/>
            <w:tcBorders>
              <w:top w:val="double" w:sz="4" w:space="0" w:color="auto"/>
              <w:left w:val="single" w:sz="4" w:space="0" w:color="auto"/>
              <w:bottom w:val="single" w:sz="4" w:space="0" w:color="auto"/>
              <w:right w:val="single" w:sz="4" w:space="0" w:color="auto"/>
            </w:tcBorders>
          </w:tcPr>
          <w:p w:rsidR="00221D10" w:rsidRDefault="00221D10">
            <w:pPr>
              <w:jc w:val="center"/>
            </w:pPr>
            <w:r>
              <w:t>Form FDA</w:t>
            </w:r>
            <w:r w:rsidR="00B97D47">
              <w:t xml:space="preserve"> </w:t>
            </w:r>
            <w:r>
              <w:t>3397</w:t>
            </w:r>
          </w:p>
        </w:tc>
        <w:tc>
          <w:tcPr>
            <w:tcW w:w="1800" w:type="dxa"/>
            <w:tcBorders>
              <w:top w:val="double" w:sz="4" w:space="0" w:color="auto"/>
              <w:left w:val="single" w:sz="4" w:space="0" w:color="auto"/>
              <w:bottom w:val="single" w:sz="4" w:space="0" w:color="auto"/>
              <w:right w:val="single" w:sz="4" w:space="0" w:color="auto"/>
            </w:tcBorders>
          </w:tcPr>
          <w:p w:rsidR="00221D10" w:rsidRDefault="00524D58">
            <w:pPr>
              <w:jc w:val="center"/>
            </w:pPr>
            <w:r>
              <w:t>3,710</w:t>
            </w:r>
          </w:p>
        </w:tc>
        <w:tc>
          <w:tcPr>
            <w:tcW w:w="1710" w:type="dxa"/>
            <w:tcBorders>
              <w:top w:val="double" w:sz="4" w:space="0" w:color="auto"/>
              <w:left w:val="single" w:sz="4" w:space="0" w:color="auto"/>
              <w:bottom w:val="single" w:sz="4" w:space="0" w:color="auto"/>
              <w:right w:val="single" w:sz="4" w:space="0" w:color="auto"/>
            </w:tcBorders>
          </w:tcPr>
          <w:p w:rsidR="00221D10" w:rsidRDefault="00C3579D">
            <w:pPr>
              <w:jc w:val="center"/>
            </w:pPr>
            <w:r>
              <w:t>1.0</w:t>
            </w:r>
          </w:p>
        </w:tc>
        <w:tc>
          <w:tcPr>
            <w:tcW w:w="1530" w:type="dxa"/>
            <w:tcBorders>
              <w:top w:val="double" w:sz="4" w:space="0" w:color="auto"/>
              <w:left w:val="single" w:sz="4" w:space="0" w:color="auto"/>
              <w:bottom w:val="single" w:sz="4" w:space="0" w:color="auto"/>
              <w:right w:val="single" w:sz="4" w:space="0" w:color="auto"/>
            </w:tcBorders>
          </w:tcPr>
          <w:p w:rsidR="00221D10" w:rsidRDefault="00C74F61" w:rsidP="003A34C3">
            <w:pPr>
              <w:jc w:val="center"/>
            </w:pPr>
            <w:r>
              <w:t>$</w:t>
            </w:r>
            <w:r w:rsidR="003A34C3">
              <w:t>54</w:t>
            </w:r>
          </w:p>
        </w:tc>
        <w:tc>
          <w:tcPr>
            <w:tcW w:w="1530" w:type="dxa"/>
            <w:tcBorders>
              <w:top w:val="double" w:sz="4" w:space="0" w:color="auto"/>
              <w:left w:val="single" w:sz="4" w:space="0" w:color="auto"/>
              <w:bottom w:val="single" w:sz="4" w:space="0" w:color="auto"/>
              <w:right w:val="single" w:sz="4" w:space="0" w:color="auto"/>
            </w:tcBorders>
          </w:tcPr>
          <w:p w:rsidR="00221D10" w:rsidRDefault="00C74F61" w:rsidP="00880AB6">
            <w:pPr>
              <w:jc w:val="center"/>
            </w:pPr>
            <w:r>
              <w:t>$</w:t>
            </w:r>
            <w:r w:rsidR="007B4DA1">
              <w:t>200</w:t>
            </w:r>
            <w:r w:rsidR="003A34C3">
              <w:t>,340</w:t>
            </w:r>
          </w:p>
        </w:tc>
      </w:tr>
    </w:tbl>
    <w:p w:rsidR="00221D10" w:rsidRDefault="00221D10">
      <w:pPr>
        <w:jc w:val="center"/>
      </w:pPr>
    </w:p>
    <w:p w:rsidR="00221D10" w:rsidRDefault="00221D10">
      <w:r>
        <w:t xml:space="preserve">The estimated </w:t>
      </w:r>
      <w:r w:rsidR="00C3579D">
        <w:t xml:space="preserve">cost is based on FDA office and User Fee staff at an average grade of GS12-5.  The estimate of one hour includes the time associated with the support, review, data entry, and tracking related to the </w:t>
      </w:r>
      <w:r w:rsidR="00CC5ABF">
        <w:t xml:space="preserve">Prescription Drug </w:t>
      </w:r>
      <w:r w:rsidR="00C3579D">
        <w:t>User Fee Cover Sheet.  The salary includes benefits but no overhead costs.</w:t>
      </w:r>
    </w:p>
    <w:p w:rsidR="00221D10" w:rsidRDefault="00221D10">
      <w:pPr>
        <w:rPr>
          <w:b/>
        </w:rPr>
      </w:pPr>
    </w:p>
    <w:p w:rsidR="005F1F93" w:rsidRDefault="005F1F93">
      <w:pPr>
        <w:rPr>
          <w:b/>
        </w:rPr>
      </w:pPr>
    </w:p>
    <w:p w:rsidR="00221D10" w:rsidRPr="00776110" w:rsidRDefault="00776110">
      <w:pPr>
        <w:rPr>
          <w:u w:val="single"/>
        </w:rPr>
      </w:pPr>
      <w:r>
        <w:t xml:space="preserve">15.  </w:t>
      </w:r>
      <w:r>
        <w:rPr>
          <w:u w:val="single"/>
        </w:rPr>
        <w:t>Explanation for Program Change</w:t>
      </w:r>
      <w:r w:rsidR="008742CD">
        <w:rPr>
          <w:u w:val="single"/>
        </w:rPr>
        <w:t>s</w:t>
      </w:r>
      <w:r>
        <w:rPr>
          <w:u w:val="single"/>
        </w:rPr>
        <w:t xml:space="preserve"> or Adjustments</w:t>
      </w:r>
    </w:p>
    <w:p w:rsidR="00221D10" w:rsidRDefault="00221D10"/>
    <w:p w:rsidR="006E7AC9" w:rsidRDefault="00221D10">
      <w:r>
        <w:t xml:space="preserve">The </w:t>
      </w:r>
      <w:r w:rsidR="008F118A">
        <w:t xml:space="preserve">previous burden estimate </w:t>
      </w:r>
      <w:r w:rsidR="006864A4">
        <w:t>wa</w:t>
      </w:r>
      <w:r w:rsidR="00A409CC">
        <w:t xml:space="preserve">s </w:t>
      </w:r>
      <w:r w:rsidR="004537BA">
        <w:t>2,065.5</w:t>
      </w:r>
      <w:r w:rsidR="00A409CC">
        <w:t xml:space="preserve"> hours</w:t>
      </w:r>
      <w:r>
        <w:t xml:space="preserve">.  The current </w:t>
      </w:r>
      <w:r w:rsidR="004537BA">
        <w:t>decrease</w:t>
      </w:r>
      <w:r w:rsidR="003F6133">
        <w:t xml:space="preserve"> in burden</w:t>
      </w:r>
      <w:r w:rsidR="00A409CC">
        <w:t xml:space="preserve"> to </w:t>
      </w:r>
      <w:r w:rsidR="004537BA">
        <w:t>1,855</w:t>
      </w:r>
      <w:r>
        <w:t xml:space="preserve"> hours</w:t>
      </w:r>
      <w:r w:rsidR="00A409CC">
        <w:t xml:space="preserve"> (</w:t>
      </w:r>
      <w:r w:rsidR="004537BA">
        <w:t>-210.5</w:t>
      </w:r>
      <w:r w:rsidR="003F6133">
        <w:t xml:space="preserve"> hours)</w:t>
      </w:r>
      <w:r>
        <w:t xml:space="preserve"> is mostly attributed to the </w:t>
      </w:r>
      <w:r w:rsidR="00C432A1">
        <w:t>decrease</w:t>
      </w:r>
      <w:r w:rsidR="00A409CC">
        <w:t xml:space="preserve"> in</w:t>
      </w:r>
      <w:r w:rsidR="00F233AC">
        <w:t xml:space="preserve"> the number of certain supplements </w:t>
      </w:r>
      <w:r w:rsidR="008F118A">
        <w:t xml:space="preserve">(mostly manufacturing supplements submitted to CDER) </w:t>
      </w:r>
      <w:r w:rsidR="00F233AC">
        <w:t>submitted to FDA under</w:t>
      </w:r>
      <w:r w:rsidR="00A409CC">
        <w:t xml:space="preserve"> total annual responses.</w:t>
      </w:r>
      <w:r w:rsidR="00F233AC">
        <w:t xml:space="preserve">  The overall </w:t>
      </w:r>
      <w:r w:rsidR="00C432A1">
        <w:t>decrease</w:t>
      </w:r>
      <w:r w:rsidR="00F233AC">
        <w:t xml:space="preserve"> is due to the normal variation in the submission of applications and supplements to FDA.</w:t>
      </w:r>
    </w:p>
    <w:p w:rsidR="006E7AC9" w:rsidRDefault="006E7AC9"/>
    <w:p w:rsidR="00CF1844" w:rsidRDefault="00CF1844"/>
    <w:p w:rsidR="00221D10" w:rsidRPr="001D7E4C" w:rsidRDefault="001D7E4C">
      <w:pPr>
        <w:rPr>
          <w:u w:val="single"/>
        </w:rPr>
      </w:pPr>
      <w:r>
        <w:t xml:space="preserve">16.  </w:t>
      </w:r>
      <w:r>
        <w:rPr>
          <w:u w:val="single"/>
        </w:rPr>
        <w:t>Plans for Tabulation and Publication and Project Time Schedule</w:t>
      </w:r>
    </w:p>
    <w:p w:rsidR="00221D10" w:rsidRDefault="00221D10"/>
    <w:p w:rsidR="00221D10" w:rsidRDefault="00221D10">
      <w:r>
        <w:t>There are no tabulated results to publish for this information collection.</w:t>
      </w:r>
    </w:p>
    <w:p w:rsidR="00221D10" w:rsidRDefault="00221D10"/>
    <w:p w:rsidR="005F1F93" w:rsidRDefault="005F1F93"/>
    <w:p w:rsidR="00221D10" w:rsidRDefault="001D7E4C">
      <w:r>
        <w:t xml:space="preserve">17.  </w:t>
      </w:r>
      <w:r>
        <w:rPr>
          <w:u w:val="single"/>
        </w:rPr>
        <w:t>Reason(s) Dis</w:t>
      </w:r>
      <w:r w:rsidR="008742CD">
        <w:rPr>
          <w:u w:val="single"/>
        </w:rPr>
        <w:t>play of OMB Expiration Date is Ina</w:t>
      </w:r>
      <w:r>
        <w:rPr>
          <w:u w:val="single"/>
        </w:rPr>
        <w:t>ppropriate</w:t>
      </w:r>
      <w:r w:rsidR="00221D10">
        <w:t xml:space="preserve"> </w:t>
      </w:r>
    </w:p>
    <w:p w:rsidR="00221D10" w:rsidRDefault="00221D10"/>
    <w:p w:rsidR="00221D10" w:rsidRDefault="00221D10">
      <w:r>
        <w:t>FDA is not seeking approval to exempt di</w:t>
      </w:r>
      <w:r w:rsidR="001D7E4C">
        <w:t>splay of the expiration date of the</w:t>
      </w:r>
      <w:r>
        <w:t xml:space="preserve"> OMB approval.</w:t>
      </w:r>
    </w:p>
    <w:p w:rsidR="00221D10" w:rsidRDefault="00221D10"/>
    <w:p w:rsidR="005F1F93" w:rsidRDefault="005F1F93"/>
    <w:p w:rsidR="00221D10" w:rsidRPr="001D7E4C" w:rsidRDefault="00221D10">
      <w:pPr>
        <w:rPr>
          <w:u w:val="single"/>
        </w:rPr>
      </w:pPr>
      <w:r w:rsidRPr="001D7E4C">
        <w:t xml:space="preserve">18.  </w:t>
      </w:r>
      <w:r w:rsidR="00E369E6" w:rsidRPr="001D7E4C">
        <w:rPr>
          <w:u w:val="single"/>
        </w:rPr>
        <w:t>Exceptions to</w:t>
      </w:r>
      <w:r w:rsidR="001D7E4C" w:rsidRPr="001D7E4C">
        <w:rPr>
          <w:u w:val="single"/>
        </w:rPr>
        <w:t xml:space="preserve"> </w:t>
      </w:r>
      <w:r w:rsidRPr="001D7E4C">
        <w:rPr>
          <w:u w:val="single"/>
        </w:rPr>
        <w:t>Certification for Paperwork Reduction Act Submissions</w:t>
      </w:r>
    </w:p>
    <w:p w:rsidR="00221D10" w:rsidRDefault="00221D10">
      <w:pPr>
        <w:rPr>
          <w:u w:val="single"/>
        </w:rPr>
      </w:pPr>
    </w:p>
    <w:p w:rsidR="00221D10" w:rsidRDefault="00285C70">
      <w:r>
        <w:t>There are no exceptions to the certification.</w:t>
      </w:r>
    </w:p>
    <w:sectPr w:rsidR="00221D10">
      <w:footerReference w:type="even" r:id="rId8"/>
      <w:footerReference w:type="default" r:id="rId9"/>
      <w:footerReference w:type="first" r:id="rId10"/>
      <w:footnotePr>
        <w:pos w:val="beneathText"/>
      </w:foot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98B" w:rsidRDefault="0001698B">
      <w:r>
        <w:separator/>
      </w:r>
    </w:p>
  </w:endnote>
  <w:endnote w:type="continuationSeparator" w:id="0">
    <w:p w:rsidR="0001698B" w:rsidRDefault="0001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0F" w:rsidRDefault="00320D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0D0F" w:rsidRDefault="00320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0F" w:rsidRDefault="00320D0F">
    <w:pPr>
      <w:pStyle w:val="Footer"/>
      <w:rPr>
        <w:sz w:val="16"/>
      </w:rPr>
    </w:pPr>
  </w:p>
  <w:p w:rsidR="00320D0F" w:rsidRDefault="00320D0F">
    <w:pPr>
      <w:pStyle w:val="Footer"/>
    </w:pPr>
    <w:r>
      <w:rPr>
        <w:sz w:val="16"/>
      </w:rPr>
      <w:tab/>
    </w:r>
    <w:r>
      <w:rPr>
        <w:sz w:val="16"/>
      </w:rPr>
      <w:tab/>
      <w:t xml:space="preserve">P. </w:t>
    </w:r>
    <w:r>
      <w:rPr>
        <w:rStyle w:val="PageNumber"/>
        <w:sz w:val="16"/>
      </w:rPr>
      <w:fldChar w:fldCharType="begin"/>
    </w:r>
    <w:r>
      <w:rPr>
        <w:rStyle w:val="PageNumber"/>
        <w:sz w:val="16"/>
      </w:rPr>
      <w:instrText xml:space="preserve"> PAGE </w:instrText>
    </w:r>
    <w:r>
      <w:rPr>
        <w:rStyle w:val="PageNumber"/>
        <w:sz w:val="16"/>
      </w:rPr>
      <w:fldChar w:fldCharType="separate"/>
    </w:r>
    <w:r w:rsidR="00E60303">
      <w:rPr>
        <w:rStyle w:val="PageNumber"/>
        <w:noProof/>
        <w:sz w:val="16"/>
      </w:rPr>
      <w:t>4</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E60303">
      <w:rPr>
        <w:rStyle w:val="PageNumber"/>
        <w:noProof/>
        <w:sz w:val="16"/>
      </w:rPr>
      <w:t>5</w:t>
    </w:r>
    <w:r>
      <w:rPr>
        <w:rStyle w:val="PageNumbe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0F" w:rsidRDefault="00320D0F">
    <w:pPr>
      <w:pStyle w:val="Footer"/>
      <w:rPr>
        <w:sz w:val="16"/>
      </w:rPr>
    </w:pPr>
  </w:p>
  <w:p w:rsidR="00320D0F" w:rsidRDefault="00320D0F">
    <w:pPr>
      <w:pStyle w:val="Footer"/>
      <w:rPr>
        <w:sz w:val="16"/>
      </w:rPr>
    </w:pPr>
    <w:r>
      <w:rPr>
        <w:sz w:val="16"/>
      </w:rPr>
      <w:tab/>
    </w:r>
    <w:r>
      <w:rPr>
        <w:sz w:val="16"/>
      </w:rPr>
      <w:tab/>
      <w:t xml:space="preserve">P. </w:t>
    </w:r>
    <w:r>
      <w:rPr>
        <w:rStyle w:val="PageNumber"/>
        <w:sz w:val="16"/>
      </w:rPr>
      <w:fldChar w:fldCharType="begin"/>
    </w:r>
    <w:r>
      <w:rPr>
        <w:rStyle w:val="PageNumber"/>
        <w:sz w:val="16"/>
      </w:rPr>
      <w:instrText xml:space="preserve"> PAGE </w:instrText>
    </w:r>
    <w:r>
      <w:rPr>
        <w:rStyle w:val="PageNumber"/>
        <w:sz w:val="16"/>
      </w:rPr>
      <w:fldChar w:fldCharType="separate"/>
    </w:r>
    <w:r w:rsidR="00E60303">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E60303">
      <w:rPr>
        <w:rStyle w:val="PageNumber"/>
        <w:noProof/>
        <w:sz w:val="16"/>
      </w:rPr>
      <w:t>5</w:t>
    </w:r>
    <w:r>
      <w:rPr>
        <w:rStyle w:val="PageNumber"/>
        <w:sz w:val="16"/>
      </w:rPr>
      <w:fldChar w:fldCharType="end"/>
    </w:r>
  </w:p>
  <w:p w:rsidR="00320D0F" w:rsidRDefault="00320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98B" w:rsidRDefault="0001698B">
      <w:r>
        <w:separator/>
      </w:r>
    </w:p>
  </w:footnote>
  <w:footnote w:type="continuationSeparator" w:id="0">
    <w:p w:rsidR="0001698B" w:rsidRDefault="00016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95A5B"/>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78D6040C"/>
    <w:multiLevelType w:val="hybridMultilevel"/>
    <w:tmpl w:val="CA0CC6B6"/>
    <w:lvl w:ilvl="0" w:tplc="0409000F">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E85572"/>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D10"/>
    <w:rsid w:val="00001F95"/>
    <w:rsid w:val="00014451"/>
    <w:rsid w:val="0001698B"/>
    <w:rsid w:val="0004139C"/>
    <w:rsid w:val="000473A9"/>
    <w:rsid w:val="00086C44"/>
    <w:rsid w:val="000905E9"/>
    <w:rsid w:val="000945CE"/>
    <w:rsid w:val="000A1E97"/>
    <w:rsid w:val="000A6587"/>
    <w:rsid w:val="000B5C86"/>
    <w:rsid w:val="000D6DFE"/>
    <w:rsid w:val="001118BB"/>
    <w:rsid w:val="0011248C"/>
    <w:rsid w:val="001205A6"/>
    <w:rsid w:val="001367FB"/>
    <w:rsid w:val="00141F78"/>
    <w:rsid w:val="00174D43"/>
    <w:rsid w:val="001860FD"/>
    <w:rsid w:val="00191A3A"/>
    <w:rsid w:val="001C1AD9"/>
    <w:rsid w:val="001C2B4A"/>
    <w:rsid w:val="001D1B6F"/>
    <w:rsid w:val="001D7E4C"/>
    <w:rsid w:val="001E2794"/>
    <w:rsid w:val="001E4E91"/>
    <w:rsid w:val="001E5F46"/>
    <w:rsid w:val="001E779A"/>
    <w:rsid w:val="00207891"/>
    <w:rsid w:val="00213187"/>
    <w:rsid w:val="00213F03"/>
    <w:rsid w:val="002217C1"/>
    <w:rsid w:val="00221D10"/>
    <w:rsid w:val="00237D01"/>
    <w:rsid w:val="00243CCA"/>
    <w:rsid w:val="00255CCB"/>
    <w:rsid w:val="00262CBA"/>
    <w:rsid w:val="00264A71"/>
    <w:rsid w:val="00265C0D"/>
    <w:rsid w:val="00285C70"/>
    <w:rsid w:val="002B0D58"/>
    <w:rsid w:val="00320D0F"/>
    <w:rsid w:val="0033510B"/>
    <w:rsid w:val="00351A3A"/>
    <w:rsid w:val="00370644"/>
    <w:rsid w:val="003746A3"/>
    <w:rsid w:val="003843CD"/>
    <w:rsid w:val="00394F01"/>
    <w:rsid w:val="003A34C3"/>
    <w:rsid w:val="003C6265"/>
    <w:rsid w:val="003D269D"/>
    <w:rsid w:val="003D3FD0"/>
    <w:rsid w:val="003F0F87"/>
    <w:rsid w:val="003F6133"/>
    <w:rsid w:val="0041732C"/>
    <w:rsid w:val="004537BA"/>
    <w:rsid w:val="0048706C"/>
    <w:rsid w:val="00496995"/>
    <w:rsid w:val="004C4198"/>
    <w:rsid w:val="004D2FBE"/>
    <w:rsid w:val="004F5A23"/>
    <w:rsid w:val="005142BB"/>
    <w:rsid w:val="00524D58"/>
    <w:rsid w:val="00525E66"/>
    <w:rsid w:val="00534E0F"/>
    <w:rsid w:val="0054038E"/>
    <w:rsid w:val="0057085F"/>
    <w:rsid w:val="00595D76"/>
    <w:rsid w:val="005D6643"/>
    <w:rsid w:val="005F14C3"/>
    <w:rsid w:val="005F1F93"/>
    <w:rsid w:val="005F6C7C"/>
    <w:rsid w:val="0061652F"/>
    <w:rsid w:val="00621EC4"/>
    <w:rsid w:val="00642821"/>
    <w:rsid w:val="00646417"/>
    <w:rsid w:val="006864A4"/>
    <w:rsid w:val="006A5D26"/>
    <w:rsid w:val="006B4DCD"/>
    <w:rsid w:val="006E7573"/>
    <w:rsid w:val="006E7AC9"/>
    <w:rsid w:val="006F26AE"/>
    <w:rsid w:val="006F38E3"/>
    <w:rsid w:val="00712ED2"/>
    <w:rsid w:val="007254C7"/>
    <w:rsid w:val="00727F74"/>
    <w:rsid w:val="00742C27"/>
    <w:rsid w:val="00746618"/>
    <w:rsid w:val="00776110"/>
    <w:rsid w:val="007A6F4E"/>
    <w:rsid w:val="007B1007"/>
    <w:rsid w:val="007B4DA1"/>
    <w:rsid w:val="007C51F9"/>
    <w:rsid w:val="007C7064"/>
    <w:rsid w:val="007F45C7"/>
    <w:rsid w:val="007F48D9"/>
    <w:rsid w:val="008009EE"/>
    <w:rsid w:val="00831981"/>
    <w:rsid w:val="00850467"/>
    <w:rsid w:val="00864BC1"/>
    <w:rsid w:val="00867086"/>
    <w:rsid w:val="008742CD"/>
    <w:rsid w:val="00880AB6"/>
    <w:rsid w:val="0089077C"/>
    <w:rsid w:val="008B6AD1"/>
    <w:rsid w:val="008F118A"/>
    <w:rsid w:val="008F2D75"/>
    <w:rsid w:val="008F3CF7"/>
    <w:rsid w:val="00905CEA"/>
    <w:rsid w:val="00923D0B"/>
    <w:rsid w:val="00926182"/>
    <w:rsid w:val="009407EA"/>
    <w:rsid w:val="00962E56"/>
    <w:rsid w:val="0096442A"/>
    <w:rsid w:val="0098539F"/>
    <w:rsid w:val="00995139"/>
    <w:rsid w:val="009970A3"/>
    <w:rsid w:val="009B039C"/>
    <w:rsid w:val="009B19DB"/>
    <w:rsid w:val="00A13E3E"/>
    <w:rsid w:val="00A409CC"/>
    <w:rsid w:val="00A43850"/>
    <w:rsid w:val="00A44969"/>
    <w:rsid w:val="00A636C6"/>
    <w:rsid w:val="00A912DA"/>
    <w:rsid w:val="00AA7640"/>
    <w:rsid w:val="00AD62AD"/>
    <w:rsid w:val="00B31ACA"/>
    <w:rsid w:val="00B52E1F"/>
    <w:rsid w:val="00B60A0D"/>
    <w:rsid w:val="00B81F7B"/>
    <w:rsid w:val="00B91ED7"/>
    <w:rsid w:val="00B94FC3"/>
    <w:rsid w:val="00B97776"/>
    <w:rsid w:val="00B97D47"/>
    <w:rsid w:val="00BB48A5"/>
    <w:rsid w:val="00BD566D"/>
    <w:rsid w:val="00BE32EA"/>
    <w:rsid w:val="00BF28BE"/>
    <w:rsid w:val="00C12AFF"/>
    <w:rsid w:val="00C15ACE"/>
    <w:rsid w:val="00C21AB4"/>
    <w:rsid w:val="00C353FF"/>
    <w:rsid w:val="00C3579D"/>
    <w:rsid w:val="00C432A1"/>
    <w:rsid w:val="00C74F61"/>
    <w:rsid w:val="00C92615"/>
    <w:rsid w:val="00C9587A"/>
    <w:rsid w:val="00CB5723"/>
    <w:rsid w:val="00CB7A7F"/>
    <w:rsid w:val="00CC5ABF"/>
    <w:rsid w:val="00CD2C85"/>
    <w:rsid w:val="00CF1844"/>
    <w:rsid w:val="00CF57BA"/>
    <w:rsid w:val="00D2567C"/>
    <w:rsid w:val="00D502E6"/>
    <w:rsid w:val="00D64D91"/>
    <w:rsid w:val="00D756F9"/>
    <w:rsid w:val="00D75EF8"/>
    <w:rsid w:val="00DA3DD4"/>
    <w:rsid w:val="00DF0F8A"/>
    <w:rsid w:val="00DF2993"/>
    <w:rsid w:val="00DF4326"/>
    <w:rsid w:val="00DF7EEF"/>
    <w:rsid w:val="00E23ABA"/>
    <w:rsid w:val="00E2520B"/>
    <w:rsid w:val="00E35D2D"/>
    <w:rsid w:val="00E369E6"/>
    <w:rsid w:val="00E43340"/>
    <w:rsid w:val="00E46BD5"/>
    <w:rsid w:val="00E60303"/>
    <w:rsid w:val="00E820A0"/>
    <w:rsid w:val="00E8224C"/>
    <w:rsid w:val="00E86324"/>
    <w:rsid w:val="00E9315E"/>
    <w:rsid w:val="00EB34AA"/>
    <w:rsid w:val="00EB6C4B"/>
    <w:rsid w:val="00F12CBF"/>
    <w:rsid w:val="00F233AC"/>
    <w:rsid w:val="00F44DC2"/>
    <w:rsid w:val="00F47C55"/>
    <w:rsid w:val="00F626BE"/>
    <w:rsid w:val="00F91CB9"/>
    <w:rsid w:val="00FB7390"/>
    <w:rsid w:val="00FD2568"/>
    <w:rsid w:val="00FF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numPr>
        <w:ilvl w:val="12"/>
      </w:numPr>
      <w:ind w:left="720"/>
      <w:outlineLvl w:val="1"/>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ind w:left="720" w:hanging="720"/>
    </w:pPr>
    <w:rPr>
      <w:rFonts w:ascii="CG Times" w:hAnsi="CG Times"/>
      <w:b/>
      <w:caps/>
    </w:rPr>
  </w:style>
  <w:style w:type="paragraph" w:styleId="TOC2">
    <w:name w:val="toc 2"/>
    <w:basedOn w:val="Normal"/>
    <w:next w:val="Normal"/>
    <w:autoRedefine/>
    <w:semiHidden/>
    <w:pPr>
      <w:ind w:left="1440" w:hanging="720"/>
    </w:pPr>
    <w:rPr>
      <w:rFonts w:ascii="CG Times" w:hAnsi="CG Times"/>
    </w:rPr>
  </w:style>
  <w:style w:type="paragraph" w:styleId="Title">
    <w:name w:val="Title"/>
    <w:basedOn w:val="Normal"/>
    <w:qFormat/>
    <w:pPr>
      <w:jc w:val="center"/>
    </w:pPr>
    <w:rPr>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394F01"/>
    <w:rPr>
      <w:rFonts w:ascii="Tahoma" w:hAnsi="Tahoma" w:cs="Tahoma"/>
      <w:sz w:val="16"/>
      <w:szCs w:val="16"/>
    </w:rPr>
  </w:style>
  <w:style w:type="character" w:styleId="CommentReference">
    <w:name w:val="annotation reference"/>
    <w:basedOn w:val="DefaultParagraphFont"/>
    <w:rsid w:val="00905CEA"/>
    <w:rPr>
      <w:sz w:val="16"/>
      <w:szCs w:val="16"/>
    </w:rPr>
  </w:style>
  <w:style w:type="paragraph" w:styleId="CommentText">
    <w:name w:val="annotation text"/>
    <w:basedOn w:val="Normal"/>
    <w:link w:val="CommentTextChar"/>
    <w:rsid w:val="00905CEA"/>
    <w:rPr>
      <w:sz w:val="20"/>
    </w:rPr>
  </w:style>
  <w:style w:type="character" w:customStyle="1" w:styleId="CommentTextChar">
    <w:name w:val="Comment Text Char"/>
    <w:basedOn w:val="DefaultParagraphFont"/>
    <w:link w:val="CommentText"/>
    <w:rsid w:val="00905CEA"/>
  </w:style>
  <w:style w:type="paragraph" w:styleId="CommentSubject">
    <w:name w:val="annotation subject"/>
    <w:basedOn w:val="CommentText"/>
    <w:next w:val="CommentText"/>
    <w:link w:val="CommentSubjectChar"/>
    <w:rsid w:val="00905CEA"/>
    <w:rPr>
      <w:b/>
      <w:bCs/>
    </w:rPr>
  </w:style>
  <w:style w:type="character" w:customStyle="1" w:styleId="CommentSubjectChar">
    <w:name w:val="Comment Subject Char"/>
    <w:basedOn w:val="CommentTextChar"/>
    <w:link w:val="CommentSubject"/>
    <w:rsid w:val="00905C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OMB INFORMATION COLLECTION</vt:lpstr>
    </vt:vector>
  </TitlesOfParts>
  <Company>FDA</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INFORMATION COLLECTION</dc:title>
  <dc:creator>ASTRID L. SZETO</dc:creator>
  <cp:lastModifiedBy>Mizrachi, Ila</cp:lastModifiedBy>
  <cp:revision>3</cp:revision>
  <cp:lastPrinted>2015-05-14T01:30:00Z</cp:lastPrinted>
  <dcterms:created xsi:type="dcterms:W3CDTF">2015-10-07T19:10:00Z</dcterms:created>
  <dcterms:modified xsi:type="dcterms:W3CDTF">2015-10-23T19:18:00Z</dcterms:modified>
</cp:coreProperties>
</file>