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30D0E" w14:textId="77777777" w:rsidR="00EF075E" w:rsidRDefault="00EF075E" w:rsidP="00EF075E">
      <w:pPr>
        <w:pStyle w:val="NoSpacing"/>
      </w:pPr>
      <w:bookmarkStart w:id="0" w:name="_GoBack"/>
      <w:bookmarkEnd w:id="0"/>
    </w:p>
    <w:p w14:paraId="2CF8789A" w14:textId="77777777" w:rsidR="00EF075E" w:rsidRDefault="00EF075E" w:rsidP="00EF075E">
      <w:pPr>
        <w:pStyle w:val="NoSpacing"/>
      </w:pPr>
    </w:p>
    <w:p w14:paraId="53376D5C" w14:textId="77777777" w:rsidR="00EF075E" w:rsidRDefault="00EF075E" w:rsidP="00EF075E">
      <w:pPr>
        <w:pStyle w:val="NoSpacing"/>
      </w:pPr>
    </w:p>
    <w:p w14:paraId="106B42DC" w14:textId="77777777" w:rsidR="00EF075E" w:rsidRDefault="00EF075E" w:rsidP="00EF075E">
      <w:pPr>
        <w:pStyle w:val="NoSpacing"/>
      </w:pPr>
    </w:p>
    <w:p w14:paraId="7DF09CA1" w14:textId="77777777" w:rsidR="00EF075E" w:rsidRDefault="00EF075E" w:rsidP="00EF075E">
      <w:pPr>
        <w:pStyle w:val="NoSpacing"/>
      </w:pPr>
    </w:p>
    <w:p w14:paraId="12B5BADC" w14:textId="77777777" w:rsidR="00EF075E" w:rsidRDefault="00EF075E" w:rsidP="00EF075E">
      <w:pPr>
        <w:pStyle w:val="NoSpacing"/>
      </w:pPr>
    </w:p>
    <w:p w14:paraId="60CE52D3" w14:textId="77777777" w:rsidR="00EF075E" w:rsidRDefault="00EF075E" w:rsidP="00EF075E">
      <w:pPr>
        <w:pStyle w:val="NoSpacing"/>
      </w:pPr>
    </w:p>
    <w:p w14:paraId="664C5EBD" w14:textId="77777777" w:rsidR="00EF075E" w:rsidRDefault="00EF075E" w:rsidP="00EF075E">
      <w:pPr>
        <w:pStyle w:val="NoSpacing"/>
      </w:pPr>
    </w:p>
    <w:p w14:paraId="1ADB5CB1" w14:textId="77777777" w:rsidR="00EF075E" w:rsidRDefault="00EF075E" w:rsidP="00EF075E">
      <w:pPr>
        <w:pStyle w:val="NoSpacing"/>
      </w:pPr>
    </w:p>
    <w:p w14:paraId="6C7FB895" w14:textId="77777777" w:rsidR="00EF075E" w:rsidRDefault="00EF075E" w:rsidP="00EF075E">
      <w:pPr>
        <w:pStyle w:val="NoSpacing"/>
      </w:pPr>
    </w:p>
    <w:p w14:paraId="7AD91480" w14:textId="77777777" w:rsidR="00EF075E" w:rsidRDefault="00EF075E" w:rsidP="00EF075E">
      <w:pPr>
        <w:pStyle w:val="NoSpacing"/>
      </w:pPr>
    </w:p>
    <w:p w14:paraId="74F473C0" w14:textId="77777777" w:rsidR="00EF075E" w:rsidRDefault="00EF075E" w:rsidP="00EF075E">
      <w:pPr>
        <w:pStyle w:val="NoSpacing"/>
      </w:pPr>
    </w:p>
    <w:p w14:paraId="61097353" w14:textId="77777777" w:rsidR="00EF075E" w:rsidRPr="00EF075E" w:rsidRDefault="00EF075E" w:rsidP="00EF075E">
      <w:pPr>
        <w:pStyle w:val="NoSpacing"/>
        <w:jc w:val="center"/>
        <w:rPr>
          <w:b/>
        </w:rPr>
      </w:pPr>
    </w:p>
    <w:p w14:paraId="429A2A9E" w14:textId="77777777" w:rsidR="00EF075E" w:rsidRPr="00EF075E" w:rsidRDefault="00EF075E" w:rsidP="00EF075E">
      <w:pPr>
        <w:pStyle w:val="NoSpacing"/>
        <w:jc w:val="center"/>
        <w:rPr>
          <w:b/>
        </w:rPr>
      </w:pPr>
      <w:r w:rsidRPr="00EF075E">
        <w:rPr>
          <w:b/>
        </w:rPr>
        <w:t>U.S. DEPA</w:t>
      </w:r>
      <w:r w:rsidR="00CF0225">
        <w:rPr>
          <w:b/>
        </w:rPr>
        <w:t>R</w:t>
      </w:r>
      <w:r w:rsidRPr="00EF075E">
        <w:rPr>
          <w:b/>
        </w:rPr>
        <w:t>TMENT OF HE</w:t>
      </w:r>
      <w:r w:rsidR="00AB431D">
        <w:rPr>
          <w:b/>
        </w:rPr>
        <w:t>A</w:t>
      </w:r>
      <w:r w:rsidRPr="00EF075E">
        <w:rPr>
          <w:b/>
        </w:rPr>
        <w:t>LTH AND HUMAN SERVICES</w:t>
      </w:r>
    </w:p>
    <w:p w14:paraId="2F61C5B8" w14:textId="77777777" w:rsidR="00EF075E" w:rsidRPr="00EF075E" w:rsidRDefault="00EF075E" w:rsidP="00EF075E">
      <w:pPr>
        <w:pStyle w:val="NoSpacing"/>
        <w:jc w:val="center"/>
        <w:rPr>
          <w:b/>
        </w:rPr>
      </w:pPr>
      <w:r w:rsidRPr="00EF075E">
        <w:rPr>
          <w:b/>
        </w:rPr>
        <w:t>CENTERS FOR MEDICARE &amp; MEDICAID SERVICES</w:t>
      </w:r>
    </w:p>
    <w:p w14:paraId="54EAE0E9" w14:textId="77777777" w:rsidR="00EF075E" w:rsidRPr="00EF075E" w:rsidRDefault="00EF075E" w:rsidP="00EF075E">
      <w:pPr>
        <w:pStyle w:val="NoSpacing"/>
        <w:jc w:val="center"/>
        <w:rPr>
          <w:b/>
        </w:rPr>
      </w:pPr>
    </w:p>
    <w:p w14:paraId="51C325E8" w14:textId="77777777" w:rsidR="00EF075E" w:rsidRPr="00EF075E" w:rsidRDefault="00EF075E" w:rsidP="00EF075E">
      <w:pPr>
        <w:pStyle w:val="NoSpacing"/>
        <w:jc w:val="center"/>
        <w:rPr>
          <w:b/>
        </w:rPr>
      </w:pPr>
    </w:p>
    <w:p w14:paraId="46921843" w14:textId="77777777" w:rsidR="00EF075E" w:rsidRPr="00EF075E" w:rsidRDefault="00EF075E" w:rsidP="00EF075E">
      <w:pPr>
        <w:pStyle w:val="NoSpacing"/>
        <w:jc w:val="center"/>
        <w:rPr>
          <w:b/>
        </w:rPr>
      </w:pPr>
      <w:r w:rsidRPr="00EF075E">
        <w:rPr>
          <w:b/>
        </w:rPr>
        <w:t>OFFICE OF MANAGEMENT AND BUDGET</w:t>
      </w:r>
    </w:p>
    <w:p w14:paraId="6DB99A27" w14:textId="77777777" w:rsidR="00EF075E" w:rsidRPr="00EF075E" w:rsidRDefault="00EF075E" w:rsidP="00EF075E">
      <w:pPr>
        <w:pStyle w:val="NoSpacing"/>
        <w:jc w:val="center"/>
        <w:rPr>
          <w:b/>
        </w:rPr>
      </w:pPr>
      <w:r w:rsidRPr="00EF075E">
        <w:rPr>
          <w:b/>
        </w:rPr>
        <w:t>PAPERWORK REDUCTION ACT</w:t>
      </w:r>
    </w:p>
    <w:p w14:paraId="045BC5E1" w14:textId="77777777" w:rsidR="00EF075E" w:rsidRPr="00EF075E" w:rsidRDefault="00EF075E" w:rsidP="00EF075E">
      <w:pPr>
        <w:pStyle w:val="NoSpacing"/>
        <w:jc w:val="center"/>
        <w:rPr>
          <w:b/>
        </w:rPr>
      </w:pPr>
      <w:r w:rsidRPr="00EF075E">
        <w:rPr>
          <w:b/>
        </w:rPr>
        <w:t>CLEARANCE PACKAGE</w:t>
      </w:r>
    </w:p>
    <w:p w14:paraId="4FC2F804" w14:textId="77777777" w:rsidR="00EF075E" w:rsidRPr="00F4169E" w:rsidRDefault="00EF075E" w:rsidP="00EF075E">
      <w:pPr>
        <w:pStyle w:val="NoSpacing"/>
      </w:pPr>
    </w:p>
    <w:p w14:paraId="05B1A2E6" w14:textId="77777777" w:rsidR="00EF075E" w:rsidRPr="00F4169E" w:rsidRDefault="00EF075E" w:rsidP="00EF075E">
      <w:pPr>
        <w:pStyle w:val="NoSpacing"/>
      </w:pPr>
    </w:p>
    <w:p w14:paraId="0AC3052F" w14:textId="77777777" w:rsidR="00EF075E" w:rsidRPr="00F4169E" w:rsidRDefault="00EF075E" w:rsidP="00EF075E">
      <w:pPr>
        <w:pStyle w:val="NoSpacing"/>
      </w:pPr>
    </w:p>
    <w:p w14:paraId="76AA9551" w14:textId="77777777" w:rsidR="00EF075E" w:rsidRPr="00F4169E" w:rsidRDefault="00EF075E" w:rsidP="00EF075E">
      <w:pPr>
        <w:pStyle w:val="NoSpacing"/>
      </w:pPr>
    </w:p>
    <w:p w14:paraId="092F3BF1" w14:textId="77777777" w:rsidR="00EF075E" w:rsidRPr="00F4169E" w:rsidRDefault="00EF075E" w:rsidP="00EF075E">
      <w:pPr>
        <w:pStyle w:val="NoSpacing"/>
      </w:pPr>
    </w:p>
    <w:p w14:paraId="741B353C" w14:textId="77777777" w:rsidR="00EF075E" w:rsidRPr="00F4169E" w:rsidRDefault="00EF075E" w:rsidP="00EF075E">
      <w:pPr>
        <w:pStyle w:val="NoSpacing"/>
      </w:pPr>
    </w:p>
    <w:p w14:paraId="52D630D6" w14:textId="77777777" w:rsidR="00EF075E" w:rsidRPr="00F4169E" w:rsidRDefault="00EF075E" w:rsidP="00EF075E">
      <w:pPr>
        <w:pStyle w:val="NoSpacing"/>
        <w:rPr>
          <w:i/>
          <w:u w:val="single"/>
        </w:rPr>
      </w:pPr>
    </w:p>
    <w:p w14:paraId="7E1C6D43" w14:textId="77777777" w:rsidR="00EF075E" w:rsidRPr="00EF075E" w:rsidRDefault="00EF075E" w:rsidP="00A8600F">
      <w:pPr>
        <w:pStyle w:val="Heading1title"/>
      </w:pPr>
      <w:r w:rsidRPr="00EF075E">
        <w:t>SUPPORTING STATEMENT-PART A</w:t>
      </w:r>
    </w:p>
    <w:p w14:paraId="23989648" w14:textId="77777777" w:rsidR="00EF075E" w:rsidRPr="00F4169E" w:rsidRDefault="00EF075E" w:rsidP="00EF075E">
      <w:pPr>
        <w:pStyle w:val="NoSpacing"/>
      </w:pPr>
    </w:p>
    <w:p w14:paraId="2FCA1436" w14:textId="2841D7D1" w:rsidR="00EF075E" w:rsidRPr="00F4169E" w:rsidRDefault="00A813DD" w:rsidP="00EF075E">
      <w:pPr>
        <w:pStyle w:val="NoSpacing"/>
        <w:jc w:val="center"/>
      </w:pPr>
      <w:r>
        <w:t>REVISIONS</w:t>
      </w:r>
      <w:r w:rsidRPr="00F4169E">
        <w:t xml:space="preserve"> </w:t>
      </w:r>
      <w:r w:rsidR="00EF075E" w:rsidRPr="00F4169E">
        <w:t xml:space="preserve">TO THE LTCH CARE DATA SET </w:t>
      </w:r>
    </w:p>
    <w:p w14:paraId="76761D1A" w14:textId="77777777" w:rsidR="00EF075E" w:rsidRPr="00F4169E" w:rsidRDefault="00EF075E" w:rsidP="00EF075E">
      <w:pPr>
        <w:pStyle w:val="NoSpacing"/>
        <w:jc w:val="center"/>
      </w:pPr>
      <w:r w:rsidRPr="00F4169E">
        <w:t>FOR THE COLLECTION OF DATA</w:t>
      </w:r>
    </w:p>
    <w:p w14:paraId="2C476535" w14:textId="77777777" w:rsidR="00EF075E" w:rsidRPr="00F4169E" w:rsidRDefault="00EF075E" w:rsidP="00EF075E">
      <w:pPr>
        <w:pStyle w:val="NoSpacing"/>
        <w:jc w:val="center"/>
      </w:pPr>
      <w:r w:rsidRPr="00F4169E">
        <w:t>PERTAINING TO</w:t>
      </w:r>
    </w:p>
    <w:p w14:paraId="4A027859" w14:textId="77777777" w:rsidR="00EF075E" w:rsidRPr="00F4169E" w:rsidRDefault="00EF075E" w:rsidP="00EF075E">
      <w:pPr>
        <w:pStyle w:val="NoSpacing"/>
        <w:jc w:val="center"/>
      </w:pPr>
      <w:r w:rsidRPr="00F4169E">
        <w:t>LONG-TERM CARE HOSPITAL QUALITY REPORTING PROGRAM</w:t>
      </w:r>
    </w:p>
    <w:p w14:paraId="5BCFBCDB" w14:textId="77777777" w:rsidR="002219EE" w:rsidRDefault="002219EE" w:rsidP="00EF075E">
      <w:pPr>
        <w:pStyle w:val="NoSpacing"/>
      </w:pPr>
    </w:p>
    <w:p w14:paraId="4B8D052F" w14:textId="77777777" w:rsidR="00EF075E" w:rsidRDefault="00EF075E" w:rsidP="00EF075E">
      <w:pPr>
        <w:pStyle w:val="NoSpacing"/>
        <w:sectPr w:rsidR="00EF075E">
          <w:pgSz w:w="12240" w:h="15840"/>
          <w:pgMar w:top="1440" w:right="1440" w:bottom="1440" w:left="1440" w:header="720" w:footer="720" w:gutter="0"/>
          <w:cols w:space="720"/>
          <w:docGrid w:linePitch="360"/>
        </w:sectPr>
      </w:pPr>
    </w:p>
    <w:p w14:paraId="7C0CBDED" w14:textId="77777777" w:rsidR="002216DB" w:rsidRPr="00AA14E5" w:rsidRDefault="002216DB" w:rsidP="002216DB">
      <w:pPr>
        <w:pStyle w:val="NoSpacing"/>
        <w:jc w:val="center"/>
        <w:rPr>
          <w:b/>
          <w:u w:val="single"/>
        </w:rPr>
      </w:pPr>
      <w:r w:rsidRPr="00AA14E5">
        <w:rPr>
          <w:b/>
          <w:u w:val="single"/>
        </w:rPr>
        <w:lastRenderedPageBreak/>
        <w:t>SUPPORTING STATEMENT-PART A</w:t>
      </w:r>
    </w:p>
    <w:p w14:paraId="0FDF35D8" w14:textId="77777777" w:rsidR="002216DB" w:rsidRPr="00AA14E5" w:rsidRDefault="002216DB" w:rsidP="002216DB">
      <w:pPr>
        <w:pStyle w:val="NoSpacing"/>
        <w:jc w:val="center"/>
      </w:pPr>
      <w:r w:rsidRPr="00AA14E5">
        <w:t>LTCH CARE DATA SET</w:t>
      </w:r>
    </w:p>
    <w:p w14:paraId="42452895" w14:textId="77777777" w:rsidR="00B3151F" w:rsidRDefault="00B3151F" w:rsidP="00B3151F">
      <w:pPr>
        <w:pStyle w:val="NoSpacing"/>
        <w:jc w:val="center"/>
      </w:pPr>
      <w:r>
        <w:t xml:space="preserve">FOR THE COLLECTION OF DATA </w:t>
      </w:r>
      <w:r w:rsidR="002216DB" w:rsidRPr="00AA14E5">
        <w:t xml:space="preserve">PERTAINING TO </w:t>
      </w:r>
    </w:p>
    <w:p w14:paraId="7951FEBC" w14:textId="64839B7A" w:rsidR="002216DB" w:rsidRPr="00AA14E5" w:rsidRDefault="002216DB" w:rsidP="00B3151F">
      <w:pPr>
        <w:pStyle w:val="NoSpacing"/>
        <w:jc w:val="center"/>
      </w:pPr>
      <w:r w:rsidRPr="00AA14E5">
        <w:t>THE LONG</w:t>
      </w:r>
      <w:r w:rsidR="002B263F" w:rsidRPr="00AA14E5">
        <w:t>-</w:t>
      </w:r>
      <w:r w:rsidRPr="00AA14E5">
        <w:t>TERM CARE HOSPITAL QUALITY REPORTING PROGRAM</w:t>
      </w:r>
    </w:p>
    <w:p w14:paraId="59A6671C" w14:textId="77777777" w:rsidR="002216DB" w:rsidRPr="00AA14E5" w:rsidRDefault="002216DB" w:rsidP="002216DB">
      <w:pPr>
        <w:pStyle w:val="NoSpacing"/>
        <w:jc w:val="center"/>
      </w:pPr>
    </w:p>
    <w:p w14:paraId="5FCE8971" w14:textId="77777777" w:rsidR="002216DB" w:rsidRPr="00AA14E5" w:rsidRDefault="002216DB" w:rsidP="002216DB">
      <w:pPr>
        <w:pStyle w:val="NoSpacing"/>
        <w:jc w:val="center"/>
      </w:pPr>
    </w:p>
    <w:p w14:paraId="117B9FF3" w14:textId="77777777" w:rsidR="002216DB" w:rsidRPr="00AA14E5" w:rsidRDefault="002216DB" w:rsidP="002216DB">
      <w:pPr>
        <w:pStyle w:val="NoSpacing"/>
        <w:jc w:val="center"/>
      </w:pPr>
    </w:p>
    <w:p w14:paraId="4EB3F655" w14:textId="77777777" w:rsidR="00EF075E" w:rsidRPr="00AA14E5" w:rsidRDefault="00EF075E" w:rsidP="002216DB">
      <w:pPr>
        <w:pStyle w:val="NoSpacing"/>
        <w:jc w:val="center"/>
        <w:rPr>
          <w:b/>
          <w:u w:val="single"/>
        </w:rPr>
      </w:pPr>
      <w:r w:rsidRPr="00AA14E5">
        <w:rPr>
          <w:b/>
          <w:u w:val="single"/>
        </w:rPr>
        <w:t>TABLE OF CONTENTS</w:t>
      </w:r>
    </w:p>
    <w:p w14:paraId="68FDF889" w14:textId="77777777" w:rsidR="002216DB" w:rsidRPr="00AA14E5" w:rsidRDefault="002216DB" w:rsidP="002216DB">
      <w:pPr>
        <w:pStyle w:val="NoSpacing"/>
        <w:jc w:val="center"/>
        <w:rPr>
          <w:b/>
          <w:u w:val="single"/>
        </w:rPr>
      </w:pPr>
    </w:p>
    <w:p w14:paraId="52F55A23" w14:textId="02D2CD6D" w:rsidR="00442BC3" w:rsidRDefault="00EF075E">
      <w:pPr>
        <w:pStyle w:val="TOC1"/>
        <w:rPr>
          <w:rFonts w:asciiTheme="minorHAnsi" w:eastAsiaTheme="minorEastAsia" w:hAnsiTheme="minorHAnsi" w:cstheme="minorBidi"/>
          <w:sz w:val="22"/>
          <w:szCs w:val="22"/>
        </w:rPr>
      </w:pPr>
      <w:r w:rsidRPr="00AA14E5">
        <w:rPr>
          <w:b/>
          <w:sz w:val="22"/>
          <w:szCs w:val="22"/>
        </w:rPr>
        <w:fldChar w:fldCharType="begin"/>
      </w:r>
      <w:r w:rsidRPr="00AA14E5">
        <w:rPr>
          <w:b/>
          <w:sz w:val="22"/>
          <w:szCs w:val="22"/>
        </w:rPr>
        <w:instrText xml:space="preserve"> TOC \o "2-3" \t "Heading 1,1" </w:instrText>
      </w:r>
      <w:r w:rsidRPr="00AA14E5">
        <w:rPr>
          <w:b/>
          <w:sz w:val="22"/>
          <w:szCs w:val="22"/>
        </w:rPr>
        <w:fldChar w:fldCharType="separate"/>
      </w:r>
      <w:r w:rsidR="00442BC3">
        <w:t>1.</w:t>
      </w:r>
      <w:r w:rsidR="00442BC3">
        <w:rPr>
          <w:rFonts w:asciiTheme="minorHAnsi" w:eastAsiaTheme="minorEastAsia" w:hAnsiTheme="minorHAnsi" w:cstheme="minorBidi"/>
          <w:sz w:val="22"/>
          <w:szCs w:val="22"/>
        </w:rPr>
        <w:tab/>
      </w:r>
      <w:r w:rsidR="00442BC3">
        <w:t>Background and Justification</w:t>
      </w:r>
      <w:r w:rsidR="00442BC3">
        <w:tab/>
      </w:r>
      <w:r w:rsidR="00442BC3">
        <w:fldChar w:fldCharType="begin"/>
      </w:r>
      <w:r w:rsidR="00442BC3">
        <w:instrText xml:space="preserve"> PAGEREF _Toc507151234 \h </w:instrText>
      </w:r>
      <w:r w:rsidR="00442BC3">
        <w:fldChar w:fldCharType="separate"/>
      </w:r>
      <w:r w:rsidR="00B3151F">
        <w:t>1</w:t>
      </w:r>
      <w:r w:rsidR="00442BC3">
        <w:fldChar w:fldCharType="end"/>
      </w:r>
    </w:p>
    <w:p w14:paraId="298FCD8D" w14:textId="0F8BC78E" w:rsidR="00442BC3" w:rsidRDefault="00442BC3">
      <w:pPr>
        <w:pStyle w:val="TOC1"/>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Information Users</w:t>
      </w:r>
      <w:r>
        <w:tab/>
      </w:r>
      <w:r>
        <w:fldChar w:fldCharType="begin"/>
      </w:r>
      <w:r>
        <w:instrText xml:space="preserve"> PAGEREF _Toc507151235 \h </w:instrText>
      </w:r>
      <w:r>
        <w:fldChar w:fldCharType="separate"/>
      </w:r>
      <w:r w:rsidR="00B3151F">
        <w:t>3</w:t>
      </w:r>
      <w:r>
        <w:fldChar w:fldCharType="end"/>
      </w:r>
    </w:p>
    <w:p w14:paraId="0CCD7617" w14:textId="61A9E19A" w:rsidR="00442BC3" w:rsidRDefault="00442BC3">
      <w:pPr>
        <w:pStyle w:val="TOC1"/>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Use of Information Technology</w:t>
      </w:r>
      <w:r>
        <w:tab/>
      </w:r>
      <w:r>
        <w:fldChar w:fldCharType="begin"/>
      </w:r>
      <w:r>
        <w:instrText xml:space="preserve"> PAGEREF _Toc507151236 \h </w:instrText>
      </w:r>
      <w:r>
        <w:fldChar w:fldCharType="separate"/>
      </w:r>
      <w:r w:rsidR="00B3151F">
        <w:t>3</w:t>
      </w:r>
      <w:r>
        <w:fldChar w:fldCharType="end"/>
      </w:r>
    </w:p>
    <w:p w14:paraId="4137F7FE" w14:textId="494B8B76" w:rsidR="00442BC3" w:rsidRDefault="00442BC3">
      <w:pPr>
        <w:pStyle w:val="TOC1"/>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Duplication of Efforts</w:t>
      </w:r>
      <w:r>
        <w:tab/>
      </w:r>
      <w:r>
        <w:fldChar w:fldCharType="begin"/>
      </w:r>
      <w:r>
        <w:instrText xml:space="preserve"> PAGEREF _Toc507151237 \h </w:instrText>
      </w:r>
      <w:r>
        <w:fldChar w:fldCharType="separate"/>
      </w:r>
      <w:r w:rsidR="00B3151F">
        <w:t>3</w:t>
      </w:r>
      <w:r>
        <w:fldChar w:fldCharType="end"/>
      </w:r>
    </w:p>
    <w:p w14:paraId="1B31A87D" w14:textId="0278B249" w:rsidR="00442BC3" w:rsidRDefault="00442BC3">
      <w:pPr>
        <w:pStyle w:val="TOC1"/>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Small Businesses</w:t>
      </w:r>
      <w:r>
        <w:tab/>
      </w:r>
      <w:r>
        <w:fldChar w:fldCharType="begin"/>
      </w:r>
      <w:r>
        <w:instrText xml:space="preserve"> PAGEREF _Toc507151238 \h </w:instrText>
      </w:r>
      <w:r>
        <w:fldChar w:fldCharType="separate"/>
      </w:r>
      <w:r w:rsidR="00B3151F">
        <w:t>3</w:t>
      </w:r>
      <w:r>
        <w:fldChar w:fldCharType="end"/>
      </w:r>
    </w:p>
    <w:p w14:paraId="5B197563" w14:textId="4FFDB7BD" w:rsidR="00442BC3" w:rsidRDefault="00442BC3">
      <w:pPr>
        <w:pStyle w:val="TOC1"/>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Less Frequent Collection</w:t>
      </w:r>
      <w:r>
        <w:tab/>
      </w:r>
      <w:r>
        <w:fldChar w:fldCharType="begin"/>
      </w:r>
      <w:r>
        <w:instrText xml:space="preserve"> PAGEREF _Toc507151239 \h </w:instrText>
      </w:r>
      <w:r>
        <w:fldChar w:fldCharType="separate"/>
      </w:r>
      <w:r w:rsidR="00B3151F">
        <w:t>3</w:t>
      </w:r>
      <w:r>
        <w:fldChar w:fldCharType="end"/>
      </w:r>
    </w:p>
    <w:p w14:paraId="7AB936B8" w14:textId="409B80C1" w:rsidR="00442BC3" w:rsidRDefault="00442BC3">
      <w:pPr>
        <w:pStyle w:val="TOC1"/>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Special Circumstances</w:t>
      </w:r>
      <w:r>
        <w:tab/>
      </w:r>
      <w:r>
        <w:fldChar w:fldCharType="begin"/>
      </w:r>
      <w:r>
        <w:instrText xml:space="preserve"> PAGEREF _Toc507151240 \h </w:instrText>
      </w:r>
      <w:r>
        <w:fldChar w:fldCharType="separate"/>
      </w:r>
      <w:r w:rsidR="00B3151F">
        <w:t>4</w:t>
      </w:r>
      <w:r>
        <w:fldChar w:fldCharType="end"/>
      </w:r>
    </w:p>
    <w:p w14:paraId="2E75364B" w14:textId="32C9439C" w:rsidR="00442BC3" w:rsidRDefault="00442BC3">
      <w:pPr>
        <w:pStyle w:val="TOC1"/>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Federal Register/Outside Consultation</w:t>
      </w:r>
      <w:r>
        <w:tab/>
      </w:r>
      <w:r>
        <w:fldChar w:fldCharType="begin"/>
      </w:r>
      <w:r>
        <w:instrText xml:space="preserve"> PAGEREF _Toc507151241 \h </w:instrText>
      </w:r>
      <w:r>
        <w:fldChar w:fldCharType="separate"/>
      </w:r>
      <w:r w:rsidR="00B3151F">
        <w:t>4</w:t>
      </w:r>
      <w:r>
        <w:fldChar w:fldCharType="end"/>
      </w:r>
    </w:p>
    <w:p w14:paraId="61B0A20D" w14:textId="48A4BFD1" w:rsidR="00442BC3" w:rsidRDefault="00442BC3">
      <w:pPr>
        <w:pStyle w:val="TOC1"/>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Payment/Gifts to Respondents</w:t>
      </w:r>
      <w:r>
        <w:tab/>
      </w:r>
      <w:r>
        <w:fldChar w:fldCharType="begin"/>
      </w:r>
      <w:r>
        <w:instrText xml:space="preserve"> PAGEREF _Toc507151242 \h </w:instrText>
      </w:r>
      <w:r>
        <w:fldChar w:fldCharType="separate"/>
      </w:r>
      <w:r w:rsidR="00B3151F">
        <w:t>4</w:t>
      </w:r>
      <w:r>
        <w:fldChar w:fldCharType="end"/>
      </w:r>
    </w:p>
    <w:p w14:paraId="5045BF83" w14:textId="351FB96D" w:rsidR="00442BC3" w:rsidRDefault="00442BC3">
      <w:pPr>
        <w:pStyle w:val="TOC1"/>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Confidentiality</w:t>
      </w:r>
      <w:r>
        <w:tab/>
      </w:r>
      <w:r>
        <w:fldChar w:fldCharType="begin"/>
      </w:r>
      <w:r>
        <w:instrText xml:space="preserve"> PAGEREF _Toc507151243 \h </w:instrText>
      </w:r>
      <w:r>
        <w:fldChar w:fldCharType="separate"/>
      </w:r>
      <w:r w:rsidR="00B3151F">
        <w:t>4</w:t>
      </w:r>
      <w:r>
        <w:fldChar w:fldCharType="end"/>
      </w:r>
    </w:p>
    <w:p w14:paraId="1ED0E8EC" w14:textId="71267A41" w:rsidR="00442BC3" w:rsidRDefault="00442BC3">
      <w:pPr>
        <w:pStyle w:val="TOC1"/>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Sensitive Questions</w:t>
      </w:r>
      <w:r>
        <w:tab/>
      </w:r>
      <w:r>
        <w:fldChar w:fldCharType="begin"/>
      </w:r>
      <w:r>
        <w:instrText xml:space="preserve"> PAGEREF _Toc507151244 \h </w:instrText>
      </w:r>
      <w:r>
        <w:fldChar w:fldCharType="separate"/>
      </w:r>
      <w:r w:rsidR="00B3151F">
        <w:t>4</w:t>
      </w:r>
      <w:r>
        <w:fldChar w:fldCharType="end"/>
      </w:r>
    </w:p>
    <w:p w14:paraId="4F846187" w14:textId="1706DF36" w:rsidR="00442BC3" w:rsidRDefault="00442BC3">
      <w:pPr>
        <w:pStyle w:val="TOC1"/>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Burden Estimates (Hours &amp; Wages)</w:t>
      </w:r>
      <w:r>
        <w:tab/>
      </w:r>
      <w:r>
        <w:fldChar w:fldCharType="begin"/>
      </w:r>
      <w:r>
        <w:instrText xml:space="preserve"> PAGEREF _Toc507151245 \h </w:instrText>
      </w:r>
      <w:r>
        <w:fldChar w:fldCharType="separate"/>
      </w:r>
      <w:r w:rsidR="00B3151F">
        <w:t>4</w:t>
      </w:r>
      <w:r>
        <w:fldChar w:fldCharType="end"/>
      </w:r>
    </w:p>
    <w:p w14:paraId="249E4FF0" w14:textId="11496F10" w:rsidR="00442BC3" w:rsidRDefault="00442BC3">
      <w:pPr>
        <w:pStyle w:val="TOC1"/>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Capital Costs</w:t>
      </w:r>
      <w:r>
        <w:tab/>
      </w:r>
      <w:r>
        <w:fldChar w:fldCharType="begin"/>
      </w:r>
      <w:r>
        <w:instrText xml:space="preserve"> PAGEREF _Toc507151246 \h </w:instrText>
      </w:r>
      <w:r>
        <w:fldChar w:fldCharType="separate"/>
      </w:r>
      <w:r w:rsidR="00B3151F">
        <w:t>7</w:t>
      </w:r>
      <w:r>
        <w:fldChar w:fldCharType="end"/>
      </w:r>
    </w:p>
    <w:p w14:paraId="686D6022" w14:textId="4B4EFD3D" w:rsidR="00442BC3" w:rsidRDefault="00442BC3">
      <w:pPr>
        <w:pStyle w:val="TOC1"/>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Cost to Federal Government</w:t>
      </w:r>
      <w:r>
        <w:tab/>
      </w:r>
      <w:r>
        <w:fldChar w:fldCharType="begin"/>
      </w:r>
      <w:r>
        <w:instrText xml:space="preserve"> PAGEREF _Toc507151247 \h </w:instrText>
      </w:r>
      <w:r>
        <w:fldChar w:fldCharType="separate"/>
      </w:r>
      <w:r w:rsidR="00B3151F">
        <w:t>7</w:t>
      </w:r>
      <w:r>
        <w:fldChar w:fldCharType="end"/>
      </w:r>
    </w:p>
    <w:p w14:paraId="470DF029" w14:textId="6C7466AF" w:rsidR="00442BC3" w:rsidRDefault="00442BC3">
      <w:pPr>
        <w:pStyle w:val="TOC1"/>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Changes to Burden</w:t>
      </w:r>
      <w:r>
        <w:tab/>
      </w:r>
      <w:r>
        <w:fldChar w:fldCharType="begin"/>
      </w:r>
      <w:r>
        <w:instrText xml:space="preserve"> PAGEREF _Toc507151248 \h </w:instrText>
      </w:r>
      <w:r>
        <w:fldChar w:fldCharType="separate"/>
      </w:r>
      <w:r w:rsidR="00B3151F">
        <w:t>8</w:t>
      </w:r>
      <w:r>
        <w:fldChar w:fldCharType="end"/>
      </w:r>
    </w:p>
    <w:p w14:paraId="7CC33FBD" w14:textId="7A000124" w:rsidR="00442BC3" w:rsidRDefault="00442BC3">
      <w:pPr>
        <w:pStyle w:val="TOC1"/>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Publication/Tabulation Dates</w:t>
      </w:r>
      <w:r>
        <w:tab/>
      </w:r>
      <w:r>
        <w:fldChar w:fldCharType="begin"/>
      </w:r>
      <w:r>
        <w:instrText xml:space="preserve"> PAGEREF _Toc507151249 \h </w:instrText>
      </w:r>
      <w:r>
        <w:fldChar w:fldCharType="separate"/>
      </w:r>
      <w:r w:rsidR="00B3151F">
        <w:t>8</w:t>
      </w:r>
      <w:r>
        <w:fldChar w:fldCharType="end"/>
      </w:r>
    </w:p>
    <w:p w14:paraId="6971369C" w14:textId="36B5A824" w:rsidR="00442BC3" w:rsidRDefault="00442BC3">
      <w:pPr>
        <w:pStyle w:val="TOC1"/>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Expiration Date</w:t>
      </w:r>
      <w:r>
        <w:tab/>
      </w:r>
      <w:r>
        <w:fldChar w:fldCharType="begin"/>
      </w:r>
      <w:r>
        <w:instrText xml:space="preserve"> PAGEREF _Toc507151250 \h </w:instrText>
      </w:r>
      <w:r>
        <w:fldChar w:fldCharType="separate"/>
      </w:r>
      <w:r w:rsidR="00B3151F">
        <w:t>8</w:t>
      </w:r>
      <w:r>
        <w:fldChar w:fldCharType="end"/>
      </w:r>
    </w:p>
    <w:p w14:paraId="3748EFBD" w14:textId="0EDE805C" w:rsidR="00442BC3" w:rsidRDefault="00442BC3">
      <w:pPr>
        <w:pStyle w:val="TOC1"/>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Certification Statement</w:t>
      </w:r>
      <w:r>
        <w:tab/>
      </w:r>
      <w:r>
        <w:fldChar w:fldCharType="begin"/>
      </w:r>
      <w:r>
        <w:instrText xml:space="preserve"> PAGEREF _Toc507151251 \h </w:instrText>
      </w:r>
      <w:r>
        <w:fldChar w:fldCharType="separate"/>
      </w:r>
      <w:r w:rsidR="00B3151F">
        <w:t>8</w:t>
      </w:r>
      <w:r>
        <w:fldChar w:fldCharType="end"/>
      </w:r>
    </w:p>
    <w:p w14:paraId="0422032D" w14:textId="51D66755" w:rsidR="00442BC3" w:rsidRDefault="00442BC3">
      <w:pPr>
        <w:pStyle w:val="TOC1"/>
        <w:rPr>
          <w:rFonts w:asciiTheme="minorHAnsi" w:eastAsiaTheme="minorEastAsia" w:hAnsiTheme="minorHAnsi" w:cstheme="minorBidi"/>
          <w:sz w:val="22"/>
          <w:szCs w:val="22"/>
        </w:rPr>
      </w:pPr>
      <w:r>
        <w:t>Appendices:</w:t>
      </w:r>
      <w:r>
        <w:tab/>
      </w:r>
      <w:r>
        <w:fldChar w:fldCharType="begin"/>
      </w:r>
      <w:r>
        <w:instrText xml:space="preserve"> PAGEREF _Toc507151252 \h </w:instrText>
      </w:r>
      <w:r>
        <w:fldChar w:fldCharType="separate"/>
      </w:r>
      <w:r w:rsidR="00B3151F">
        <w:t>9</w:t>
      </w:r>
      <w:r>
        <w:fldChar w:fldCharType="end"/>
      </w:r>
    </w:p>
    <w:p w14:paraId="27E07CD6" w14:textId="2441FFB5" w:rsidR="00442BC3" w:rsidRDefault="00442BC3">
      <w:pPr>
        <w:pStyle w:val="TOC1"/>
        <w:rPr>
          <w:rFonts w:asciiTheme="minorHAnsi" w:eastAsiaTheme="minorEastAsia" w:hAnsiTheme="minorHAnsi" w:cstheme="minorBidi"/>
          <w:sz w:val="22"/>
          <w:szCs w:val="22"/>
        </w:rPr>
      </w:pPr>
      <w:r>
        <w:t>Appendix A – Final LTCH CARE Data Set V 4.00 and Change Table</w:t>
      </w:r>
      <w:r>
        <w:tab/>
      </w:r>
      <w:r>
        <w:fldChar w:fldCharType="begin"/>
      </w:r>
      <w:r>
        <w:instrText xml:space="preserve"> PAGEREF _Toc507151253 \h </w:instrText>
      </w:r>
      <w:r>
        <w:fldChar w:fldCharType="separate"/>
      </w:r>
      <w:r w:rsidR="00B3151F">
        <w:t>9</w:t>
      </w:r>
      <w:r>
        <w:fldChar w:fldCharType="end"/>
      </w:r>
    </w:p>
    <w:p w14:paraId="61C1C8E3" w14:textId="16799FD5" w:rsidR="00EA4C90" w:rsidRPr="002216DB" w:rsidRDefault="00EF075E" w:rsidP="00EE2E3D">
      <w:pPr>
        <w:pStyle w:val="NoSpacing"/>
        <w:outlineLvl w:val="0"/>
        <w:rPr>
          <w:b/>
        </w:rPr>
        <w:sectPr w:rsidR="00EA4C90" w:rsidRPr="002216DB" w:rsidSect="00EA4C90">
          <w:headerReference w:type="default" r:id="rId10"/>
          <w:footerReference w:type="default" r:id="rId11"/>
          <w:pgSz w:w="12240" w:h="15840"/>
          <w:pgMar w:top="1440" w:right="1440" w:bottom="1440" w:left="1440" w:header="720" w:footer="720" w:gutter="0"/>
          <w:pgNumType w:fmt="lowerRoman" w:start="1"/>
          <w:cols w:space="720"/>
          <w:docGrid w:linePitch="360"/>
        </w:sectPr>
      </w:pPr>
      <w:r w:rsidRPr="00AA14E5">
        <w:rPr>
          <w:b/>
        </w:rPr>
        <w:fldChar w:fldCharType="end"/>
      </w:r>
      <w:r w:rsidR="00EA4C90">
        <w:tab/>
      </w:r>
    </w:p>
    <w:p w14:paraId="62449A88" w14:textId="6F940544" w:rsidR="002C6267" w:rsidRDefault="00EA4C90" w:rsidP="002C6267">
      <w:pPr>
        <w:pStyle w:val="NoSpacing"/>
        <w:jc w:val="center"/>
        <w:rPr>
          <w:b/>
          <w:bCs/>
          <w:u w:val="single"/>
        </w:rPr>
      </w:pPr>
      <w:r w:rsidRPr="00EA4C90">
        <w:rPr>
          <w:b/>
          <w:u w:val="single"/>
        </w:rPr>
        <w:t xml:space="preserve">Supporting Statement </w:t>
      </w:r>
      <w:r w:rsidR="002C6267">
        <w:rPr>
          <w:b/>
          <w:bCs/>
          <w:u w:val="single"/>
        </w:rPr>
        <w:t>Part</w:t>
      </w:r>
      <w:r w:rsidR="002C6267" w:rsidRPr="00EA4C90">
        <w:rPr>
          <w:b/>
          <w:bCs/>
          <w:u w:val="single"/>
        </w:rPr>
        <w:t xml:space="preserve"> A</w:t>
      </w:r>
    </w:p>
    <w:p w14:paraId="7CE94D16" w14:textId="1C9AF6E5" w:rsidR="00EA4C90" w:rsidRPr="00EA4C90" w:rsidRDefault="00EA4C90" w:rsidP="00EA4C90">
      <w:pPr>
        <w:pStyle w:val="NoSpacing"/>
        <w:jc w:val="center"/>
        <w:rPr>
          <w:b/>
          <w:bCs/>
          <w:u w:val="single"/>
        </w:rPr>
      </w:pPr>
    </w:p>
    <w:p w14:paraId="1F3761F3" w14:textId="77777777" w:rsidR="00B704D4" w:rsidRPr="00EA4C90" w:rsidRDefault="00B704D4" w:rsidP="00EA4C90">
      <w:pPr>
        <w:pStyle w:val="NoSpacing"/>
        <w:jc w:val="center"/>
        <w:rPr>
          <w:b/>
          <w:u w:val="single"/>
        </w:rPr>
      </w:pPr>
    </w:p>
    <w:p w14:paraId="2AB55BE1" w14:textId="77777777" w:rsidR="00EA4C90" w:rsidRDefault="00EA4C90" w:rsidP="00B02955">
      <w:pPr>
        <w:pStyle w:val="NoSpacing"/>
        <w:spacing w:after="240"/>
        <w:jc w:val="center"/>
        <w:rPr>
          <w:b/>
          <w:i/>
        </w:rPr>
      </w:pPr>
      <w:r w:rsidRPr="00EA4C90">
        <w:rPr>
          <w:b/>
          <w:i/>
        </w:rPr>
        <w:t xml:space="preserve">LTCH CARE Data Set For the Collection of Data Pertaining </w:t>
      </w:r>
      <w:r w:rsidR="00B02955">
        <w:rPr>
          <w:b/>
          <w:i/>
        </w:rPr>
        <w:br/>
      </w:r>
      <w:r w:rsidRPr="00EA4C90">
        <w:rPr>
          <w:b/>
          <w:i/>
        </w:rPr>
        <w:t>to the Long-Term Care Hospital Quality Reporting Program</w:t>
      </w:r>
    </w:p>
    <w:p w14:paraId="0A928DD9" w14:textId="77777777" w:rsidR="00EA4C90" w:rsidRDefault="00EA4C90" w:rsidP="002216DB">
      <w:pPr>
        <w:pStyle w:val="Heading1"/>
        <w:numPr>
          <w:ilvl w:val="0"/>
          <w:numId w:val="2"/>
        </w:numPr>
      </w:pPr>
      <w:bookmarkStart w:id="1" w:name="_Toc507151234"/>
      <w:r>
        <w:t>Background and Justification</w:t>
      </w:r>
      <w:bookmarkEnd w:id="1"/>
    </w:p>
    <w:p w14:paraId="33587FC5" w14:textId="77777777" w:rsidR="00271B44" w:rsidRPr="00271B44" w:rsidRDefault="00271B44" w:rsidP="00271B44"/>
    <w:p w14:paraId="0412A148" w14:textId="1FC14E29" w:rsidR="0002548A" w:rsidRDefault="00271B44" w:rsidP="00B3151F">
      <w:r w:rsidRPr="005D36CC">
        <w:t xml:space="preserve">Section 3004 of </w:t>
      </w:r>
      <w:r w:rsidR="003B53C7">
        <w:t xml:space="preserve">the </w:t>
      </w:r>
      <w:r w:rsidR="003B53C7" w:rsidRPr="003B53C7">
        <w:t>Patient Protection and Affordable Care Act of 2010</w:t>
      </w:r>
      <w:r w:rsidR="003B53C7">
        <w:t xml:space="preserve"> (</w:t>
      </w:r>
      <w:r w:rsidR="003B53C7" w:rsidRPr="003B53C7">
        <w:t>Affordable Care Act</w:t>
      </w:r>
      <w:r w:rsidR="003B53C7">
        <w:t xml:space="preserve">) </w:t>
      </w:r>
      <w:r w:rsidRPr="005D36CC">
        <w:t>authorizes the establishment of a quality reporting program for Lon</w:t>
      </w:r>
      <w:r w:rsidR="0091695B">
        <w:t xml:space="preserve">g Term Care Hospitals (LTCHs). </w:t>
      </w:r>
      <w:r w:rsidRPr="005D36CC">
        <w:t>The LTCH</w:t>
      </w:r>
      <w:r w:rsidR="00865778">
        <w:t xml:space="preserve"> Quality Reporting Program (</w:t>
      </w:r>
      <w:r w:rsidRPr="005D36CC">
        <w:t xml:space="preserve">QRP) was implemented in section </w:t>
      </w:r>
      <w:smartTag w:uri="urn:schemas-microsoft-com:office:smarttags" w:element="stockticker">
        <w:r w:rsidRPr="005D36CC">
          <w:t>VII</w:t>
        </w:r>
      </w:smartTag>
      <w:r w:rsidRPr="005D36CC">
        <w:t>.C. of the FY 2012 I</w:t>
      </w:r>
      <w:smartTag w:uri="urn:schemas-microsoft-com:office:smarttags" w:element="stockticker">
        <w:r w:rsidRPr="005D36CC">
          <w:t>PPS</w:t>
        </w:r>
      </w:smartTag>
      <w:r w:rsidRPr="005D36CC">
        <w:t>/LTCH PPS final rule (76 FR 51743 through 51756)</w:t>
      </w:r>
      <w:r w:rsidRPr="005D36CC">
        <w:rPr>
          <w:rStyle w:val="FootnoteReference"/>
          <w:szCs w:val="18"/>
        </w:rPr>
        <w:footnoteReference w:id="1"/>
      </w:r>
      <w:r w:rsidRPr="005D36CC">
        <w:rPr>
          <w:sz w:val="18"/>
          <w:szCs w:val="18"/>
        </w:rPr>
        <w:t xml:space="preserve"> </w:t>
      </w:r>
      <w:r w:rsidRPr="005D36CC">
        <w:t xml:space="preserve">pursuant to Section 3004 of the </w:t>
      </w:r>
      <w:r w:rsidR="003B53C7" w:rsidRPr="003B53C7">
        <w:t>Affordable Care Act</w:t>
      </w:r>
      <w:r w:rsidRPr="005D36CC">
        <w:t>.</w:t>
      </w:r>
      <w:r w:rsidRPr="005D36CC">
        <w:rPr>
          <w:rStyle w:val="FootnoteReference"/>
          <w:szCs w:val="18"/>
        </w:rPr>
        <w:footnoteReference w:id="2"/>
      </w:r>
      <w:r w:rsidRPr="005D36CC">
        <w:rPr>
          <w:sz w:val="18"/>
          <w:szCs w:val="18"/>
        </w:rPr>
        <w:t xml:space="preserve"> </w:t>
      </w:r>
      <w:r w:rsidR="00661E1C">
        <w:t xml:space="preserve"> </w:t>
      </w:r>
      <w:r w:rsidRPr="005D36CC">
        <w:t xml:space="preserve">Beginning in FY 2014, LTCHs that fail to submit quality measures data to CMS </w:t>
      </w:r>
      <w:r w:rsidR="00F63B63">
        <w:t>were</w:t>
      </w:r>
      <w:r w:rsidRPr="005D36CC">
        <w:t xml:space="preserve"> subject to a 2 percentage point reduction in their annual </w:t>
      </w:r>
      <w:r w:rsidR="00590EA3">
        <w:t xml:space="preserve">payment </w:t>
      </w:r>
      <w:r w:rsidRPr="005D36CC">
        <w:t>update</w:t>
      </w:r>
      <w:r w:rsidR="0091695B">
        <w:t xml:space="preserve">. </w:t>
      </w:r>
    </w:p>
    <w:p w14:paraId="54D87367" w14:textId="468E6EEB" w:rsidR="000E26E8" w:rsidRDefault="000E26E8" w:rsidP="00B3151F">
      <w:pPr>
        <w:pStyle w:val="NoSpacing"/>
      </w:pPr>
    </w:p>
    <w:p w14:paraId="6DEA8372" w14:textId="0BC06AEB" w:rsidR="00E9611E" w:rsidRDefault="00E9611E" w:rsidP="00B3151F">
      <w:r>
        <w:t>The quality measures currently adopted and finalized for the LTCH QRP through the FY 2018 IPPS</w:t>
      </w:r>
      <w:r w:rsidR="009A0305">
        <w:t>/LTCH PPS final rule are listed</w:t>
      </w:r>
      <w:r>
        <w:t xml:space="preserve"> in Table 1-1.</w:t>
      </w:r>
    </w:p>
    <w:p w14:paraId="6DA00DCD" w14:textId="77777777" w:rsidR="00E9611E" w:rsidRDefault="00E9611E" w:rsidP="000E26E8">
      <w:pPr>
        <w:pStyle w:val="NoSpacing"/>
        <w:ind w:left="360"/>
      </w:pPr>
    </w:p>
    <w:p w14:paraId="743DA49A" w14:textId="7073EEA0" w:rsidR="00AA14E5" w:rsidRDefault="00E20F23" w:rsidP="00B3151F">
      <w:r w:rsidRPr="00010E37">
        <w:t>We note that</w:t>
      </w:r>
      <w:r>
        <w:t xml:space="preserve"> the burden associated with </w:t>
      </w:r>
      <w:r w:rsidR="003321E6">
        <w:t>the revisions to the LTCH CARE Data Set</w:t>
      </w:r>
      <w:r w:rsidR="003321E6" w:rsidRPr="00010E37">
        <w:t xml:space="preserve"> </w:t>
      </w:r>
      <w:r w:rsidR="003321E6">
        <w:t>fall under the PRA exceptions provided in section 1899B(m) of the Social Security Act</w:t>
      </w:r>
      <w:r w:rsidR="009A5F1B">
        <w:t xml:space="preserve"> (the Act)</w:t>
      </w:r>
      <w:r w:rsidR="003321E6">
        <w:t xml:space="preserve">. Section 1899B(m) of the Act, which was added by the IMPACT Act, states that the PRA requirements do not apply to section 1899B of the Act and the sections referenced in section 1899B(a)(2)(B) of the Act that require modifications in order to achieve the standardization of patient assessment data. However, the PRA requirements and burden estimates will be submitted to OMB for review and approval when modifications to the LTCH CARE Data Set or other applicable post-acute care assessment instruments are not used to achieve standardized patient assessment data. </w:t>
      </w:r>
      <w:r w:rsidR="000F60D8">
        <w:t>This revision is to ensure that the PRA clearance package is up to date when standardization is achieved for the LTCH CARE Data Set.</w:t>
      </w:r>
    </w:p>
    <w:p w14:paraId="5E0F9107" w14:textId="77777777" w:rsidR="002A618B" w:rsidRDefault="002A618B" w:rsidP="00D2685F">
      <w:pPr>
        <w:pStyle w:val="NoSpacing"/>
        <w:ind w:left="360"/>
      </w:pPr>
    </w:p>
    <w:p w14:paraId="163BA452" w14:textId="7C2748B0" w:rsidR="00694D3E" w:rsidRPr="00BF7701" w:rsidRDefault="00694D3E" w:rsidP="00305FAC">
      <w:pPr>
        <w:jc w:val="center"/>
      </w:pPr>
      <w:r w:rsidRPr="00BF7701">
        <w:rPr>
          <w:b/>
          <w:bCs/>
        </w:rPr>
        <w:t>Table 1-1.</w:t>
      </w:r>
      <w:r w:rsidRPr="00BF7701">
        <w:t xml:space="preserve">     </w:t>
      </w:r>
      <w:r w:rsidRPr="00767CB0">
        <w:rPr>
          <w:b/>
          <w:bCs/>
        </w:rPr>
        <w:t>Quality</w:t>
      </w:r>
      <w:r w:rsidRPr="00BF7701">
        <w:rPr>
          <w:b/>
          <w:bCs/>
        </w:rPr>
        <w:t xml:space="preserve"> Measures</w:t>
      </w:r>
      <w:r w:rsidR="00590EA3">
        <w:rPr>
          <w:b/>
          <w:bCs/>
        </w:rPr>
        <w:t xml:space="preserve"> Currently Adopted </w:t>
      </w:r>
      <w:r w:rsidR="004A6CE8">
        <w:rPr>
          <w:b/>
          <w:bCs/>
        </w:rPr>
        <w:t xml:space="preserve">and </w:t>
      </w:r>
      <w:r w:rsidR="00CC7433">
        <w:rPr>
          <w:b/>
          <w:bCs/>
        </w:rPr>
        <w:t xml:space="preserve">Finalized </w:t>
      </w:r>
      <w:r w:rsidR="00590EA3">
        <w:rPr>
          <w:b/>
          <w:bCs/>
        </w:rPr>
        <w:t>for the LTCH QRP</w:t>
      </w:r>
      <w:r w:rsidRPr="00BF7701">
        <w:rPr>
          <w:b/>
          <w:bCs/>
        </w:rPr>
        <w:t xml:space="preserve"> </w:t>
      </w:r>
      <w:r w:rsidR="00E9611E">
        <w:rPr>
          <w:b/>
          <w:bCs/>
        </w:rPr>
        <w:t>through</w:t>
      </w:r>
      <w:r w:rsidR="00DD2325">
        <w:rPr>
          <w:b/>
          <w:bCs/>
        </w:rPr>
        <w:t xml:space="preserve"> the FY 2018 IPPS/LTCH PPS Final Rule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704"/>
        <w:gridCol w:w="1890"/>
        <w:gridCol w:w="1992"/>
      </w:tblGrid>
      <w:tr w:rsidR="00DD2325" w:rsidRPr="00A365CB" w14:paraId="1E3A7457" w14:textId="77777777" w:rsidTr="00DD2325">
        <w:trPr>
          <w:tblHeader/>
        </w:trPr>
        <w:tc>
          <w:tcPr>
            <w:tcW w:w="649" w:type="pct"/>
            <w:shd w:val="clear" w:color="auto" w:fill="002060"/>
            <w:vAlign w:val="center"/>
          </w:tcPr>
          <w:p w14:paraId="091B8B0D" w14:textId="77777777" w:rsidR="00DD2325" w:rsidRPr="002A618B" w:rsidRDefault="00DD2325" w:rsidP="00787B96">
            <w:pPr>
              <w:pStyle w:val="ListContinue2"/>
              <w:tabs>
                <w:tab w:val="left" w:pos="1710"/>
              </w:tabs>
              <w:spacing w:before="40" w:after="40"/>
              <w:ind w:left="0"/>
              <w:jc w:val="center"/>
              <w:rPr>
                <w:b/>
                <w:bCs/>
                <w:sz w:val="20"/>
                <w:szCs w:val="20"/>
              </w:rPr>
            </w:pPr>
            <w:r w:rsidRPr="002A618B">
              <w:rPr>
                <w:b/>
                <w:bCs/>
                <w:sz w:val="20"/>
                <w:szCs w:val="20"/>
              </w:rPr>
              <w:t>NQF Number</w:t>
            </w:r>
          </w:p>
        </w:tc>
        <w:tc>
          <w:tcPr>
            <w:tcW w:w="2588" w:type="pct"/>
            <w:shd w:val="clear" w:color="auto" w:fill="002060"/>
            <w:vAlign w:val="center"/>
          </w:tcPr>
          <w:p w14:paraId="00B21A1D" w14:textId="77777777" w:rsidR="00DD2325" w:rsidRPr="002A618B" w:rsidRDefault="00DD2325" w:rsidP="00787B96">
            <w:pPr>
              <w:pStyle w:val="ListContinue2"/>
              <w:tabs>
                <w:tab w:val="left" w:pos="1710"/>
              </w:tabs>
              <w:spacing w:before="40" w:after="40"/>
              <w:ind w:left="0"/>
              <w:jc w:val="center"/>
              <w:rPr>
                <w:b/>
                <w:bCs/>
                <w:sz w:val="20"/>
                <w:szCs w:val="20"/>
              </w:rPr>
            </w:pPr>
            <w:r w:rsidRPr="002A618B">
              <w:rPr>
                <w:b/>
                <w:bCs/>
                <w:sz w:val="20"/>
                <w:szCs w:val="20"/>
              </w:rPr>
              <w:t>Measure Name</w:t>
            </w:r>
          </w:p>
        </w:tc>
        <w:tc>
          <w:tcPr>
            <w:tcW w:w="858" w:type="pct"/>
            <w:shd w:val="clear" w:color="auto" w:fill="002060"/>
            <w:vAlign w:val="center"/>
          </w:tcPr>
          <w:p w14:paraId="66823119" w14:textId="77777777" w:rsidR="00DD2325" w:rsidRPr="002A618B" w:rsidRDefault="00DD2325" w:rsidP="00787B96">
            <w:pPr>
              <w:pStyle w:val="ListContinue2"/>
              <w:tabs>
                <w:tab w:val="left" w:pos="1710"/>
              </w:tabs>
              <w:spacing w:before="40" w:after="40"/>
              <w:ind w:left="0"/>
              <w:jc w:val="center"/>
              <w:rPr>
                <w:b/>
                <w:bCs/>
                <w:sz w:val="20"/>
                <w:szCs w:val="20"/>
              </w:rPr>
            </w:pPr>
            <w:r w:rsidRPr="002A618B">
              <w:rPr>
                <w:b/>
                <w:bCs/>
                <w:sz w:val="20"/>
                <w:szCs w:val="20"/>
              </w:rPr>
              <w:t>Data Collection Start Date</w:t>
            </w:r>
          </w:p>
        </w:tc>
        <w:tc>
          <w:tcPr>
            <w:tcW w:w="904" w:type="pct"/>
            <w:shd w:val="clear" w:color="auto" w:fill="002060"/>
          </w:tcPr>
          <w:p w14:paraId="2BA27B0D" w14:textId="77777777" w:rsidR="00DD2325" w:rsidRDefault="00DD2325" w:rsidP="00787B96">
            <w:pPr>
              <w:pStyle w:val="ListContinue2"/>
              <w:tabs>
                <w:tab w:val="left" w:pos="1710"/>
              </w:tabs>
              <w:spacing w:before="40" w:after="40"/>
              <w:ind w:left="0"/>
              <w:jc w:val="center"/>
              <w:rPr>
                <w:b/>
                <w:bCs/>
                <w:sz w:val="20"/>
                <w:szCs w:val="20"/>
              </w:rPr>
            </w:pPr>
          </w:p>
          <w:p w14:paraId="13577BF0" w14:textId="77777777" w:rsidR="00DD2325" w:rsidRPr="002A618B" w:rsidRDefault="00DD2325" w:rsidP="00787B96">
            <w:pPr>
              <w:pStyle w:val="ListContinue2"/>
              <w:tabs>
                <w:tab w:val="left" w:pos="1710"/>
              </w:tabs>
              <w:spacing w:before="40" w:after="40"/>
              <w:ind w:left="0"/>
              <w:jc w:val="center"/>
              <w:rPr>
                <w:b/>
                <w:bCs/>
                <w:sz w:val="20"/>
                <w:szCs w:val="20"/>
              </w:rPr>
            </w:pPr>
            <w:r>
              <w:rPr>
                <w:b/>
                <w:bCs/>
                <w:sz w:val="20"/>
                <w:szCs w:val="20"/>
              </w:rPr>
              <w:t>Notes</w:t>
            </w:r>
          </w:p>
        </w:tc>
      </w:tr>
      <w:tr w:rsidR="00DD2325" w:rsidRPr="00A365CB" w14:paraId="3E9000C8" w14:textId="77777777" w:rsidTr="00DD2325">
        <w:trPr>
          <w:trHeight w:val="690"/>
        </w:trPr>
        <w:tc>
          <w:tcPr>
            <w:tcW w:w="649" w:type="pct"/>
            <w:shd w:val="clear" w:color="auto" w:fill="auto"/>
            <w:vAlign w:val="center"/>
          </w:tcPr>
          <w:p w14:paraId="438DF264" w14:textId="77777777" w:rsidR="00DD2325" w:rsidRPr="002A618B" w:rsidRDefault="00DD2325" w:rsidP="002A618B">
            <w:pPr>
              <w:jc w:val="center"/>
              <w:rPr>
                <w:rFonts w:cs="Times New Roman"/>
                <w:color w:val="000000"/>
                <w:sz w:val="20"/>
                <w:szCs w:val="20"/>
              </w:rPr>
            </w:pPr>
            <w:r w:rsidRPr="002A618B">
              <w:rPr>
                <w:rFonts w:cs="Times New Roman"/>
                <w:color w:val="000000"/>
                <w:sz w:val="20"/>
                <w:szCs w:val="20"/>
              </w:rPr>
              <w:t>NQF #0678</w:t>
            </w:r>
          </w:p>
        </w:tc>
        <w:tc>
          <w:tcPr>
            <w:tcW w:w="2588" w:type="pct"/>
            <w:shd w:val="clear" w:color="auto" w:fill="auto"/>
            <w:vAlign w:val="center"/>
          </w:tcPr>
          <w:p w14:paraId="3798B66D" w14:textId="77777777" w:rsidR="00DD2325" w:rsidRPr="002A618B" w:rsidRDefault="00DD2325" w:rsidP="001C554F">
            <w:pPr>
              <w:rPr>
                <w:rFonts w:cs="Times New Roman"/>
                <w:color w:val="000000"/>
                <w:sz w:val="20"/>
                <w:szCs w:val="20"/>
              </w:rPr>
            </w:pPr>
            <w:r w:rsidRPr="002A618B">
              <w:rPr>
                <w:rFonts w:cs="Times New Roman"/>
                <w:color w:val="000000"/>
                <w:sz w:val="20"/>
                <w:szCs w:val="20"/>
              </w:rPr>
              <w:t xml:space="preserve">Percent of Residents or Patients with Pressure Ulcers That </w:t>
            </w:r>
            <w:r>
              <w:rPr>
                <w:rFonts w:cs="Times New Roman"/>
                <w:color w:val="000000"/>
                <w:sz w:val="20"/>
                <w:szCs w:val="20"/>
              </w:rPr>
              <w:t>A</w:t>
            </w:r>
            <w:r w:rsidRPr="002A618B">
              <w:rPr>
                <w:rFonts w:cs="Times New Roman"/>
                <w:color w:val="000000"/>
                <w:sz w:val="20"/>
                <w:szCs w:val="20"/>
              </w:rPr>
              <w:t>re New or Worsened (Short</w:t>
            </w:r>
            <w:r>
              <w:rPr>
                <w:rFonts w:cs="Times New Roman"/>
                <w:color w:val="000000"/>
                <w:sz w:val="20"/>
                <w:szCs w:val="20"/>
              </w:rPr>
              <w:t xml:space="preserve"> </w:t>
            </w:r>
            <w:r w:rsidRPr="002A618B">
              <w:rPr>
                <w:rFonts w:cs="Times New Roman"/>
                <w:color w:val="000000"/>
                <w:sz w:val="20"/>
                <w:szCs w:val="20"/>
              </w:rPr>
              <w:t>Stay)</w:t>
            </w:r>
          </w:p>
        </w:tc>
        <w:tc>
          <w:tcPr>
            <w:tcW w:w="858" w:type="pct"/>
            <w:vAlign w:val="center"/>
          </w:tcPr>
          <w:p w14:paraId="79F667D9" w14:textId="77777777" w:rsidR="00DD2325" w:rsidRPr="002A618B" w:rsidRDefault="00DD2325" w:rsidP="002A618B">
            <w:pPr>
              <w:jc w:val="center"/>
              <w:rPr>
                <w:rFonts w:cs="Times New Roman"/>
                <w:color w:val="000000"/>
                <w:sz w:val="20"/>
                <w:szCs w:val="20"/>
              </w:rPr>
            </w:pPr>
            <w:r w:rsidRPr="002A618B">
              <w:rPr>
                <w:rFonts w:cs="Times New Roman"/>
                <w:color w:val="000000"/>
                <w:sz w:val="20"/>
                <w:szCs w:val="20"/>
              </w:rPr>
              <w:t>October 1, 2012</w:t>
            </w:r>
          </w:p>
        </w:tc>
        <w:tc>
          <w:tcPr>
            <w:tcW w:w="904" w:type="pct"/>
          </w:tcPr>
          <w:p w14:paraId="7CFADA27" w14:textId="792BC9A4" w:rsidR="00DD2325" w:rsidRPr="002A618B" w:rsidRDefault="00DD2325" w:rsidP="002A618B">
            <w:pPr>
              <w:jc w:val="center"/>
              <w:rPr>
                <w:rFonts w:cs="Times New Roman"/>
                <w:color w:val="000000"/>
                <w:sz w:val="20"/>
                <w:szCs w:val="20"/>
              </w:rPr>
            </w:pPr>
            <w:r>
              <w:rPr>
                <w:rFonts w:cs="Times New Roman"/>
                <w:color w:val="000000"/>
                <w:sz w:val="20"/>
                <w:szCs w:val="20"/>
              </w:rPr>
              <w:t>Finalized for removal in the FY 2018 IPPS/LTCH PPS final rule</w:t>
            </w:r>
          </w:p>
        </w:tc>
      </w:tr>
      <w:tr w:rsidR="00DD2325" w:rsidRPr="00A365CB" w14:paraId="25B26AA9" w14:textId="77777777" w:rsidTr="00DD2325">
        <w:trPr>
          <w:trHeight w:val="690"/>
        </w:trPr>
        <w:tc>
          <w:tcPr>
            <w:tcW w:w="649" w:type="pct"/>
            <w:shd w:val="clear" w:color="auto" w:fill="auto"/>
            <w:vAlign w:val="center"/>
          </w:tcPr>
          <w:p w14:paraId="357AC0D0" w14:textId="77777777" w:rsidR="00DD2325" w:rsidRPr="002A618B" w:rsidRDefault="00DD2325" w:rsidP="002A618B">
            <w:pPr>
              <w:jc w:val="center"/>
              <w:rPr>
                <w:rFonts w:cs="Times New Roman"/>
                <w:color w:val="000000"/>
                <w:sz w:val="20"/>
                <w:szCs w:val="20"/>
              </w:rPr>
            </w:pPr>
            <w:r w:rsidRPr="002A618B">
              <w:rPr>
                <w:rFonts w:cs="Times New Roman"/>
                <w:color w:val="000000"/>
                <w:sz w:val="20"/>
                <w:szCs w:val="20"/>
              </w:rPr>
              <w:t>NQF #0138</w:t>
            </w:r>
          </w:p>
        </w:tc>
        <w:tc>
          <w:tcPr>
            <w:tcW w:w="2588" w:type="pct"/>
            <w:shd w:val="clear" w:color="auto" w:fill="auto"/>
            <w:vAlign w:val="center"/>
          </w:tcPr>
          <w:p w14:paraId="4143C254" w14:textId="77777777" w:rsidR="00DD2325" w:rsidRPr="002A618B" w:rsidRDefault="00DD2325" w:rsidP="001C554F">
            <w:pPr>
              <w:rPr>
                <w:rFonts w:cs="Times New Roman"/>
                <w:color w:val="000000"/>
                <w:sz w:val="20"/>
                <w:szCs w:val="20"/>
              </w:rPr>
            </w:pPr>
            <w:r w:rsidRPr="002A618B">
              <w:rPr>
                <w:rFonts w:cs="Times New Roman"/>
                <w:color w:val="000000"/>
                <w:sz w:val="20"/>
                <w:szCs w:val="20"/>
              </w:rPr>
              <w:t>National Health</w:t>
            </w:r>
            <w:r>
              <w:rPr>
                <w:rFonts w:cs="Times New Roman"/>
                <w:color w:val="000000"/>
                <w:sz w:val="20"/>
                <w:szCs w:val="20"/>
              </w:rPr>
              <w:t>care</w:t>
            </w:r>
            <w:r w:rsidRPr="002A618B">
              <w:rPr>
                <w:rFonts w:cs="Times New Roman"/>
                <w:color w:val="000000"/>
                <w:sz w:val="20"/>
                <w:szCs w:val="20"/>
              </w:rPr>
              <w:t xml:space="preserve"> Safety Network (NHSN) Catheter-</w:t>
            </w:r>
            <w:r>
              <w:rPr>
                <w:rFonts w:cs="Times New Roman"/>
                <w:color w:val="000000"/>
                <w:sz w:val="20"/>
                <w:szCs w:val="20"/>
              </w:rPr>
              <w:t>A</w:t>
            </w:r>
            <w:r w:rsidRPr="002A618B">
              <w:rPr>
                <w:rFonts w:cs="Times New Roman"/>
                <w:color w:val="000000"/>
                <w:sz w:val="20"/>
                <w:szCs w:val="20"/>
              </w:rPr>
              <w:t>ssociated Urinary Tract Infection (CAUTI) Outcome Measure</w:t>
            </w:r>
          </w:p>
        </w:tc>
        <w:tc>
          <w:tcPr>
            <w:tcW w:w="858" w:type="pct"/>
            <w:vAlign w:val="center"/>
          </w:tcPr>
          <w:p w14:paraId="3E59A03A" w14:textId="77777777" w:rsidR="00DD2325" w:rsidRPr="002A618B" w:rsidRDefault="00DD2325" w:rsidP="002A618B">
            <w:pPr>
              <w:jc w:val="center"/>
              <w:rPr>
                <w:rFonts w:cs="Times New Roman"/>
                <w:color w:val="000000"/>
                <w:sz w:val="20"/>
                <w:szCs w:val="20"/>
              </w:rPr>
            </w:pPr>
            <w:r w:rsidRPr="002A618B">
              <w:rPr>
                <w:rFonts w:cs="Times New Roman"/>
                <w:color w:val="000000"/>
                <w:sz w:val="20"/>
                <w:szCs w:val="20"/>
              </w:rPr>
              <w:t>October 1, 2012</w:t>
            </w:r>
          </w:p>
        </w:tc>
        <w:tc>
          <w:tcPr>
            <w:tcW w:w="904" w:type="pct"/>
          </w:tcPr>
          <w:p w14:paraId="0F64B64D" w14:textId="77777777" w:rsidR="00DD2325" w:rsidRPr="002A618B" w:rsidRDefault="00DD2325" w:rsidP="002A618B">
            <w:pPr>
              <w:jc w:val="center"/>
              <w:rPr>
                <w:rFonts w:cs="Times New Roman"/>
                <w:color w:val="000000"/>
                <w:sz w:val="20"/>
                <w:szCs w:val="20"/>
              </w:rPr>
            </w:pPr>
          </w:p>
        </w:tc>
      </w:tr>
      <w:tr w:rsidR="00DD2325" w:rsidRPr="00A365CB" w14:paraId="04BEC5D6" w14:textId="77777777" w:rsidTr="007973A6">
        <w:trPr>
          <w:trHeight w:val="690"/>
        </w:trPr>
        <w:tc>
          <w:tcPr>
            <w:tcW w:w="649" w:type="pct"/>
            <w:shd w:val="clear" w:color="auto" w:fill="auto"/>
            <w:vAlign w:val="center"/>
          </w:tcPr>
          <w:p w14:paraId="48B2A232"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NQF #0139</w:t>
            </w:r>
          </w:p>
        </w:tc>
        <w:tc>
          <w:tcPr>
            <w:tcW w:w="2588" w:type="pct"/>
            <w:shd w:val="clear" w:color="auto" w:fill="auto"/>
            <w:vAlign w:val="center"/>
          </w:tcPr>
          <w:p w14:paraId="080538FA" w14:textId="77777777" w:rsidR="00DD2325" w:rsidRPr="002A618B" w:rsidRDefault="00DD2325" w:rsidP="007973A6">
            <w:pPr>
              <w:rPr>
                <w:rFonts w:cs="Times New Roman"/>
                <w:color w:val="000000"/>
                <w:sz w:val="20"/>
                <w:szCs w:val="20"/>
              </w:rPr>
            </w:pPr>
            <w:r w:rsidRPr="002A618B">
              <w:rPr>
                <w:rFonts w:cs="Times New Roman"/>
                <w:color w:val="000000"/>
                <w:sz w:val="20"/>
                <w:szCs w:val="20"/>
              </w:rPr>
              <w:t>National Health</w:t>
            </w:r>
            <w:r>
              <w:rPr>
                <w:rFonts w:cs="Times New Roman"/>
                <w:color w:val="000000"/>
                <w:sz w:val="20"/>
                <w:szCs w:val="20"/>
              </w:rPr>
              <w:t>care</w:t>
            </w:r>
            <w:r w:rsidRPr="002A618B">
              <w:rPr>
                <w:rFonts w:cs="Times New Roman"/>
                <w:color w:val="000000"/>
                <w:sz w:val="20"/>
                <w:szCs w:val="20"/>
              </w:rPr>
              <w:t xml:space="preserve"> Safety Network (NHSN) Central line-associated Blood</w:t>
            </w:r>
            <w:r>
              <w:rPr>
                <w:rFonts w:cs="Times New Roman"/>
                <w:color w:val="000000"/>
                <w:sz w:val="20"/>
                <w:szCs w:val="20"/>
              </w:rPr>
              <w:t>s</w:t>
            </w:r>
            <w:r w:rsidRPr="002A618B">
              <w:rPr>
                <w:rFonts w:cs="Times New Roman"/>
                <w:color w:val="000000"/>
                <w:sz w:val="20"/>
                <w:szCs w:val="20"/>
              </w:rPr>
              <w:t>tream Infection (C</w:t>
            </w:r>
            <w:smartTag w:uri="urn:schemas-microsoft-com:office:smarttags" w:element="stockticker">
              <w:r w:rsidRPr="002A618B">
                <w:rPr>
                  <w:rFonts w:cs="Times New Roman"/>
                  <w:color w:val="000000"/>
                  <w:sz w:val="20"/>
                  <w:szCs w:val="20"/>
                </w:rPr>
                <w:t>LABS</w:t>
              </w:r>
            </w:smartTag>
            <w:r w:rsidRPr="002A618B">
              <w:rPr>
                <w:rFonts w:cs="Times New Roman"/>
                <w:color w:val="000000"/>
                <w:sz w:val="20"/>
                <w:szCs w:val="20"/>
              </w:rPr>
              <w:t>I) Outcome Measure</w:t>
            </w:r>
          </w:p>
        </w:tc>
        <w:tc>
          <w:tcPr>
            <w:tcW w:w="858" w:type="pct"/>
            <w:vAlign w:val="center"/>
          </w:tcPr>
          <w:p w14:paraId="5B27047D"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October 1, 2012</w:t>
            </w:r>
          </w:p>
        </w:tc>
        <w:tc>
          <w:tcPr>
            <w:tcW w:w="904" w:type="pct"/>
            <w:vAlign w:val="center"/>
          </w:tcPr>
          <w:p w14:paraId="02E4207B" w14:textId="77777777" w:rsidR="00DD2325" w:rsidRPr="002A618B" w:rsidRDefault="00DD2325" w:rsidP="007973A6">
            <w:pPr>
              <w:jc w:val="center"/>
              <w:rPr>
                <w:rFonts w:cs="Times New Roman"/>
                <w:color w:val="000000"/>
                <w:sz w:val="20"/>
                <w:szCs w:val="20"/>
              </w:rPr>
            </w:pPr>
          </w:p>
        </w:tc>
      </w:tr>
      <w:tr w:rsidR="00DD2325" w:rsidRPr="00A365CB" w14:paraId="1CF2CB3E" w14:textId="77777777" w:rsidTr="007973A6">
        <w:trPr>
          <w:trHeight w:val="690"/>
        </w:trPr>
        <w:tc>
          <w:tcPr>
            <w:tcW w:w="649" w:type="pct"/>
            <w:shd w:val="clear" w:color="auto" w:fill="auto"/>
            <w:vAlign w:val="center"/>
          </w:tcPr>
          <w:p w14:paraId="25B84A3C"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NQF #0680</w:t>
            </w:r>
          </w:p>
        </w:tc>
        <w:tc>
          <w:tcPr>
            <w:tcW w:w="2588" w:type="pct"/>
            <w:shd w:val="clear" w:color="auto" w:fill="auto"/>
            <w:vAlign w:val="center"/>
          </w:tcPr>
          <w:p w14:paraId="2A049FB4" w14:textId="77777777" w:rsidR="00DD2325" w:rsidRPr="002A618B" w:rsidRDefault="00DD2325" w:rsidP="007973A6">
            <w:pPr>
              <w:rPr>
                <w:rFonts w:cs="Times New Roman"/>
                <w:color w:val="000000"/>
                <w:sz w:val="20"/>
                <w:szCs w:val="20"/>
              </w:rPr>
            </w:pPr>
            <w:r w:rsidRPr="002A618B">
              <w:rPr>
                <w:rFonts w:cs="Times New Roman"/>
                <w:color w:val="000000"/>
                <w:sz w:val="20"/>
                <w:szCs w:val="20"/>
              </w:rPr>
              <w:t>Percent of Residents or Patients Who Were Assessed and Appropriately Given the Seasonal Influenza Vaccine (Short</w:t>
            </w:r>
            <w:r>
              <w:rPr>
                <w:rFonts w:cs="Times New Roman"/>
                <w:color w:val="000000"/>
                <w:sz w:val="20"/>
                <w:szCs w:val="20"/>
              </w:rPr>
              <w:t xml:space="preserve"> </w:t>
            </w:r>
            <w:r w:rsidRPr="002A618B">
              <w:rPr>
                <w:rFonts w:cs="Times New Roman"/>
                <w:color w:val="000000"/>
                <w:sz w:val="20"/>
                <w:szCs w:val="20"/>
              </w:rPr>
              <w:t>Stay)</w:t>
            </w:r>
          </w:p>
        </w:tc>
        <w:tc>
          <w:tcPr>
            <w:tcW w:w="858" w:type="pct"/>
            <w:vAlign w:val="center"/>
          </w:tcPr>
          <w:p w14:paraId="6741156E" w14:textId="77777777" w:rsidR="00DD2325" w:rsidRPr="002A618B" w:rsidRDefault="00DD2325" w:rsidP="007973A6">
            <w:pPr>
              <w:jc w:val="center"/>
              <w:rPr>
                <w:rFonts w:cs="Times New Roman"/>
                <w:color w:val="000000"/>
                <w:sz w:val="20"/>
                <w:szCs w:val="20"/>
              </w:rPr>
            </w:pPr>
            <w:r>
              <w:rPr>
                <w:rFonts w:cs="Times New Roman"/>
                <w:color w:val="000000"/>
                <w:sz w:val="20"/>
                <w:szCs w:val="20"/>
              </w:rPr>
              <w:t xml:space="preserve">October </w:t>
            </w:r>
            <w:r w:rsidRPr="002A618B">
              <w:rPr>
                <w:rFonts w:cs="Times New Roman"/>
                <w:color w:val="000000"/>
                <w:sz w:val="20"/>
                <w:szCs w:val="20"/>
              </w:rPr>
              <w:t>1, 2014</w:t>
            </w:r>
          </w:p>
        </w:tc>
        <w:tc>
          <w:tcPr>
            <w:tcW w:w="904" w:type="pct"/>
            <w:vAlign w:val="center"/>
          </w:tcPr>
          <w:p w14:paraId="46E010D6" w14:textId="77777777" w:rsidR="00DD2325" w:rsidRDefault="00DD2325" w:rsidP="007973A6">
            <w:pPr>
              <w:jc w:val="center"/>
              <w:rPr>
                <w:rFonts w:cs="Times New Roman"/>
                <w:color w:val="000000"/>
                <w:sz w:val="20"/>
                <w:szCs w:val="20"/>
              </w:rPr>
            </w:pPr>
          </w:p>
        </w:tc>
      </w:tr>
      <w:tr w:rsidR="00DD2325" w:rsidRPr="00A365CB" w14:paraId="644A4A13" w14:textId="77777777" w:rsidTr="007973A6">
        <w:trPr>
          <w:trHeight w:val="690"/>
        </w:trPr>
        <w:tc>
          <w:tcPr>
            <w:tcW w:w="649" w:type="pct"/>
            <w:shd w:val="clear" w:color="auto" w:fill="auto"/>
            <w:vAlign w:val="center"/>
          </w:tcPr>
          <w:p w14:paraId="296BD9C6"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NQF #0431</w:t>
            </w:r>
          </w:p>
        </w:tc>
        <w:tc>
          <w:tcPr>
            <w:tcW w:w="2588" w:type="pct"/>
            <w:shd w:val="clear" w:color="auto" w:fill="auto"/>
            <w:vAlign w:val="center"/>
          </w:tcPr>
          <w:p w14:paraId="298E4903" w14:textId="77777777" w:rsidR="00DD2325" w:rsidRPr="002A618B" w:rsidRDefault="00DD2325" w:rsidP="007973A6">
            <w:pPr>
              <w:rPr>
                <w:rFonts w:cs="Times New Roman"/>
                <w:color w:val="000000"/>
                <w:sz w:val="20"/>
                <w:szCs w:val="20"/>
              </w:rPr>
            </w:pPr>
            <w:r w:rsidRPr="002A618B">
              <w:rPr>
                <w:rFonts w:cs="Times New Roman"/>
                <w:color w:val="000000"/>
                <w:sz w:val="20"/>
                <w:szCs w:val="20"/>
              </w:rPr>
              <w:t>Influenza Vaccination Coverage among Healthcare Personnel</w:t>
            </w:r>
          </w:p>
        </w:tc>
        <w:tc>
          <w:tcPr>
            <w:tcW w:w="858" w:type="pct"/>
            <w:vAlign w:val="center"/>
          </w:tcPr>
          <w:p w14:paraId="0A683A77"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October 1, 2014</w:t>
            </w:r>
          </w:p>
        </w:tc>
        <w:tc>
          <w:tcPr>
            <w:tcW w:w="904" w:type="pct"/>
            <w:vAlign w:val="center"/>
          </w:tcPr>
          <w:p w14:paraId="5B97A964" w14:textId="77777777" w:rsidR="00DD2325" w:rsidRPr="002A618B" w:rsidRDefault="00DD2325" w:rsidP="007973A6">
            <w:pPr>
              <w:jc w:val="center"/>
              <w:rPr>
                <w:rFonts w:cs="Times New Roman"/>
                <w:color w:val="000000"/>
                <w:sz w:val="20"/>
                <w:szCs w:val="20"/>
              </w:rPr>
            </w:pPr>
          </w:p>
        </w:tc>
      </w:tr>
      <w:tr w:rsidR="00DD2325" w:rsidRPr="00A365CB" w14:paraId="759E1E2E" w14:textId="77777777" w:rsidTr="007973A6">
        <w:trPr>
          <w:trHeight w:val="690"/>
        </w:trPr>
        <w:tc>
          <w:tcPr>
            <w:tcW w:w="649" w:type="pct"/>
            <w:shd w:val="clear" w:color="auto" w:fill="auto"/>
            <w:vAlign w:val="center"/>
          </w:tcPr>
          <w:p w14:paraId="1108B88F"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NQF #1716</w:t>
            </w:r>
          </w:p>
        </w:tc>
        <w:tc>
          <w:tcPr>
            <w:tcW w:w="2588" w:type="pct"/>
            <w:shd w:val="clear" w:color="auto" w:fill="auto"/>
            <w:vAlign w:val="center"/>
          </w:tcPr>
          <w:p w14:paraId="169D10E1" w14:textId="77777777" w:rsidR="00DD2325" w:rsidRPr="002A618B" w:rsidRDefault="00DD2325" w:rsidP="007973A6">
            <w:pPr>
              <w:rPr>
                <w:rFonts w:cs="Times New Roman"/>
                <w:color w:val="000000"/>
                <w:sz w:val="20"/>
                <w:szCs w:val="20"/>
              </w:rPr>
            </w:pPr>
            <w:r w:rsidRPr="002A618B">
              <w:rPr>
                <w:rFonts w:cs="Times New Roman"/>
                <w:color w:val="000000"/>
                <w:sz w:val="20"/>
                <w:szCs w:val="20"/>
              </w:rPr>
              <w:t>National Healthcare Safety Network (NHSN) Facility-Wide Inpatient Hospital-Onset Methicillin-Resistant Staphylococcus Aureus (MRSA) Bacteremia Outcome Measure</w:t>
            </w:r>
          </w:p>
        </w:tc>
        <w:tc>
          <w:tcPr>
            <w:tcW w:w="858" w:type="pct"/>
            <w:vAlign w:val="center"/>
          </w:tcPr>
          <w:p w14:paraId="08A4543D"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January 1, 2015</w:t>
            </w:r>
          </w:p>
        </w:tc>
        <w:tc>
          <w:tcPr>
            <w:tcW w:w="904" w:type="pct"/>
            <w:vAlign w:val="center"/>
          </w:tcPr>
          <w:p w14:paraId="23405232" w14:textId="77777777" w:rsidR="00DD2325" w:rsidRPr="002A618B" w:rsidRDefault="00DD2325" w:rsidP="007973A6">
            <w:pPr>
              <w:jc w:val="center"/>
              <w:rPr>
                <w:rFonts w:cs="Times New Roman"/>
                <w:color w:val="000000"/>
                <w:sz w:val="20"/>
                <w:szCs w:val="20"/>
              </w:rPr>
            </w:pPr>
          </w:p>
        </w:tc>
      </w:tr>
      <w:tr w:rsidR="00DD2325" w:rsidRPr="00A365CB" w14:paraId="1BE8B9D6" w14:textId="77777777" w:rsidTr="007973A6">
        <w:trPr>
          <w:trHeight w:val="690"/>
        </w:trPr>
        <w:tc>
          <w:tcPr>
            <w:tcW w:w="649" w:type="pct"/>
            <w:shd w:val="clear" w:color="auto" w:fill="auto"/>
            <w:vAlign w:val="center"/>
          </w:tcPr>
          <w:p w14:paraId="4DF8B8A1"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NQF #1717</w:t>
            </w:r>
          </w:p>
        </w:tc>
        <w:tc>
          <w:tcPr>
            <w:tcW w:w="2588" w:type="pct"/>
            <w:shd w:val="clear" w:color="auto" w:fill="auto"/>
            <w:vAlign w:val="center"/>
          </w:tcPr>
          <w:p w14:paraId="59CFE44F" w14:textId="77777777" w:rsidR="00DD2325" w:rsidRPr="002A618B" w:rsidRDefault="00DD2325" w:rsidP="007973A6">
            <w:pPr>
              <w:rPr>
                <w:rFonts w:cs="Times New Roman"/>
                <w:color w:val="000000"/>
                <w:sz w:val="20"/>
                <w:szCs w:val="20"/>
              </w:rPr>
            </w:pPr>
            <w:r w:rsidRPr="002A618B">
              <w:rPr>
                <w:rFonts w:cs="Times New Roman"/>
                <w:color w:val="000000"/>
                <w:sz w:val="20"/>
                <w:szCs w:val="20"/>
              </w:rPr>
              <w:t>National Healthcare Safety Network (NHSN) Facility-Wide Inpatient Hospital-Onset Clostridium difficile Infection (CDI) Outcome Measure</w:t>
            </w:r>
          </w:p>
        </w:tc>
        <w:tc>
          <w:tcPr>
            <w:tcW w:w="858" w:type="pct"/>
            <w:vAlign w:val="center"/>
          </w:tcPr>
          <w:p w14:paraId="3AF7FA96"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January 1, 2015</w:t>
            </w:r>
          </w:p>
        </w:tc>
        <w:tc>
          <w:tcPr>
            <w:tcW w:w="904" w:type="pct"/>
            <w:vAlign w:val="center"/>
          </w:tcPr>
          <w:p w14:paraId="565527E7" w14:textId="77777777" w:rsidR="00DD2325" w:rsidRPr="002A618B" w:rsidRDefault="00DD2325" w:rsidP="007973A6">
            <w:pPr>
              <w:jc w:val="center"/>
              <w:rPr>
                <w:rFonts w:cs="Times New Roman"/>
                <w:color w:val="000000"/>
                <w:sz w:val="20"/>
                <w:szCs w:val="20"/>
              </w:rPr>
            </w:pPr>
          </w:p>
        </w:tc>
      </w:tr>
      <w:tr w:rsidR="00DD2325" w:rsidRPr="00A365CB" w14:paraId="2589BCC4" w14:textId="77777777" w:rsidTr="007973A6">
        <w:trPr>
          <w:trHeight w:val="690"/>
        </w:trPr>
        <w:tc>
          <w:tcPr>
            <w:tcW w:w="649" w:type="pct"/>
            <w:shd w:val="clear" w:color="auto" w:fill="auto"/>
            <w:vAlign w:val="center"/>
          </w:tcPr>
          <w:p w14:paraId="4A2E1651"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NQF #2512</w:t>
            </w:r>
          </w:p>
        </w:tc>
        <w:tc>
          <w:tcPr>
            <w:tcW w:w="2588" w:type="pct"/>
            <w:shd w:val="clear" w:color="auto" w:fill="auto"/>
            <w:vAlign w:val="center"/>
          </w:tcPr>
          <w:p w14:paraId="651AF784" w14:textId="77777777" w:rsidR="00DD2325" w:rsidRPr="002A618B" w:rsidRDefault="00DD2325" w:rsidP="007973A6">
            <w:pPr>
              <w:rPr>
                <w:rFonts w:cs="Times New Roman"/>
                <w:color w:val="000000"/>
                <w:sz w:val="20"/>
                <w:szCs w:val="20"/>
              </w:rPr>
            </w:pPr>
            <w:r w:rsidRPr="002A618B">
              <w:rPr>
                <w:rFonts w:cs="Times New Roman"/>
                <w:color w:val="000000"/>
                <w:sz w:val="20"/>
                <w:szCs w:val="20"/>
              </w:rPr>
              <w:t>All-</w:t>
            </w:r>
            <w:r>
              <w:rPr>
                <w:rFonts w:cs="Times New Roman"/>
                <w:color w:val="000000"/>
                <w:sz w:val="20"/>
                <w:szCs w:val="20"/>
              </w:rPr>
              <w:t>C</w:t>
            </w:r>
            <w:r w:rsidRPr="002A618B">
              <w:rPr>
                <w:rFonts w:cs="Times New Roman"/>
                <w:color w:val="000000"/>
                <w:sz w:val="20"/>
                <w:szCs w:val="20"/>
              </w:rPr>
              <w:t>ause Unplanned Readmission Measure for 30 Days Post</w:t>
            </w:r>
            <w:r w:rsidRPr="002A618B">
              <w:rPr>
                <w:rFonts w:cs="Times New Roman"/>
                <w:color w:val="000000"/>
                <w:sz w:val="20"/>
                <w:szCs w:val="20"/>
              </w:rPr>
              <w:noBreakHyphen/>
              <w:t>Discharge from Long-Term Care Hospitals</w:t>
            </w:r>
          </w:p>
        </w:tc>
        <w:tc>
          <w:tcPr>
            <w:tcW w:w="858" w:type="pct"/>
            <w:vAlign w:val="center"/>
          </w:tcPr>
          <w:p w14:paraId="65805ABB" w14:textId="77777777" w:rsidR="00DD2325" w:rsidRPr="002A618B" w:rsidRDefault="00DD2325" w:rsidP="007973A6">
            <w:pPr>
              <w:jc w:val="center"/>
              <w:rPr>
                <w:rFonts w:cs="Times New Roman"/>
                <w:color w:val="000000"/>
                <w:sz w:val="20"/>
                <w:szCs w:val="20"/>
              </w:rPr>
            </w:pPr>
            <w:r>
              <w:rPr>
                <w:rFonts w:cs="Times New Roman"/>
                <w:color w:val="000000"/>
                <w:sz w:val="20"/>
                <w:szCs w:val="20"/>
              </w:rPr>
              <w:t>N/A – Medicare FFS Claims Data</w:t>
            </w:r>
          </w:p>
        </w:tc>
        <w:tc>
          <w:tcPr>
            <w:tcW w:w="904" w:type="pct"/>
            <w:vAlign w:val="center"/>
          </w:tcPr>
          <w:p w14:paraId="082599CB" w14:textId="475E6AD9" w:rsidR="00DD2325" w:rsidRDefault="00DD2325" w:rsidP="007973A6">
            <w:pPr>
              <w:jc w:val="center"/>
              <w:rPr>
                <w:rFonts w:cs="Times New Roman"/>
                <w:color w:val="000000"/>
                <w:sz w:val="20"/>
                <w:szCs w:val="20"/>
              </w:rPr>
            </w:pPr>
            <w:r>
              <w:rPr>
                <w:rFonts w:cs="Times New Roman"/>
                <w:color w:val="000000"/>
                <w:sz w:val="20"/>
                <w:szCs w:val="20"/>
              </w:rPr>
              <w:t>Finalized for removal in the FY 2018 IPPS/LTCH PPS final rule</w:t>
            </w:r>
          </w:p>
        </w:tc>
      </w:tr>
      <w:tr w:rsidR="00DD2325" w:rsidRPr="00A365CB" w14:paraId="158E836C" w14:textId="77777777" w:rsidTr="007973A6">
        <w:trPr>
          <w:trHeight w:val="690"/>
        </w:trPr>
        <w:tc>
          <w:tcPr>
            <w:tcW w:w="649" w:type="pct"/>
            <w:shd w:val="clear" w:color="auto" w:fill="auto"/>
            <w:vAlign w:val="center"/>
          </w:tcPr>
          <w:p w14:paraId="301B71A3"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Application of NQF #0674</w:t>
            </w:r>
          </w:p>
        </w:tc>
        <w:tc>
          <w:tcPr>
            <w:tcW w:w="2588" w:type="pct"/>
            <w:shd w:val="clear" w:color="auto" w:fill="auto"/>
            <w:vAlign w:val="center"/>
          </w:tcPr>
          <w:p w14:paraId="27E34A2A" w14:textId="77777777" w:rsidR="00DD2325" w:rsidRPr="002A618B" w:rsidRDefault="00DD2325" w:rsidP="007973A6">
            <w:pPr>
              <w:rPr>
                <w:rFonts w:cs="Times New Roman"/>
                <w:color w:val="000000"/>
                <w:sz w:val="20"/>
                <w:szCs w:val="20"/>
              </w:rPr>
            </w:pPr>
            <w:r>
              <w:rPr>
                <w:rFonts w:cs="Times New Roman"/>
                <w:color w:val="000000"/>
                <w:sz w:val="20"/>
                <w:szCs w:val="20"/>
              </w:rPr>
              <w:t xml:space="preserve">Application of </w:t>
            </w:r>
            <w:r w:rsidRPr="002A618B">
              <w:rPr>
                <w:rFonts w:cs="Times New Roman"/>
                <w:color w:val="000000"/>
                <w:sz w:val="20"/>
                <w:szCs w:val="20"/>
              </w:rPr>
              <w:t>Percent of Residents Experiencing One or More Falls with Major Injury (Long</w:t>
            </w:r>
            <w:r>
              <w:rPr>
                <w:rFonts w:cs="Times New Roman"/>
                <w:color w:val="000000"/>
                <w:sz w:val="20"/>
                <w:szCs w:val="20"/>
              </w:rPr>
              <w:t xml:space="preserve"> </w:t>
            </w:r>
            <w:r w:rsidRPr="002A618B">
              <w:rPr>
                <w:rFonts w:cs="Times New Roman"/>
                <w:color w:val="000000"/>
                <w:sz w:val="20"/>
                <w:szCs w:val="20"/>
              </w:rPr>
              <w:t>Stay)</w:t>
            </w:r>
          </w:p>
        </w:tc>
        <w:tc>
          <w:tcPr>
            <w:tcW w:w="858" w:type="pct"/>
            <w:vAlign w:val="center"/>
          </w:tcPr>
          <w:p w14:paraId="1C83484D"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April 1, 2016</w:t>
            </w:r>
          </w:p>
        </w:tc>
        <w:tc>
          <w:tcPr>
            <w:tcW w:w="904" w:type="pct"/>
            <w:vAlign w:val="center"/>
          </w:tcPr>
          <w:p w14:paraId="7379751B" w14:textId="77777777" w:rsidR="00DD2325" w:rsidRPr="002A618B" w:rsidRDefault="00DD2325" w:rsidP="007973A6">
            <w:pPr>
              <w:jc w:val="center"/>
              <w:rPr>
                <w:rFonts w:cs="Times New Roman"/>
                <w:color w:val="000000"/>
                <w:sz w:val="20"/>
                <w:szCs w:val="20"/>
              </w:rPr>
            </w:pPr>
          </w:p>
        </w:tc>
      </w:tr>
      <w:tr w:rsidR="00DD2325" w:rsidRPr="00A365CB" w14:paraId="7DE66CAC" w14:textId="77777777" w:rsidTr="007973A6">
        <w:trPr>
          <w:trHeight w:val="690"/>
        </w:trPr>
        <w:tc>
          <w:tcPr>
            <w:tcW w:w="649" w:type="pct"/>
            <w:shd w:val="clear" w:color="auto" w:fill="auto"/>
            <w:vAlign w:val="center"/>
          </w:tcPr>
          <w:p w14:paraId="17548E65" w14:textId="77777777" w:rsidR="00DD2325" w:rsidRPr="002A618B" w:rsidRDefault="00DD2325" w:rsidP="007973A6">
            <w:pPr>
              <w:jc w:val="center"/>
              <w:rPr>
                <w:rFonts w:cs="Times New Roman"/>
                <w:sz w:val="20"/>
                <w:szCs w:val="20"/>
              </w:rPr>
            </w:pPr>
            <w:r w:rsidRPr="002A618B">
              <w:rPr>
                <w:rFonts w:cs="Times New Roman"/>
                <w:color w:val="000000"/>
                <w:sz w:val="20"/>
                <w:szCs w:val="20"/>
              </w:rPr>
              <w:t>NQF #2631</w:t>
            </w:r>
          </w:p>
        </w:tc>
        <w:tc>
          <w:tcPr>
            <w:tcW w:w="2588" w:type="pct"/>
            <w:shd w:val="clear" w:color="auto" w:fill="auto"/>
            <w:vAlign w:val="center"/>
          </w:tcPr>
          <w:p w14:paraId="21E76919" w14:textId="77777777" w:rsidR="00DD2325" w:rsidRPr="002A618B" w:rsidRDefault="00DD2325" w:rsidP="007973A6">
            <w:pPr>
              <w:rPr>
                <w:rFonts w:cs="Times New Roman"/>
                <w:color w:val="000000"/>
                <w:sz w:val="20"/>
                <w:szCs w:val="20"/>
              </w:rPr>
            </w:pPr>
            <w:r w:rsidRPr="002A618B">
              <w:rPr>
                <w:rFonts w:cs="Times New Roman"/>
                <w:color w:val="000000"/>
                <w:sz w:val="20"/>
                <w:szCs w:val="20"/>
              </w:rPr>
              <w:t>Percent of Long-Term Care Hospital Patients with an Admission and Discharge Functional Assessment and a Care Plan That Addresses Function</w:t>
            </w:r>
          </w:p>
        </w:tc>
        <w:tc>
          <w:tcPr>
            <w:tcW w:w="858" w:type="pct"/>
            <w:vAlign w:val="center"/>
          </w:tcPr>
          <w:p w14:paraId="3132441F"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April 1, 2016</w:t>
            </w:r>
          </w:p>
        </w:tc>
        <w:tc>
          <w:tcPr>
            <w:tcW w:w="904" w:type="pct"/>
            <w:vAlign w:val="center"/>
          </w:tcPr>
          <w:p w14:paraId="706C1820" w14:textId="77777777" w:rsidR="00DD2325" w:rsidRPr="002A618B" w:rsidRDefault="00DD2325" w:rsidP="007973A6">
            <w:pPr>
              <w:jc w:val="center"/>
              <w:rPr>
                <w:rFonts w:cs="Times New Roman"/>
                <w:color w:val="000000"/>
                <w:sz w:val="20"/>
                <w:szCs w:val="20"/>
              </w:rPr>
            </w:pPr>
          </w:p>
        </w:tc>
      </w:tr>
      <w:tr w:rsidR="00DD2325" w:rsidRPr="00A365CB" w14:paraId="36F79567" w14:textId="77777777" w:rsidTr="007973A6">
        <w:trPr>
          <w:trHeight w:val="690"/>
        </w:trPr>
        <w:tc>
          <w:tcPr>
            <w:tcW w:w="649" w:type="pct"/>
            <w:shd w:val="clear" w:color="auto" w:fill="auto"/>
            <w:vAlign w:val="center"/>
          </w:tcPr>
          <w:p w14:paraId="0BE3F5CD" w14:textId="77777777" w:rsidR="00DD2325" w:rsidRPr="002A618B" w:rsidRDefault="00DD2325" w:rsidP="007973A6">
            <w:pPr>
              <w:jc w:val="center"/>
              <w:rPr>
                <w:rFonts w:cs="Times New Roman"/>
                <w:color w:val="000000"/>
                <w:sz w:val="20"/>
                <w:szCs w:val="20"/>
              </w:rPr>
            </w:pPr>
            <w:r>
              <w:rPr>
                <w:rFonts w:cs="Times New Roman"/>
                <w:color w:val="000000"/>
                <w:sz w:val="20"/>
                <w:szCs w:val="20"/>
              </w:rPr>
              <w:t xml:space="preserve">Application of </w:t>
            </w:r>
            <w:r w:rsidRPr="002A618B">
              <w:rPr>
                <w:rFonts w:cs="Times New Roman"/>
                <w:color w:val="000000"/>
                <w:sz w:val="20"/>
                <w:szCs w:val="20"/>
              </w:rPr>
              <w:t>NQF #2631</w:t>
            </w:r>
          </w:p>
        </w:tc>
        <w:tc>
          <w:tcPr>
            <w:tcW w:w="2588" w:type="pct"/>
            <w:shd w:val="clear" w:color="auto" w:fill="auto"/>
            <w:vAlign w:val="center"/>
          </w:tcPr>
          <w:p w14:paraId="435981EE" w14:textId="77777777" w:rsidR="00DD2325" w:rsidRPr="002A618B" w:rsidRDefault="00DD2325" w:rsidP="007973A6">
            <w:pPr>
              <w:rPr>
                <w:rFonts w:cs="Times New Roman"/>
                <w:color w:val="000000"/>
                <w:sz w:val="20"/>
                <w:szCs w:val="20"/>
              </w:rPr>
            </w:pPr>
            <w:r>
              <w:rPr>
                <w:rFonts w:cs="Times New Roman"/>
                <w:color w:val="000000"/>
                <w:sz w:val="20"/>
                <w:szCs w:val="20"/>
              </w:rPr>
              <w:t xml:space="preserve">Application of </w:t>
            </w:r>
            <w:r w:rsidRPr="002A618B">
              <w:rPr>
                <w:rFonts w:cs="Times New Roman"/>
                <w:color w:val="000000"/>
                <w:sz w:val="20"/>
                <w:szCs w:val="20"/>
              </w:rPr>
              <w:t>Percent of Long-Term Care Hospital Patients with an Admission and Discharge Functional Assessment and a Care Plan That Addresses Function</w:t>
            </w:r>
          </w:p>
        </w:tc>
        <w:tc>
          <w:tcPr>
            <w:tcW w:w="858" w:type="pct"/>
            <w:vAlign w:val="center"/>
          </w:tcPr>
          <w:p w14:paraId="61CB500D"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April 1, 2016</w:t>
            </w:r>
          </w:p>
        </w:tc>
        <w:tc>
          <w:tcPr>
            <w:tcW w:w="904" w:type="pct"/>
            <w:vAlign w:val="center"/>
          </w:tcPr>
          <w:p w14:paraId="4FCAED1F" w14:textId="77777777" w:rsidR="00DD2325" w:rsidRPr="002A618B" w:rsidRDefault="00DD2325" w:rsidP="007973A6">
            <w:pPr>
              <w:jc w:val="center"/>
              <w:rPr>
                <w:rFonts w:cs="Times New Roman"/>
                <w:color w:val="000000"/>
                <w:sz w:val="20"/>
                <w:szCs w:val="20"/>
              </w:rPr>
            </w:pPr>
          </w:p>
        </w:tc>
      </w:tr>
      <w:tr w:rsidR="00DD2325" w:rsidRPr="00A365CB" w14:paraId="242FDD19" w14:textId="77777777" w:rsidTr="007973A6">
        <w:trPr>
          <w:trHeight w:val="690"/>
        </w:trPr>
        <w:tc>
          <w:tcPr>
            <w:tcW w:w="649" w:type="pct"/>
            <w:shd w:val="clear" w:color="auto" w:fill="auto"/>
            <w:vAlign w:val="center"/>
          </w:tcPr>
          <w:p w14:paraId="532B73C6" w14:textId="77777777" w:rsidR="00DD2325" w:rsidRPr="002A618B" w:rsidRDefault="00DD2325" w:rsidP="007973A6">
            <w:pPr>
              <w:jc w:val="center"/>
              <w:rPr>
                <w:rFonts w:cs="Times New Roman"/>
                <w:sz w:val="20"/>
                <w:szCs w:val="20"/>
              </w:rPr>
            </w:pPr>
            <w:r w:rsidRPr="002A618B">
              <w:rPr>
                <w:rFonts w:cs="Times New Roman"/>
                <w:color w:val="000000"/>
                <w:sz w:val="20"/>
                <w:szCs w:val="20"/>
              </w:rPr>
              <w:t>NQF #2632</w:t>
            </w:r>
          </w:p>
        </w:tc>
        <w:tc>
          <w:tcPr>
            <w:tcW w:w="2588" w:type="pct"/>
            <w:shd w:val="clear" w:color="auto" w:fill="auto"/>
            <w:vAlign w:val="center"/>
          </w:tcPr>
          <w:p w14:paraId="45054739" w14:textId="77777777" w:rsidR="00DD2325" w:rsidRPr="002A618B" w:rsidRDefault="00DD2325" w:rsidP="007973A6">
            <w:pPr>
              <w:rPr>
                <w:rFonts w:cs="Times New Roman"/>
                <w:color w:val="000000"/>
                <w:sz w:val="20"/>
                <w:szCs w:val="20"/>
              </w:rPr>
            </w:pPr>
            <w:r>
              <w:rPr>
                <w:rFonts w:cs="Times New Roman"/>
                <w:color w:val="000000"/>
                <w:sz w:val="20"/>
                <w:szCs w:val="20"/>
              </w:rPr>
              <w:t xml:space="preserve">Functional Outcome Measure: </w:t>
            </w:r>
            <w:r w:rsidRPr="002A618B">
              <w:rPr>
                <w:rFonts w:cs="Times New Roman"/>
                <w:color w:val="000000"/>
                <w:sz w:val="20"/>
                <w:szCs w:val="20"/>
              </w:rPr>
              <w:t>Change in Mobility among Long-Term Care Hospital Patients Requiring Ventilator Support</w:t>
            </w:r>
            <w:r w:rsidRPr="002A618B" w:rsidDel="001C554F">
              <w:rPr>
                <w:rFonts w:cs="Times New Roman"/>
                <w:color w:val="000000"/>
                <w:sz w:val="20"/>
                <w:szCs w:val="20"/>
              </w:rPr>
              <w:t xml:space="preserve"> </w:t>
            </w:r>
          </w:p>
        </w:tc>
        <w:tc>
          <w:tcPr>
            <w:tcW w:w="858" w:type="pct"/>
            <w:vAlign w:val="center"/>
          </w:tcPr>
          <w:p w14:paraId="304BA8A4"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April 1, 2016</w:t>
            </w:r>
          </w:p>
        </w:tc>
        <w:tc>
          <w:tcPr>
            <w:tcW w:w="904" w:type="pct"/>
            <w:vAlign w:val="center"/>
          </w:tcPr>
          <w:p w14:paraId="61917484" w14:textId="77777777" w:rsidR="00DD2325" w:rsidRPr="002A618B" w:rsidRDefault="00DD2325" w:rsidP="007973A6">
            <w:pPr>
              <w:jc w:val="center"/>
              <w:rPr>
                <w:rFonts w:cs="Times New Roman"/>
                <w:color w:val="000000"/>
                <w:sz w:val="20"/>
                <w:szCs w:val="20"/>
              </w:rPr>
            </w:pPr>
          </w:p>
        </w:tc>
      </w:tr>
      <w:tr w:rsidR="00DD2325" w:rsidRPr="00A365CB" w14:paraId="11DEB91C" w14:textId="77777777" w:rsidTr="007973A6">
        <w:trPr>
          <w:trHeight w:val="690"/>
        </w:trPr>
        <w:tc>
          <w:tcPr>
            <w:tcW w:w="649" w:type="pct"/>
            <w:shd w:val="clear" w:color="auto" w:fill="auto"/>
            <w:vAlign w:val="center"/>
          </w:tcPr>
          <w:p w14:paraId="5B41C632" w14:textId="77777777" w:rsidR="00DD2325" w:rsidRPr="002A618B" w:rsidRDefault="00DD2325" w:rsidP="007973A6">
            <w:pPr>
              <w:jc w:val="center"/>
              <w:rPr>
                <w:rFonts w:cs="Times New Roman"/>
                <w:sz w:val="20"/>
                <w:szCs w:val="20"/>
              </w:rPr>
            </w:pPr>
            <w:r w:rsidRPr="002A618B">
              <w:rPr>
                <w:rFonts w:cs="Times New Roman"/>
                <w:sz w:val="20"/>
                <w:szCs w:val="20"/>
              </w:rPr>
              <w:t>Not endorsed</w:t>
            </w:r>
          </w:p>
        </w:tc>
        <w:tc>
          <w:tcPr>
            <w:tcW w:w="2588" w:type="pct"/>
            <w:shd w:val="clear" w:color="auto" w:fill="auto"/>
            <w:vAlign w:val="center"/>
          </w:tcPr>
          <w:p w14:paraId="055D5C43" w14:textId="77777777" w:rsidR="00DD2325" w:rsidRPr="002A618B" w:rsidRDefault="00DD2325" w:rsidP="007973A6">
            <w:pPr>
              <w:rPr>
                <w:rFonts w:cs="Times New Roman"/>
                <w:color w:val="000000"/>
                <w:sz w:val="20"/>
                <w:szCs w:val="20"/>
              </w:rPr>
            </w:pPr>
            <w:r w:rsidRPr="002A618B">
              <w:rPr>
                <w:rFonts w:cs="Times New Roman"/>
                <w:color w:val="000000"/>
                <w:sz w:val="20"/>
                <w:szCs w:val="20"/>
              </w:rPr>
              <w:t>National Healthcare Safety Network (NHSN) Ventilator-Associated Event (VAE) Outcome Measure</w:t>
            </w:r>
          </w:p>
        </w:tc>
        <w:tc>
          <w:tcPr>
            <w:tcW w:w="858" w:type="pct"/>
            <w:vAlign w:val="center"/>
          </w:tcPr>
          <w:p w14:paraId="182F1A30"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January 1, 2016</w:t>
            </w:r>
          </w:p>
        </w:tc>
        <w:tc>
          <w:tcPr>
            <w:tcW w:w="904" w:type="pct"/>
            <w:vAlign w:val="center"/>
          </w:tcPr>
          <w:p w14:paraId="620C6DD7" w14:textId="77777777" w:rsidR="00DD2325" w:rsidRPr="002A618B" w:rsidRDefault="00DD2325" w:rsidP="007973A6">
            <w:pPr>
              <w:jc w:val="center"/>
              <w:rPr>
                <w:rFonts w:cs="Times New Roman"/>
                <w:color w:val="000000"/>
                <w:sz w:val="20"/>
                <w:szCs w:val="20"/>
              </w:rPr>
            </w:pPr>
          </w:p>
        </w:tc>
      </w:tr>
      <w:tr w:rsidR="00DD2325" w:rsidRPr="00A365CB" w14:paraId="49C8A0F6" w14:textId="77777777" w:rsidTr="007973A6">
        <w:trPr>
          <w:trHeight w:val="690"/>
        </w:trPr>
        <w:tc>
          <w:tcPr>
            <w:tcW w:w="649" w:type="pct"/>
            <w:shd w:val="clear" w:color="auto" w:fill="auto"/>
            <w:vAlign w:val="center"/>
          </w:tcPr>
          <w:p w14:paraId="28701F25" w14:textId="77777777" w:rsidR="00DD2325" w:rsidRPr="002A618B" w:rsidRDefault="00DD2325" w:rsidP="007973A6">
            <w:pPr>
              <w:jc w:val="center"/>
              <w:rPr>
                <w:rFonts w:cs="Times New Roman"/>
                <w:sz w:val="20"/>
                <w:szCs w:val="20"/>
              </w:rPr>
            </w:pPr>
            <w:r w:rsidRPr="00BC4344">
              <w:rPr>
                <w:rFonts w:cs="Times New Roman"/>
                <w:sz w:val="20"/>
                <w:szCs w:val="20"/>
              </w:rPr>
              <w:t>Not endorsed</w:t>
            </w:r>
          </w:p>
        </w:tc>
        <w:tc>
          <w:tcPr>
            <w:tcW w:w="2588" w:type="pct"/>
            <w:shd w:val="clear" w:color="auto" w:fill="auto"/>
            <w:vAlign w:val="center"/>
          </w:tcPr>
          <w:p w14:paraId="70679C37" w14:textId="77777777" w:rsidR="00DD2325" w:rsidRPr="002A618B" w:rsidRDefault="00DD2325" w:rsidP="007973A6">
            <w:pPr>
              <w:rPr>
                <w:rFonts w:cs="Times New Roman"/>
                <w:color w:val="000000"/>
                <w:sz w:val="20"/>
                <w:szCs w:val="20"/>
              </w:rPr>
            </w:pPr>
            <w:r w:rsidRPr="00767CB0">
              <w:rPr>
                <w:rFonts w:cs="Times New Roman"/>
                <w:color w:val="000000"/>
                <w:sz w:val="20"/>
                <w:szCs w:val="20"/>
              </w:rPr>
              <w:t xml:space="preserve">Medicare Spending Per Beneficiary-Post Acute Care (PAC) Long-Term Care Hospital (LTCH) </w:t>
            </w:r>
            <w:r>
              <w:rPr>
                <w:rFonts w:cs="Times New Roman"/>
                <w:color w:val="000000"/>
                <w:sz w:val="20"/>
                <w:szCs w:val="20"/>
              </w:rPr>
              <w:t>Quality Reporting Program (QRP)</w:t>
            </w:r>
          </w:p>
        </w:tc>
        <w:tc>
          <w:tcPr>
            <w:tcW w:w="858" w:type="pct"/>
            <w:vAlign w:val="center"/>
          </w:tcPr>
          <w:p w14:paraId="39E43D15" w14:textId="77777777" w:rsidR="00DD2325" w:rsidRPr="002A618B" w:rsidRDefault="00DD2325" w:rsidP="007973A6">
            <w:pPr>
              <w:jc w:val="center"/>
              <w:rPr>
                <w:rFonts w:cs="Times New Roman"/>
                <w:color w:val="000000"/>
                <w:sz w:val="20"/>
                <w:szCs w:val="20"/>
              </w:rPr>
            </w:pPr>
            <w:r w:rsidRPr="00220C9D">
              <w:rPr>
                <w:rFonts w:cs="Times New Roman"/>
                <w:color w:val="000000"/>
                <w:sz w:val="20"/>
                <w:szCs w:val="20"/>
              </w:rPr>
              <w:t>N/A – Medicare FFS Claims Data</w:t>
            </w:r>
          </w:p>
        </w:tc>
        <w:tc>
          <w:tcPr>
            <w:tcW w:w="904" w:type="pct"/>
            <w:vAlign w:val="center"/>
          </w:tcPr>
          <w:p w14:paraId="0408343C" w14:textId="77777777" w:rsidR="00DD2325" w:rsidRPr="00220C9D" w:rsidRDefault="00DD2325" w:rsidP="007973A6">
            <w:pPr>
              <w:jc w:val="center"/>
              <w:rPr>
                <w:rFonts w:cs="Times New Roman"/>
                <w:color w:val="000000"/>
                <w:sz w:val="20"/>
                <w:szCs w:val="20"/>
              </w:rPr>
            </w:pPr>
          </w:p>
        </w:tc>
      </w:tr>
      <w:tr w:rsidR="00DD2325" w:rsidRPr="00A365CB" w14:paraId="2FB59454" w14:textId="77777777" w:rsidTr="007973A6">
        <w:trPr>
          <w:trHeight w:val="690"/>
        </w:trPr>
        <w:tc>
          <w:tcPr>
            <w:tcW w:w="649" w:type="pct"/>
            <w:shd w:val="clear" w:color="auto" w:fill="auto"/>
            <w:vAlign w:val="center"/>
          </w:tcPr>
          <w:p w14:paraId="30D3DBEE" w14:textId="77777777" w:rsidR="00DD2325" w:rsidRPr="002A618B" w:rsidRDefault="00DD2325" w:rsidP="007973A6">
            <w:pPr>
              <w:jc w:val="center"/>
              <w:rPr>
                <w:rFonts w:cs="Times New Roman"/>
                <w:sz w:val="20"/>
                <w:szCs w:val="20"/>
              </w:rPr>
            </w:pPr>
            <w:r w:rsidRPr="00BC4344">
              <w:rPr>
                <w:rFonts w:cs="Times New Roman"/>
                <w:sz w:val="20"/>
                <w:szCs w:val="20"/>
              </w:rPr>
              <w:t>Not endorsed</w:t>
            </w:r>
          </w:p>
        </w:tc>
        <w:tc>
          <w:tcPr>
            <w:tcW w:w="2588" w:type="pct"/>
            <w:shd w:val="clear" w:color="auto" w:fill="auto"/>
            <w:vAlign w:val="center"/>
          </w:tcPr>
          <w:p w14:paraId="4AA8F5C7" w14:textId="77777777" w:rsidR="00DD2325" w:rsidRPr="002A618B" w:rsidRDefault="00DD2325" w:rsidP="007973A6">
            <w:pPr>
              <w:rPr>
                <w:rFonts w:cs="Times New Roman"/>
                <w:color w:val="000000"/>
                <w:sz w:val="20"/>
                <w:szCs w:val="20"/>
              </w:rPr>
            </w:pPr>
            <w:r w:rsidRPr="00767CB0">
              <w:rPr>
                <w:rFonts w:cs="Times New Roman"/>
                <w:color w:val="000000"/>
                <w:sz w:val="20"/>
                <w:szCs w:val="20"/>
              </w:rPr>
              <w:t xml:space="preserve">Discharge to Community-Post Acute Care (PAC) Long-Term Care Hospital (LTCH) </w:t>
            </w:r>
            <w:r>
              <w:rPr>
                <w:rFonts w:cs="Times New Roman"/>
                <w:color w:val="000000"/>
                <w:sz w:val="20"/>
                <w:szCs w:val="20"/>
              </w:rPr>
              <w:t>Quality Reporting Program (QRP)</w:t>
            </w:r>
          </w:p>
        </w:tc>
        <w:tc>
          <w:tcPr>
            <w:tcW w:w="858" w:type="pct"/>
            <w:vAlign w:val="center"/>
          </w:tcPr>
          <w:p w14:paraId="76E89468" w14:textId="77777777" w:rsidR="00DD2325" w:rsidRPr="002A618B" w:rsidRDefault="00DD2325" w:rsidP="007973A6">
            <w:pPr>
              <w:jc w:val="center"/>
              <w:rPr>
                <w:rFonts w:cs="Times New Roman"/>
                <w:color w:val="000000"/>
                <w:sz w:val="20"/>
                <w:szCs w:val="20"/>
              </w:rPr>
            </w:pPr>
            <w:r w:rsidRPr="00220C9D">
              <w:rPr>
                <w:rFonts w:cs="Times New Roman"/>
                <w:color w:val="000000"/>
                <w:sz w:val="20"/>
                <w:szCs w:val="20"/>
              </w:rPr>
              <w:t>N/A – Medicare FFS Claims Data</w:t>
            </w:r>
          </w:p>
        </w:tc>
        <w:tc>
          <w:tcPr>
            <w:tcW w:w="904" w:type="pct"/>
            <w:vAlign w:val="center"/>
          </w:tcPr>
          <w:p w14:paraId="53925437" w14:textId="77777777" w:rsidR="00DD2325" w:rsidRPr="00220C9D" w:rsidRDefault="00DD2325" w:rsidP="007973A6">
            <w:pPr>
              <w:jc w:val="center"/>
              <w:rPr>
                <w:rFonts w:cs="Times New Roman"/>
                <w:color w:val="000000"/>
                <w:sz w:val="20"/>
                <w:szCs w:val="20"/>
              </w:rPr>
            </w:pPr>
          </w:p>
        </w:tc>
      </w:tr>
      <w:tr w:rsidR="00DD2325" w:rsidRPr="00A365CB" w14:paraId="1B28D04F" w14:textId="77777777" w:rsidTr="007973A6">
        <w:trPr>
          <w:trHeight w:val="690"/>
        </w:trPr>
        <w:tc>
          <w:tcPr>
            <w:tcW w:w="649" w:type="pct"/>
            <w:shd w:val="clear" w:color="auto" w:fill="auto"/>
            <w:vAlign w:val="center"/>
          </w:tcPr>
          <w:p w14:paraId="640825E4" w14:textId="77777777" w:rsidR="00DD2325" w:rsidRPr="002A618B" w:rsidRDefault="00DD2325" w:rsidP="007973A6">
            <w:pPr>
              <w:jc w:val="center"/>
              <w:rPr>
                <w:rFonts w:cs="Times New Roman"/>
                <w:sz w:val="20"/>
                <w:szCs w:val="20"/>
              </w:rPr>
            </w:pPr>
            <w:r w:rsidRPr="00BC4344">
              <w:rPr>
                <w:rFonts w:cs="Times New Roman"/>
                <w:sz w:val="20"/>
                <w:szCs w:val="20"/>
              </w:rPr>
              <w:t>Not endorsed</w:t>
            </w:r>
          </w:p>
        </w:tc>
        <w:tc>
          <w:tcPr>
            <w:tcW w:w="2588" w:type="pct"/>
            <w:shd w:val="clear" w:color="auto" w:fill="auto"/>
            <w:vAlign w:val="center"/>
          </w:tcPr>
          <w:p w14:paraId="27A291B1" w14:textId="77777777" w:rsidR="00DD2325" w:rsidRPr="002A618B" w:rsidRDefault="00DD2325" w:rsidP="007973A6">
            <w:pPr>
              <w:rPr>
                <w:rFonts w:cs="Times New Roman"/>
                <w:color w:val="000000"/>
                <w:sz w:val="20"/>
                <w:szCs w:val="20"/>
              </w:rPr>
            </w:pPr>
            <w:r w:rsidRPr="00767CB0">
              <w:rPr>
                <w:rFonts w:cs="Times New Roman"/>
                <w:color w:val="000000"/>
                <w:sz w:val="20"/>
                <w:szCs w:val="20"/>
              </w:rPr>
              <w:t>Potentially Preventable 30-Day Post-Discharge Readmission Measure for Long-Term Care Hospital (LTCH) Q</w:t>
            </w:r>
            <w:r>
              <w:rPr>
                <w:rFonts w:cs="Times New Roman"/>
                <w:color w:val="000000"/>
                <w:sz w:val="20"/>
                <w:szCs w:val="20"/>
              </w:rPr>
              <w:t xml:space="preserve">uality Reporting Program (QRP) </w:t>
            </w:r>
          </w:p>
        </w:tc>
        <w:tc>
          <w:tcPr>
            <w:tcW w:w="858" w:type="pct"/>
            <w:vAlign w:val="center"/>
          </w:tcPr>
          <w:p w14:paraId="21B5E23F" w14:textId="77777777" w:rsidR="00DD2325" w:rsidRPr="002A618B" w:rsidRDefault="00DD2325" w:rsidP="007973A6">
            <w:pPr>
              <w:jc w:val="center"/>
              <w:rPr>
                <w:rFonts w:cs="Times New Roman"/>
                <w:color w:val="000000"/>
                <w:sz w:val="20"/>
                <w:szCs w:val="20"/>
              </w:rPr>
            </w:pPr>
            <w:r w:rsidRPr="00220C9D">
              <w:rPr>
                <w:rFonts w:cs="Times New Roman"/>
                <w:color w:val="000000"/>
                <w:sz w:val="20"/>
                <w:szCs w:val="20"/>
              </w:rPr>
              <w:t>N/A – Medicare FFS Claims Data</w:t>
            </w:r>
          </w:p>
        </w:tc>
        <w:tc>
          <w:tcPr>
            <w:tcW w:w="904" w:type="pct"/>
            <w:vAlign w:val="center"/>
          </w:tcPr>
          <w:p w14:paraId="59B54BC6" w14:textId="77777777" w:rsidR="00DD2325" w:rsidRPr="00220C9D" w:rsidRDefault="00DD2325" w:rsidP="007973A6">
            <w:pPr>
              <w:jc w:val="center"/>
              <w:rPr>
                <w:rFonts w:cs="Times New Roman"/>
                <w:color w:val="000000"/>
                <w:sz w:val="20"/>
                <w:szCs w:val="20"/>
              </w:rPr>
            </w:pPr>
          </w:p>
        </w:tc>
      </w:tr>
      <w:tr w:rsidR="00DD2325" w:rsidRPr="00A365CB" w14:paraId="3FEF22B9" w14:textId="77777777" w:rsidTr="007973A6">
        <w:trPr>
          <w:trHeight w:val="690"/>
        </w:trPr>
        <w:tc>
          <w:tcPr>
            <w:tcW w:w="649" w:type="pct"/>
            <w:shd w:val="clear" w:color="auto" w:fill="auto"/>
            <w:vAlign w:val="center"/>
          </w:tcPr>
          <w:p w14:paraId="40732FB6" w14:textId="77777777" w:rsidR="00DD2325" w:rsidRPr="002A618B" w:rsidRDefault="00DD2325" w:rsidP="007973A6">
            <w:pPr>
              <w:jc w:val="center"/>
              <w:rPr>
                <w:rFonts w:cs="Times New Roman"/>
                <w:sz w:val="20"/>
                <w:szCs w:val="20"/>
              </w:rPr>
            </w:pPr>
            <w:r w:rsidRPr="00BC4344">
              <w:rPr>
                <w:rFonts w:cs="Times New Roman"/>
                <w:sz w:val="20"/>
                <w:szCs w:val="20"/>
              </w:rPr>
              <w:t>Not endorsed</w:t>
            </w:r>
          </w:p>
        </w:tc>
        <w:tc>
          <w:tcPr>
            <w:tcW w:w="2588" w:type="pct"/>
            <w:shd w:val="clear" w:color="auto" w:fill="auto"/>
            <w:vAlign w:val="center"/>
          </w:tcPr>
          <w:p w14:paraId="1DFA3AAD" w14:textId="77777777" w:rsidR="00DD2325" w:rsidRPr="00276012" w:rsidRDefault="00DD2325" w:rsidP="007973A6">
            <w:pPr>
              <w:rPr>
                <w:rFonts w:cs="Times New Roman"/>
                <w:color w:val="000000"/>
                <w:sz w:val="20"/>
                <w:szCs w:val="20"/>
              </w:rPr>
            </w:pPr>
            <w:r w:rsidRPr="00276012">
              <w:rPr>
                <w:rFonts w:cs="Times New Roman"/>
                <w:color w:val="000000"/>
                <w:sz w:val="20"/>
                <w:szCs w:val="20"/>
              </w:rPr>
              <w:t>Drug Regimen Review Conducted With Follow-Up for Identified Issues- Post Acute Care (PAC) Long-Term Care Hospital (LTCH) Quality Reporting Program (QRP)</w:t>
            </w:r>
          </w:p>
        </w:tc>
        <w:tc>
          <w:tcPr>
            <w:tcW w:w="858" w:type="pct"/>
            <w:vAlign w:val="center"/>
          </w:tcPr>
          <w:p w14:paraId="43050AFA" w14:textId="6D13C053" w:rsidR="00DD2325" w:rsidRPr="002A618B" w:rsidRDefault="00DD2325" w:rsidP="007973A6">
            <w:pPr>
              <w:jc w:val="center"/>
              <w:rPr>
                <w:rFonts w:cs="Times New Roman"/>
                <w:color w:val="000000"/>
                <w:sz w:val="20"/>
                <w:szCs w:val="20"/>
              </w:rPr>
            </w:pPr>
            <w:r>
              <w:rPr>
                <w:rFonts w:cs="Times New Roman"/>
                <w:color w:val="000000"/>
                <w:sz w:val="20"/>
                <w:szCs w:val="20"/>
              </w:rPr>
              <w:t>July 1, 2018</w:t>
            </w:r>
          </w:p>
        </w:tc>
        <w:tc>
          <w:tcPr>
            <w:tcW w:w="904" w:type="pct"/>
            <w:vAlign w:val="center"/>
          </w:tcPr>
          <w:p w14:paraId="3382E745" w14:textId="77777777" w:rsidR="00DD2325" w:rsidRDefault="00DD2325" w:rsidP="007973A6">
            <w:pPr>
              <w:jc w:val="center"/>
              <w:rPr>
                <w:rFonts w:cs="Times New Roman"/>
                <w:color w:val="000000"/>
                <w:sz w:val="20"/>
                <w:szCs w:val="20"/>
              </w:rPr>
            </w:pPr>
          </w:p>
        </w:tc>
      </w:tr>
      <w:tr w:rsidR="00DD2325" w:rsidRPr="00A365CB" w14:paraId="09495B39" w14:textId="77777777" w:rsidTr="007973A6">
        <w:trPr>
          <w:trHeight w:val="690"/>
        </w:trPr>
        <w:tc>
          <w:tcPr>
            <w:tcW w:w="649" w:type="pct"/>
            <w:shd w:val="clear" w:color="auto" w:fill="auto"/>
            <w:vAlign w:val="center"/>
          </w:tcPr>
          <w:p w14:paraId="1D4B6215" w14:textId="77777777" w:rsidR="00DD2325" w:rsidRPr="00BC4344" w:rsidRDefault="00DD2325" w:rsidP="007973A6">
            <w:pPr>
              <w:jc w:val="center"/>
              <w:rPr>
                <w:rFonts w:cs="Times New Roman"/>
                <w:sz w:val="20"/>
                <w:szCs w:val="20"/>
              </w:rPr>
            </w:pPr>
            <w:r w:rsidRPr="00264ABC">
              <w:rPr>
                <w:rFonts w:cs="Times New Roman"/>
                <w:sz w:val="20"/>
                <w:szCs w:val="20"/>
              </w:rPr>
              <w:t>Not endorsed</w:t>
            </w:r>
          </w:p>
        </w:tc>
        <w:tc>
          <w:tcPr>
            <w:tcW w:w="2588" w:type="pct"/>
            <w:shd w:val="clear" w:color="auto" w:fill="auto"/>
            <w:vAlign w:val="center"/>
          </w:tcPr>
          <w:p w14:paraId="6FFE8995" w14:textId="77777777" w:rsidR="00DD2325" w:rsidRPr="00276012" w:rsidRDefault="00DD2325" w:rsidP="007973A6">
            <w:pPr>
              <w:rPr>
                <w:rFonts w:cs="Times New Roman"/>
                <w:color w:val="000000"/>
                <w:sz w:val="20"/>
                <w:szCs w:val="20"/>
              </w:rPr>
            </w:pPr>
            <w:r w:rsidRPr="00276012">
              <w:rPr>
                <w:sz w:val="20"/>
                <w:szCs w:val="20"/>
              </w:rPr>
              <w:t>Changes in Skin Integrity Post-Acute Care: Pressure Ulcer/Injury</w:t>
            </w:r>
          </w:p>
        </w:tc>
        <w:tc>
          <w:tcPr>
            <w:tcW w:w="858" w:type="pct"/>
            <w:vAlign w:val="center"/>
          </w:tcPr>
          <w:p w14:paraId="4240F36C" w14:textId="611C48D3" w:rsidR="00DD2325" w:rsidRDefault="00DD2325" w:rsidP="007973A6">
            <w:pPr>
              <w:jc w:val="center"/>
              <w:rPr>
                <w:rFonts w:cs="Times New Roman"/>
                <w:color w:val="000000"/>
                <w:sz w:val="20"/>
                <w:szCs w:val="20"/>
              </w:rPr>
            </w:pPr>
            <w:r>
              <w:rPr>
                <w:rFonts w:cs="Times New Roman"/>
                <w:color w:val="000000"/>
                <w:sz w:val="20"/>
                <w:szCs w:val="20"/>
              </w:rPr>
              <w:t>July 1, 2018</w:t>
            </w:r>
          </w:p>
        </w:tc>
        <w:tc>
          <w:tcPr>
            <w:tcW w:w="904" w:type="pct"/>
            <w:vAlign w:val="center"/>
          </w:tcPr>
          <w:p w14:paraId="50C74FB3" w14:textId="40589FEF" w:rsidR="00DD2325" w:rsidRDefault="00DD2325" w:rsidP="007973A6">
            <w:pPr>
              <w:jc w:val="center"/>
              <w:rPr>
                <w:rFonts w:cs="Times New Roman"/>
                <w:color w:val="000000"/>
                <w:sz w:val="20"/>
                <w:szCs w:val="20"/>
              </w:rPr>
            </w:pPr>
            <w:r>
              <w:rPr>
                <w:rFonts w:cs="Times New Roman"/>
                <w:color w:val="000000"/>
                <w:sz w:val="20"/>
                <w:szCs w:val="20"/>
              </w:rPr>
              <w:t>Finalized in FY 2018 IPPS/LTCH PPS final rule</w:t>
            </w:r>
          </w:p>
        </w:tc>
      </w:tr>
      <w:tr w:rsidR="00DD2325" w:rsidRPr="00A365CB" w14:paraId="0E4FB698" w14:textId="77777777" w:rsidTr="007973A6">
        <w:trPr>
          <w:trHeight w:val="690"/>
        </w:trPr>
        <w:tc>
          <w:tcPr>
            <w:tcW w:w="649" w:type="pct"/>
            <w:shd w:val="clear" w:color="auto" w:fill="auto"/>
            <w:vAlign w:val="center"/>
          </w:tcPr>
          <w:p w14:paraId="77001E5D" w14:textId="77777777" w:rsidR="00DD2325" w:rsidRPr="00BC4344" w:rsidRDefault="00DD2325" w:rsidP="007973A6">
            <w:pPr>
              <w:jc w:val="center"/>
              <w:rPr>
                <w:rFonts w:cs="Times New Roman"/>
                <w:sz w:val="20"/>
                <w:szCs w:val="20"/>
              </w:rPr>
            </w:pPr>
            <w:r w:rsidRPr="00264ABC">
              <w:rPr>
                <w:rFonts w:cs="Times New Roman"/>
                <w:sz w:val="20"/>
                <w:szCs w:val="20"/>
              </w:rPr>
              <w:t>Not endorsed</w:t>
            </w:r>
          </w:p>
        </w:tc>
        <w:tc>
          <w:tcPr>
            <w:tcW w:w="2588" w:type="pct"/>
            <w:shd w:val="clear" w:color="auto" w:fill="auto"/>
            <w:vAlign w:val="center"/>
          </w:tcPr>
          <w:p w14:paraId="5A99BC36" w14:textId="77777777" w:rsidR="00DD2325" w:rsidRPr="00276012" w:rsidRDefault="00DD2325" w:rsidP="007973A6">
            <w:pPr>
              <w:rPr>
                <w:rFonts w:cs="Times New Roman"/>
                <w:color w:val="000000"/>
                <w:sz w:val="20"/>
                <w:szCs w:val="20"/>
              </w:rPr>
            </w:pPr>
            <w:r w:rsidRPr="00276012">
              <w:rPr>
                <w:sz w:val="20"/>
                <w:szCs w:val="20"/>
              </w:rPr>
              <w:t>Compliance with Spontaneous Breathing Trial (SBT) by Day 2 of the LTCH Stay</w:t>
            </w:r>
          </w:p>
        </w:tc>
        <w:tc>
          <w:tcPr>
            <w:tcW w:w="858" w:type="pct"/>
            <w:vAlign w:val="center"/>
          </w:tcPr>
          <w:p w14:paraId="75C0EEFF" w14:textId="3CCA2C56" w:rsidR="00DD2325" w:rsidRDefault="00DD2325" w:rsidP="007973A6">
            <w:pPr>
              <w:jc w:val="center"/>
              <w:rPr>
                <w:rFonts w:cs="Times New Roman"/>
                <w:color w:val="000000"/>
                <w:sz w:val="20"/>
                <w:szCs w:val="20"/>
              </w:rPr>
            </w:pPr>
            <w:r>
              <w:rPr>
                <w:rFonts w:cs="Times New Roman"/>
                <w:color w:val="000000"/>
                <w:sz w:val="20"/>
                <w:szCs w:val="20"/>
              </w:rPr>
              <w:t>July 1, 2018</w:t>
            </w:r>
          </w:p>
        </w:tc>
        <w:tc>
          <w:tcPr>
            <w:tcW w:w="904" w:type="pct"/>
            <w:vAlign w:val="center"/>
          </w:tcPr>
          <w:p w14:paraId="059DB5AF" w14:textId="3003FA18" w:rsidR="00DD2325" w:rsidRDefault="00DD2325" w:rsidP="007973A6">
            <w:pPr>
              <w:jc w:val="center"/>
              <w:rPr>
                <w:rFonts w:cs="Times New Roman"/>
                <w:color w:val="000000"/>
                <w:sz w:val="20"/>
                <w:szCs w:val="20"/>
              </w:rPr>
            </w:pPr>
            <w:r>
              <w:rPr>
                <w:rFonts w:cs="Times New Roman"/>
                <w:color w:val="000000"/>
                <w:sz w:val="20"/>
                <w:szCs w:val="20"/>
              </w:rPr>
              <w:t>Finalized in FY 2018 IPPS/LTCH PPS final rule</w:t>
            </w:r>
          </w:p>
        </w:tc>
      </w:tr>
      <w:tr w:rsidR="00DD2325" w:rsidRPr="00A365CB" w14:paraId="17E8676D" w14:textId="77777777" w:rsidTr="007973A6">
        <w:trPr>
          <w:trHeight w:val="690"/>
        </w:trPr>
        <w:tc>
          <w:tcPr>
            <w:tcW w:w="649" w:type="pct"/>
            <w:shd w:val="clear" w:color="auto" w:fill="auto"/>
            <w:vAlign w:val="center"/>
          </w:tcPr>
          <w:p w14:paraId="666880F8" w14:textId="5FB19DD0" w:rsidR="00DD2325" w:rsidRPr="00BC4344" w:rsidRDefault="00DD2325" w:rsidP="007973A6">
            <w:pPr>
              <w:jc w:val="center"/>
              <w:rPr>
                <w:rFonts w:cs="Times New Roman"/>
                <w:sz w:val="20"/>
                <w:szCs w:val="20"/>
              </w:rPr>
            </w:pPr>
            <w:r w:rsidRPr="00264ABC">
              <w:rPr>
                <w:rFonts w:cs="Times New Roman"/>
                <w:sz w:val="20"/>
                <w:szCs w:val="20"/>
              </w:rPr>
              <w:t>Not endorsed</w:t>
            </w:r>
          </w:p>
        </w:tc>
        <w:tc>
          <w:tcPr>
            <w:tcW w:w="2588" w:type="pct"/>
            <w:shd w:val="clear" w:color="auto" w:fill="auto"/>
            <w:vAlign w:val="center"/>
          </w:tcPr>
          <w:p w14:paraId="52288A60" w14:textId="77777777" w:rsidR="00DD2325" w:rsidRPr="00276012" w:rsidRDefault="00DD2325" w:rsidP="007973A6">
            <w:pPr>
              <w:rPr>
                <w:rFonts w:cs="Times New Roman"/>
                <w:color w:val="000000"/>
                <w:sz w:val="20"/>
                <w:szCs w:val="20"/>
              </w:rPr>
            </w:pPr>
            <w:r w:rsidRPr="00276012">
              <w:rPr>
                <w:sz w:val="20"/>
                <w:szCs w:val="20"/>
              </w:rPr>
              <w:t>Ventilator Liberation Rate</w:t>
            </w:r>
          </w:p>
        </w:tc>
        <w:tc>
          <w:tcPr>
            <w:tcW w:w="858" w:type="pct"/>
            <w:vAlign w:val="center"/>
          </w:tcPr>
          <w:p w14:paraId="6704291F" w14:textId="2451BFD6" w:rsidR="00DD2325" w:rsidRDefault="00DD2325" w:rsidP="007973A6">
            <w:pPr>
              <w:jc w:val="center"/>
              <w:rPr>
                <w:rFonts w:cs="Times New Roman"/>
                <w:color w:val="000000"/>
                <w:sz w:val="20"/>
                <w:szCs w:val="20"/>
              </w:rPr>
            </w:pPr>
            <w:r>
              <w:rPr>
                <w:rFonts w:cs="Times New Roman"/>
                <w:color w:val="000000"/>
                <w:sz w:val="20"/>
                <w:szCs w:val="20"/>
              </w:rPr>
              <w:t>July 1, 2018</w:t>
            </w:r>
          </w:p>
        </w:tc>
        <w:tc>
          <w:tcPr>
            <w:tcW w:w="904" w:type="pct"/>
            <w:vAlign w:val="center"/>
          </w:tcPr>
          <w:p w14:paraId="25AA78C8" w14:textId="2C961441" w:rsidR="00DD2325" w:rsidRPr="004A6CE8" w:rsidRDefault="00DD2325" w:rsidP="007973A6">
            <w:pPr>
              <w:jc w:val="center"/>
              <w:rPr>
                <w:rFonts w:cs="Times New Roman"/>
                <w:color w:val="000000"/>
                <w:sz w:val="20"/>
                <w:szCs w:val="20"/>
              </w:rPr>
            </w:pPr>
            <w:r>
              <w:rPr>
                <w:rFonts w:cs="Times New Roman"/>
                <w:color w:val="000000"/>
                <w:sz w:val="20"/>
                <w:szCs w:val="20"/>
              </w:rPr>
              <w:t>Finalized in FY 2018 IPPS/LTCH PPS final rule</w:t>
            </w:r>
          </w:p>
        </w:tc>
      </w:tr>
    </w:tbl>
    <w:p w14:paraId="7869F812" w14:textId="77777777" w:rsidR="004A6CE8" w:rsidRDefault="004A6CE8" w:rsidP="00924C2D">
      <w:pPr>
        <w:pStyle w:val="NoSpacing"/>
        <w:rPr>
          <w:b/>
        </w:rPr>
      </w:pPr>
    </w:p>
    <w:p w14:paraId="005104D5" w14:textId="3E0220FC" w:rsidR="007173FF" w:rsidRDefault="005D20BD" w:rsidP="000D1F68">
      <w:r w:rsidRPr="004B7CA1">
        <w:rPr>
          <w:rFonts w:cs="Times New Roman"/>
        </w:rPr>
        <w:t>We are requesting an approval for a revision to the Long-Term Care Hospital Continuity Assessment Record and Evaluation Data Set (LTCH CARE Data Set or LCDS).  The current PRA approval expiration date is March 31, 2020.</w:t>
      </w:r>
      <w:r w:rsidR="009A5F1B" w:rsidRPr="004B7CA1">
        <w:rPr>
          <w:rFonts w:cs="Times New Roman"/>
        </w:rPr>
        <w:t xml:space="preserve"> </w:t>
      </w:r>
      <w:r w:rsidR="00924C2D" w:rsidRPr="004B7CA1">
        <w:rPr>
          <w:rFonts w:cs="Times New Roman"/>
        </w:rPr>
        <w:t xml:space="preserve">The </w:t>
      </w:r>
      <w:r w:rsidR="001349F5" w:rsidRPr="004B7CA1">
        <w:rPr>
          <w:rFonts w:cs="Times New Roman"/>
        </w:rPr>
        <w:t xml:space="preserve">LTCH CARE Data Set </w:t>
      </w:r>
      <w:r w:rsidR="00924C2D" w:rsidRPr="004B7CA1">
        <w:rPr>
          <w:rFonts w:cs="Times New Roman"/>
        </w:rPr>
        <w:t xml:space="preserve">was developed </w:t>
      </w:r>
      <w:r w:rsidR="001349F5" w:rsidRPr="004B7CA1">
        <w:rPr>
          <w:rFonts w:cs="Times New Roman"/>
        </w:rPr>
        <w:t>to</w:t>
      </w:r>
      <w:r w:rsidR="00442BC3">
        <w:rPr>
          <w:rFonts w:cs="Times New Roman"/>
        </w:rPr>
        <w:t xml:space="preserve"> </w:t>
      </w:r>
      <w:r w:rsidR="00442BC3" w:rsidRPr="004B7CA1">
        <w:rPr>
          <w:rFonts w:cs="Times New Roman"/>
        </w:rPr>
        <w:t xml:space="preserve">collect, submit, and report quality data to CMS for compliance with the LTCH QRP. </w:t>
      </w:r>
      <w:r w:rsidR="00661E1C" w:rsidRPr="004B7CA1">
        <w:rPr>
          <w:rFonts w:cs="Times New Roman"/>
        </w:rPr>
        <w:t xml:space="preserve"> The LTCH CARE Data Set V 3.00 is currently in effect through June 30, 2018. </w:t>
      </w:r>
      <w:r w:rsidR="00661E1C">
        <w:t>C</w:t>
      </w:r>
      <w:r w:rsidR="000577D4">
        <w:t xml:space="preserve">hanges </w:t>
      </w:r>
      <w:r w:rsidR="00661E1C">
        <w:t xml:space="preserve">to </w:t>
      </w:r>
      <w:r w:rsidR="000577D4">
        <w:t xml:space="preserve">the LTCH CARE Data Set V </w:t>
      </w:r>
      <w:r w:rsidR="003E6C4D">
        <w:t>3</w:t>
      </w:r>
      <w:r w:rsidR="000577D4">
        <w:t>.</w:t>
      </w:r>
      <w:r w:rsidR="003E6C4D">
        <w:t>0</w:t>
      </w:r>
      <w:r w:rsidR="000577D4">
        <w:t>0 were made to develop LTCH CARE Data Set V</w:t>
      </w:r>
      <w:r w:rsidR="003E6C4D">
        <w:t xml:space="preserve"> 4</w:t>
      </w:r>
      <w:r w:rsidR="000577D4">
        <w:t xml:space="preserve">.00 which will be implemented </w:t>
      </w:r>
      <w:r w:rsidR="003F5994">
        <w:t>July</w:t>
      </w:r>
      <w:r w:rsidR="003F5994" w:rsidRPr="00F4169E">
        <w:t xml:space="preserve"> </w:t>
      </w:r>
      <w:r w:rsidR="00B704D4" w:rsidRPr="00F4169E">
        <w:t>1, 201</w:t>
      </w:r>
      <w:r w:rsidR="008C76A1">
        <w:t>8</w:t>
      </w:r>
      <w:r w:rsidR="007173FF">
        <w:t xml:space="preserve"> </w:t>
      </w:r>
      <w:r w:rsidR="00590EA3">
        <w:t xml:space="preserve">and </w:t>
      </w:r>
      <w:r w:rsidR="007173FF">
        <w:t>are detailed in Appendix A.</w:t>
      </w:r>
    </w:p>
    <w:p w14:paraId="17403B23" w14:textId="77777777" w:rsidR="00661E1C" w:rsidRPr="00F4169E" w:rsidRDefault="00661E1C" w:rsidP="000D1F68"/>
    <w:p w14:paraId="3F331B9F" w14:textId="77777777" w:rsidR="00EA4C90" w:rsidRDefault="00D2685F" w:rsidP="002216DB">
      <w:pPr>
        <w:pStyle w:val="Heading1"/>
        <w:numPr>
          <w:ilvl w:val="0"/>
          <w:numId w:val="2"/>
        </w:numPr>
      </w:pPr>
      <w:bookmarkStart w:id="2" w:name="_Toc479873742"/>
      <w:bookmarkStart w:id="3" w:name="_Toc479873743"/>
      <w:bookmarkStart w:id="4" w:name="_Toc479873744"/>
      <w:bookmarkStart w:id="5" w:name="_Toc479873745"/>
      <w:bookmarkStart w:id="6" w:name="_Toc479873746"/>
      <w:bookmarkStart w:id="7" w:name="_Toc479873747"/>
      <w:bookmarkStart w:id="8" w:name="_Toc479873748"/>
      <w:bookmarkStart w:id="9" w:name="_Toc479873749"/>
      <w:bookmarkStart w:id="10" w:name="_Toc479873750"/>
      <w:bookmarkStart w:id="11" w:name="_Toc479873751"/>
      <w:bookmarkStart w:id="12" w:name="_Toc479873752"/>
      <w:bookmarkStart w:id="13" w:name="_Toc479873753"/>
      <w:bookmarkStart w:id="14" w:name="_Toc479873754"/>
      <w:bookmarkStart w:id="15" w:name="_Toc479873755"/>
      <w:bookmarkStart w:id="16" w:name="_Toc479873756"/>
      <w:bookmarkStart w:id="17" w:name="_Toc479873757"/>
      <w:bookmarkStart w:id="18" w:name="_Toc479873758"/>
      <w:bookmarkStart w:id="19" w:name="_Toc479873759"/>
      <w:bookmarkStart w:id="20" w:name="_Toc479873760"/>
      <w:bookmarkStart w:id="21" w:name="_Toc479873761"/>
      <w:bookmarkStart w:id="22" w:name="_Toc479873762"/>
      <w:bookmarkStart w:id="23" w:name="_Toc479873763"/>
      <w:bookmarkStart w:id="24" w:name="_Toc479873764"/>
      <w:bookmarkStart w:id="25" w:name="_Toc479873765"/>
      <w:bookmarkStart w:id="26" w:name="_Toc479873766"/>
      <w:bookmarkStart w:id="27" w:name="_Toc479873767"/>
      <w:bookmarkStart w:id="28" w:name="_Toc479873768"/>
      <w:bookmarkStart w:id="29" w:name="_Toc479873769"/>
      <w:bookmarkStart w:id="30" w:name="_Toc479873770"/>
      <w:bookmarkStart w:id="31" w:name="_Toc479873771"/>
      <w:bookmarkStart w:id="32" w:name="_Toc479873772"/>
      <w:bookmarkStart w:id="33" w:name="_Toc479873773"/>
      <w:bookmarkStart w:id="34" w:name="_Toc479873774"/>
      <w:bookmarkStart w:id="35" w:name="_Toc479873775"/>
      <w:bookmarkStart w:id="36" w:name="_Toc479873776"/>
      <w:bookmarkStart w:id="37" w:name="_Toc479873777"/>
      <w:bookmarkStart w:id="38" w:name="_Toc479873778"/>
      <w:bookmarkStart w:id="39" w:name="_Toc479873779"/>
      <w:bookmarkStart w:id="40" w:name="_Toc479873780"/>
      <w:bookmarkStart w:id="41" w:name="_Toc479873781"/>
      <w:bookmarkStart w:id="42" w:name="_Toc479873782"/>
      <w:bookmarkStart w:id="43" w:name="_Toc479873783"/>
      <w:bookmarkStart w:id="44" w:name="_Toc479873784"/>
      <w:bookmarkStart w:id="45" w:name="_Toc479873785"/>
      <w:bookmarkStart w:id="46" w:name="_Toc479873786"/>
      <w:bookmarkStart w:id="47" w:name="_Toc479873787"/>
      <w:bookmarkStart w:id="48" w:name="_Toc479873788"/>
      <w:bookmarkStart w:id="49" w:name="_Toc479873789"/>
      <w:bookmarkStart w:id="50" w:name="_Toc479873790"/>
      <w:bookmarkStart w:id="51" w:name="_Toc479873791"/>
      <w:bookmarkStart w:id="52" w:name="_Toc479873792"/>
      <w:bookmarkStart w:id="53" w:name="_Toc479873793"/>
      <w:bookmarkStart w:id="54" w:name="_Toc479873794"/>
      <w:bookmarkStart w:id="55" w:name="_Toc479873795"/>
      <w:bookmarkStart w:id="56" w:name="_Toc479873796"/>
      <w:bookmarkStart w:id="57" w:name="_Toc479873797"/>
      <w:bookmarkStart w:id="58" w:name="_Toc479873798"/>
      <w:bookmarkStart w:id="59" w:name="_Toc479873799"/>
      <w:bookmarkStart w:id="60" w:name="_Toc479873800"/>
      <w:bookmarkStart w:id="61" w:name="_Toc479873801"/>
      <w:bookmarkStart w:id="62" w:name="_Toc479873802"/>
      <w:bookmarkStart w:id="63" w:name="_Toc479873803"/>
      <w:bookmarkStart w:id="64" w:name="_Toc479873804"/>
      <w:bookmarkStart w:id="65" w:name="_Toc479873805"/>
      <w:bookmarkStart w:id="66" w:name="_Toc479873806"/>
      <w:bookmarkStart w:id="67" w:name="_Toc479873807"/>
      <w:bookmarkStart w:id="68" w:name="_Toc479873808"/>
      <w:bookmarkStart w:id="69" w:name="_Toc479873809"/>
      <w:bookmarkStart w:id="70" w:name="_Toc479873810"/>
      <w:bookmarkStart w:id="71" w:name="_Toc479873811"/>
      <w:bookmarkStart w:id="72" w:name="_Toc479873812"/>
      <w:bookmarkStart w:id="73" w:name="_Toc479873813"/>
      <w:bookmarkStart w:id="74" w:name="_Toc479873814"/>
      <w:bookmarkStart w:id="75" w:name="_Toc479873815"/>
      <w:bookmarkStart w:id="76" w:name="_Toc479873816"/>
      <w:bookmarkStart w:id="77" w:name="_Toc479873817"/>
      <w:bookmarkStart w:id="78" w:name="_Toc479873818"/>
      <w:bookmarkStart w:id="79" w:name="_Toc479873819"/>
      <w:bookmarkStart w:id="80" w:name="_Toc479873820"/>
      <w:bookmarkStart w:id="81" w:name="_Toc479873821"/>
      <w:bookmarkStart w:id="82" w:name="_Toc479873822"/>
      <w:bookmarkStart w:id="83" w:name="_Toc479873823"/>
      <w:bookmarkStart w:id="84" w:name="_Toc479873824"/>
      <w:bookmarkStart w:id="85" w:name="_Toc50715123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t>Information Users</w:t>
      </w:r>
      <w:bookmarkEnd w:id="85"/>
    </w:p>
    <w:p w14:paraId="26B77E1A" w14:textId="58E5A794" w:rsidR="001C6F19" w:rsidRPr="000D1F68" w:rsidRDefault="001C6F19" w:rsidP="000D1F68">
      <w:pPr>
        <w:pStyle w:val="NoSpacing"/>
      </w:pPr>
    </w:p>
    <w:p w14:paraId="7D5ACF13" w14:textId="1D6C5A56" w:rsidR="000D1F68" w:rsidRPr="00AA14E5" w:rsidRDefault="000D1F68" w:rsidP="000D1F68">
      <w:pPr>
        <w:pStyle w:val="NoSpacing"/>
        <w:rPr>
          <w:rFonts w:eastAsia="Calibri" w:cs="Times New Roman"/>
        </w:rPr>
      </w:pPr>
      <w:r w:rsidRPr="00AA14E5">
        <w:t>The LTCH CARE Data Set is used to collect data for the LTCH QRP.</w:t>
      </w:r>
      <w:bookmarkStart w:id="86" w:name="_Hlk504988691"/>
      <w:r w:rsidR="00945F6E" w:rsidRPr="00AA14E5">
        <w:rPr>
          <w:rFonts w:eastAsia="Calibri" w:cs="Times New Roman"/>
        </w:rPr>
        <w:t xml:space="preserve"> The LTCH QRP is authorized by section 1886(m)(5) of the Social Security Act, and it applies to all hospitals certified by Medicare as LTCHs.  </w:t>
      </w:r>
      <w:bookmarkEnd w:id="86"/>
      <w:r w:rsidR="00945F6E" w:rsidRPr="00AA14E5">
        <w:rPr>
          <w:rFonts w:eastAsia="Calibri" w:cs="Times New Roman"/>
        </w:rPr>
        <w:t xml:space="preserve">Under the LTCH QRP, the Secretary reduces the annual update to the LTCH PPS standard Federal rate for discharges for an LTCH during a fiscal year by 2 percentage points if the LTCH has not complied with the LTCH QRP requirements specified for that fiscal year.  </w:t>
      </w:r>
    </w:p>
    <w:p w14:paraId="22763DB7" w14:textId="77777777" w:rsidR="00945F6E" w:rsidRPr="00AA14E5" w:rsidRDefault="00945F6E" w:rsidP="00945F6E">
      <w:pPr>
        <w:pStyle w:val="ListContinue"/>
        <w:ind w:left="0"/>
      </w:pPr>
    </w:p>
    <w:p w14:paraId="0FF8C361" w14:textId="19D95CA1" w:rsidR="00945F6E" w:rsidRPr="00AA14E5" w:rsidRDefault="00945F6E" w:rsidP="00945F6E">
      <w:pPr>
        <w:pStyle w:val="ListContinue"/>
        <w:ind w:left="0"/>
      </w:pPr>
      <w:r w:rsidRPr="00AA14E5">
        <w:t>The Improving Medicare Post-Acute Care Transformation Act of 2014 (IMPACT Act) enacted new data reporting requirements for LTCHs. The collection of standardized patient assessment data is critical to our efforts to drive improvement in health care quality across the four PAC settings to which the IMPACT Act applies. We intend to use these data for a number of purposes, including facilitating their exchange and longitudinal use among health care providers to enable high quality care and outcomes through care coordination, as well as for quality measure calculation and identifying comorbidities that might increase the medical complexity of a particular admission.</w:t>
      </w:r>
    </w:p>
    <w:p w14:paraId="42C33AB8" w14:textId="77777777" w:rsidR="00945F6E" w:rsidRPr="00AA14E5" w:rsidRDefault="00945F6E" w:rsidP="00945F6E">
      <w:pPr>
        <w:pStyle w:val="ListContinue"/>
        <w:ind w:left="0"/>
      </w:pPr>
    </w:p>
    <w:p w14:paraId="3152FD03" w14:textId="0B93DDA7" w:rsidR="00945F6E" w:rsidRPr="00AA14E5" w:rsidRDefault="00945F6E" w:rsidP="00945F6E">
      <w:pPr>
        <w:pStyle w:val="ListContinue"/>
        <w:ind w:left="0"/>
      </w:pPr>
      <w:r w:rsidRPr="00AA14E5">
        <w:t xml:space="preserve">In addition, the public/consumer is a data user, as CMS is required to make LTCH QRP data available to the public after ensuring that an LTCH has the opportunity to review its data prior to public display. Measure data is currently displayed on Long-Term Care Hospital Compare (LTCH Compare): </w:t>
      </w:r>
      <w:hyperlink r:id="rId12" w:history="1">
        <w:r w:rsidRPr="00AA14E5">
          <w:rPr>
            <w:rStyle w:val="Hyperlink"/>
          </w:rPr>
          <w:t>https://www.medicare.gov/longtermcarehospitalcompare/</w:t>
        </w:r>
      </w:hyperlink>
    </w:p>
    <w:p w14:paraId="6006288D" w14:textId="77777777" w:rsidR="001C6F19" w:rsidRDefault="001C6F19" w:rsidP="00D2685F">
      <w:pPr>
        <w:pStyle w:val="NoSpacing"/>
        <w:rPr>
          <w:b/>
        </w:rPr>
      </w:pPr>
    </w:p>
    <w:p w14:paraId="674E8469" w14:textId="77777777" w:rsidR="00EA4C90" w:rsidRDefault="00EA4C90" w:rsidP="002216DB">
      <w:pPr>
        <w:pStyle w:val="Heading1"/>
        <w:numPr>
          <w:ilvl w:val="0"/>
          <w:numId w:val="2"/>
        </w:numPr>
      </w:pPr>
      <w:bookmarkStart w:id="87" w:name="_Toc507151236"/>
      <w:r>
        <w:t>Use of Information Technology</w:t>
      </w:r>
      <w:bookmarkEnd w:id="87"/>
    </w:p>
    <w:p w14:paraId="4A3A8C28" w14:textId="77777777" w:rsidR="00D2685F" w:rsidRDefault="00D2685F" w:rsidP="00D2685F">
      <w:pPr>
        <w:pStyle w:val="NoSpacing"/>
        <w:ind w:left="360"/>
        <w:rPr>
          <w:b/>
        </w:rPr>
      </w:pPr>
    </w:p>
    <w:p w14:paraId="431FB678" w14:textId="31B20E1A" w:rsidR="001C6F19" w:rsidRDefault="001C6F19" w:rsidP="001C6F19">
      <w:pPr>
        <w:pStyle w:val="bodytextChar"/>
        <w:spacing w:after="0"/>
        <w:ind w:firstLine="0"/>
        <w:rPr>
          <w:sz w:val="22"/>
          <w:szCs w:val="22"/>
        </w:rPr>
      </w:pPr>
      <w:r w:rsidRPr="00F4169E">
        <w:rPr>
          <w:sz w:val="22"/>
          <w:szCs w:val="22"/>
        </w:rPr>
        <w:t>LTCHs have the option of recording the required data on a printed form and later transferring the data to electronic format or they can choose to directly enter the</w:t>
      </w:r>
      <w:r w:rsidR="004B5E6C">
        <w:rPr>
          <w:sz w:val="22"/>
          <w:szCs w:val="22"/>
        </w:rPr>
        <w:t xml:space="preserve"> required data electronically. </w:t>
      </w:r>
      <w:r w:rsidRPr="00F4169E">
        <w:rPr>
          <w:sz w:val="22"/>
          <w:szCs w:val="22"/>
        </w:rPr>
        <w:t>The LTCHs transmit the submission to the Quality Improvement Evaluation System (QIES) Assessment Submission and Processing (ASAP) system</w:t>
      </w:r>
      <w:r w:rsidR="00F63B63">
        <w:rPr>
          <w:sz w:val="22"/>
          <w:szCs w:val="22"/>
        </w:rPr>
        <w:t xml:space="preserve">.  </w:t>
      </w:r>
    </w:p>
    <w:p w14:paraId="1AE30DBD" w14:textId="77777777" w:rsidR="009A5F1B" w:rsidRDefault="009A5F1B" w:rsidP="009A5F1B">
      <w:pPr>
        <w:pStyle w:val="bodytextChar"/>
        <w:spacing w:after="0"/>
        <w:ind w:firstLine="0"/>
        <w:rPr>
          <w:sz w:val="22"/>
          <w:szCs w:val="22"/>
        </w:rPr>
      </w:pPr>
    </w:p>
    <w:p w14:paraId="45E36984" w14:textId="5C1099F0" w:rsidR="00EB33D1" w:rsidRPr="00396125" w:rsidRDefault="009A5F1B" w:rsidP="00EB33D1">
      <w:pPr>
        <w:pStyle w:val="bodytextChar"/>
        <w:ind w:firstLine="0"/>
        <w:rPr>
          <w:sz w:val="22"/>
          <w:szCs w:val="22"/>
        </w:rPr>
      </w:pPr>
      <w:r>
        <w:rPr>
          <w:sz w:val="22"/>
          <w:szCs w:val="22"/>
        </w:rPr>
        <w:t xml:space="preserve">CMS developed </w:t>
      </w:r>
      <w:r w:rsidR="000F60D8">
        <w:rPr>
          <w:sz w:val="22"/>
          <w:szCs w:val="22"/>
        </w:rPr>
        <w:t xml:space="preserve">the </w:t>
      </w:r>
      <w:r w:rsidR="00EB33D1" w:rsidRPr="00396125">
        <w:rPr>
          <w:sz w:val="22"/>
          <w:szCs w:val="22"/>
        </w:rPr>
        <w:t xml:space="preserve">LTCH Assessment Submission Entry and Reporting (LASER) </w:t>
      </w:r>
      <w:r w:rsidRPr="00396125">
        <w:rPr>
          <w:sz w:val="22"/>
          <w:szCs w:val="22"/>
        </w:rPr>
        <w:t>tool</w:t>
      </w:r>
      <w:r w:rsidR="000F60D8">
        <w:rPr>
          <w:sz w:val="22"/>
          <w:szCs w:val="22"/>
        </w:rPr>
        <w:t>, which</w:t>
      </w:r>
      <w:r w:rsidRPr="00396125">
        <w:rPr>
          <w:sz w:val="22"/>
          <w:szCs w:val="22"/>
        </w:rPr>
        <w:t xml:space="preserve"> </w:t>
      </w:r>
      <w:r w:rsidR="000F60D8">
        <w:rPr>
          <w:sz w:val="22"/>
          <w:szCs w:val="22"/>
        </w:rPr>
        <w:t>is a free Java-</w:t>
      </w:r>
      <w:r w:rsidR="00EB33D1" w:rsidRPr="00396125">
        <w:rPr>
          <w:sz w:val="22"/>
          <w:szCs w:val="22"/>
        </w:rPr>
        <w:t xml:space="preserve">based application </w:t>
      </w:r>
      <w:r w:rsidR="000F60D8">
        <w:rPr>
          <w:sz w:val="22"/>
          <w:szCs w:val="22"/>
        </w:rPr>
        <w:t>that</w:t>
      </w:r>
      <w:r w:rsidR="00EB33D1" w:rsidRPr="00396125">
        <w:rPr>
          <w:sz w:val="22"/>
          <w:szCs w:val="22"/>
        </w:rPr>
        <w:t xml:space="preserve"> provides an option for LTCHs</w:t>
      </w:r>
      <w:r>
        <w:rPr>
          <w:sz w:val="22"/>
          <w:szCs w:val="22"/>
        </w:rPr>
        <w:t xml:space="preserve"> to collect and maintain facility, p</w:t>
      </w:r>
      <w:r w:rsidR="00EB33D1" w:rsidRPr="00396125">
        <w:rPr>
          <w:sz w:val="22"/>
          <w:szCs w:val="22"/>
        </w:rPr>
        <w:t xml:space="preserve">atient, and LTCH CARE Data Set assessment information for subsequent submission to </w:t>
      </w:r>
      <w:r>
        <w:rPr>
          <w:sz w:val="22"/>
          <w:szCs w:val="22"/>
        </w:rPr>
        <w:t>CMS</w:t>
      </w:r>
      <w:r w:rsidR="00EB33D1" w:rsidRPr="00396125">
        <w:rPr>
          <w:sz w:val="22"/>
          <w:szCs w:val="22"/>
        </w:rPr>
        <w:t xml:space="preserve">. LASER displays the LTCH CARE Data Set assessment instrument similar to the paper version of the form. Information regarding LASER, including instructions for installing and using the software, is located at: </w:t>
      </w:r>
      <w:hyperlink r:id="rId13" w:history="1">
        <w:r w:rsidR="00EB33D1" w:rsidRPr="00396125">
          <w:rPr>
            <w:rStyle w:val="Hyperlink"/>
            <w:sz w:val="22"/>
            <w:szCs w:val="22"/>
          </w:rPr>
          <w:t>https://www.qtso.com/laser.html</w:t>
        </w:r>
      </w:hyperlink>
      <w:r w:rsidR="00EB33D1" w:rsidRPr="00396125">
        <w:rPr>
          <w:sz w:val="22"/>
          <w:szCs w:val="22"/>
        </w:rPr>
        <w:t xml:space="preserve">. </w:t>
      </w:r>
    </w:p>
    <w:p w14:paraId="655BBF22" w14:textId="77777777" w:rsidR="00D2685F" w:rsidRDefault="00D2685F" w:rsidP="00D2685F">
      <w:pPr>
        <w:pStyle w:val="NoSpacing"/>
        <w:ind w:left="360"/>
        <w:rPr>
          <w:b/>
        </w:rPr>
      </w:pPr>
    </w:p>
    <w:p w14:paraId="0BC05798" w14:textId="77777777" w:rsidR="00EA4C90" w:rsidRDefault="00EA4C90" w:rsidP="002216DB">
      <w:pPr>
        <w:pStyle w:val="Heading1"/>
        <w:numPr>
          <w:ilvl w:val="0"/>
          <w:numId w:val="2"/>
        </w:numPr>
      </w:pPr>
      <w:bookmarkStart w:id="88" w:name="_Toc507151237"/>
      <w:r>
        <w:t>Duplicatio</w:t>
      </w:r>
      <w:r w:rsidR="00D2685F">
        <w:t>n of Efforts</w:t>
      </w:r>
      <w:bookmarkEnd w:id="88"/>
    </w:p>
    <w:p w14:paraId="6CED0655" w14:textId="77777777" w:rsidR="00D2685F" w:rsidRDefault="00D2685F" w:rsidP="00D2685F">
      <w:pPr>
        <w:pStyle w:val="NoSpacing"/>
        <w:rPr>
          <w:b/>
        </w:rPr>
      </w:pPr>
    </w:p>
    <w:p w14:paraId="5C18D9D9" w14:textId="77777777" w:rsidR="00D2685F" w:rsidRDefault="0099020C" w:rsidP="00D2685F">
      <w:pPr>
        <w:pStyle w:val="NoSpacing"/>
      </w:pPr>
      <w:r w:rsidRPr="0099020C">
        <w:t xml:space="preserve">This information collection does not duplicate any other effort and the standardized information cannot be </w:t>
      </w:r>
      <w:r w:rsidR="004B5E6C">
        <w:t xml:space="preserve">obtained from any other source. </w:t>
      </w:r>
      <w:r w:rsidRPr="0099020C">
        <w:t>There are no other data sets that will provide comparable information on patients admitted to LTCHs.</w:t>
      </w:r>
    </w:p>
    <w:p w14:paraId="406A341F" w14:textId="77777777" w:rsidR="0099020C" w:rsidRPr="0099020C" w:rsidRDefault="0099020C" w:rsidP="00D2685F">
      <w:pPr>
        <w:pStyle w:val="NoSpacing"/>
      </w:pPr>
    </w:p>
    <w:p w14:paraId="455E5E61" w14:textId="77777777" w:rsidR="00EA4C90" w:rsidRDefault="00EA4C90" w:rsidP="002216DB">
      <w:pPr>
        <w:pStyle w:val="Heading1"/>
        <w:numPr>
          <w:ilvl w:val="0"/>
          <w:numId w:val="2"/>
        </w:numPr>
      </w:pPr>
      <w:bookmarkStart w:id="89" w:name="_Toc507151238"/>
      <w:r>
        <w:t>Small Businesses</w:t>
      </w:r>
      <w:bookmarkEnd w:id="89"/>
    </w:p>
    <w:p w14:paraId="50579644" w14:textId="77777777" w:rsidR="00D2685F" w:rsidRDefault="00D2685F" w:rsidP="00D2685F">
      <w:pPr>
        <w:pStyle w:val="NoSpacing"/>
        <w:ind w:left="360"/>
        <w:rPr>
          <w:b/>
        </w:rPr>
      </w:pPr>
    </w:p>
    <w:p w14:paraId="53AEC434" w14:textId="6A733275" w:rsidR="00835093" w:rsidRPr="00010E37" w:rsidRDefault="00835093" w:rsidP="00835093">
      <w:pPr>
        <w:pStyle w:val="NoSpacing"/>
      </w:pPr>
      <w:r w:rsidRPr="00010E37">
        <w:t xml:space="preserve">As part of our PRA analysis for an update of our existing approval, we considered whether the change impacts a significant number of small entities.  Out </w:t>
      </w:r>
      <w:r w:rsidRPr="000F60D8">
        <w:t xml:space="preserve">of a total of </w:t>
      </w:r>
      <w:r w:rsidR="00B51FA2" w:rsidRPr="000F60D8">
        <w:t>426 LTCHs</w:t>
      </w:r>
      <w:r w:rsidRPr="000F60D8">
        <w:t xml:space="preserve">, </w:t>
      </w:r>
      <w:r w:rsidR="00B51FA2" w:rsidRPr="000F60D8">
        <w:t>112</w:t>
      </w:r>
      <w:r w:rsidRPr="000F60D8">
        <w:t xml:space="preserve"> or </w:t>
      </w:r>
      <w:r w:rsidR="00B51FA2" w:rsidRPr="000F60D8">
        <w:t>26</w:t>
      </w:r>
      <w:r w:rsidRPr="000F60D8">
        <w:t xml:space="preserve">% are </w:t>
      </w:r>
      <w:r w:rsidR="00B51FA2" w:rsidRPr="000F60D8">
        <w:t xml:space="preserve">considered </w:t>
      </w:r>
      <w:r w:rsidRPr="000F60D8">
        <w:t xml:space="preserve">small </w:t>
      </w:r>
      <w:r w:rsidR="00B51FA2" w:rsidRPr="000F60D8">
        <w:t>LTCHs.</w:t>
      </w:r>
      <w:r w:rsidRPr="000F60D8">
        <w:t xml:space="preserve"> T</w:t>
      </w:r>
      <w:r w:rsidR="00B51FA2" w:rsidRPr="000F60D8">
        <w:t>he average number of assessment sets</w:t>
      </w:r>
      <w:r w:rsidRPr="000F60D8">
        <w:t xml:space="preserve"> completed yearly is </w:t>
      </w:r>
      <w:r w:rsidR="00B51FA2" w:rsidRPr="000F60D8">
        <w:t>344</w:t>
      </w:r>
      <w:r w:rsidRPr="000F60D8">
        <w:t xml:space="preserve">, and is the same across all respondents based on </w:t>
      </w:r>
      <w:r w:rsidR="00B51FA2" w:rsidRPr="000F60D8">
        <w:t>the number of actual assessment sets</w:t>
      </w:r>
      <w:r w:rsidRPr="000F60D8">
        <w:t xml:space="preserve"> completed by </w:t>
      </w:r>
      <w:r w:rsidR="00B51FA2" w:rsidRPr="000F60D8">
        <w:t>LTCH</w:t>
      </w:r>
      <w:r w:rsidRPr="000F60D8">
        <w:t xml:space="preserve">s in fiscal year </w:t>
      </w:r>
      <w:r w:rsidR="00B51FA2" w:rsidRPr="000F60D8">
        <w:t>2016</w:t>
      </w:r>
      <w:r w:rsidRPr="000F60D8">
        <w:t>.</w:t>
      </w:r>
      <w:r w:rsidRPr="00010E37">
        <w:t xml:space="preserve">  </w:t>
      </w:r>
    </w:p>
    <w:p w14:paraId="6AD0C45B" w14:textId="77777777" w:rsidR="00835093" w:rsidRDefault="00835093" w:rsidP="0099020C">
      <w:pPr>
        <w:pStyle w:val="NoSpacing"/>
      </w:pPr>
    </w:p>
    <w:p w14:paraId="4B2C7F2D" w14:textId="7FF8E884" w:rsidR="00D2685F" w:rsidRDefault="0099020C" w:rsidP="0099020C">
      <w:pPr>
        <w:pStyle w:val="NoSpacing"/>
      </w:pPr>
      <w:r w:rsidRPr="0099020C">
        <w:t>CMS requests authorization for LTCHs to use the updated LTCH CARE Data Set for the submission o</w:t>
      </w:r>
      <w:r w:rsidR="004B5E6C">
        <w:t xml:space="preserve">f quality measure </w:t>
      </w:r>
      <w:r w:rsidR="001349F5">
        <w:t xml:space="preserve">and standardized patient assessment data </w:t>
      </w:r>
      <w:r w:rsidR="004B5E6C">
        <w:t xml:space="preserve">information. </w:t>
      </w:r>
      <w:r w:rsidRPr="0099020C">
        <w:t>Provider participation in the submission of quality</w:t>
      </w:r>
      <w:r w:rsidR="001349F5">
        <w:t xml:space="preserve"> measure and standardized patient assessment</w:t>
      </w:r>
      <w:r w:rsidRPr="0099020C">
        <w:t xml:space="preserve"> data is mandated by Section 3004 of the Affordable Care Act</w:t>
      </w:r>
      <w:r w:rsidR="001349F5">
        <w:t xml:space="preserve"> and the IMPACT Act</w:t>
      </w:r>
      <w:r w:rsidRPr="0099020C">
        <w:t>.  Small business providers viewing the data collection as a burden</w:t>
      </w:r>
      <w:r w:rsidR="004B5E6C">
        <w:t xml:space="preserve"> can elect not to participate. </w:t>
      </w:r>
      <w:r w:rsidRPr="0099020C">
        <w:t>However, if an LTCH does not submit the required data, this p</w:t>
      </w:r>
      <w:r w:rsidR="00F90083">
        <w:t>rovider shall be subject to a 2 percentage point</w:t>
      </w:r>
      <w:r w:rsidRPr="0099020C">
        <w:t xml:space="preserve"> re</w:t>
      </w:r>
      <w:r w:rsidR="00501253">
        <w:t>duction in their annual payment update.</w:t>
      </w:r>
    </w:p>
    <w:p w14:paraId="0517BE56" w14:textId="77777777" w:rsidR="0099020C" w:rsidRPr="0099020C" w:rsidRDefault="0099020C" w:rsidP="0099020C">
      <w:pPr>
        <w:pStyle w:val="NoSpacing"/>
      </w:pPr>
    </w:p>
    <w:p w14:paraId="7AEDACAD" w14:textId="77777777" w:rsidR="00D2685F" w:rsidRPr="00D2685F" w:rsidRDefault="00EA4C90" w:rsidP="002216DB">
      <w:pPr>
        <w:pStyle w:val="Heading1"/>
        <w:numPr>
          <w:ilvl w:val="0"/>
          <w:numId w:val="2"/>
        </w:numPr>
      </w:pPr>
      <w:bookmarkStart w:id="90" w:name="_Toc507151239"/>
      <w:r>
        <w:t>Less Frequent Collection</w:t>
      </w:r>
      <w:bookmarkEnd w:id="90"/>
    </w:p>
    <w:p w14:paraId="0B0654F9" w14:textId="77777777" w:rsidR="00D2685F" w:rsidRDefault="00D2685F" w:rsidP="00D2685F">
      <w:pPr>
        <w:pStyle w:val="NoSpacing"/>
        <w:ind w:left="360"/>
        <w:rPr>
          <w:b/>
        </w:rPr>
      </w:pPr>
    </w:p>
    <w:p w14:paraId="0CF68C22" w14:textId="1E8EE1EA" w:rsidR="00D2685F" w:rsidRDefault="00442BC3" w:rsidP="0099020C">
      <w:pPr>
        <w:pStyle w:val="NoSpacing"/>
      </w:pPr>
      <w:r>
        <w:t xml:space="preserve">Standardized patient assessment data and quality measure data will be collected for every patient at admission and upon discharge. </w:t>
      </w:r>
      <w:r w:rsidR="00835093">
        <w:t xml:space="preserve">According to the LTCH QRP requirements, </w:t>
      </w:r>
      <w:r w:rsidR="0099020C" w:rsidRPr="0099020C">
        <w:t xml:space="preserve">LTCHs </w:t>
      </w:r>
      <w:r w:rsidR="00F63B63">
        <w:t>are</w:t>
      </w:r>
      <w:r w:rsidR="0099020C" w:rsidRPr="0099020C">
        <w:t xml:space="preserve"> required to submit this data to CMS on a</w:t>
      </w:r>
      <w:r w:rsidR="00073ECE">
        <w:t xml:space="preserve"> quarterly basis</w:t>
      </w:r>
      <w:r w:rsidR="00E23890">
        <w:t xml:space="preserve"> so that data can be updated more frequently in their confidential feedback reports and on the </w:t>
      </w:r>
      <w:r>
        <w:t xml:space="preserve">LTCH </w:t>
      </w:r>
      <w:r w:rsidR="00E23890">
        <w:t>Compare website</w:t>
      </w:r>
      <w:r w:rsidR="0099020C" w:rsidRPr="0099020C">
        <w:t>.</w:t>
      </w:r>
      <w:r w:rsidR="00E23890">
        <w:t xml:space="preserve"> </w:t>
      </w:r>
    </w:p>
    <w:p w14:paraId="696AA640" w14:textId="77777777" w:rsidR="0099020C" w:rsidRPr="0099020C" w:rsidRDefault="0099020C" w:rsidP="0099020C">
      <w:pPr>
        <w:pStyle w:val="NoSpacing"/>
      </w:pPr>
    </w:p>
    <w:p w14:paraId="3B78E467" w14:textId="77777777" w:rsidR="00EA4C90" w:rsidRDefault="00EA4C90" w:rsidP="002216DB">
      <w:pPr>
        <w:pStyle w:val="Heading1"/>
        <w:numPr>
          <w:ilvl w:val="0"/>
          <w:numId w:val="2"/>
        </w:numPr>
      </w:pPr>
      <w:bookmarkStart w:id="91" w:name="_Toc507151240"/>
      <w:r>
        <w:t>Special Circumstances</w:t>
      </w:r>
      <w:bookmarkEnd w:id="91"/>
    </w:p>
    <w:p w14:paraId="27DF26A0" w14:textId="77777777" w:rsidR="00D2685F" w:rsidRDefault="00D2685F" w:rsidP="00D2685F">
      <w:pPr>
        <w:pStyle w:val="NoSpacing"/>
        <w:ind w:left="360"/>
        <w:rPr>
          <w:b/>
        </w:rPr>
      </w:pPr>
    </w:p>
    <w:p w14:paraId="36D98E7C" w14:textId="77777777" w:rsidR="0099020C" w:rsidRDefault="005E77FF" w:rsidP="0099020C">
      <w:pPr>
        <w:pStyle w:val="NoSpacing"/>
      </w:pPr>
      <w:r>
        <w:t>There are no special circumstances.</w:t>
      </w:r>
    </w:p>
    <w:p w14:paraId="533BF407" w14:textId="77777777" w:rsidR="007173FF" w:rsidRDefault="007173FF" w:rsidP="0099020C">
      <w:pPr>
        <w:pStyle w:val="NoSpacing"/>
      </w:pPr>
    </w:p>
    <w:p w14:paraId="3E0D873C" w14:textId="77777777" w:rsidR="00D2685F" w:rsidRPr="00D2685F" w:rsidRDefault="00EA4C90" w:rsidP="002216DB">
      <w:pPr>
        <w:pStyle w:val="Heading1"/>
        <w:numPr>
          <w:ilvl w:val="0"/>
          <w:numId w:val="2"/>
        </w:numPr>
      </w:pPr>
      <w:bookmarkStart w:id="92" w:name="_Toc507151241"/>
      <w:r>
        <w:t>Federal Register/Outside Consultation</w:t>
      </w:r>
      <w:bookmarkEnd w:id="92"/>
    </w:p>
    <w:p w14:paraId="2809E8B5" w14:textId="77777777" w:rsidR="00D2685F" w:rsidRDefault="00D2685F" w:rsidP="00D2685F">
      <w:pPr>
        <w:pStyle w:val="NoSpacing"/>
        <w:ind w:left="360"/>
        <w:rPr>
          <w:b/>
        </w:rPr>
      </w:pPr>
    </w:p>
    <w:p w14:paraId="3CCE5700" w14:textId="7FF116C5" w:rsidR="005E77FF" w:rsidRDefault="00FF06EA" w:rsidP="00FF06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 xml:space="preserve">We </w:t>
      </w:r>
      <w:r w:rsidR="00CC7433">
        <w:t>solicited</w:t>
      </w:r>
      <w:r>
        <w:t xml:space="preserve"> comments on the </w:t>
      </w:r>
      <w:r w:rsidR="00090C10">
        <w:t>proposed modifications to the LTCH QRP</w:t>
      </w:r>
      <w:r>
        <w:t xml:space="preserve"> through the FY 2018 IPPS/LTCH PPS Proposed Rule which</w:t>
      </w:r>
      <w:r w:rsidR="00574601">
        <w:t xml:space="preserve"> was</w:t>
      </w:r>
      <w:r>
        <w:t xml:space="preserve"> publish</w:t>
      </w:r>
      <w:r w:rsidR="00090C10">
        <w:t>ed</w:t>
      </w:r>
      <w:r>
        <w:t xml:space="preserve"> April 28, 2017 (82 FR 19796).   We respond</w:t>
      </w:r>
      <w:r w:rsidR="00BE749B">
        <w:t>ed</w:t>
      </w:r>
      <w:r>
        <w:t xml:space="preserve"> to those comments in the corresponding final rule</w:t>
      </w:r>
      <w:r w:rsidR="00BE749B">
        <w:t xml:space="preserve">, which was published </w:t>
      </w:r>
      <w:r w:rsidR="00E20F23">
        <w:t xml:space="preserve">to the Federal Register on </w:t>
      </w:r>
      <w:r w:rsidR="00BE749B">
        <w:t>August 1</w:t>
      </w:r>
      <w:r w:rsidR="00E20F23">
        <w:t>4, 2017</w:t>
      </w:r>
      <w:r w:rsidR="00D33BB8">
        <w:t xml:space="preserve"> </w:t>
      </w:r>
      <w:r w:rsidR="00D33BB8" w:rsidRPr="00667708">
        <w:t>(82 FR 37990)</w:t>
      </w:r>
      <w:r w:rsidR="00E20F23">
        <w:t xml:space="preserve">, and available at </w:t>
      </w:r>
      <w:hyperlink r:id="rId14" w:history="1">
        <w:r w:rsidR="00E20F23" w:rsidRPr="00D12805">
          <w:rPr>
            <w:rStyle w:val="Hyperlink"/>
          </w:rPr>
          <w:t>https://www.gpo.gov/fdsys/pkg/FR-2017-08-14/pdf/2017-16434.pdf</w:t>
        </w:r>
      </w:hyperlink>
      <w:r>
        <w:t xml:space="preserve">. </w:t>
      </w:r>
    </w:p>
    <w:p w14:paraId="52EC6135" w14:textId="4CB31685" w:rsidR="00D2685F" w:rsidRPr="006E2AC3" w:rsidRDefault="006E2AC3" w:rsidP="006E2AC3">
      <w:pPr>
        <w:pStyle w:val="NoSpacing"/>
      </w:pPr>
      <w:r w:rsidRPr="006E2AC3">
        <w:t xml:space="preserve">The updated LTCH CARE Data Set was developed in consultation with the CMS Division of Chronic and </w:t>
      </w:r>
      <w:r w:rsidR="00E20F23" w:rsidRPr="006E2AC3">
        <w:t>Post-Acute</w:t>
      </w:r>
      <w:r w:rsidRPr="006E2AC3">
        <w:t xml:space="preserve"> Care measure development contractor, </w:t>
      </w:r>
      <w:r w:rsidR="007173FF">
        <w:t>RTI</w:t>
      </w:r>
      <w:r w:rsidRPr="006E2AC3">
        <w:t xml:space="preserve"> International (RTI), the CMS</w:t>
      </w:r>
      <w:r w:rsidR="002B0AA1">
        <w:t xml:space="preserve"> </w:t>
      </w:r>
      <w:r w:rsidR="002B0AA1" w:rsidRPr="002B0AA1">
        <w:t>Division of Quality Systems for Assessments and Surveys</w:t>
      </w:r>
      <w:r w:rsidRPr="006E2AC3">
        <w:t xml:space="preserve"> and its contractors, Telligen</w:t>
      </w:r>
      <w:r w:rsidR="00073ECE">
        <w:t xml:space="preserve"> and GDIT.</w:t>
      </w:r>
      <w:r w:rsidRPr="006E2AC3">
        <w:t xml:space="preserve"> </w:t>
      </w:r>
    </w:p>
    <w:p w14:paraId="515A0FA9" w14:textId="77777777" w:rsidR="006E2AC3" w:rsidRDefault="006E2AC3" w:rsidP="006E2AC3">
      <w:pPr>
        <w:pStyle w:val="NoSpacing"/>
        <w:rPr>
          <w:b/>
        </w:rPr>
      </w:pPr>
    </w:p>
    <w:p w14:paraId="0717A555" w14:textId="77777777" w:rsidR="00EA4C90" w:rsidRDefault="00EA4C90" w:rsidP="002216DB">
      <w:pPr>
        <w:pStyle w:val="Heading1"/>
        <w:numPr>
          <w:ilvl w:val="0"/>
          <w:numId w:val="2"/>
        </w:numPr>
      </w:pPr>
      <w:bookmarkStart w:id="93" w:name="_Toc507151242"/>
      <w:r>
        <w:t>Payment/Gifts to Respondents</w:t>
      </w:r>
      <w:bookmarkEnd w:id="93"/>
    </w:p>
    <w:p w14:paraId="312E66AD" w14:textId="77777777" w:rsidR="00D2685F" w:rsidRDefault="00D2685F" w:rsidP="00D2685F">
      <w:pPr>
        <w:pStyle w:val="NoSpacing"/>
        <w:ind w:left="360"/>
        <w:rPr>
          <w:b/>
        </w:rPr>
      </w:pPr>
    </w:p>
    <w:p w14:paraId="5C25C88C" w14:textId="48157372" w:rsidR="00D2685F" w:rsidRPr="006763E0" w:rsidRDefault="002B0AA1" w:rsidP="006763E0">
      <w:pPr>
        <w:pStyle w:val="NoSpacing"/>
      </w:pPr>
      <w:r w:rsidRPr="002B0AA1">
        <w:t>There will be no payments/gifts to respondents for the use of the LTCH CARE Data Set.</w:t>
      </w:r>
      <w:r w:rsidR="006763E0">
        <w:t xml:space="preserve"> However, under the LTCH QRP, the Secretary reduces the annual update to the LTCH PPS standard Federal rate for discharges for an LTCH during a fiscal year by 2 percentage points if the LTCH has not complied with the LTCH QRP requirements specified for that fiscal year.  </w:t>
      </w:r>
      <w:r w:rsidR="006763E0" w:rsidRPr="006763E0" w:rsidDel="006763E0">
        <w:t xml:space="preserve"> </w:t>
      </w:r>
    </w:p>
    <w:p w14:paraId="308B8A90" w14:textId="77777777" w:rsidR="002B0AA1" w:rsidRPr="006763E0" w:rsidRDefault="002B0AA1" w:rsidP="006763E0">
      <w:pPr>
        <w:pStyle w:val="NoSpacing"/>
      </w:pPr>
    </w:p>
    <w:p w14:paraId="744F78C5" w14:textId="77777777" w:rsidR="00EA4C90" w:rsidRPr="006763E0" w:rsidRDefault="00EA4C90" w:rsidP="00F0785E">
      <w:pPr>
        <w:pStyle w:val="Heading1"/>
        <w:numPr>
          <w:ilvl w:val="0"/>
          <w:numId w:val="2"/>
        </w:numPr>
      </w:pPr>
      <w:bookmarkStart w:id="94" w:name="_Toc507151243"/>
      <w:r w:rsidRPr="006763E0">
        <w:t>Confidentiality</w:t>
      </w:r>
      <w:bookmarkEnd w:id="94"/>
    </w:p>
    <w:p w14:paraId="27D92231" w14:textId="77777777" w:rsidR="00D2685F" w:rsidRPr="006763E0" w:rsidRDefault="00D2685F" w:rsidP="006763E0">
      <w:pPr>
        <w:pStyle w:val="NoSpacing"/>
      </w:pPr>
    </w:p>
    <w:p w14:paraId="500178C2" w14:textId="77777777" w:rsidR="002B0AA1" w:rsidRDefault="002B0AA1" w:rsidP="006763E0">
      <w:pPr>
        <w:pStyle w:val="NoSpacing"/>
      </w:pPr>
      <w:r w:rsidRPr="006763E0">
        <w:t xml:space="preserve">The data collected </w:t>
      </w:r>
      <w:r w:rsidR="004E288A" w:rsidRPr="006763E0">
        <w:t xml:space="preserve">using </w:t>
      </w:r>
      <w:r w:rsidR="00073ECE" w:rsidRPr="006763E0">
        <w:t>the updated</w:t>
      </w:r>
      <w:r w:rsidRPr="006763E0">
        <w:t xml:space="preserve"> LTCH CARE Data Set wil</w:t>
      </w:r>
      <w:r w:rsidR="004B5E6C" w:rsidRPr="006763E0">
        <w:t xml:space="preserve">l be kept confidential by CMS. </w:t>
      </w:r>
      <w:r w:rsidRPr="006763E0">
        <w:t xml:space="preserve">Data will be stored in a secure format meeting all federal privacy guidelines. Data will be collected using a secure platform for electronic data entry </w:t>
      </w:r>
      <w:r>
        <w:t>and secure data transmission. The electronic system will be password protected with access limited to CMS and project staff.  To protect beneficiary confidentiality, the subject’s name will not be linked to his/her individual data.  For identification purposes, a unique identifier will be assigned to each sample member.</w:t>
      </w:r>
    </w:p>
    <w:p w14:paraId="638284D7" w14:textId="77777777" w:rsidR="002B0AA1" w:rsidRDefault="002B0AA1" w:rsidP="002B0AA1">
      <w:pPr>
        <w:pStyle w:val="NoSpacing"/>
      </w:pPr>
    </w:p>
    <w:p w14:paraId="212F0832" w14:textId="77777777" w:rsidR="00D2685F" w:rsidRDefault="002B0AA1" w:rsidP="002B0AA1">
      <w:pPr>
        <w:pStyle w:val="NoSpacing"/>
      </w:pPr>
      <w:r>
        <w:t>All patient-level data is protected from public dissemination in accordance with the Privacy Act of 1974, as amended. The information collected is protected and held confidential in accordance with 20 CFR 401.3. Data will be treated in a confidential manner, unless otherwise compelled by law.</w:t>
      </w:r>
    </w:p>
    <w:p w14:paraId="245A22B5" w14:textId="77777777" w:rsidR="002B0AA1" w:rsidRPr="002B0AA1" w:rsidRDefault="002B0AA1" w:rsidP="002B0AA1">
      <w:pPr>
        <w:pStyle w:val="NoSpacing"/>
      </w:pPr>
    </w:p>
    <w:p w14:paraId="30F24A9A" w14:textId="77777777" w:rsidR="00EA4C90" w:rsidRDefault="00EA4C90" w:rsidP="002216DB">
      <w:pPr>
        <w:pStyle w:val="Heading1"/>
        <w:numPr>
          <w:ilvl w:val="0"/>
          <w:numId w:val="2"/>
        </w:numPr>
      </w:pPr>
      <w:bookmarkStart w:id="95" w:name="_Toc507151244"/>
      <w:r>
        <w:t>Sensitive Questions</w:t>
      </w:r>
      <w:bookmarkEnd w:id="95"/>
    </w:p>
    <w:p w14:paraId="5A24CF69" w14:textId="77777777" w:rsidR="00D2685F" w:rsidRDefault="00D2685F" w:rsidP="00D2685F">
      <w:pPr>
        <w:pStyle w:val="NoSpacing"/>
        <w:rPr>
          <w:b/>
        </w:rPr>
      </w:pPr>
    </w:p>
    <w:p w14:paraId="5135C456" w14:textId="0A15B8A1" w:rsidR="00D2685F" w:rsidRDefault="009127D6" w:rsidP="00D2685F">
      <w:pPr>
        <w:pStyle w:val="NoSpacing"/>
      </w:pPr>
      <w:r w:rsidRPr="009127D6">
        <w:t xml:space="preserve">The information collected in the LTCH CARE Data Set is still considered to be confidential personal health information. This patient level data is considered sensitive and all necessary protections will be employed to keep the data secure and confidential. Though this information is considered to be personal health information, similar information is currently collected through the use of other CMS instruments in other post-acute care settings. The items on the updated LTCH CARE Data Set are being collected for </w:t>
      </w:r>
      <w:r w:rsidR="004E288A">
        <w:t xml:space="preserve">the </w:t>
      </w:r>
      <w:r w:rsidRPr="009127D6">
        <w:t xml:space="preserve">LTCH </w:t>
      </w:r>
      <w:r w:rsidR="00A432C0">
        <w:t>QRP</w:t>
      </w:r>
      <w:r w:rsidRPr="009127D6">
        <w:t>, which has been establi</w:t>
      </w:r>
      <w:r w:rsidR="00F90083">
        <w:t>shed pursuant to Section 3004</w:t>
      </w:r>
      <w:r w:rsidRPr="009127D6">
        <w:t xml:space="preserve"> of the Affordable Care Act.</w:t>
      </w:r>
    </w:p>
    <w:p w14:paraId="16BA053D" w14:textId="77777777" w:rsidR="009127D6" w:rsidRPr="009127D6" w:rsidRDefault="009127D6" w:rsidP="00D2685F">
      <w:pPr>
        <w:pStyle w:val="NoSpacing"/>
      </w:pPr>
    </w:p>
    <w:p w14:paraId="7967C182" w14:textId="77777777" w:rsidR="00EA4C90" w:rsidRDefault="00EA4C90" w:rsidP="002216DB">
      <w:pPr>
        <w:pStyle w:val="Heading1"/>
        <w:numPr>
          <w:ilvl w:val="0"/>
          <w:numId w:val="2"/>
        </w:numPr>
      </w:pPr>
      <w:bookmarkStart w:id="96" w:name="_Toc507151245"/>
      <w:r>
        <w:t>Burden Estimates (Hours &amp; Wages)</w:t>
      </w:r>
      <w:bookmarkEnd w:id="96"/>
    </w:p>
    <w:p w14:paraId="1C779BF4" w14:textId="77777777" w:rsidR="00D2685F" w:rsidRPr="001D5F5D" w:rsidRDefault="00D2685F" w:rsidP="00D2685F">
      <w:pPr>
        <w:pStyle w:val="NoSpacing"/>
      </w:pPr>
    </w:p>
    <w:p w14:paraId="73FF6AAA" w14:textId="77777777" w:rsidR="0024601C" w:rsidRPr="00A26101" w:rsidRDefault="0024601C" w:rsidP="0024601C">
      <w:pPr>
        <w:pStyle w:val="NoSpacing"/>
        <w:numPr>
          <w:ilvl w:val="0"/>
          <w:numId w:val="10"/>
        </w:numPr>
        <w:rPr>
          <w:b/>
          <w:u w:val="single"/>
        </w:rPr>
      </w:pPr>
      <w:r w:rsidRPr="00A26101">
        <w:rPr>
          <w:b/>
          <w:u w:val="single"/>
        </w:rPr>
        <w:t>Current Burden Estimate</w:t>
      </w:r>
    </w:p>
    <w:p w14:paraId="2FAFD33E" w14:textId="77777777" w:rsidR="00A26101" w:rsidRPr="0024601C" w:rsidRDefault="00A26101" w:rsidP="00AF3A99">
      <w:pPr>
        <w:pStyle w:val="NoSpacing"/>
        <w:numPr>
          <w:ilvl w:val="0"/>
          <w:numId w:val="20"/>
        </w:numPr>
        <w:rPr>
          <w:u w:val="single"/>
        </w:rPr>
      </w:pPr>
      <w:r w:rsidRPr="0024601C">
        <w:rPr>
          <w:u w:val="single"/>
        </w:rPr>
        <w:t>Estimate Number of Yearly LTCH Discharges and LTCH CARE Data Sets (LCDS) Submissions</w:t>
      </w:r>
    </w:p>
    <w:p w14:paraId="0747AF7E" w14:textId="77777777" w:rsidR="00A26101" w:rsidRDefault="00A26101" w:rsidP="00A26101">
      <w:pPr>
        <w:pStyle w:val="NoSpacing"/>
        <w:ind w:left="720"/>
      </w:pPr>
      <w:r>
        <w:t xml:space="preserve">Total Number of LTCH in U.S. = </w:t>
      </w:r>
      <w:r w:rsidR="00F42ABD">
        <w:rPr>
          <w:b/>
        </w:rPr>
        <w:t>426</w:t>
      </w:r>
      <w:r w:rsidR="00F42ABD">
        <w:t xml:space="preserve"> </w:t>
      </w:r>
    </w:p>
    <w:p w14:paraId="64243090" w14:textId="77777777" w:rsidR="00A26101" w:rsidRDefault="00A26101" w:rsidP="00A26101">
      <w:pPr>
        <w:pStyle w:val="NoSpacing"/>
        <w:ind w:left="720"/>
      </w:pPr>
      <w:r>
        <w:t xml:space="preserve">Total Number of Discharges from all LTCHs per year:  </w:t>
      </w:r>
      <w:r w:rsidR="00F42ABD">
        <w:rPr>
          <w:b/>
        </w:rPr>
        <w:t>146,592</w:t>
      </w:r>
    </w:p>
    <w:p w14:paraId="5B680291" w14:textId="77777777" w:rsidR="00A26101" w:rsidRDefault="00A26101" w:rsidP="00202F53">
      <w:pPr>
        <w:pStyle w:val="NoSpacing"/>
      </w:pPr>
      <w:r>
        <w:tab/>
      </w:r>
    </w:p>
    <w:p w14:paraId="403750FD" w14:textId="77777777" w:rsidR="00A26101" w:rsidRDefault="00A26101" w:rsidP="00A26101">
      <w:pPr>
        <w:pStyle w:val="NoSpacing"/>
        <w:ind w:left="360" w:firstLine="360"/>
      </w:pPr>
      <w:r w:rsidRPr="00073ECE">
        <w:rPr>
          <w:u w:val="single"/>
        </w:rPr>
        <w:t xml:space="preserve">Estimate Number of Discharges from each LTCH per year = </w:t>
      </w:r>
      <w:r w:rsidR="00F42ABD">
        <w:rPr>
          <w:b/>
          <w:u w:val="single"/>
        </w:rPr>
        <w:t>344</w:t>
      </w:r>
    </w:p>
    <w:p w14:paraId="252ACB5C" w14:textId="77777777" w:rsidR="00A26101" w:rsidRDefault="00A26101" w:rsidP="00A26101">
      <w:pPr>
        <w:pStyle w:val="NoSpacing"/>
        <w:ind w:left="360" w:firstLine="360"/>
      </w:pPr>
      <w:r>
        <w:t>(</w:t>
      </w:r>
      <w:r w:rsidR="00F42ABD">
        <w:t>146,592</w:t>
      </w:r>
      <w:r w:rsidRPr="00BE46EE">
        <w:t xml:space="preserve"> D/Cs from all </w:t>
      </w:r>
      <w:r w:rsidR="00202F53">
        <w:t xml:space="preserve">LTCHs / </w:t>
      </w:r>
      <w:r w:rsidR="00F42ABD">
        <w:t>426</w:t>
      </w:r>
      <w:r w:rsidR="00F42ABD" w:rsidRPr="00BE46EE">
        <w:t xml:space="preserve"> </w:t>
      </w:r>
      <w:r w:rsidRPr="00BE46EE">
        <w:t>LTCHs in U.S.</w:t>
      </w:r>
      <w:r>
        <w:t xml:space="preserve"> = </w:t>
      </w:r>
      <w:r w:rsidR="00F42ABD">
        <w:rPr>
          <w:b/>
        </w:rPr>
        <w:t>344</w:t>
      </w:r>
      <w:r>
        <w:t>)</w:t>
      </w:r>
    </w:p>
    <w:p w14:paraId="252214FE" w14:textId="28FB27AB" w:rsidR="00A26101" w:rsidRDefault="00A26101" w:rsidP="00A26101">
      <w:pPr>
        <w:pStyle w:val="NoSpacing"/>
        <w:ind w:left="360" w:firstLine="360"/>
      </w:pPr>
    </w:p>
    <w:p w14:paraId="278C2220" w14:textId="77777777" w:rsidR="00A26101" w:rsidRPr="00BE46EE" w:rsidRDefault="00A26101" w:rsidP="00A26101">
      <w:pPr>
        <w:pStyle w:val="NoSpacing"/>
        <w:ind w:left="360" w:firstLine="360"/>
        <w:rPr>
          <w:u w:val="single"/>
        </w:rPr>
      </w:pPr>
      <w:r w:rsidRPr="00BE46EE">
        <w:rPr>
          <w:u w:val="single"/>
        </w:rPr>
        <w:t xml:space="preserve">Estimated Number of LCDS’s submitted by all LTCHs per year = </w:t>
      </w:r>
      <w:r w:rsidR="00F42ABD">
        <w:rPr>
          <w:b/>
          <w:u w:val="single"/>
        </w:rPr>
        <w:t>293,184</w:t>
      </w:r>
    </w:p>
    <w:p w14:paraId="4605F4E6" w14:textId="77777777" w:rsidR="00A26101" w:rsidRDefault="00A26101" w:rsidP="00A26101">
      <w:pPr>
        <w:pStyle w:val="NoSpacing"/>
        <w:ind w:left="360" w:firstLine="360"/>
      </w:pPr>
      <w:r>
        <w:t>(</w:t>
      </w:r>
      <w:r w:rsidR="00F42ABD">
        <w:t xml:space="preserve">344 </w:t>
      </w:r>
      <w:r>
        <w:t xml:space="preserve">estimated # of D/C’s in each LTCH per year x </w:t>
      </w:r>
      <w:r w:rsidR="00F42ABD">
        <w:t xml:space="preserve">426 </w:t>
      </w:r>
      <w:r>
        <w:t xml:space="preserve">LTCHs in US </w:t>
      </w:r>
      <w:r w:rsidR="00827F1B">
        <w:rPr>
          <w:rFonts w:cs="Times New Roman"/>
        </w:rPr>
        <w:t>≈</w:t>
      </w:r>
      <w:r>
        <w:t xml:space="preserve"> </w:t>
      </w:r>
      <w:r w:rsidR="00F42ABD">
        <w:rPr>
          <w:b/>
        </w:rPr>
        <w:t>146,592</w:t>
      </w:r>
      <w:r>
        <w:t xml:space="preserve"> D/C’s per all LTCHs per year</w:t>
      </w:r>
    </w:p>
    <w:p w14:paraId="6D90FC23" w14:textId="2862B25D" w:rsidR="00A26101" w:rsidRDefault="00F42ABD" w:rsidP="00A26101">
      <w:pPr>
        <w:pStyle w:val="NoSpacing"/>
        <w:ind w:left="360" w:firstLine="360"/>
      </w:pPr>
      <w:r>
        <w:t>146,</w:t>
      </w:r>
      <w:r w:rsidR="007C7F6A">
        <w:t xml:space="preserve">592 </w:t>
      </w:r>
      <w:r w:rsidR="00A26101">
        <w:t xml:space="preserve">D/C’S per all LTCH per year x 2 LCDS forms per patient = </w:t>
      </w:r>
      <w:r>
        <w:rPr>
          <w:b/>
        </w:rPr>
        <w:t>293,184</w:t>
      </w:r>
      <w:r w:rsidR="00A26101">
        <w:t xml:space="preserve"> LCDS per all LTCHs per year)</w:t>
      </w:r>
    </w:p>
    <w:p w14:paraId="6E25A9B9" w14:textId="77777777" w:rsidR="00A26101" w:rsidRDefault="00A26101" w:rsidP="00A26101">
      <w:pPr>
        <w:pStyle w:val="NoSpacing"/>
        <w:ind w:left="360" w:firstLine="360"/>
      </w:pPr>
    </w:p>
    <w:p w14:paraId="35ED0456" w14:textId="77777777" w:rsidR="00A26101" w:rsidRPr="00BE46EE" w:rsidRDefault="00A26101" w:rsidP="00A26101">
      <w:pPr>
        <w:pStyle w:val="NoSpacing"/>
        <w:ind w:left="360" w:firstLine="360"/>
        <w:rPr>
          <w:b/>
          <w:u w:val="single"/>
        </w:rPr>
      </w:pPr>
      <w:r w:rsidRPr="00BE46EE">
        <w:rPr>
          <w:u w:val="single"/>
        </w:rPr>
        <w:t>Estimated Average Number of LC</w:t>
      </w:r>
      <w:r w:rsidR="00B43AD1">
        <w:rPr>
          <w:u w:val="single"/>
        </w:rPr>
        <w:t>DS</w:t>
      </w:r>
      <w:r w:rsidRPr="00BE46EE">
        <w:rPr>
          <w:u w:val="single"/>
        </w:rPr>
        <w:t xml:space="preserve">’s submitted by each LTCH per year = </w:t>
      </w:r>
      <w:r w:rsidR="00265BB7">
        <w:rPr>
          <w:b/>
          <w:u w:val="single"/>
        </w:rPr>
        <w:t>688</w:t>
      </w:r>
    </w:p>
    <w:p w14:paraId="60CC20E5" w14:textId="77777777" w:rsidR="00A26101" w:rsidRDefault="00A26101" w:rsidP="00A26101">
      <w:pPr>
        <w:pStyle w:val="NoSpacing"/>
        <w:ind w:left="360" w:firstLine="360"/>
      </w:pPr>
      <w:r>
        <w:t>(</w:t>
      </w:r>
      <w:r w:rsidR="00B356A2">
        <w:t>293,184</w:t>
      </w:r>
      <w:r w:rsidR="00202F53">
        <w:t xml:space="preserve"> LCDS per all LTCHs in U.S. / </w:t>
      </w:r>
      <w:r w:rsidR="00B356A2">
        <w:t xml:space="preserve">426 </w:t>
      </w:r>
      <w:r>
        <w:t xml:space="preserve">LTCHs in US </w:t>
      </w:r>
      <w:r w:rsidRPr="00073ECE">
        <w:t xml:space="preserve">= </w:t>
      </w:r>
      <w:r w:rsidR="00B356A2">
        <w:rPr>
          <w:b/>
        </w:rPr>
        <w:t>688</w:t>
      </w:r>
      <w:r w:rsidR="00B356A2" w:rsidRPr="00073ECE">
        <w:rPr>
          <w:b/>
        </w:rPr>
        <w:t xml:space="preserve"> </w:t>
      </w:r>
      <w:r w:rsidRPr="00073ECE">
        <w:t>LCDS per each LTCH)</w:t>
      </w:r>
      <w:r>
        <w:t xml:space="preserve"> </w:t>
      </w:r>
    </w:p>
    <w:p w14:paraId="1216E03D" w14:textId="77777777" w:rsidR="00A26101" w:rsidRDefault="00A26101" w:rsidP="00A26101">
      <w:pPr>
        <w:pStyle w:val="NoSpacing"/>
        <w:ind w:left="360" w:firstLine="360"/>
      </w:pPr>
      <w:r>
        <w:t>OR</w:t>
      </w:r>
    </w:p>
    <w:p w14:paraId="12A53EFB" w14:textId="77777777" w:rsidR="00A26101" w:rsidRDefault="00A26101" w:rsidP="00A26101">
      <w:pPr>
        <w:pStyle w:val="NoSpacing"/>
        <w:ind w:left="360" w:firstLine="360"/>
      </w:pPr>
      <w:r>
        <w:t>(</w:t>
      </w:r>
      <w:r w:rsidR="00B356A2">
        <w:t>146,592</w:t>
      </w:r>
      <w:r>
        <w:t xml:space="preserve"> D/C’S per all LTCH per year x 2 LCDS forms per patient = </w:t>
      </w:r>
      <w:r w:rsidR="00B356A2">
        <w:t>293,184</w:t>
      </w:r>
      <w:r>
        <w:t xml:space="preserve"> LCDS per all LTCHs per year</w:t>
      </w:r>
    </w:p>
    <w:p w14:paraId="686DED36" w14:textId="77777777" w:rsidR="00A26101" w:rsidRDefault="00B356A2" w:rsidP="00A26101">
      <w:pPr>
        <w:pStyle w:val="NoSpacing"/>
        <w:ind w:left="360" w:firstLine="360"/>
      </w:pPr>
      <w:r>
        <w:t>293,184</w:t>
      </w:r>
      <w:r w:rsidR="00A26101">
        <w:t xml:space="preserve"> LCDS per all LTCHs per year / </w:t>
      </w:r>
      <w:r>
        <w:t xml:space="preserve">426 </w:t>
      </w:r>
      <w:r w:rsidR="00A26101">
        <w:t xml:space="preserve">LTCHs in U.S. = </w:t>
      </w:r>
      <w:r>
        <w:rPr>
          <w:b/>
        </w:rPr>
        <w:t>688</w:t>
      </w:r>
      <w:r>
        <w:t xml:space="preserve"> </w:t>
      </w:r>
      <w:r w:rsidR="00A26101">
        <w:t>LCDS per each LTCH)</w:t>
      </w:r>
    </w:p>
    <w:p w14:paraId="05388DDC" w14:textId="77777777" w:rsidR="00A26101" w:rsidRDefault="00A26101" w:rsidP="00A26101">
      <w:pPr>
        <w:pStyle w:val="NoSpacing"/>
        <w:ind w:left="360" w:firstLine="360"/>
      </w:pPr>
    </w:p>
    <w:p w14:paraId="65A6E84B" w14:textId="77777777" w:rsidR="00A26101" w:rsidRPr="00BE46EE" w:rsidRDefault="00A26101" w:rsidP="00AF3A99">
      <w:pPr>
        <w:pStyle w:val="NoSpacing"/>
        <w:numPr>
          <w:ilvl w:val="0"/>
          <w:numId w:val="20"/>
        </w:numPr>
        <w:rPr>
          <w:u w:val="single"/>
        </w:rPr>
      </w:pPr>
      <w:r w:rsidRPr="00BE46EE">
        <w:rPr>
          <w:u w:val="single"/>
        </w:rPr>
        <w:t>Estimate of Financial (Wage) Burdens for Submission of LTCH CARE Data Set</w:t>
      </w:r>
    </w:p>
    <w:p w14:paraId="4F2A6800" w14:textId="77777777" w:rsidR="00A26101" w:rsidRDefault="00A26101" w:rsidP="00A26101">
      <w:pPr>
        <w:pStyle w:val="NoSpacing"/>
        <w:ind w:left="720"/>
      </w:pPr>
    </w:p>
    <w:p w14:paraId="28E4B147" w14:textId="6BD47823" w:rsidR="00A26101" w:rsidRPr="00BE46EE" w:rsidRDefault="00A26101" w:rsidP="00A26101">
      <w:pPr>
        <w:pStyle w:val="NoSpacing"/>
        <w:ind w:firstLine="720"/>
        <w:rPr>
          <w:u w:val="single"/>
        </w:rPr>
      </w:pPr>
      <w:r w:rsidRPr="00BE46EE">
        <w:rPr>
          <w:u w:val="single"/>
        </w:rPr>
        <w:t xml:space="preserve">Time Required to Complete Each LTCH CARE Data Set Assessment = </w:t>
      </w:r>
      <w:r w:rsidR="00A95571">
        <w:rPr>
          <w:b/>
          <w:u w:val="single"/>
        </w:rPr>
        <w:t>55.3</w:t>
      </w:r>
      <w:r w:rsidRPr="00BE46EE">
        <w:rPr>
          <w:b/>
          <w:u w:val="single"/>
        </w:rPr>
        <w:t xml:space="preserve"> minutes</w:t>
      </w:r>
    </w:p>
    <w:p w14:paraId="6871AC22" w14:textId="3548AE32" w:rsidR="00A26101" w:rsidRDefault="00C643DB" w:rsidP="00A26101">
      <w:pPr>
        <w:pStyle w:val="NoSpacing"/>
        <w:ind w:left="720" w:firstLine="720"/>
      </w:pPr>
      <w:r>
        <w:t>2</w:t>
      </w:r>
      <w:r w:rsidR="006B4FA1">
        <w:t>4.3</w:t>
      </w:r>
      <w:r w:rsidR="00A26101" w:rsidRPr="00673B37">
        <w:t xml:space="preserve"> minutes</w:t>
      </w:r>
      <w:r w:rsidR="00A26101">
        <w:t xml:space="preserve"> for Admission assessment –</w:t>
      </w:r>
      <w:r w:rsidR="00B33BD3">
        <w:t xml:space="preserve"> </w:t>
      </w:r>
      <w:r w:rsidR="00A26101">
        <w:t>clinical staff time to collect clinical data;</w:t>
      </w:r>
    </w:p>
    <w:p w14:paraId="6BE58F28" w14:textId="27B956EA" w:rsidR="00A26101" w:rsidRDefault="006B4FA1" w:rsidP="00A26101">
      <w:pPr>
        <w:pStyle w:val="NoSpacing"/>
        <w:ind w:left="720" w:firstLine="720"/>
      </w:pPr>
      <w:r>
        <w:t>21.0</w:t>
      </w:r>
      <w:r w:rsidR="00A26101" w:rsidRPr="00673B37">
        <w:t xml:space="preserve"> minutes</w:t>
      </w:r>
      <w:r w:rsidR="00A26101">
        <w:t xml:space="preserve"> for Discharge assessment –</w:t>
      </w:r>
      <w:r w:rsidR="00B33BD3">
        <w:t xml:space="preserve"> </w:t>
      </w:r>
      <w:r w:rsidR="00A26101">
        <w:t>clinical staff time to collect clinical data;</w:t>
      </w:r>
    </w:p>
    <w:p w14:paraId="60B1E691" w14:textId="77777777" w:rsidR="00A26101" w:rsidRDefault="00A26101" w:rsidP="00A26101">
      <w:pPr>
        <w:pStyle w:val="NoSpacing"/>
        <w:ind w:left="720"/>
      </w:pPr>
      <w:r>
        <w:t xml:space="preserve"> </w:t>
      </w:r>
      <w:r>
        <w:tab/>
      </w:r>
      <w:r w:rsidRPr="00673B37">
        <w:t>10 minutes</w:t>
      </w:r>
      <w:r>
        <w:t xml:space="preserve"> administrative data entry time to aggregate and submit data to CMS</w:t>
      </w:r>
    </w:p>
    <w:p w14:paraId="23E73E64" w14:textId="0FE903C2" w:rsidR="00A26101" w:rsidRDefault="00B470B6" w:rsidP="00A26101">
      <w:pPr>
        <w:pStyle w:val="NoSpacing"/>
        <w:pBdr>
          <w:top w:val="single" w:sz="4" w:space="1" w:color="auto"/>
        </w:pBdr>
        <w:ind w:left="1440" w:right="1350"/>
      </w:pPr>
      <w:r>
        <w:rPr>
          <w:b/>
        </w:rPr>
        <w:t>5</w:t>
      </w:r>
      <w:r w:rsidR="00A95571">
        <w:rPr>
          <w:b/>
        </w:rPr>
        <w:t>5.3</w:t>
      </w:r>
      <w:r w:rsidR="00A26101" w:rsidRPr="00BE46EE">
        <w:rPr>
          <w:b/>
        </w:rPr>
        <w:t xml:space="preserve"> minutes</w:t>
      </w:r>
      <w:r w:rsidR="00323080">
        <w:rPr>
          <w:b/>
        </w:rPr>
        <w:t xml:space="preserve"> </w:t>
      </w:r>
      <w:r w:rsidR="00A26101">
        <w:t>– Total time burden to complete LTCH CARE Data Set per patient</w:t>
      </w:r>
    </w:p>
    <w:p w14:paraId="79514383" w14:textId="77777777" w:rsidR="00A26101" w:rsidRDefault="00A26101" w:rsidP="00A26101">
      <w:pPr>
        <w:pStyle w:val="NoSpacing"/>
        <w:ind w:left="720"/>
      </w:pPr>
    </w:p>
    <w:p w14:paraId="3D97F9D7" w14:textId="1D6EEB03" w:rsidR="00A26101" w:rsidRPr="00673B37" w:rsidRDefault="00A26101" w:rsidP="00A26101">
      <w:pPr>
        <w:pStyle w:val="NoSpacing"/>
        <w:ind w:left="720"/>
      </w:pPr>
      <w:r w:rsidRPr="00673B37">
        <w:t xml:space="preserve">Estimated Annual Time Burden per each LTCH = </w:t>
      </w:r>
      <w:r w:rsidR="00B470B6">
        <w:rPr>
          <w:b/>
        </w:rPr>
        <w:t>3</w:t>
      </w:r>
      <w:r w:rsidR="00A95571">
        <w:rPr>
          <w:b/>
        </w:rPr>
        <w:t>17.2</w:t>
      </w:r>
      <w:r w:rsidR="00C0223E">
        <w:rPr>
          <w:b/>
        </w:rPr>
        <w:t xml:space="preserve"> </w:t>
      </w:r>
      <w:r w:rsidRPr="00673B37">
        <w:rPr>
          <w:b/>
        </w:rPr>
        <w:t>hours/each LTCH/year</w:t>
      </w:r>
    </w:p>
    <w:p w14:paraId="0A5893B0" w14:textId="23D42F6F" w:rsidR="00A26101" w:rsidRPr="00673B37" w:rsidRDefault="00A26101" w:rsidP="00A26101">
      <w:pPr>
        <w:pStyle w:val="NoSpacing"/>
        <w:ind w:left="720"/>
        <w:rPr>
          <w:u w:val="single"/>
        </w:rPr>
      </w:pPr>
      <w:r w:rsidRPr="00673B37">
        <w:rPr>
          <w:u w:val="single"/>
        </w:rPr>
        <w:t xml:space="preserve">Estimated Annual Time Burden all LTCHs = </w:t>
      </w:r>
      <w:r w:rsidR="00B470B6">
        <w:rPr>
          <w:b/>
          <w:u w:val="single"/>
        </w:rPr>
        <w:t>13</w:t>
      </w:r>
      <w:r w:rsidR="00A95571">
        <w:rPr>
          <w:b/>
          <w:u w:val="single"/>
        </w:rPr>
        <w:t>5,128</w:t>
      </w:r>
      <w:r w:rsidRPr="00673B37">
        <w:rPr>
          <w:b/>
          <w:u w:val="single"/>
        </w:rPr>
        <w:t xml:space="preserve"> hours/all LTCH’s/year</w:t>
      </w:r>
    </w:p>
    <w:p w14:paraId="757830CC" w14:textId="4169933D" w:rsidR="00A26101" w:rsidRPr="008C6EC7" w:rsidRDefault="00B470B6" w:rsidP="00A26101">
      <w:pPr>
        <w:pStyle w:val="NoSpacing"/>
        <w:ind w:left="1440"/>
      </w:pPr>
      <w:r w:rsidRPr="008C6EC7">
        <w:t>26.</w:t>
      </w:r>
      <w:r w:rsidR="00A95571" w:rsidRPr="008C6EC7">
        <w:t>433</w:t>
      </w:r>
      <w:r w:rsidR="00A26101" w:rsidRPr="008C6EC7">
        <w:t xml:space="preserve"> hours per LTCH per month x 12 months/year = </w:t>
      </w:r>
      <w:r w:rsidR="00BA6E9C">
        <w:rPr>
          <w:b/>
        </w:rPr>
        <w:t>317.2</w:t>
      </w:r>
      <w:r w:rsidR="00A26101" w:rsidRPr="008C6EC7">
        <w:rPr>
          <w:b/>
        </w:rPr>
        <w:t xml:space="preserve"> hours per each LTCH/year</w:t>
      </w:r>
    </w:p>
    <w:p w14:paraId="1EF4F414" w14:textId="2BEA5FE4" w:rsidR="00A26101" w:rsidRPr="00BE46EE" w:rsidRDefault="00487810" w:rsidP="00A26101">
      <w:pPr>
        <w:pStyle w:val="NoSpacing"/>
        <w:ind w:left="1440"/>
      </w:pPr>
      <w:r>
        <w:t>317.2</w:t>
      </w:r>
      <w:r w:rsidR="00A26101" w:rsidRPr="008C6EC7">
        <w:t xml:space="preserve"> hours/each LTCH/year x </w:t>
      </w:r>
      <w:r w:rsidR="00191FA8" w:rsidRPr="008C6EC7">
        <w:t xml:space="preserve">426 </w:t>
      </w:r>
      <w:r w:rsidR="00A26101" w:rsidRPr="008C6EC7">
        <w:t xml:space="preserve">LTCHs in U.S. = </w:t>
      </w:r>
      <w:r w:rsidR="00A95571" w:rsidRPr="008C6EC7">
        <w:rPr>
          <w:b/>
        </w:rPr>
        <w:t>135</w:t>
      </w:r>
      <w:r w:rsidR="00B470B6" w:rsidRPr="008C6EC7">
        <w:rPr>
          <w:b/>
        </w:rPr>
        <w:t>,</w:t>
      </w:r>
      <w:r w:rsidR="00A95571" w:rsidRPr="008C6EC7">
        <w:rPr>
          <w:b/>
        </w:rPr>
        <w:t>128</w:t>
      </w:r>
      <w:r w:rsidR="00A26101" w:rsidRPr="008C6EC7">
        <w:rPr>
          <w:b/>
        </w:rPr>
        <w:t xml:space="preserve"> hours/all LTCH’s/year</w:t>
      </w:r>
    </w:p>
    <w:p w14:paraId="36446162" w14:textId="77777777" w:rsidR="00A26101" w:rsidRDefault="00A26101" w:rsidP="00A26101">
      <w:pPr>
        <w:pStyle w:val="NoSpacing"/>
        <w:ind w:left="360"/>
      </w:pPr>
    </w:p>
    <w:p w14:paraId="7858B654" w14:textId="77777777" w:rsidR="00A26101" w:rsidRPr="00673B37" w:rsidRDefault="00A26101" w:rsidP="00AF3A99">
      <w:pPr>
        <w:pStyle w:val="NoSpacing"/>
        <w:numPr>
          <w:ilvl w:val="0"/>
          <w:numId w:val="20"/>
        </w:numPr>
        <w:rPr>
          <w:u w:val="single"/>
        </w:rPr>
      </w:pPr>
      <w:r w:rsidRPr="00673B37">
        <w:rPr>
          <w:u w:val="single"/>
        </w:rPr>
        <w:t>Cost/Wage Calculation for Completion of the LTCH CARE Data Set</w:t>
      </w:r>
    </w:p>
    <w:p w14:paraId="7E57AA86" w14:textId="77777777" w:rsidR="00A26101" w:rsidRDefault="00A26101" w:rsidP="00A26101">
      <w:pPr>
        <w:pStyle w:val="NoSpacing"/>
        <w:ind w:left="720"/>
      </w:pPr>
    </w:p>
    <w:p w14:paraId="0435DA2F" w14:textId="77777777" w:rsidR="00A26101" w:rsidRPr="00673B37" w:rsidRDefault="00A26101" w:rsidP="00A432C0">
      <w:pPr>
        <w:pStyle w:val="NoSpacing"/>
        <w:numPr>
          <w:ilvl w:val="0"/>
          <w:numId w:val="18"/>
        </w:numPr>
        <w:rPr>
          <w:u w:val="single"/>
        </w:rPr>
      </w:pPr>
      <w:r w:rsidRPr="00673B37">
        <w:rPr>
          <w:u w:val="single"/>
        </w:rPr>
        <w:t xml:space="preserve">Wages for Clinical Staff Completing the LTCH CARE Data Set </w:t>
      </w:r>
    </w:p>
    <w:p w14:paraId="20FFE829" w14:textId="190CFC7F" w:rsidR="00A26101" w:rsidRDefault="00536F3B" w:rsidP="00A26101">
      <w:pPr>
        <w:pStyle w:val="NoSpacing"/>
        <w:ind w:left="720" w:firstLine="360"/>
      </w:pPr>
      <w:r>
        <w:t xml:space="preserve">Registered nurses: </w:t>
      </w:r>
      <w:r w:rsidR="005C6BDA">
        <w:t>42.</w:t>
      </w:r>
      <w:r w:rsidR="00A95571">
        <w:t>1</w:t>
      </w:r>
      <w:r w:rsidR="00A26101">
        <w:t xml:space="preserve"> minutes for Admission </w:t>
      </w:r>
      <w:r>
        <w:t xml:space="preserve">&amp; Discharge </w:t>
      </w:r>
      <w:r w:rsidR="00A26101">
        <w:t>assessment at $</w:t>
      </w:r>
      <w:r w:rsidR="00B33BD3">
        <w:t>69.40</w:t>
      </w:r>
      <w:r w:rsidR="00A26101">
        <w:t>/hour</w:t>
      </w:r>
      <w:r w:rsidR="00A26101" w:rsidRPr="00F1536F">
        <w:rPr>
          <w:rStyle w:val="FootnoteReference"/>
        </w:rPr>
        <w:footnoteReference w:id="3"/>
      </w:r>
    </w:p>
    <w:p w14:paraId="147A3162" w14:textId="6DE2BE28" w:rsidR="00536F3B" w:rsidRDefault="0052358D" w:rsidP="00A26101">
      <w:pPr>
        <w:pStyle w:val="NoSpacing"/>
        <w:ind w:left="720" w:firstLine="360"/>
      </w:pPr>
      <w:r>
        <w:t xml:space="preserve">Licensed vocational nurses: </w:t>
      </w:r>
      <w:r w:rsidR="00A95571">
        <w:t>1.9</w:t>
      </w:r>
      <w:r w:rsidR="005C6BDA">
        <w:t xml:space="preserve"> </w:t>
      </w:r>
      <w:r>
        <w:t>minutes for Admission &amp; Discharge assessment at $</w:t>
      </w:r>
      <w:r w:rsidR="00B33BD3">
        <w:t>43.12</w:t>
      </w:r>
      <w:r>
        <w:t>/hour</w:t>
      </w:r>
      <w:r w:rsidRPr="00F1536F">
        <w:rPr>
          <w:rStyle w:val="FootnoteReference"/>
        </w:rPr>
        <w:footnoteReference w:id="4"/>
      </w:r>
    </w:p>
    <w:p w14:paraId="2EC530D4" w14:textId="2483B375" w:rsidR="0052358D" w:rsidRDefault="0052358D" w:rsidP="00A26101">
      <w:pPr>
        <w:pStyle w:val="NoSpacing"/>
        <w:ind w:left="720" w:firstLine="360"/>
      </w:pPr>
      <w:r>
        <w:t xml:space="preserve">Respiratory therapists: </w:t>
      </w:r>
      <w:r w:rsidR="005C6BDA">
        <w:t>1.</w:t>
      </w:r>
      <w:r w:rsidR="00A95571">
        <w:t>3</w:t>
      </w:r>
      <w:r>
        <w:t xml:space="preserve"> minutes for Admission &amp; Discharge assessment at $</w:t>
      </w:r>
      <w:r w:rsidR="00B33BD3">
        <w:t>58.30</w:t>
      </w:r>
      <w:r>
        <w:t>/hour</w:t>
      </w:r>
      <w:r w:rsidRPr="00F1536F">
        <w:rPr>
          <w:rStyle w:val="FootnoteReference"/>
        </w:rPr>
        <w:footnoteReference w:id="5"/>
      </w:r>
    </w:p>
    <w:p w14:paraId="5DEEFFA5" w14:textId="3DC37CB6" w:rsidR="002B62BB" w:rsidRDefault="002B62BB" w:rsidP="00A26101">
      <w:pPr>
        <w:pStyle w:val="NoSpacing"/>
        <w:ind w:left="720" w:firstLine="360"/>
      </w:pPr>
      <w:r>
        <w:t xml:space="preserve">Average wages for clinical staff based on completion time: </w:t>
      </w:r>
      <w:r w:rsidRPr="00314178">
        <w:rPr>
          <w:b/>
        </w:rPr>
        <w:t>$</w:t>
      </w:r>
      <w:r w:rsidR="005C6BDA">
        <w:rPr>
          <w:b/>
        </w:rPr>
        <w:t>67.</w:t>
      </w:r>
      <w:r w:rsidR="00A95571">
        <w:rPr>
          <w:b/>
        </w:rPr>
        <w:t>98</w:t>
      </w:r>
      <w:r w:rsidRPr="00314178">
        <w:rPr>
          <w:b/>
        </w:rPr>
        <w:t>/hour</w:t>
      </w:r>
    </w:p>
    <w:p w14:paraId="34D2337C" w14:textId="77777777" w:rsidR="00A26101" w:rsidRDefault="00A26101" w:rsidP="00A26101">
      <w:pPr>
        <w:pStyle w:val="NoSpacing"/>
        <w:ind w:left="720"/>
      </w:pPr>
    </w:p>
    <w:p w14:paraId="7F0DEE04" w14:textId="55ED57E7" w:rsidR="00A26101" w:rsidRPr="00073ECE" w:rsidRDefault="005C6BDA" w:rsidP="00A26101">
      <w:pPr>
        <w:pStyle w:val="NoSpacing"/>
        <w:ind w:left="720" w:firstLine="360"/>
      </w:pPr>
      <w:r>
        <w:t>4</w:t>
      </w:r>
      <w:r w:rsidR="00A95571">
        <w:t>5.3</w:t>
      </w:r>
      <w:r w:rsidR="004F5673" w:rsidRPr="00073ECE">
        <w:t xml:space="preserve"> minutes x </w:t>
      </w:r>
      <w:r w:rsidR="002B62BB">
        <w:t>344</w:t>
      </w:r>
      <w:r w:rsidR="002B62BB" w:rsidRPr="00073ECE">
        <w:t xml:space="preserve"> </w:t>
      </w:r>
      <w:r w:rsidR="00A26101" w:rsidRPr="00073ECE">
        <w:t xml:space="preserve">LCDS </w:t>
      </w:r>
      <w:r w:rsidR="004F5673" w:rsidRPr="00073ECE">
        <w:t>forms</w:t>
      </w:r>
      <w:r w:rsidR="00073ECE">
        <w:rPr>
          <w:rStyle w:val="FootnoteReference"/>
        </w:rPr>
        <w:footnoteReference w:id="6"/>
      </w:r>
      <w:r w:rsidR="004F5673" w:rsidRPr="00073ECE">
        <w:t xml:space="preserve"> / each LTCH / year = </w:t>
      </w:r>
      <w:r>
        <w:t>15,</w:t>
      </w:r>
      <w:r w:rsidR="00A95571">
        <w:t>583.2</w:t>
      </w:r>
      <w:r w:rsidR="00A26101" w:rsidRPr="00073ECE">
        <w:t xml:space="preserve"> minutes /</w:t>
      </w:r>
      <w:r w:rsidR="004F5673" w:rsidRPr="00073ECE">
        <w:t xml:space="preserve"> </w:t>
      </w:r>
      <w:r w:rsidR="00A26101" w:rsidRPr="00073ECE">
        <w:t>each LTCH / year</w:t>
      </w:r>
    </w:p>
    <w:p w14:paraId="547104B7" w14:textId="05ADF514" w:rsidR="00A26101" w:rsidRDefault="005C6BDA" w:rsidP="00A26101">
      <w:pPr>
        <w:pStyle w:val="NoSpacing"/>
        <w:ind w:left="720" w:firstLine="360"/>
      </w:pPr>
      <w:r w:rsidRPr="00447D87">
        <w:t>15,</w:t>
      </w:r>
      <w:r w:rsidR="00A95571" w:rsidRPr="00447D87">
        <w:t>583.2</w:t>
      </w:r>
      <w:r w:rsidR="00A26101" w:rsidRPr="00447D87">
        <w:t xml:space="preserve"> minutes per LTCH per year / 60 minutes = </w:t>
      </w:r>
      <w:r w:rsidRPr="00447D87">
        <w:t>2</w:t>
      </w:r>
      <w:r w:rsidR="00A95571" w:rsidRPr="00447D87">
        <w:t>59.8</w:t>
      </w:r>
      <w:r w:rsidR="00A26101" w:rsidRPr="00447D87">
        <w:t xml:space="preserve"> hours per year</w:t>
      </w:r>
    </w:p>
    <w:p w14:paraId="0ECEC4AA" w14:textId="77777777" w:rsidR="00A26101" w:rsidRDefault="00A26101" w:rsidP="00A26101">
      <w:pPr>
        <w:pStyle w:val="NoSpacing"/>
        <w:ind w:left="720"/>
      </w:pPr>
    </w:p>
    <w:p w14:paraId="2D5B5B9E" w14:textId="03F8F232" w:rsidR="00A26101" w:rsidRPr="00073ECE" w:rsidRDefault="005C6BDA" w:rsidP="00A26101">
      <w:pPr>
        <w:pStyle w:val="NoSpacing"/>
        <w:ind w:left="720" w:firstLine="360"/>
      </w:pPr>
      <w:r>
        <w:t>2</w:t>
      </w:r>
      <w:r w:rsidR="00A95571">
        <w:t>59.8</w:t>
      </w:r>
      <w:r w:rsidR="00A26101" w:rsidRPr="00073ECE">
        <w:t xml:space="preserve"> hours per year x $</w:t>
      </w:r>
      <w:r>
        <w:t>67.</w:t>
      </w:r>
      <w:r w:rsidR="00A95571">
        <w:t>98</w:t>
      </w:r>
      <w:r w:rsidR="00A26101" w:rsidRPr="00073ECE">
        <w:t xml:space="preserve"> per hour </w:t>
      </w:r>
      <w:r w:rsidR="00AF6299" w:rsidRPr="00314178">
        <w:rPr>
          <w:rFonts w:cs="Times New Roman"/>
        </w:rPr>
        <w:t>≈</w:t>
      </w:r>
      <w:r w:rsidR="00A26101" w:rsidRPr="00073ECE">
        <w:t xml:space="preserve"> </w:t>
      </w:r>
      <w:r w:rsidR="00A26101" w:rsidRPr="00073ECE">
        <w:rPr>
          <w:b/>
        </w:rPr>
        <w:t>$</w:t>
      </w:r>
      <w:r>
        <w:rPr>
          <w:b/>
        </w:rPr>
        <w:t>17,</w:t>
      </w:r>
      <w:r w:rsidR="00A95571">
        <w:rPr>
          <w:b/>
        </w:rPr>
        <w:t>661.58</w:t>
      </w:r>
      <w:r w:rsidR="00A26101" w:rsidRPr="00073ECE">
        <w:t xml:space="preserve"> </w:t>
      </w:r>
      <w:r w:rsidR="002B62BB">
        <w:t xml:space="preserve">clinical staff </w:t>
      </w:r>
      <w:r w:rsidR="00A26101" w:rsidRPr="00073ECE">
        <w:t>wages /per each LTCH / year</w:t>
      </w:r>
    </w:p>
    <w:p w14:paraId="24D6762C" w14:textId="28C2CE43" w:rsidR="00A26101" w:rsidRPr="00073ECE" w:rsidRDefault="002A660A" w:rsidP="00A26101">
      <w:pPr>
        <w:pStyle w:val="NoSpacing"/>
        <w:ind w:left="720" w:firstLine="360"/>
      </w:pPr>
      <w:r w:rsidRPr="00073ECE">
        <w:t>$</w:t>
      </w:r>
      <w:r w:rsidR="005C6BDA">
        <w:t>17,</w:t>
      </w:r>
      <w:r w:rsidR="00A95571">
        <w:t>661.58</w:t>
      </w:r>
      <w:r w:rsidRPr="00073ECE">
        <w:t xml:space="preserve"> x </w:t>
      </w:r>
      <w:r w:rsidR="002B62BB">
        <w:t>426</w:t>
      </w:r>
      <w:r w:rsidR="002B62BB" w:rsidRPr="00073ECE">
        <w:t xml:space="preserve"> </w:t>
      </w:r>
      <w:r w:rsidR="00A26101" w:rsidRPr="00073ECE">
        <w:t xml:space="preserve">LTCH providers </w:t>
      </w:r>
      <w:r w:rsidR="0079486C" w:rsidRPr="00314178">
        <w:rPr>
          <w:rFonts w:cs="Times New Roman"/>
        </w:rPr>
        <w:t>≈</w:t>
      </w:r>
      <w:r w:rsidR="00A26101" w:rsidRPr="00073ECE">
        <w:t xml:space="preserve"> </w:t>
      </w:r>
      <w:r w:rsidRPr="00073ECE">
        <w:rPr>
          <w:b/>
        </w:rPr>
        <w:t>$</w:t>
      </w:r>
      <w:r w:rsidR="00A95571">
        <w:rPr>
          <w:b/>
        </w:rPr>
        <w:t>7,523,831</w:t>
      </w:r>
      <w:r w:rsidR="00A26101" w:rsidRPr="00073ECE">
        <w:t xml:space="preserve"> per all LTCHs / year</w:t>
      </w:r>
    </w:p>
    <w:p w14:paraId="52802B2F" w14:textId="77777777" w:rsidR="00A26101" w:rsidRPr="00073ECE" w:rsidRDefault="00A26101" w:rsidP="00A26101">
      <w:pPr>
        <w:pStyle w:val="NoSpacing"/>
        <w:ind w:left="720"/>
      </w:pPr>
    </w:p>
    <w:p w14:paraId="1A058291" w14:textId="77777777" w:rsidR="00A26101" w:rsidRPr="00073ECE" w:rsidRDefault="00A26101" w:rsidP="00A432C0">
      <w:pPr>
        <w:pStyle w:val="NoSpacing"/>
        <w:numPr>
          <w:ilvl w:val="0"/>
          <w:numId w:val="18"/>
        </w:numPr>
        <w:rPr>
          <w:u w:val="single"/>
        </w:rPr>
      </w:pPr>
      <w:r w:rsidRPr="00073ECE">
        <w:rPr>
          <w:u w:val="single"/>
        </w:rPr>
        <w:t>Wages for Admin Assistant/ Clerical Staff who gather and transmit LTCH CARE Data Set</w:t>
      </w:r>
    </w:p>
    <w:p w14:paraId="606EBC02" w14:textId="77777777" w:rsidR="00A26101" w:rsidRPr="00073ECE" w:rsidRDefault="00A26101" w:rsidP="00A26101">
      <w:pPr>
        <w:pStyle w:val="NoSpacing"/>
        <w:ind w:left="720"/>
      </w:pPr>
      <w:r w:rsidRPr="00073ECE">
        <w:t>(NOTE:  Administrative data entry time calculated at an hourly wage of $</w:t>
      </w:r>
      <w:r w:rsidR="00B33BD3">
        <w:t>33.70</w:t>
      </w:r>
      <w:r w:rsidRPr="00073ECE">
        <w:t>/hour</w:t>
      </w:r>
      <w:r w:rsidRPr="00073ECE">
        <w:rPr>
          <w:rStyle w:val="FootnoteReference"/>
        </w:rPr>
        <w:footnoteReference w:id="7"/>
      </w:r>
      <w:r w:rsidRPr="00073ECE">
        <w:t>)</w:t>
      </w:r>
    </w:p>
    <w:p w14:paraId="132F6F92" w14:textId="77777777" w:rsidR="00A26101" w:rsidRPr="00073ECE" w:rsidRDefault="00A26101" w:rsidP="00A26101">
      <w:pPr>
        <w:pStyle w:val="NoSpacing"/>
        <w:ind w:left="720"/>
      </w:pPr>
    </w:p>
    <w:p w14:paraId="1DD7FB86" w14:textId="77777777" w:rsidR="00A26101" w:rsidRPr="00073ECE" w:rsidRDefault="00A26101" w:rsidP="006422E7">
      <w:pPr>
        <w:pStyle w:val="NoSpacing"/>
        <w:ind w:left="1080"/>
      </w:pPr>
      <w:r w:rsidRPr="00073ECE">
        <w:t xml:space="preserve">10 minutes x </w:t>
      </w:r>
      <w:r w:rsidR="00AF6299">
        <w:t>344</w:t>
      </w:r>
      <w:r w:rsidR="00AF6299" w:rsidRPr="00073ECE">
        <w:t xml:space="preserve"> </w:t>
      </w:r>
      <w:r w:rsidRPr="00073ECE">
        <w:t xml:space="preserve">LCDS </w:t>
      </w:r>
      <w:r w:rsidR="004F5673" w:rsidRPr="00073ECE">
        <w:t>forms</w:t>
      </w:r>
      <w:r w:rsidR="00AF6299">
        <w:rPr>
          <w:rStyle w:val="FootnoteReference"/>
        </w:rPr>
        <w:footnoteReference w:id="8"/>
      </w:r>
      <w:r w:rsidR="004F5673" w:rsidRPr="00073ECE">
        <w:t xml:space="preserve"> </w:t>
      </w:r>
      <w:r w:rsidR="002A660A" w:rsidRPr="00073ECE">
        <w:t>/ LTCH/y</w:t>
      </w:r>
      <w:r w:rsidR="0092722F">
        <w:t>ea</w:t>
      </w:r>
      <w:r w:rsidR="002A660A" w:rsidRPr="00073ECE">
        <w:t xml:space="preserve">r = </w:t>
      </w:r>
      <w:r w:rsidR="00AF6299">
        <w:t>3,440</w:t>
      </w:r>
      <w:r w:rsidRPr="00073ECE">
        <w:t xml:space="preserve"> minutes/LTCH/year</w:t>
      </w:r>
    </w:p>
    <w:p w14:paraId="01D90219" w14:textId="77777777" w:rsidR="00A26101" w:rsidRPr="00073ECE" w:rsidRDefault="00AF6299" w:rsidP="00314178">
      <w:pPr>
        <w:pStyle w:val="NoSpacing"/>
        <w:ind w:left="1080"/>
      </w:pPr>
      <w:r>
        <w:t>3,440</w:t>
      </w:r>
      <w:r w:rsidR="00A26101" w:rsidRPr="00073ECE">
        <w:t xml:space="preserve"> minutes per LTCH per y</w:t>
      </w:r>
      <w:r w:rsidR="0092722F">
        <w:t>ea</w:t>
      </w:r>
      <w:r w:rsidR="00A26101" w:rsidRPr="00073ECE">
        <w:t xml:space="preserve">r / 60 minutes = </w:t>
      </w:r>
      <w:r>
        <w:t>57.33</w:t>
      </w:r>
      <w:r w:rsidR="00A26101" w:rsidRPr="00073ECE">
        <w:t xml:space="preserve"> hours per year</w:t>
      </w:r>
    </w:p>
    <w:p w14:paraId="7D323851" w14:textId="77777777" w:rsidR="00A26101" w:rsidRPr="00073ECE" w:rsidRDefault="00AF6299" w:rsidP="006422E7">
      <w:pPr>
        <w:pStyle w:val="NoSpacing"/>
        <w:ind w:left="1080"/>
      </w:pPr>
      <w:r>
        <w:t>57.33</w:t>
      </w:r>
      <w:r w:rsidR="00F74525" w:rsidRPr="00073ECE">
        <w:t xml:space="preserve"> hours per year x $</w:t>
      </w:r>
      <w:r w:rsidR="00B33BD3">
        <w:t>33.70</w:t>
      </w:r>
      <w:r w:rsidR="0052358D" w:rsidRPr="00073ECE">
        <w:t xml:space="preserve"> </w:t>
      </w:r>
      <w:r w:rsidR="00A26101" w:rsidRPr="00073ECE">
        <w:t xml:space="preserve">per hour </w:t>
      </w:r>
      <w:r w:rsidR="0079486C" w:rsidRPr="00B82D13">
        <w:rPr>
          <w:rFonts w:cs="Times New Roman"/>
        </w:rPr>
        <w:t>≈</w:t>
      </w:r>
      <w:r w:rsidR="00A26101" w:rsidRPr="00073ECE">
        <w:t xml:space="preserve"> </w:t>
      </w:r>
      <w:r w:rsidR="00F74525" w:rsidRPr="00073ECE">
        <w:rPr>
          <w:b/>
        </w:rPr>
        <w:t>$</w:t>
      </w:r>
      <w:r w:rsidR="00B33BD3">
        <w:rPr>
          <w:b/>
        </w:rPr>
        <w:t>1,932.77</w:t>
      </w:r>
      <w:r w:rsidR="00A26101" w:rsidRPr="00073ECE">
        <w:t xml:space="preserve"> admin assistant wages/per LTCH/year</w:t>
      </w:r>
    </w:p>
    <w:p w14:paraId="0AA78753" w14:textId="77777777" w:rsidR="00F74525" w:rsidRDefault="00F74525" w:rsidP="006422E7">
      <w:pPr>
        <w:pStyle w:val="NoSpacing"/>
        <w:ind w:left="1080"/>
      </w:pPr>
      <w:r w:rsidRPr="00073ECE">
        <w:t>$</w:t>
      </w:r>
      <w:r w:rsidR="00B33BD3">
        <w:t>1,932.77</w:t>
      </w:r>
      <w:r w:rsidRPr="00073ECE">
        <w:t xml:space="preserve"> x </w:t>
      </w:r>
      <w:r w:rsidR="004D24F4">
        <w:t>4</w:t>
      </w:r>
      <w:r w:rsidR="00AF6299">
        <w:t>26</w:t>
      </w:r>
      <w:r w:rsidR="004D24F4" w:rsidRPr="00073ECE">
        <w:t xml:space="preserve"> </w:t>
      </w:r>
      <w:r w:rsidR="00A26101" w:rsidRPr="00073ECE">
        <w:t xml:space="preserve">LTCHs </w:t>
      </w:r>
      <w:r w:rsidR="0079486C" w:rsidRPr="00B82D13">
        <w:rPr>
          <w:rFonts w:cs="Times New Roman"/>
        </w:rPr>
        <w:t>≈</w:t>
      </w:r>
      <w:r w:rsidR="00A26101" w:rsidRPr="00073ECE">
        <w:t xml:space="preserve"> </w:t>
      </w:r>
      <w:r w:rsidRPr="00073ECE">
        <w:rPr>
          <w:b/>
        </w:rPr>
        <w:t>$</w:t>
      </w:r>
      <w:r w:rsidR="00B33BD3">
        <w:rPr>
          <w:b/>
        </w:rPr>
        <w:t>823,358</w:t>
      </w:r>
      <w:r w:rsidR="00A26101" w:rsidRPr="00073ECE">
        <w:t xml:space="preserve"> per all LTCH providers/year</w:t>
      </w:r>
    </w:p>
    <w:p w14:paraId="57FF23FD" w14:textId="77777777" w:rsidR="0079486C" w:rsidRPr="00073ECE" w:rsidRDefault="0079486C" w:rsidP="006422E7">
      <w:pPr>
        <w:pStyle w:val="NoSpacing"/>
        <w:ind w:left="1080"/>
      </w:pPr>
    </w:p>
    <w:p w14:paraId="72147A86" w14:textId="77777777" w:rsidR="00A26101" w:rsidRPr="00073ECE" w:rsidRDefault="00A26101" w:rsidP="00AF3A99">
      <w:pPr>
        <w:pStyle w:val="NoSpacing"/>
        <w:numPr>
          <w:ilvl w:val="0"/>
          <w:numId w:val="20"/>
        </w:numPr>
      </w:pPr>
      <w:r w:rsidRPr="00073ECE">
        <w:rPr>
          <w:u w:val="single"/>
        </w:rPr>
        <w:t>Combined Calculations</w:t>
      </w:r>
    </w:p>
    <w:p w14:paraId="16AD49D0" w14:textId="77777777" w:rsidR="00A26101" w:rsidRPr="00073ECE" w:rsidRDefault="00A26101" w:rsidP="00A26101">
      <w:pPr>
        <w:pStyle w:val="NoSpacing"/>
        <w:ind w:left="720"/>
      </w:pPr>
    </w:p>
    <w:p w14:paraId="10F57008" w14:textId="2C502C18" w:rsidR="00A26101" w:rsidRPr="00073ECE" w:rsidRDefault="00F74525" w:rsidP="00A26101">
      <w:pPr>
        <w:pStyle w:val="NoSpacing"/>
        <w:ind w:left="720"/>
      </w:pPr>
      <w:r w:rsidRPr="00073ECE">
        <w:t>$</w:t>
      </w:r>
      <w:r w:rsidR="00A95571">
        <w:t>17,661</w:t>
      </w:r>
      <w:r w:rsidR="00AB6103">
        <w:t>.</w:t>
      </w:r>
      <w:r w:rsidR="00A95571">
        <w:t>58</w:t>
      </w:r>
      <w:r w:rsidR="00A26101" w:rsidRPr="00073ECE">
        <w:t xml:space="preserve"> – </w:t>
      </w:r>
      <w:r w:rsidR="00AF6299">
        <w:t>Clinical staff</w:t>
      </w:r>
      <w:r w:rsidR="00AF6299" w:rsidRPr="00073ECE">
        <w:t xml:space="preserve"> </w:t>
      </w:r>
      <w:r w:rsidR="00A26101" w:rsidRPr="00073ECE">
        <w:t>wages/per LTCH /year (LTCH CARE Data Set)</w:t>
      </w:r>
    </w:p>
    <w:p w14:paraId="32D7909D" w14:textId="77777777" w:rsidR="00A26101" w:rsidRPr="00073ECE" w:rsidRDefault="00F74525" w:rsidP="00A26101">
      <w:pPr>
        <w:pStyle w:val="NoSpacing"/>
        <w:ind w:left="720"/>
      </w:pPr>
      <w:r w:rsidRPr="00073ECE">
        <w:t>$</w:t>
      </w:r>
      <w:r w:rsidR="00B33BD3">
        <w:t>1,932.77</w:t>
      </w:r>
      <w:r w:rsidR="00A26101" w:rsidRPr="00073ECE">
        <w:t xml:space="preserve"> – Admin assistant wages/per LTCH /year (LTCH CARE Data Set)</w:t>
      </w:r>
    </w:p>
    <w:p w14:paraId="12D3A93C" w14:textId="3F726900" w:rsidR="00A26101" w:rsidRPr="00073ECE" w:rsidRDefault="005E0B0F" w:rsidP="00A26101">
      <w:pPr>
        <w:pStyle w:val="NoSpacing"/>
        <w:pBdr>
          <w:top w:val="single" w:sz="4" w:space="1" w:color="auto"/>
        </w:pBdr>
        <w:ind w:left="720" w:right="3420"/>
        <w:rPr>
          <w:b/>
        </w:rPr>
      </w:pPr>
      <w:r>
        <w:rPr>
          <w:b/>
        </w:rPr>
        <w:t>$</w:t>
      </w:r>
      <w:r w:rsidR="00AB6103">
        <w:rPr>
          <w:b/>
        </w:rPr>
        <w:t>19,</w:t>
      </w:r>
      <w:r w:rsidR="00A95571">
        <w:rPr>
          <w:b/>
        </w:rPr>
        <w:t>594.34</w:t>
      </w:r>
      <w:r>
        <w:rPr>
          <w:b/>
        </w:rPr>
        <w:t xml:space="preserve"> </w:t>
      </w:r>
      <w:r w:rsidR="00A26101" w:rsidRPr="00073ECE">
        <w:rPr>
          <w:b/>
        </w:rPr>
        <w:t xml:space="preserve">– Total Annualized Cost to Each LTCH Provider </w:t>
      </w:r>
    </w:p>
    <w:p w14:paraId="5D10203D" w14:textId="77777777" w:rsidR="00A26101" w:rsidRPr="00073ECE" w:rsidRDefault="00A26101" w:rsidP="00A26101">
      <w:pPr>
        <w:pStyle w:val="NoSpacing"/>
      </w:pPr>
    </w:p>
    <w:p w14:paraId="4EB19BE7" w14:textId="44CDDB9B" w:rsidR="00A26101" w:rsidRPr="00073ECE" w:rsidRDefault="005E0B0F" w:rsidP="00A26101">
      <w:pPr>
        <w:pStyle w:val="NoSpacing"/>
        <w:ind w:left="720"/>
      </w:pPr>
      <w:r w:rsidRPr="005E0B0F">
        <w:t>$</w:t>
      </w:r>
      <w:r w:rsidR="00AB6103">
        <w:t>7,</w:t>
      </w:r>
      <w:r w:rsidR="00A95571">
        <w:t>523,831</w:t>
      </w:r>
      <w:r>
        <w:t xml:space="preserve"> </w:t>
      </w:r>
      <w:r w:rsidR="00A26101" w:rsidRPr="00073ECE">
        <w:t xml:space="preserve">– </w:t>
      </w:r>
      <w:r w:rsidR="00AF6299">
        <w:t>Clinical staff</w:t>
      </w:r>
      <w:r w:rsidR="00AF6299" w:rsidRPr="00073ECE">
        <w:t xml:space="preserve"> </w:t>
      </w:r>
      <w:r w:rsidR="00A26101" w:rsidRPr="00073ECE">
        <w:t>wages/per ALL LTCHs /year (LTCH CARE Data Set)</w:t>
      </w:r>
    </w:p>
    <w:p w14:paraId="0EB6BB4C" w14:textId="60BDA434" w:rsidR="00A26101" w:rsidRPr="00073ECE" w:rsidRDefault="00F74525" w:rsidP="00A26101">
      <w:pPr>
        <w:pStyle w:val="NoSpacing"/>
        <w:ind w:left="720"/>
      </w:pPr>
      <w:r w:rsidRPr="00073ECE">
        <w:t>$</w:t>
      </w:r>
      <w:r w:rsidR="00AB6103">
        <w:t>823,358</w:t>
      </w:r>
      <w:r w:rsidR="00A26101" w:rsidRPr="00073ECE">
        <w:t xml:space="preserve"> – Admin assistant wages/per ALL LTCHs /year (LTCH CARE Data Set)</w:t>
      </w:r>
    </w:p>
    <w:p w14:paraId="133C05F0" w14:textId="1D8C5EAF" w:rsidR="00A26101" w:rsidRPr="00073ECE" w:rsidRDefault="00A26101" w:rsidP="00A26101">
      <w:pPr>
        <w:pStyle w:val="NoSpacing"/>
        <w:pBdr>
          <w:top w:val="single" w:sz="4" w:space="1" w:color="auto"/>
        </w:pBdr>
        <w:ind w:left="720" w:right="2430"/>
        <w:rPr>
          <w:b/>
        </w:rPr>
      </w:pPr>
      <w:r w:rsidRPr="00073ECE">
        <w:rPr>
          <w:b/>
        </w:rPr>
        <w:t>$</w:t>
      </w:r>
      <w:r w:rsidR="00AB6103">
        <w:rPr>
          <w:b/>
        </w:rPr>
        <w:t>8,</w:t>
      </w:r>
      <w:r w:rsidR="00A95571">
        <w:rPr>
          <w:b/>
        </w:rPr>
        <w:t>347,190</w:t>
      </w:r>
      <w:r w:rsidRPr="00073ECE">
        <w:rPr>
          <w:b/>
        </w:rPr>
        <w:t xml:space="preserve"> – Total Annualized Cost For All LTCH Providers</w:t>
      </w:r>
    </w:p>
    <w:p w14:paraId="00BC8BED" w14:textId="77777777" w:rsidR="00A26101" w:rsidRPr="00073ECE" w:rsidRDefault="00A26101" w:rsidP="00A26101">
      <w:pPr>
        <w:pStyle w:val="NoSpacing"/>
        <w:ind w:left="360"/>
      </w:pPr>
    </w:p>
    <w:p w14:paraId="5C50BE5D" w14:textId="77777777" w:rsidR="00A26101" w:rsidRPr="00073ECE" w:rsidRDefault="00A26101" w:rsidP="00AF3A99">
      <w:pPr>
        <w:pStyle w:val="NoSpacing"/>
        <w:numPr>
          <w:ilvl w:val="0"/>
          <w:numId w:val="20"/>
        </w:numPr>
      </w:pPr>
      <w:r w:rsidRPr="00073ECE">
        <w:rPr>
          <w:u w:val="single"/>
        </w:rPr>
        <w:t>Additional Calculations</w:t>
      </w:r>
    </w:p>
    <w:p w14:paraId="20A3E9A1" w14:textId="77777777" w:rsidR="00A26101" w:rsidRPr="00073ECE" w:rsidRDefault="00A26101" w:rsidP="00A26101">
      <w:pPr>
        <w:pStyle w:val="NoSpacing"/>
        <w:ind w:left="720"/>
      </w:pPr>
    </w:p>
    <w:p w14:paraId="4B467D62" w14:textId="02F75570" w:rsidR="00A26101" w:rsidRPr="00073ECE" w:rsidRDefault="00A26101" w:rsidP="00A26101">
      <w:pPr>
        <w:pStyle w:val="NoSpacing"/>
        <w:ind w:left="720"/>
        <w:rPr>
          <w:u w:val="single"/>
        </w:rPr>
      </w:pPr>
      <w:r w:rsidRPr="00073ECE">
        <w:rPr>
          <w:u w:val="single"/>
        </w:rPr>
        <w:t xml:space="preserve">Total Yearly Cost to All LTCH Providers for Reporting Data using the LCDS = </w:t>
      </w:r>
      <w:r w:rsidR="005E0B0F" w:rsidRPr="005E0B0F">
        <w:rPr>
          <w:b/>
          <w:u w:val="single"/>
        </w:rPr>
        <w:t>$</w:t>
      </w:r>
      <w:r w:rsidR="00AB6103">
        <w:rPr>
          <w:b/>
          <w:u w:val="single"/>
        </w:rPr>
        <w:t>8,</w:t>
      </w:r>
      <w:r w:rsidR="00A95571">
        <w:rPr>
          <w:b/>
          <w:u w:val="single"/>
        </w:rPr>
        <w:t>347,190</w:t>
      </w:r>
    </w:p>
    <w:p w14:paraId="6A4505C5" w14:textId="3753AA2F" w:rsidR="00A26101" w:rsidRPr="00073ECE" w:rsidRDefault="005E0B0F" w:rsidP="00A26101">
      <w:pPr>
        <w:pStyle w:val="NoSpacing"/>
        <w:ind w:left="720"/>
      </w:pPr>
      <w:r w:rsidRPr="005E0B0F">
        <w:t>$</w:t>
      </w:r>
      <w:r w:rsidR="00A95571">
        <w:t>19,594</w:t>
      </w:r>
      <w:r w:rsidR="00AB6103">
        <w:t>.</w:t>
      </w:r>
      <w:r w:rsidR="00A95571">
        <w:t>34</w:t>
      </w:r>
      <w:r>
        <w:t xml:space="preserve"> </w:t>
      </w:r>
      <w:r w:rsidR="00A26101" w:rsidRPr="00073ECE">
        <w:t xml:space="preserve">x </w:t>
      </w:r>
      <w:r w:rsidR="004D24F4">
        <w:t>4</w:t>
      </w:r>
      <w:r w:rsidR="0079486C">
        <w:t>26</w:t>
      </w:r>
      <w:r w:rsidR="004D24F4" w:rsidRPr="00073ECE">
        <w:t xml:space="preserve"> </w:t>
      </w:r>
      <w:r w:rsidR="00A26101" w:rsidRPr="00073ECE">
        <w:t xml:space="preserve">LTCHs in U.S. = </w:t>
      </w:r>
      <w:r w:rsidRPr="00073ECE">
        <w:rPr>
          <w:b/>
        </w:rPr>
        <w:t>$</w:t>
      </w:r>
      <w:r w:rsidR="00A95571">
        <w:rPr>
          <w:b/>
        </w:rPr>
        <w:t>8,347</w:t>
      </w:r>
      <w:r w:rsidR="00AB6103">
        <w:rPr>
          <w:b/>
        </w:rPr>
        <w:t>,</w:t>
      </w:r>
      <w:r w:rsidR="00A95571">
        <w:rPr>
          <w:b/>
        </w:rPr>
        <w:t>190</w:t>
      </w:r>
      <w:r w:rsidR="00F74525" w:rsidRPr="00073ECE">
        <w:t>)</w:t>
      </w:r>
      <w:r w:rsidR="00A26101" w:rsidRPr="00073ECE">
        <w:t xml:space="preserve">  </w:t>
      </w:r>
    </w:p>
    <w:p w14:paraId="74FB495B" w14:textId="77777777" w:rsidR="00A26101" w:rsidRPr="00073ECE" w:rsidRDefault="00A26101" w:rsidP="00A26101">
      <w:pPr>
        <w:pStyle w:val="NoSpacing"/>
        <w:ind w:left="720"/>
      </w:pPr>
    </w:p>
    <w:p w14:paraId="673A0C63" w14:textId="7B5B3944" w:rsidR="00A26101" w:rsidRPr="00073ECE" w:rsidRDefault="00A26101" w:rsidP="00A26101">
      <w:pPr>
        <w:pStyle w:val="NoSpacing"/>
        <w:ind w:left="720"/>
        <w:rPr>
          <w:u w:val="single"/>
        </w:rPr>
      </w:pPr>
      <w:r w:rsidRPr="00073ECE">
        <w:rPr>
          <w:u w:val="single"/>
        </w:rPr>
        <w:t xml:space="preserve">Total Yearly Cost to Each LTCH Provider for Reporting Quality Data = </w:t>
      </w:r>
      <w:r w:rsidR="005E0B0F" w:rsidRPr="005E0B0F">
        <w:rPr>
          <w:b/>
          <w:u w:val="single"/>
        </w:rPr>
        <w:t>$</w:t>
      </w:r>
      <w:r w:rsidR="00AB6103">
        <w:rPr>
          <w:b/>
          <w:u w:val="single"/>
        </w:rPr>
        <w:t>19,</w:t>
      </w:r>
      <w:r w:rsidR="00971E5B">
        <w:rPr>
          <w:b/>
          <w:u w:val="single"/>
        </w:rPr>
        <w:t>594.34</w:t>
      </w:r>
    </w:p>
    <w:p w14:paraId="38FA1432" w14:textId="042DEC35" w:rsidR="00A26101" w:rsidRPr="00073ECE" w:rsidRDefault="005E0B0F" w:rsidP="00A26101">
      <w:pPr>
        <w:pStyle w:val="NoSpacing"/>
        <w:ind w:left="720"/>
      </w:pPr>
      <w:r>
        <w:t>(</w:t>
      </w:r>
      <w:r w:rsidRPr="005E0B0F">
        <w:t>$</w:t>
      </w:r>
      <w:r w:rsidR="00AB6103">
        <w:t>8,</w:t>
      </w:r>
      <w:r w:rsidR="00971E5B">
        <w:t>347,190</w:t>
      </w:r>
      <w:r>
        <w:t xml:space="preserve"> </w:t>
      </w:r>
      <w:r w:rsidR="00A26101" w:rsidRPr="00073ECE">
        <w:t xml:space="preserve">yearly cost for all LTCHs / </w:t>
      </w:r>
      <w:r w:rsidR="0079486C">
        <w:t>426</w:t>
      </w:r>
      <w:r w:rsidR="0079486C" w:rsidRPr="00073ECE">
        <w:t xml:space="preserve"> </w:t>
      </w:r>
      <w:r w:rsidR="00A26101" w:rsidRPr="00073ECE">
        <w:t xml:space="preserve">LTCHs in U.S. = </w:t>
      </w:r>
      <w:r w:rsidRPr="005E0B0F">
        <w:rPr>
          <w:b/>
        </w:rPr>
        <w:t>$</w:t>
      </w:r>
      <w:r w:rsidR="00AB6103">
        <w:rPr>
          <w:b/>
        </w:rPr>
        <w:t>19,</w:t>
      </w:r>
      <w:r w:rsidR="00971E5B">
        <w:rPr>
          <w:b/>
        </w:rPr>
        <w:t>594.34</w:t>
      </w:r>
      <w:r w:rsidR="00A26101" w:rsidRPr="00073ECE">
        <w:t>)</w:t>
      </w:r>
    </w:p>
    <w:p w14:paraId="6CE5A105" w14:textId="77777777" w:rsidR="00A26101" w:rsidRPr="00073ECE" w:rsidRDefault="00A26101" w:rsidP="00A26101">
      <w:pPr>
        <w:pStyle w:val="NoSpacing"/>
      </w:pPr>
    </w:p>
    <w:p w14:paraId="5658ED13" w14:textId="77777777" w:rsidR="00A26101" w:rsidRPr="00073ECE" w:rsidRDefault="00A26101" w:rsidP="00A26101">
      <w:pPr>
        <w:pStyle w:val="NoSpacing"/>
        <w:ind w:left="720"/>
      </w:pPr>
    </w:p>
    <w:p w14:paraId="2C8BDA21" w14:textId="2959DE74" w:rsidR="00A26101" w:rsidRPr="00073ECE" w:rsidRDefault="00A26101" w:rsidP="00A26101">
      <w:pPr>
        <w:pStyle w:val="NoSpacing"/>
        <w:ind w:left="720"/>
        <w:rPr>
          <w:u w:val="single"/>
        </w:rPr>
      </w:pPr>
      <w:r w:rsidRPr="00073ECE">
        <w:rPr>
          <w:u w:val="single"/>
        </w:rPr>
        <w:t xml:space="preserve">Estimated Average Cost per each LCDS Submission = </w:t>
      </w:r>
      <w:r w:rsidR="00F74525" w:rsidRPr="00073ECE">
        <w:rPr>
          <w:b/>
          <w:u w:val="single"/>
        </w:rPr>
        <w:t>$</w:t>
      </w:r>
      <w:r w:rsidR="00971E5B">
        <w:rPr>
          <w:b/>
          <w:u w:val="single"/>
        </w:rPr>
        <w:t>56.94</w:t>
      </w:r>
    </w:p>
    <w:p w14:paraId="0C3BF0DE" w14:textId="05889C9F" w:rsidR="00A26101" w:rsidRPr="00073ECE" w:rsidRDefault="005E0B0F" w:rsidP="00A26101">
      <w:pPr>
        <w:pStyle w:val="NoSpacing"/>
        <w:ind w:left="720"/>
      </w:pPr>
      <w:r>
        <w:t>(</w:t>
      </w:r>
      <w:r w:rsidRPr="005E0B0F">
        <w:t>$</w:t>
      </w:r>
      <w:r w:rsidR="00AB6103">
        <w:t>8,</w:t>
      </w:r>
      <w:r w:rsidR="00971E5B">
        <w:t>347,190</w:t>
      </w:r>
      <w:r>
        <w:t xml:space="preserve"> </w:t>
      </w:r>
      <w:r w:rsidR="00A26101" w:rsidRPr="00073ECE">
        <w:t>yearly cost of LCDS sub</w:t>
      </w:r>
      <w:r w:rsidR="00F74525" w:rsidRPr="00073ECE">
        <w:t xml:space="preserve">missions for ALL LTCHs / </w:t>
      </w:r>
      <w:r w:rsidR="0079486C">
        <w:t>146,592</w:t>
      </w:r>
      <w:r w:rsidR="00A26101" w:rsidRPr="00073ECE">
        <w:t xml:space="preserve"> LCDS submissions per all LTCHs/year = </w:t>
      </w:r>
      <w:r w:rsidR="00F74525" w:rsidRPr="00073ECE">
        <w:rPr>
          <w:b/>
        </w:rPr>
        <w:t>$</w:t>
      </w:r>
      <w:r w:rsidR="00AB6103">
        <w:rPr>
          <w:b/>
        </w:rPr>
        <w:t>5</w:t>
      </w:r>
      <w:r w:rsidR="00971E5B">
        <w:rPr>
          <w:b/>
        </w:rPr>
        <w:t>6.94</w:t>
      </w:r>
      <w:r w:rsidR="00A26101" w:rsidRPr="00073ECE">
        <w:t>)</w:t>
      </w:r>
    </w:p>
    <w:p w14:paraId="7294360F" w14:textId="77777777" w:rsidR="00A26101" w:rsidRPr="00073ECE" w:rsidRDefault="00A26101" w:rsidP="00A26101">
      <w:pPr>
        <w:pStyle w:val="NoSpacing"/>
        <w:ind w:left="720"/>
      </w:pPr>
      <w:r w:rsidRPr="00073ECE">
        <w:t>OR</w:t>
      </w:r>
    </w:p>
    <w:p w14:paraId="3AEACD3E" w14:textId="120E3743" w:rsidR="00A26101" w:rsidRPr="00A26101" w:rsidRDefault="005E0B0F" w:rsidP="00A26101">
      <w:pPr>
        <w:pStyle w:val="NoSpacing"/>
        <w:ind w:left="720"/>
      </w:pPr>
      <w:r>
        <w:t>(</w:t>
      </w:r>
      <w:r w:rsidRPr="005E0B0F">
        <w:t>$</w:t>
      </w:r>
      <w:r w:rsidR="00AB6103">
        <w:t>19,</w:t>
      </w:r>
      <w:r w:rsidR="00971E5B">
        <w:t>594.34</w:t>
      </w:r>
      <w:r>
        <w:t xml:space="preserve"> </w:t>
      </w:r>
      <w:r w:rsidR="00A26101" w:rsidRPr="00073ECE">
        <w:t>yearly cost of LCDS submissions pe</w:t>
      </w:r>
      <w:r w:rsidR="00F74525" w:rsidRPr="00073ECE">
        <w:t xml:space="preserve">r each LTCH / </w:t>
      </w:r>
      <w:r w:rsidR="00E7374E">
        <w:t>344</w:t>
      </w:r>
      <w:r w:rsidR="00E7374E" w:rsidRPr="00073ECE">
        <w:t xml:space="preserve"> </w:t>
      </w:r>
      <w:r w:rsidR="00A26101" w:rsidRPr="00073ECE">
        <w:t xml:space="preserve">LCDS submissions per LTCHs/year </w:t>
      </w:r>
      <w:r w:rsidR="00E7374E" w:rsidRPr="00B82D13">
        <w:rPr>
          <w:rFonts w:cs="Times New Roman"/>
        </w:rPr>
        <w:t>≈</w:t>
      </w:r>
      <w:r w:rsidR="00A26101" w:rsidRPr="00073ECE">
        <w:t xml:space="preserve"> </w:t>
      </w:r>
      <w:r w:rsidR="00F74525" w:rsidRPr="00073ECE">
        <w:rPr>
          <w:b/>
        </w:rPr>
        <w:t>$</w:t>
      </w:r>
      <w:r w:rsidR="00AB6103">
        <w:rPr>
          <w:b/>
        </w:rPr>
        <w:t>5</w:t>
      </w:r>
      <w:r w:rsidR="00971E5B">
        <w:rPr>
          <w:b/>
        </w:rPr>
        <w:t>6.94</w:t>
      </w:r>
      <w:r w:rsidR="00A26101" w:rsidRPr="00073ECE">
        <w:t>)</w:t>
      </w:r>
    </w:p>
    <w:p w14:paraId="5CD09DA9" w14:textId="77777777" w:rsidR="0024601C" w:rsidRDefault="0024601C" w:rsidP="0024601C">
      <w:pPr>
        <w:pStyle w:val="NoSpacing"/>
        <w:ind w:left="360"/>
      </w:pPr>
    </w:p>
    <w:p w14:paraId="4A3D49F0" w14:textId="77777777" w:rsidR="006C4F1E" w:rsidRPr="00A26101" w:rsidRDefault="006C4F1E" w:rsidP="006C4F1E">
      <w:pPr>
        <w:pStyle w:val="NoSpacing"/>
        <w:numPr>
          <w:ilvl w:val="0"/>
          <w:numId w:val="10"/>
        </w:numPr>
        <w:rPr>
          <w:b/>
          <w:u w:val="single"/>
        </w:rPr>
      </w:pPr>
      <w:r w:rsidRPr="006C4F1E">
        <w:rPr>
          <w:b/>
          <w:u w:val="single"/>
        </w:rPr>
        <w:t>Itemized Time and Wage/Cost Burden Estimate for the LTCH CARE Data Set Assessments</w:t>
      </w:r>
    </w:p>
    <w:p w14:paraId="2C4A6B75" w14:textId="77777777" w:rsidR="0024601C" w:rsidRPr="001D5F5D" w:rsidRDefault="0024601C" w:rsidP="0024601C">
      <w:pPr>
        <w:pStyle w:val="NoSpacing"/>
        <w:ind w:left="360"/>
      </w:pPr>
    </w:p>
    <w:p w14:paraId="3E09373A" w14:textId="06AFDA73" w:rsidR="006C4F1E" w:rsidRDefault="006C4F1E" w:rsidP="006C4F1E">
      <w:pPr>
        <w:pStyle w:val="NoSpacing"/>
        <w:numPr>
          <w:ilvl w:val="0"/>
          <w:numId w:val="15"/>
        </w:numPr>
      </w:pPr>
      <w:r>
        <w:t xml:space="preserve">The LTCH CARE </w:t>
      </w:r>
      <w:r w:rsidR="00F23386">
        <w:t xml:space="preserve">Data </w:t>
      </w:r>
      <w:r>
        <w:t>Set consists of 4 different assessment forms</w:t>
      </w:r>
      <w:r w:rsidR="004A082F">
        <w:t xml:space="preserve"> </w:t>
      </w:r>
      <w:r w:rsidR="002A31FB">
        <w:t xml:space="preserve">in which 2 (an admission and discharge assessment) are required per </w:t>
      </w:r>
      <w:r w:rsidR="00F23386">
        <w:t>stay</w:t>
      </w:r>
      <w:r w:rsidR="002A31FB">
        <w:t>.</w:t>
      </w:r>
    </w:p>
    <w:p w14:paraId="0298901B" w14:textId="44704C42" w:rsidR="00942B99" w:rsidRDefault="006C4F1E" w:rsidP="006C4F1E">
      <w:pPr>
        <w:pStyle w:val="NoSpacing"/>
        <w:numPr>
          <w:ilvl w:val="0"/>
          <w:numId w:val="15"/>
        </w:numPr>
      </w:pPr>
      <w:r>
        <w:t xml:space="preserve">All of these forms consist of </w:t>
      </w:r>
      <w:r w:rsidR="001D4A1E">
        <w:t xml:space="preserve">required </w:t>
      </w:r>
      <w:r>
        <w:t xml:space="preserve">items (questions) that </w:t>
      </w:r>
      <w:r w:rsidR="001D4A1E">
        <w:t xml:space="preserve">contribute to the </w:t>
      </w:r>
      <w:r w:rsidR="00E0598F">
        <w:t xml:space="preserve">assessment </w:t>
      </w:r>
      <w:r w:rsidR="001D4A1E">
        <w:t>completion time</w:t>
      </w:r>
      <w:r>
        <w:t xml:space="preserve">, and </w:t>
      </w:r>
      <w:r w:rsidR="001D4A1E">
        <w:t xml:space="preserve">required </w:t>
      </w:r>
      <w:r w:rsidR="00422B54">
        <w:t>items if information is available</w:t>
      </w:r>
      <w:r w:rsidR="00942B99">
        <w:t>.</w:t>
      </w:r>
    </w:p>
    <w:p w14:paraId="31DCFBBB" w14:textId="77777777" w:rsidR="006C4F1E" w:rsidRDefault="00942B99" w:rsidP="00314178">
      <w:pPr>
        <w:pStyle w:val="NoSpacing"/>
        <w:numPr>
          <w:ilvl w:val="1"/>
          <w:numId w:val="15"/>
        </w:numPr>
      </w:pPr>
      <w:r>
        <w:t xml:space="preserve">Some of these </w:t>
      </w:r>
      <w:r w:rsidR="00E0598F">
        <w:t>items have</w:t>
      </w:r>
      <w:r w:rsidR="00305FAC">
        <w:t xml:space="preserve"> subitems</w:t>
      </w:r>
      <w:r>
        <w:t>.</w:t>
      </w:r>
      <w:r w:rsidR="00E0598F">
        <w:t xml:space="preserve"> These </w:t>
      </w:r>
      <w:r w:rsidR="00305FAC">
        <w:t xml:space="preserve">subitems </w:t>
      </w:r>
      <w:r w:rsidR="00E0598F">
        <w:t xml:space="preserve">are not counted towards the assessment completion time since the time to complete the </w:t>
      </w:r>
      <w:r w:rsidR="00305FAC">
        <w:t xml:space="preserve">subitems </w:t>
      </w:r>
      <w:r w:rsidR="00E0598F">
        <w:t>is included in the time to complete the parent item.</w:t>
      </w:r>
    </w:p>
    <w:p w14:paraId="05B1F6F4" w14:textId="77777777" w:rsidR="006C4F1E" w:rsidRDefault="006C4F1E" w:rsidP="006C4F1E">
      <w:pPr>
        <w:pStyle w:val="NoSpacing"/>
        <w:numPr>
          <w:ilvl w:val="0"/>
          <w:numId w:val="15"/>
        </w:numPr>
      </w:pPr>
      <w:r>
        <w:t xml:space="preserve">An LTCH is required to perform an admission assessment within 3 days after the patient is admitted. </w:t>
      </w:r>
    </w:p>
    <w:p w14:paraId="175B93BC" w14:textId="77777777" w:rsidR="006C4F1E" w:rsidRDefault="006C4F1E" w:rsidP="006C4F1E">
      <w:pPr>
        <w:pStyle w:val="NoSpacing"/>
        <w:numPr>
          <w:ilvl w:val="0"/>
          <w:numId w:val="15"/>
        </w:numPr>
      </w:pPr>
      <w:r>
        <w:t>An LTCH must also perform a discharge assessment on each patient.</w:t>
      </w:r>
    </w:p>
    <w:p w14:paraId="2F3F4367" w14:textId="77777777" w:rsidR="006C4F1E" w:rsidRDefault="006C4F1E" w:rsidP="006C4F1E">
      <w:pPr>
        <w:pStyle w:val="NoSpacing"/>
        <w:numPr>
          <w:ilvl w:val="0"/>
          <w:numId w:val="15"/>
        </w:numPr>
      </w:pPr>
      <w:r>
        <w:t>There are 3 different types of Discharge Assessment forms:</w:t>
      </w:r>
    </w:p>
    <w:p w14:paraId="2909916C" w14:textId="77777777" w:rsidR="006C4F1E" w:rsidRDefault="006C4F1E" w:rsidP="006C4F1E">
      <w:pPr>
        <w:pStyle w:val="NoSpacing"/>
        <w:numPr>
          <w:ilvl w:val="1"/>
          <w:numId w:val="15"/>
        </w:numPr>
      </w:pPr>
      <w:r>
        <w:t>Planned Discharge Assessment</w:t>
      </w:r>
    </w:p>
    <w:p w14:paraId="6F1CAF41" w14:textId="77777777" w:rsidR="006C4F1E" w:rsidRDefault="006C4F1E" w:rsidP="006C4F1E">
      <w:pPr>
        <w:pStyle w:val="NoSpacing"/>
        <w:numPr>
          <w:ilvl w:val="1"/>
          <w:numId w:val="15"/>
        </w:numPr>
      </w:pPr>
      <w:r>
        <w:t>Unplanned Discharge Assessment</w:t>
      </w:r>
    </w:p>
    <w:p w14:paraId="3A7C3458" w14:textId="77777777" w:rsidR="006C4F1E" w:rsidRDefault="006C4F1E" w:rsidP="006C4F1E">
      <w:pPr>
        <w:pStyle w:val="NoSpacing"/>
        <w:numPr>
          <w:ilvl w:val="1"/>
          <w:numId w:val="15"/>
        </w:numPr>
      </w:pPr>
      <w:r>
        <w:t>Expired (Death) Assessment</w:t>
      </w:r>
    </w:p>
    <w:p w14:paraId="49F0E4D1" w14:textId="77777777" w:rsidR="006C4F1E" w:rsidRDefault="006C4F1E" w:rsidP="006C4F1E">
      <w:pPr>
        <w:pStyle w:val="NoSpacing"/>
        <w:numPr>
          <w:ilvl w:val="0"/>
          <w:numId w:val="15"/>
        </w:numPr>
      </w:pPr>
      <w:r>
        <w:t xml:space="preserve">The type of discharge assessment used is based on the circumstances of the discharge.  </w:t>
      </w:r>
    </w:p>
    <w:p w14:paraId="3986FF64" w14:textId="77777777" w:rsidR="006C4F1E" w:rsidRDefault="006C4F1E" w:rsidP="006C4F1E">
      <w:pPr>
        <w:pStyle w:val="NoSpacing"/>
      </w:pPr>
    </w:p>
    <w:p w14:paraId="0B007486" w14:textId="77777777" w:rsidR="006C4F1E" w:rsidRPr="00FA1D22" w:rsidRDefault="006C4F1E" w:rsidP="00D32ED2">
      <w:pPr>
        <w:pStyle w:val="NoSpacing"/>
        <w:rPr>
          <w:u w:val="single"/>
        </w:rPr>
      </w:pPr>
      <w:r w:rsidRPr="00FA1D22">
        <w:rPr>
          <w:u w:val="single"/>
        </w:rPr>
        <w:t>Admission Assessment</w:t>
      </w:r>
    </w:p>
    <w:p w14:paraId="2B830050" w14:textId="500F04C3" w:rsidR="00E0598F" w:rsidRDefault="006C4F1E" w:rsidP="00314178">
      <w:pPr>
        <w:pStyle w:val="NoSpacing"/>
      </w:pPr>
      <w:r>
        <w:tab/>
        <w:t>Number of Required Questions</w:t>
      </w:r>
      <w:r w:rsidR="00E0598F">
        <w:t xml:space="preserve"> (including </w:t>
      </w:r>
      <w:r w:rsidR="00305FAC">
        <w:t>subitems</w:t>
      </w:r>
      <w:r w:rsidR="00E0598F">
        <w:t>)</w:t>
      </w:r>
      <w:r>
        <w:t>:</w:t>
      </w:r>
      <w:r w:rsidR="00FA1D22">
        <w:tab/>
      </w:r>
      <w:r w:rsidR="00971E5B">
        <w:t>151</w:t>
      </w:r>
      <w:r>
        <w:tab/>
      </w:r>
    </w:p>
    <w:p w14:paraId="5BAFC96A" w14:textId="15538D06" w:rsidR="006C4F1E" w:rsidRPr="00FA1D22" w:rsidRDefault="00E0598F" w:rsidP="00314178">
      <w:pPr>
        <w:pStyle w:val="NoSpacing"/>
        <w:ind w:firstLine="720"/>
        <w:rPr>
          <w:b/>
        </w:rPr>
      </w:pPr>
      <w:r>
        <w:t xml:space="preserve">Number of Required Questions for Assessment Completion Time: </w:t>
      </w:r>
      <w:r w:rsidR="00971E5B">
        <w:t>81</w:t>
      </w:r>
      <w:r w:rsidR="001A2E3F">
        <w:t xml:space="preserve"> </w:t>
      </w:r>
      <w:r w:rsidR="006C4F1E">
        <w:t>@</w:t>
      </w:r>
      <w:r w:rsidR="00FA1D22">
        <w:t xml:space="preserve"> </w:t>
      </w:r>
      <w:r w:rsidR="006C4F1E">
        <w:t xml:space="preserve">0.3 minutes each </w:t>
      </w:r>
      <w:r w:rsidR="00FA1D22">
        <w:t xml:space="preserve">= </w:t>
      </w:r>
      <w:r w:rsidR="001A2E3F">
        <w:t>2</w:t>
      </w:r>
      <w:r w:rsidR="00971E5B">
        <w:t>4.3</w:t>
      </w:r>
      <w:r w:rsidR="006C4F1E">
        <w:t xml:space="preserve"> minutes</w:t>
      </w:r>
    </w:p>
    <w:p w14:paraId="01CEC4DF" w14:textId="77777777" w:rsidR="006C4F1E" w:rsidRDefault="006C4F1E" w:rsidP="006C4F1E">
      <w:pPr>
        <w:pStyle w:val="NoSpacing"/>
      </w:pPr>
    </w:p>
    <w:p w14:paraId="74635EEC" w14:textId="77777777" w:rsidR="006C4F1E" w:rsidRPr="00FA1D22" w:rsidRDefault="006C4F1E" w:rsidP="00D32ED2">
      <w:pPr>
        <w:pStyle w:val="NoSpacing"/>
        <w:rPr>
          <w:u w:val="single"/>
        </w:rPr>
      </w:pPr>
      <w:r w:rsidRPr="00FA1D22">
        <w:rPr>
          <w:u w:val="single"/>
        </w:rPr>
        <w:t>Planned Discharge Assessment</w:t>
      </w:r>
    </w:p>
    <w:p w14:paraId="233D819E" w14:textId="097DEAF9" w:rsidR="00F23386" w:rsidRDefault="006C4F1E" w:rsidP="00F23386">
      <w:pPr>
        <w:pStyle w:val="NoSpacing"/>
      </w:pPr>
      <w:r>
        <w:tab/>
      </w:r>
      <w:r w:rsidR="00F23386">
        <w:t>Number of Required Questions (including subitems):</w:t>
      </w:r>
      <w:r w:rsidR="00F23386">
        <w:tab/>
      </w:r>
      <w:r w:rsidR="00971E5B">
        <w:t>90</w:t>
      </w:r>
      <w:r w:rsidR="00F23386">
        <w:tab/>
      </w:r>
    </w:p>
    <w:p w14:paraId="09A25AF3" w14:textId="296EB66C" w:rsidR="006C4F1E" w:rsidRPr="00FA1D22" w:rsidRDefault="00F23386" w:rsidP="00314178">
      <w:pPr>
        <w:pStyle w:val="NoSpacing"/>
        <w:ind w:firstLine="720"/>
        <w:rPr>
          <w:b/>
        </w:rPr>
      </w:pPr>
      <w:r>
        <w:t xml:space="preserve">Number of Required Questions for Assessment Completion Time: </w:t>
      </w:r>
      <w:r w:rsidR="001A2E3F">
        <w:t xml:space="preserve">70 </w:t>
      </w:r>
      <w:r>
        <w:t xml:space="preserve">@ 0.3 minutes each = </w:t>
      </w:r>
      <w:r w:rsidR="001A2E3F">
        <w:t>21.0</w:t>
      </w:r>
      <w:r>
        <w:t xml:space="preserve"> minutes</w:t>
      </w:r>
    </w:p>
    <w:p w14:paraId="3487D9DF" w14:textId="77777777" w:rsidR="006C4F1E" w:rsidRDefault="006C4F1E" w:rsidP="006C4F1E">
      <w:pPr>
        <w:pStyle w:val="NoSpacing"/>
      </w:pPr>
    </w:p>
    <w:p w14:paraId="5ABDFF53" w14:textId="77777777" w:rsidR="006C4F1E" w:rsidRPr="00FA1D22" w:rsidRDefault="006C4F1E" w:rsidP="006C4F1E">
      <w:pPr>
        <w:pStyle w:val="NoSpacing"/>
        <w:rPr>
          <w:u w:val="single"/>
        </w:rPr>
      </w:pPr>
      <w:r w:rsidRPr="00FA1D22">
        <w:rPr>
          <w:u w:val="single"/>
        </w:rPr>
        <w:t>Unplanned Discharge Assessment</w:t>
      </w:r>
    </w:p>
    <w:p w14:paraId="45F8FFA6" w14:textId="32C946AA" w:rsidR="00F23386" w:rsidRDefault="006C4F1E" w:rsidP="00F23386">
      <w:pPr>
        <w:pStyle w:val="NoSpacing"/>
      </w:pPr>
      <w:r>
        <w:tab/>
      </w:r>
      <w:r w:rsidR="00F23386">
        <w:t>Number of Required Questions (including subitems):</w:t>
      </w:r>
      <w:r w:rsidR="00F23386">
        <w:tab/>
      </w:r>
      <w:r w:rsidR="001A2E3F">
        <w:t>68</w:t>
      </w:r>
      <w:r w:rsidR="00F23386">
        <w:tab/>
      </w:r>
    </w:p>
    <w:p w14:paraId="7C745DBD" w14:textId="77777777" w:rsidR="006C4F1E" w:rsidRPr="00FA1D22" w:rsidRDefault="00F23386" w:rsidP="00314178">
      <w:pPr>
        <w:pStyle w:val="NoSpacing"/>
        <w:ind w:firstLine="720"/>
        <w:rPr>
          <w:b/>
        </w:rPr>
      </w:pPr>
      <w:r>
        <w:t>Number of Required Questions for Assessment Completion Time: 48 @ 0.3 minutes each = 14.4 minutes</w:t>
      </w:r>
    </w:p>
    <w:p w14:paraId="173D2515" w14:textId="77777777" w:rsidR="006C4F1E" w:rsidRDefault="006C4F1E" w:rsidP="006C4F1E">
      <w:pPr>
        <w:pStyle w:val="NoSpacing"/>
      </w:pPr>
    </w:p>
    <w:p w14:paraId="1FC44F34" w14:textId="77777777" w:rsidR="006C4F1E" w:rsidRPr="00FA1D22" w:rsidRDefault="006C4F1E" w:rsidP="006C4F1E">
      <w:pPr>
        <w:pStyle w:val="NoSpacing"/>
        <w:rPr>
          <w:u w:val="single"/>
        </w:rPr>
      </w:pPr>
      <w:r w:rsidRPr="00FA1D22">
        <w:rPr>
          <w:u w:val="single"/>
        </w:rPr>
        <w:t>Expired Assessment</w:t>
      </w:r>
    </w:p>
    <w:p w14:paraId="491F36B0" w14:textId="77777777" w:rsidR="00F23386" w:rsidRDefault="006C4F1E" w:rsidP="00F23386">
      <w:pPr>
        <w:pStyle w:val="NoSpacing"/>
      </w:pPr>
      <w:r>
        <w:tab/>
      </w:r>
      <w:r w:rsidR="00F23386">
        <w:t>Number of Required Questions (including subitems):</w:t>
      </w:r>
      <w:r w:rsidR="00F23386">
        <w:tab/>
        <w:t>46</w:t>
      </w:r>
      <w:r w:rsidR="00F23386">
        <w:tab/>
      </w:r>
    </w:p>
    <w:p w14:paraId="4D81CBA3" w14:textId="77777777" w:rsidR="00D2685F" w:rsidRPr="00FA1D22" w:rsidRDefault="00F23386" w:rsidP="00314178">
      <w:pPr>
        <w:pStyle w:val="NoSpacing"/>
        <w:ind w:firstLine="720"/>
        <w:rPr>
          <w:b/>
        </w:rPr>
      </w:pPr>
      <w:r>
        <w:t>Number of Required Questions for Assessment Completion Time: 27 @ 0.3 minutes each = 8.1 minutes</w:t>
      </w:r>
    </w:p>
    <w:p w14:paraId="076E13EB" w14:textId="77777777" w:rsidR="00D32ED2" w:rsidRPr="006D4E70" w:rsidRDefault="00D32ED2" w:rsidP="006C4F1E">
      <w:pPr>
        <w:pStyle w:val="NoSpacing"/>
      </w:pPr>
    </w:p>
    <w:p w14:paraId="24FEE0D6" w14:textId="77777777" w:rsidR="00EA4C90" w:rsidRDefault="00EA4C90" w:rsidP="002216DB">
      <w:pPr>
        <w:pStyle w:val="Heading1"/>
        <w:numPr>
          <w:ilvl w:val="0"/>
          <w:numId w:val="2"/>
        </w:numPr>
      </w:pPr>
      <w:bookmarkStart w:id="97" w:name="_Toc507151246"/>
      <w:r>
        <w:t>Capital Costs</w:t>
      </w:r>
      <w:bookmarkEnd w:id="97"/>
    </w:p>
    <w:p w14:paraId="610429A3" w14:textId="77777777" w:rsidR="00D2685F" w:rsidRDefault="00D2685F" w:rsidP="00D2685F">
      <w:pPr>
        <w:pStyle w:val="NoSpacing"/>
        <w:ind w:left="360"/>
        <w:rPr>
          <w:b/>
        </w:rPr>
      </w:pPr>
    </w:p>
    <w:p w14:paraId="58928564" w14:textId="25FA54FB" w:rsidR="004157F2" w:rsidRDefault="004157F2" w:rsidP="000F60D8">
      <w:pPr>
        <w:pStyle w:val="NoSpacing"/>
        <w:rPr>
          <w:rStyle w:val="CommentReference"/>
          <w:rFonts w:eastAsia="Times New Roman" w:cs="Times New Roman"/>
        </w:rPr>
      </w:pPr>
      <w:r w:rsidRPr="004157F2">
        <w:t>There are no additional capital costs to respondents or to record keepers.</w:t>
      </w:r>
      <w:r w:rsidR="00C960CE">
        <w:t xml:space="preserve"> LTCHs do not need to acquire any additional equipment to collect data. LTCHs can use the free </w:t>
      </w:r>
      <w:r w:rsidR="000F60D8" w:rsidRPr="00396125">
        <w:t>LASER tool</w:t>
      </w:r>
      <w:r w:rsidR="00C960CE">
        <w:t xml:space="preserve"> for record submission</w:t>
      </w:r>
      <w:r w:rsidR="000F60D8" w:rsidRPr="00396125">
        <w:t xml:space="preserve">. Information regarding LASER, including instructions for installing and using the software, is located at: </w:t>
      </w:r>
      <w:hyperlink r:id="rId15" w:history="1">
        <w:r w:rsidR="000F60D8" w:rsidRPr="00396125">
          <w:rPr>
            <w:rStyle w:val="Hyperlink"/>
          </w:rPr>
          <w:t>https://www.qtso.com/laser.html</w:t>
        </w:r>
      </w:hyperlink>
      <w:r w:rsidR="000F60D8" w:rsidRPr="00396125">
        <w:t>.</w:t>
      </w:r>
      <w:r w:rsidR="00C960CE" w:rsidDel="000F60D8">
        <w:rPr>
          <w:rStyle w:val="CommentReference"/>
          <w:rFonts w:eastAsia="Times New Roman" w:cs="Times New Roman"/>
        </w:rPr>
        <w:t xml:space="preserve"> </w:t>
      </w:r>
    </w:p>
    <w:p w14:paraId="0F9AF94D" w14:textId="77777777" w:rsidR="00F90083" w:rsidRPr="004157F2" w:rsidRDefault="00F90083" w:rsidP="000F60D8">
      <w:pPr>
        <w:pStyle w:val="NoSpacing"/>
      </w:pPr>
    </w:p>
    <w:p w14:paraId="081431A9" w14:textId="77777777" w:rsidR="00D2685F" w:rsidRPr="00D2685F" w:rsidRDefault="00EA4C90" w:rsidP="000F60D8">
      <w:pPr>
        <w:pStyle w:val="Heading1"/>
        <w:numPr>
          <w:ilvl w:val="0"/>
          <w:numId w:val="2"/>
        </w:numPr>
      </w:pPr>
      <w:bookmarkStart w:id="98" w:name="_Toc507151247"/>
      <w:r>
        <w:t>Cost to Federal Government</w:t>
      </w:r>
      <w:bookmarkEnd w:id="98"/>
    </w:p>
    <w:p w14:paraId="09C1DC31" w14:textId="77777777" w:rsidR="00D2685F" w:rsidRDefault="00D2685F" w:rsidP="000F60D8">
      <w:pPr>
        <w:pStyle w:val="NoSpacing"/>
        <w:ind w:left="360"/>
        <w:rPr>
          <w:b/>
        </w:rPr>
      </w:pPr>
    </w:p>
    <w:p w14:paraId="6D28F553" w14:textId="77777777" w:rsidR="004157F2" w:rsidRDefault="004157F2" w:rsidP="000F60D8">
      <w:pPr>
        <w:pStyle w:val="NoSpacing"/>
      </w:pPr>
      <w:r>
        <w:t xml:space="preserve">The Department of Health &amp; Human Services (DHHS) will incur costs associated with the administration of the LTCH </w:t>
      </w:r>
      <w:r w:rsidR="00314178">
        <w:t>QRP</w:t>
      </w:r>
      <w:r>
        <w:t xml:space="preserve"> including costs associated with the IT system used to process LTCH submissions to CMS and analysis of the data received.</w:t>
      </w:r>
    </w:p>
    <w:p w14:paraId="575873D4" w14:textId="77777777" w:rsidR="004157F2" w:rsidRDefault="004157F2" w:rsidP="000F60D8">
      <w:pPr>
        <w:pStyle w:val="NoSpacing"/>
      </w:pPr>
    </w:p>
    <w:p w14:paraId="77605D76" w14:textId="2E48F5D3" w:rsidR="004157F2" w:rsidRDefault="00073ECE" w:rsidP="000F60D8">
      <w:pPr>
        <w:pStyle w:val="NoSpacing"/>
      </w:pPr>
      <w:r>
        <w:t>CMS engaged</w:t>
      </w:r>
      <w:r w:rsidR="004157F2">
        <w:t xml:space="preserve"> the services of an in-house CMS contractor to create and manage an online reporting/IT platform for the LTCH CARE Data Set. This contractor works with the CMS Center for Clinical Standards and Quality, Division of </w:t>
      </w:r>
      <w:r w:rsidR="00E20F23">
        <w:t>Post-Acute</w:t>
      </w:r>
      <w:r w:rsidR="004157F2">
        <w:t xml:space="preserve"> and Chronic Care (DCPAC) in order to support the IT needs of multi</w:t>
      </w:r>
      <w:r w:rsidR="004B5E6C">
        <w:t xml:space="preserve">ple quality reporting programs. </w:t>
      </w:r>
      <w:r w:rsidR="004157F2">
        <w:t>When LTCH providers transmit the data contained within the LTCH CARE Data Set to CMS it is received by this contractor.  Upon receipt of all data sets for each quarter the contractor performs some basic analysis which helps to determine each provider’s compliance with the reporting</w:t>
      </w:r>
      <w:r w:rsidR="004B5E6C">
        <w:t xml:space="preserve"> requirements of the LTCH QRP. </w:t>
      </w:r>
      <w:r w:rsidR="004157F2">
        <w:t xml:space="preserve">The findings are communicated to </w:t>
      </w:r>
      <w:r w:rsidR="004B5E6C">
        <w:t xml:space="preserve">the LTCH QRP lead in a report. </w:t>
      </w:r>
      <w:r w:rsidR="004157F2">
        <w:t xml:space="preserve">Contractor costs include the development, testing, roll-out, and maintenance of the LTCH Assessment Submission Entry and Reporting (LASER) software that is made available to LTCH providers free of charge providing a means by which LTCHs can submit the required data to CMS. </w:t>
      </w:r>
    </w:p>
    <w:p w14:paraId="46EE62B7" w14:textId="77777777" w:rsidR="004157F2" w:rsidRDefault="004157F2" w:rsidP="004157F2">
      <w:pPr>
        <w:pStyle w:val="NoSpacing"/>
      </w:pPr>
    </w:p>
    <w:p w14:paraId="424DE138" w14:textId="77777777" w:rsidR="004157F2" w:rsidRDefault="004157F2" w:rsidP="004157F2">
      <w:pPr>
        <w:pStyle w:val="NoSpacing"/>
      </w:pPr>
      <w:r>
        <w:t xml:space="preserve">DCPAC </w:t>
      </w:r>
      <w:r w:rsidR="000C52C3">
        <w:t>retains</w:t>
      </w:r>
      <w:r>
        <w:t xml:space="preserve"> the services of a separate contractor for the purpose of performing a more in-depth analysis of the LTCH data, as well as the calculation of the quality measures, and </w:t>
      </w:r>
      <w:r w:rsidR="000C52C3">
        <w:t xml:space="preserve">for </w:t>
      </w:r>
      <w:r>
        <w:t xml:space="preserve">future public reporting of the LTCH data. Said contractor </w:t>
      </w:r>
      <w:r w:rsidR="000C52C3">
        <w:t xml:space="preserve">is </w:t>
      </w:r>
      <w:r>
        <w:t>responsible for obtaining the LTCH quality reporting data from the in-house CMS contractor.  They perform statistical analysis on this data and prepare reports of their findings, which will be submitted to the LTCH QRP lead.</w:t>
      </w:r>
    </w:p>
    <w:p w14:paraId="40C5F9E9" w14:textId="77777777" w:rsidR="004157F2" w:rsidRDefault="004157F2" w:rsidP="004157F2">
      <w:pPr>
        <w:pStyle w:val="NoSpacing"/>
      </w:pPr>
    </w:p>
    <w:p w14:paraId="06112DF3" w14:textId="4B8540CA" w:rsidR="00D2685F" w:rsidRDefault="004157F2" w:rsidP="004157F2">
      <w:pPr>
        <w:pStyle w:val="NoSpacing"/>
      </w:pPr>
      <w:r>
        <w:t>DCPAC</w:t>
      </w:r>
      <w:r w:rsidR="000C52C3">
        <w:t xml:space="preserve"> </w:t>
      </w:r>
      <w:r w:rsidR="00073ECE">
        <w:t>retains the</w:t>
      </w:r>
      <w:r>
        <w:t xml:space="preserve"> services of a third contractor to assist with provider training and help</w:t>
      </w:r>
      <w:r w:rsidR="00E20F23">
        <w:t xml:space="preserve"> </w:t>
      </w:r>
      <w:r>
        <w:t>desk support services related to the LTCH QRP.</w:t>
      </w:r>
    </w:p>
    <w:p w14:paraId="5C1C6FA2" w14:textId="77777777" w:rsidR="004157F2" w:rsidRDefault="004157F2" w:rsidP="004157F2">
      <w:pPr>
        <w:pStyle w:val="NoSpacing"/>
      </w:pPr>
    </w:p>
    <w:p w14:paraId="49F38812" w14:textId="77777777" w:rsidR="004157F2" w:rsidRDefault="004157F2" w:rsidP="004157F2">
      <w:pPr>
        <w:pStyle w:val="NoSpacing"/>
      </w:pPr>
      <w:r>
        <w:t>In addition to the contractor costs, the total includes the cost of the following Federal employees:</w:t>
      </w:r>
    </w:p>
    <w:p w14:paraId="1EB7FBCC" w14:textId="77777777" w:rsidR="004157F2" w:rsidRDefault="004157F2" w:rsidP="004157F2">
      <w:pPr>
        <w:pStyle w:val="NoSpacing"/>
      </w:pPr>
    </w:p>
    <w:p w14:paraId="1343921C" w14:textId="6D616995" w:rsidR="004157F2" w:rsidRDefault="004157F2" w:rsidP="004157F2">
      <w:pPr>
        <w:pStyle w:val="NoSpacing"/>
        <w:numPr>
          <w:ilvl w:val="0"/>
          <w:numId w:val="9"/>
        </w:numPr>
      </w:pPr>
      <w:r>
        <w:t>GS-13 (locality pay area of Washington-Baltimore-Northern Virginia) at 100% effort for 3 years, or $</w:t>
      </w:r>
      <w:r w:rsidR="00863EDB">
        <w:t>284,389</w:t>
      </w:r>
      <w:r>
        <w:t>.</w:t>
      </w:r>
    </w:p>
    <w:p w14:paraId="2248FD36" w14:textId="4D1C6420" w:rsidR="004157F2" w:rsidRDefault="004157F2" w:rsidP="004157F2">
      <w:pPr>
        <w:pStyle w:val="NoSpacing"/>
        <w:numPr>
          <w:ilvl w:val="0"/>
          <w:numId w:val="9"/>
        </w:numPr>
      </w:pPr>
      <w:r>
        <w:t>GS-14 (locality pay area of Washington-Baltimore-Northern Virginia) at 33% effort for 3 years, or $</w:t>
      </w:r>
      <w:r w:rsidR="00863EDB">
        <w:t>112,021</w:t>
      </w:r>
      <w:r>
        <w:t>.</w:t>
      </w:r>
    </w:p>
    <w:p w14:paraId="6526CD91" w14:textId="77777777" w:rsidR="004157F2" w:rsidRDefault="004157F2" w:rsidP="004157F2">
      <w:pPr>
        <w:pStyle w:val="NoSpacing"/>
      </w:pPr>
    </w:p>
    <w:p w14:paraId="1CA9226C" w14:textId="77777777" w:rsidR="004157F2" w:rsidRDefault="004157F2" w:rsidP="004157F2">
      <w:pPr>
        <w:pStyle w:val="NoSpacing"/>
      </w:pPr>
      <w:r>
        <w:t>The estimated cost to the federal government for the contractor is as follows:</w:t>
      </w:r>
    </w:p>
    <w:p w14:paraId="1F9A4E8C" w14:textId="77777777" w:rsidR="004157F2" w:rsidRDefault="004157F2" w:rsidP="004157F2">
      <w:pPr>
        <w:pStyle w:val="NoSpacing"/>
      </w:pPr>
    </w:p>
    <w:p w14:paraId="7DC40502" w14:textId="77777777" w:rsidR="004157F2" w:rsidRDefault="004157F2" w:rsidP="004157F2">
      <w:pPr>
        <w:pStyle w:val="NoSpacing"/>
        <w:tabs>
          <w:tab w:val="left" w:pos="720"/>
          <w:tab w:val="left" w:pos="8640"/>
        </w:tabs>
      </w:pPr>
      <w:r>
        <w:tab/>
        <w:t>CMS in-house contractor – Maintenance and support of IT platform that</w:t>
      </w:r>
    </w:p>
    <w:p w14:paraId="640107C0" w14:textId="77777777" w:rsidR="004157F2" w:rsidRDefault="004157F2" w:rsidP="004157F2">
      <w:pPr>
        <w:pStyle w:val="NoSpacing"/>
        <w:tabs>
          <w:tab w:val="left" w:pos="720"/>
          <w:tab w:val="left" w:leader="dot" w:pos="8640"/>
        </w:tabs>
      </w:pPr>
      <w:r>
        <w:tab/>
        <w:t>Supports the LTCH CARE Data Set</w:t>
      </w:r>
      <w:r>
        <w:tab/>
        <w:t>$750,000</w:t>
      </w:r>
    </w:p>
    <w:p w14:paraId="16932B7E" w14:textId="77777777" w:rsidR="004157F2" w:rsidRDefault="004157F2" w:rsidP="004157F2">
      <w:pPr>
        <w:pStyle w:val="NoSpacing"/>
        <w:tabs>
          <w:tab w:val="left" w:pos="720"/>
          <w:tab w:val="left" w:leader="dot" w:pos="8640"/>
        </w:tabs>
      </w:pPr>
      <w:r>
        <w:tab/>
        <w:t>Data analysis contractor</w:t>
      </w:r>
      <w:r>
        <w:tab/>
        <w:t>$1,000,000</w:t>
      </w:r>
    </w:p>
    <w:p w14:paraId="26F832FA" w14:textId="77777777" w:rsidR="004157F2" w:rsidRDefault="004157F2" w:rsidP="004157F2">
      <w:pPr>
        <w:pStyle w:val="NoSpacing"/>
        <w:tabs>
          <w:tab w:val="left" w:pos="720"/>
          <w:tab w:val="left" w:leader="dot" w:pos="8640"/>
        </w:tabs>
      </w:pPr>
      <w:r>
        <w:tab/>
        <w:t>Provider training &amp; helpdesk contractor</w:t>
      </w:r>
      <w:r>
        <w:tab/>
        <w:t>$1,000,000</w:t>
      </w:r>
    </w:p>
    <w:p w14:paraId="1AC86F1F" w14:textId="17E4D1C6" w:rsidR="004157F2" w:rsidRDefault="004157F2" w:rsidP="004157F2">
      <w:pPr>
        <w:pStyle w:val="NoSpacing"/>
        <w:tabs>
          <w:tab w:val="left" w:pos="720"/>
          <w:tab w:val="left" w:leader="dot" w:pos="8640"/>
        </w:tabs>
      </w:pPr>
      <w:r>
        <w:tab/>
        <w:t>GS-13 Federal Employee (100% X 3 years)</w:t>
      </w:r>
      <w:r>
        <w:tab/>
        <w:t>$</w:t>
      </w:r>
      <w:r w:rsidR="00E131C1">
        <w:t>284,38</w:t>
      </w:r>
      <w:r w:rsidR="00B25865">
        <w:t>9</w:t>
      </w:r>
    </w:p>
    <w:p w14:paraId="165BCAFC" w14:textId="77777777" w:rsidR="004157F2" w:rsidRDefault="004157F2" w:rsidP="004157F2">
      <w:pPr>
        <w:pStyle w:val="NoSpacing"/>
        <w:tabs>
          <w:tab w:val="left" w:pos="720"/>
          <w:tab w:val="left" w:leader="dot" w:pos="8640"/>
        </w:tabs>
      </w:pPr>
      <w:r>
        <w:tab/>
        <w:t>GS-14 Federal Employee (33% X 3 years)</w:t>
      </w:r>
      <w:r>
        <w:tab/>
        <w:t>$</w:t>
      </w:r>
      <w:r w:rsidR="00E131C1">
        <w:t>112,021</w:t>
      </w:r>
    </w:p>
    <w:p w14:paraId="5A86ED67" w14:textId="77777777" w:rsidR="00A640D5" w:rsidRDefault="004157F2" w:rsidP="00F0785E">
      <w:pPr>
        <w:pStyle w:val="NoSpacing"/>
        <w:pBdr>
          <w:top w:val="single" w:sz="4" w:space="1" w:color="auto"/>
        </w:pBdr>
        <w:tabs>
          <w:tab w:val="left" w:pos="720"/>
          <w:tab w:val="left" w:leader="dot" w:pos="8640"/>
        </w:tabs>
        <w:ind w:right="720"/>
        <w:rPr>
          <w:b/>
        </w:rPr>
      </w:pPr>
      <w:r>
        <w:tab/>
      </w:r>
      <w:r>
        <w:rPr>
          <w:b/>
        </w:rPr>
        <w:t>Total cost to Federal Government</w:t>
      </w:r>
      <w:r>
        <w:rPr>
          <w:b/>
        </w:rPr>
        <w:tab/>
        <w:t>$</w:t>
      </w:r>
      <w:r w:rsidR="00F16B21">
        <w:rPr>
          <w:b/>
        </w:rPr>
        <w:t>3,</w:t>
      </w:r>
      <w:r w:rsidR="00E131C1">
        <w:rPr>
          <w:b/>
        </w:rPr>
        <w:t>146,409</w:t>
      </w:r>
    </w:p>
    <w:p w14:paraId="3F264002" w14:textId="02ECDD31" w:rsidR="00F0785E" w:rsidRDefault="00F0785E" w:rsidP="00F0785E">
      <w:pPr>
        <w:pStyle w:val="NoSpacing"/>
        <w:pBdr>
          <w:top w:val="single" w:sz="4" w:space="1" w:color="auto"/>
        </w:pBdr>
        <w:tabs>
          <w:tab w:val="left" w:pos="720"/>
          <w:tab w:val="left" w:leader="dot" w:pos="8640"/>
        </w:tabs>
        <w:ind w:right="720"/>
        <w:rPr>
          <w:b/>
        </w:rPr>
      </w:pPr>
    </w:p>
    <w:p w14:paraId="2C38E2D9" w14:textId="77777777" w:rsidR="00D2685F" w:rsidRDefault="00EA4C90" w:rsidP="002216DB">
      <w:pPr>
        <w:pStyle w:val="Heading1"/>
        <w:numPr>
          <w:ilvl w:val="0"/>
          <w:numId w:val="2"/>
        </w:numPr>
      </w:pPr>
      <w:bookmarkStart w:id="99" w:name="_Toc507151248"/>
      <w:r>
        <w:t>Changes to Burden</w:t>
      </w:r>
      <w:bookmarkEnd w:id="99"/>
    </w:p>
    <w:p w14:paraId="1D635FDF" w14:textId="77777777" w:rsidR="00D2685F" w:rsidRDefault="00D2685F" w:rsidP="00D2685F">
      <w:pPr>
        <w:pStyle w:val="NoSpacing"/>
        <w:rPr>
          <w:b/>
        </w:rPr>
      </w:pPr>
    </w:p>
    <w:p w14:paraId="1B93A836" w14:textId="1C205001" w:rsidR="001C444F" w:rsidRDefault="001C444F" w:rsidP="001C444F">
      <w:pPr>
        <w:pStyle w:val="NoSpacing"/>
      </w:pPr>
      <w:r>
        <w:t xml:space="preserve">This section compares the burden of the previously approved PRA package for LTCH CARE Data Set V3.00 and the current </w:t>
      </w:r>
      <w:r w:rsidR="00B319C1">
        <w:t xml:space="preserve">revised </w:t>
      </w:r>
      <w:r>
        <w:t>PRA package submission for LTCH CARE Data Set V4.00.</w:t>
      </w:r>
    </w:p>
    <w:p w14:paraId="0AA8EC7F" w14:textId="77777777" w:rsidR="001C444F" w:rsidRDefault="001C444F" w:rsidP="001C444F">
      <w:pPr>
        <w:pStyle w:val="NoSpacing"/>
      </w:pPr>
    </w:p>
    <w:p w14:paraId="0D85858D" w14:textId="77777777" w:rsidR="001C444F" w:rsidRDefault="001C444F" w:rsidP="001C444F">
      <w:pPr>
        <w:pStyle w:val="NoSpacing"/>
      </w:pPr>
      <w:r>
        <w:t xml:space="preserve">We have updated information regarding the current number of Medicare-certified LTCHs in the U.S., as well as the total number of yearly LTCH discharges. The number of Medicare-certified LTCHs has declined from 432 to 426 and discharges declined from 202,635 to 146,592. As a result, the annual burden hours decreased from 196,892 to </w:t>
      </w:r>
      <w:r w:rsidRPr="00AC0975">
        <w:t>135,128</w:t>
      </w:r>
      <w:r>
        <w:t xml:space="preserve">.  The number of items has changed from V3.00 to V4.00 which resulted in an overall decrease in time burden. We have increased our time estimate from 22.2 to 24.3 minutes for the admission assessment and decreased our time estimate from 26.1 to 21.0 minutes for the discharge assessment. Overall, the combined time estimate decreased from 48.3 minutes for V3.00 to 45.3 minutes for V4.00. </w:t>
      </w:r>
    </w:p>
    <w:p w14:paraId="56613BA7" w14:textId="77777777" w:rsidR="001C444F" w:rsidRDefault="001C444F" w:rsidP="001C444F">
      <w:pPr>
        <w:pStyle w:val="NoSpacing"/>
      </w:pPr>
    </w:p>
    <w:p w14:paraId="6B3A4FCE" w14:textId="77777777" w:rsidR="001C444F" w:rsidRDefault="001C444F" w:rsidP="001C444F">
      <w:pPr>
        <w:pStyle w:val="NoSpacing"/>
      </w:pPr>
      <w:r>
        <w:t xml:space="preserve">Wages have been updated to the most recent figures. It is important to note that we have doubled the wages to account for fringe benefits which had not been accounted for in previously approved PRA packages. Consequently, the wage for a registered nurse to complete the LTCH CARE Data Set assessment increased from $33.55 to $69.40 per hour ($34.70 without fringe benefits), and the wage for an administrative assistant to aggregate and submit data to CMS increased from $16.12 to $33.70 per hour ($16.85 without fringe benefits). In addition, we have added wages for licensed vocational nurses ($43.12 per hour; $21.56 without fringe benefits) and respiratory therapists ($58.30 per hour; $29.15 without fringe benefits) since they also contribute to completing the assessments. Overall, the average wage based on time to complete the assessment for each clinical staff was $65.41. </w:t>
      </w:r>
    </w:p>
    <w:p w14:paraId="37147F62" w14:textId="77777777" w:rsidR="001C444F" w:rsidRDefault="001C444F" w:rsidP="001C444F">
      <w:pPr>
        <w:pStyle w:val="NoSpacing"/>
      </w:pPr>
    </w:p>
    <w:p w14:paraId="28679BA9" w14:textId="77777777" w:rsidR="001C444F" w:rsidRDefault="001C444F" w:rsidP="001C444F">
      <w:pPr>
        <w:pStyle w:val="NoSpacing"/>
      </w:pPr>
      <w:r>
        <w:t>The following overall estimated cost from V3.00 to V4.00 includes fringe benefits. T</w:t>
      </w:r>
      <w:r w:rsidRPr="002E0690">
        <w:t>he estimat</w:t>
      </w:r>
      <w:r>
        <w:t>ed average cost per each LTCH CARE Data Set V4</w:t>
      </w:r>
      <w:r w:rsidRPr="002E0690">
        <w:t>.00 submission was $</w:t>
      </w:r>
      <w:r>
        <w:t>51.32 which is a de</w:t>
      </w:r>
      <w:r w:rsidRPr="002E0690">
        <w:t>crease from the cost of completing V</w:t>
      </w:r>
      <w:r>
        <w:t>3.00</w:t>
      </w:r>
      <w:r w:rsidRPr="002E0690">
        <w:t xml:space="preserve"> ($</w:t>
      </w:r>
      <w:r>
        <w:t>54.02</w:t>
      </w:r>
      <w:r w:rsidRPr="002E0690">
        <w:t xml:space="preserve">). Subsequently, the total yearly cost to each LTCH provider for reporting </w:t>
      </w:r>
      <w:r w:rsidRPr="001C444F">
        <w:t>quality data decreased from</w:t>
      </w:r>
      <w:r w:rsidRPr="002E0690">
        <w:t xml:space="preserve"> </w:t>
      </w:r>
      <w:r>
        <w:t>$27,857.07 for V3.00</w:t>
      </w:r>
      <w:r w:rsidRPr="002E0690">
        <w:t xml:space="preserve"> to </w:t>
      </w:r>
      <w:r w:rsidRPr="00AB431D">
        <w:t>$</w:t>
      </w:r>
      <w:r>
        <w:t xml:space="preserve">19,594.34 </w:t>
      </w:r>
      <w:r w:rsidRPr="002E0690">
        <w:t>for V</w:t>
      </w:r>
      <w:r>
        <w:t>4</w:t>
      </w:r>
      <w:r w:rsidRPr="002E0690">
        <w:t>.00, and the total yearly cost to all LTCH providers for reporting data usi</w:t>
      </w:r>
      <w:r>
        <w:t>ng the LTCH CARE Data Set decreased from $12,034,256</w:t>
      </w:r>
      <w:r w:rsidRPr="002E0690">
        <w:t xml:space="preserve"> for V</w:t>
      </w:r>
      <w:r>
        <w:t>3</w:t>
      </w:r>
      <w:r w:rsidRPr="002E0690">
        <w:t>.0</w:t>
      </w:r>
      <w:r>
        <w:t>0</w:t>
      </w:r>
      <w:r w:rsidRPr="002E0690">
        <w:t xml:space="preserve"> to </w:t>
      </w:r>
      <w:r w:rsidRPr="00AB431D">
        <w:t>$</w:t>
      </w:r>
      <w:r>
        <w:t xml:space="preserve">8,347,190 </w:t>
      </w:r>
      <w:r w:rsidRPr="002E0690">
        <w:t>for V</w:t>
      </w:r>
      <w:r>
        <w:t>4</w:t>
      </w:r>
      <w:r w:rsidRPr="002E0690">
        <w:t>.00.</w:t>
      </w:r>
    </w:p>
    <w:p w14:paraId="6F56C7BF" w14:textId="77777777" w:rsidR="001C444F" w:rsidRDefault="001C444F" w:rsidP="003657FC">
      <w:pPr>
        <w:pStyle w:val="NoSpacing"/>
      </w:pPr>
    </w:p>
    <w:p w14:paraId="33C07A35" w14:textId="7D22B2DE" w:rsidR="00D2685F" w:rsidRDefault="003657FC" w:rsidP="003657FC">
      <w:pPr>
        <w:pStyle w:val="NoSpacing"/>
      </w:pPr>
      <w:r>
        <w:t>All changes that have been ma</w:t>
      </w:r>
      <w:r w:rsidR="002A4263">
        <w:t>de to the LTCH CARE Data Set</w:t>
      </w:r>
      <w:r w:rsidR="00F0785E">
        <w:t xml:space="preserve"> V4.00</w:t>
      </w:r>
      <w:r w:rsidR="002A4263">
        <w:t xml:space="preserve"> </w:t>
      </w:r>
      <w:r>
        <w:t xml:space="preserve">are listed in Appendix </w:t>
      </w:r>
      <w:r w:rsidR="00CC7433">
        <w:t>A</w:t>
      </w:r>
      <w:r w:rsidR="00A86179">
        <w:t xml:space="preserve">. </w:t>
      </w:r>
      <w:r>
        <w:t xml:space="preserve">The justification for each change is also included in Appendix </w:t>
      </w:r>
      <w:r w:rsidR="00CC7433">
        <w:t>A</w:t>
      </w:r>
      <w:r>
        <w:t>.</w:t>
      </w:r>
    </w:p>
    <w:p w14:paraId="7A1D1DEA" w14:textId="77777777" w:rsidR="00F93282" w:rsidRPr="00F93282" w:rsidRDefault="00F93282" w:rsidP="00D2685F">
      <w:pPr>
        <w:pStyle w:val="NoSpacing"/>
      </w:pPr>
    </w:p>
    <w:p w14:paraId="4A1191F8" w14:textId="77777777" w:rsidR="00EA4C90" w:rsidRDefault="00EA4C90" w:rsidP="002216DB">
      <w:pPr>
        <w:pStyle w:val="Heading1"/>
        <w:numPr>
          <w:ilvl w:val="0"/>
          <w:numId w:val="2"/>
        </w:numPr>
      </w:pPr>
      <w:bookmarkStart w:id="100" w:name="_Toc507151249"/>
      <w:r>
        <w:t>Publication/Tabulation Dates</w:t>
      </w:r>
      <w:bookmarkEnd w:id="100"/>
    </w:p>
    <w:p w14:paraId="1F19A998" w14:textId="77777777" w:rsidR="00D2685F" w:rsidRDefault="00D2685F" w:rsidP="00D2685F">
      <w:pPr>
        <w:pStyle w:val="NoSpacing"/>
        <w:rPr>
          <w:b/>
        </w:rPr>
      </w:pPr>
    </w:p>
    <w:p w14:paraId="368BDF2C" w14:textId="73DE6329" w:rsidR="00D2685F" w:rsidRPr="00314178" w:rsidRDefault="0089614B" w:rsidP="00D2685F">
      <w:pPr>
        <w:pStyle w:val="NoSpacing"/>
      </w:pPr>
      <w:r w:rsidRPr="00314178">
        <w:t xml:space="preserve">CMS is mandated to publish quality measure data collected pursuant to Section 3004 of the Affordable Care Act.  </w:t>
      </w:r>
      <w:r w:rsidR="00314178" w:rsidRPr="00314178">
        <w:rPr>
          <w:rFonts w:eastAsia="Times New Roman" w:cs="Times New Roman"/>
          <w:snapToGrid w:val="0"/>
        </w:rPr>
        <w:t xml:space="preserve">Measure data is currently displayed on the </w:t>
      </w:r>
      <w:r w:rsidR="006877FB">
        <w:rPr>
          <w:rFonts w:eastAsia="Times New Roman" w:cs="Times New Roman"/>
          <w:snapToGrid w:val="0"/>
        </w:rPr>
        <w:t xml:space="preserve">LTCH Compare </w:t>
      </w:r>
      <w:r w:rsidR="00314178" w:rsidRPr="00314178">
        <w:rPr>
          <w:rFonts w:cs="Times New Roman"/>
        </w:rPr>
        <w:t>website</w:t>
      </w:r>
      <w:r w:rsidR="00314178" w:rsidRPr="00314178">
        <w:rPr>
          <w:rFonts w:eastAsia="Times New Roman" w:cs="Times New Roman"/>
          <w:snapToGrid w:val="0"/>
        </w:rPr>
        <w:t xml:space="preserve">, which is an interactive web tool that assists individuals by providing information on LTCH quality of care including those who need to select an LTCH. </w:t>
      </w:r>
      <w:r w:rsidR="00C960CE">
        <w:rPr>
          <w:rFonts w:eastAsia="Times New Roman" w:cs="Times New Roman"/>
          <w:snapToGrid w:val="0"/>
        </w:rPr>
        <w:t>The IMPACT Act mandates that measures that are standardized across post-acute care setting</w:t>
      </w:r>
      <w:r w:rsidR="00442BC3">
        <w:rPr>
          <w:rFonts w:eastAsia="Times New Roman" w:cs="Times New Roman"/>
          <w:snapToGrid w:val="0"/>
        </w:rPr>
        <w:t>s</w:t>
      </w:r>
      <w:r w:rsidR="00C960CE">
        <w:rPr>
          <w:rFonts w:eastAsia="Times New Roman" w:cs="Times New Roman"/>
          <w:snapToGrid w:val="0"/>
        </w:rPr>
        <w:t xml:space="preserve"> be published within two years from the implementation date.</w:t>
      </w:r>
      <w:r w:rsidR="00314178" w:rsidRPr="00314178">
        <w:rPr>
          <w:rFonts w:eastAsia="Times New Roman" w:cs="Times New Roman"/>
          <w:snapToGrid w:val="0"/>
        </w:rPr>
        <w:t xml:space="preserve"> </w:t>
      </w:r>
      <w:r w:rsidR="00C960CE">
        <w:rPr>
          <w:rFonts w:eastAsia="Times New Roman" w:cs="Times New Roman"/>
          <w:snapToGrid w:val="0"/>
        </w:rPr>
        <w:t xml:space="preserve">The information on the LTCH Compare website is refreshed quarterly. </w:t>
      </w:r>
      <w:r w:rsidR="00314178" w:rsidRPr="00314178">
        <w:rPr>
          <w:rFonts w:eastAsia="Times New Roman" w:cs="Times New Roman"/>
          <w:snapToGrid w:val="0"/>
        </w:rPr>
        <w:t xml:space="preserve">For more information on </w:t>
      </w:r>
      <w:r w:rsidR="00314178" w:rsidRPr="006877FB">
        <w:rPr>
          <w:rFonts w:eastAsia="Times New Roman" w:cs="Times New Roman"/>
          <w:snapToGrid w:val="0"/>
        </w:rPr>
        <w:t>LTCH Compare</w:t>
      </w:r>
      <w:r w:rsidR="00314178" w:rsidRPr="00314178">
        <w:rPr>
          <w:rFonts w:eastAsia="Times New Roman" w:cs="Times New Roman"/>
          <w:snapToGrid w:val="0"/>
        </w:rPr>
        <w:t xml:space="preserve">, we refer readers to:  </w:t>
      </w:r>
      <w:hyperlink r:id="rId16" w:history="1">
        <w:r w:rsidR="00314178" w:rsidRPr="00314178">
          <w:rPr>
            <w:rStyle w:val="Hyperlink"/>
            <w:rFonts w:cs="Times New Roman"/>
            <w:snapToGrid w:val="0"/>
          </w:rPr>
          <w:t>https://www.medicare.gov/longtermcarehospitalcompare/</w:t>
        </w:r>
      </w:hyperlink>
      <w:r w:rsidR="00314178" w:rsidRPr="00314178">
        <w:rPr>
          <w:rFonts w:eastAsia="Times New Roman" w:cs="Times New Roman"/>
          <w:snapToGrid w:val="0"/>
        </w:rPr>
        <w:t xml:space="preserve">.  </w:t>
      </w:r>
    </w:p>
    <w:p w14:paraId="2EFD623E" w14:textId="77777777" w:rsidR="0089614B" w:rsidRPr="0089614B" w:rsidRDefault="0089614B" w:rsidP="00D2685F">
      <w:pPr>
        <w:pStyle w:val="NoSpacing"/>
      </w:pPr>
    </w:p>
    <w:p w14:paraId="49AEB466" w14:textId="77777777" w:rsidR="00EA4C90" w:rsidRDefault="00EA4C90" w:rsidP="002216DB">
      <w:pPr>
        <w:pStyle w:val="Heading1"/>
        <w:numPr>
          <w:ilvl w:val="0"/>
          <w:numId w:val="2"/>
        </w:numPr>
      </w:pPr>
      <w:bookmarkStart w:id="101" w:name="_Toc507151250"/>
      <w:r>
        <w:t>Expiration Date</w:t>
      </w:r>
      <w:bookmarkEnd w:id="101"/>
    </w:p>
    <w:p w14:paraId="4E4B78A8" w14:textId="77777777" w:rsidR="00D2685F" w:rsidRDefault="00D2685F" w:rsidP="00D2685F">
      <w:pPr>
        <w:pStyle w:val="NoSpacing"/>
        <w:rPr>
          <w:b/>
        </w:rPr>
      </w:pPr>
    </w:p>
    <w:p w14:paraId="4060A96F" w14:textId="77777777" w:rsidR="00D2685F" w:rsidRPr="0089614B" w:rsidRDefault="0089614B" w:rsidP="00D2685F">
      <w:pPr>
        <w:pStyle w:val="NoSpacing"/>
      </w:pPr>
      <w:r w:rsidRPr="0089614B">
        <w:t>The OMB expiration date will be displayed on all disseminated data collection materials.</w:t>
      </w:r>
    </w:p>
    <w:p w14:paraId="5750F073" w14:textId="77777777" w:rsidR="0089614B" w:rsidRDefault="0089614B" w:rsidP="00D2685F">
      <w:pPr>
        <w:pStyle w:val="NoSpacing"/>
        <w:rPr>
          <w:b/>
        </w:rPr>
      </w:pPr>
    </w:p>
    <w:p w14:paraId="57253F8C" w14:textId="77777777" w:rsidR="00EA4C90" w:rsidRPr="00EA4C90" w:rsidRDefault="00EA4C90" w:rsidP="002216DB">
      <w:pPr>
        <w:pStyle w:val="Heading1"/>
        <w:numPr>
          <w:ilvl w:val="0"/>
          <w:numId w:val="2"/>
        </w:numPr>
      </w:pPr>
      <w:bookmarkStart w:id="102" w:name="_Toc507151251"/>
      <w:r>
        <w:t>Certification Statement</w:t>
      </w:r>
      <w:bookmarkEnd w:id="102"/>
    </w:p>
    <w:p w14:paraId="4B03BA8C" w14:textId="77777777" w:rsidR="00EA4C90" w:rsidRDefault="00EA4C90" w:rsidP="00EA4C90">
      <w:pPr>
        <w:pStyle w:val="NoSpacing"/>
      </w:pPr>
    </w:p>
    <w:p w14:paraId="69185AC8" w14:textId="77777777" w:rsidR="00D2685F" w:rsidRDefault="0089614B" w:rsidP="00EA4C90">
      <w:pPr>
        <w:pStyle w:val="NoSpacing"/>
      </w:pPr>
      <w:r w:rsidRPr="0089614B">
        <w:t>There are no exceptions to the certifications statement.</w:t>
      </w:r>
    </w:p>
    <w:p w14:paraId="665FA743" w14:textId="77777777" w:rsidR="00EE2E3D" w:rsidRDefault="00EE2E3D" w:rsidP="00EA4C90">
      <w:pPr>
        <w:pStyle w:val="NoSpacing"/>
      </w:pPr>
    </w:p>
    <w:p w14:paraId="7EA091CC" w14:textId="77777777" w:rsidR="00EE2E3D" w:rsidRDefault="00EE2E3D" w:rsidP="00EA4C90">
      <w:pPr>
        <w:pStyle w:val="NoSpacing"/>
      </w:pPr>
      <w:r>
        <w:br w:type="page"/>
      </w:r>
    </w:p>
    <w:p w14:paraId="3E0B70EE" w14:textId="77777777" w:rsidR="00EE2E3D" w:rsidRDefault="00EE2E3D" w:rsidP="00EE2E3D"/>
    <w:p w14:paraId="00367B61" w14:textId="4191A0DC" w:rsidR="00CC7433" w:rsidRDefault="00CC7433" w:rsidP="00EE2E3D">
      <w:pPr>
        <w:pStyle w:val="Heading1"/>
      </w:pPr>
      <w:bookmarkStart w:id="103" w:name="_Toc507151252"/>
      <w:r>
        <w:t>Appendices:</w:t>
      </w:r>
      <w:bookmarkEnd w:id="103"/>
      <w:r>
        <w:t xml:space="preserve"> </w:t>
      </w:r>
    </w:p>
    <w:p w14:paraId="6C420EFD" w14:textId="77777777" w:rsidR="00CC7433" w:rsidRPr="00CC7433" w:rsidRDefault="00CC7433" w:rsidP="00CC7433"/>
    <w:p w14:paraId="57F82A69" w14:textId="3A72D9B0" w:rsidR="00EE2E3D" w:rsidRDefault="00EE2E3D" w:rsidP="00EE2E3D">
      <w:pPr>
        <w:pStyle w:val="Heading1"/>
      </w:pPr>
      <w:bookmarkStart w:id="104" w:name="_Toc488669628"/>
      <w:bookmarkStart w:id="105" w:name="_Toc507151253"/>
      <w:r>
        <w:t xml:space="preserve">Appendix </w:t>
      </w:r>
      <w:r w:rsidR="00CC7433">
        <w:t>A</w:t>
      </w:r>
      <w:r>
        <w:t xml:space="preserve"> – </w:t>
      </w:r>
      <w:r w:rsidR="00E20F23" w:rsidRPr="00E20F23">
        <w:t xml:space="preserve">Final LTCH CARE Data Set V 4.00 and </w:t>
      </w:r>
      <w:bookmarkEnd w:id="104"/>
      <w:r w:rsidR="007973A6">
        <w:t>Change Table</w:t>
      </w:r>
      <w:bookmarkEnd w:id="105"/>
    </w:p>
    <w:p w14:paraId="667FD0B7" w14:textId="77777777" w:rsidR="00EE2E3D" w:rsidRDefault="00EE2E3D" w:rsidP="00EE2E3D"/>
    <w:p w14:paraId="5076DCC3" w14:textId="2D9F1006" w:rsidR="00E20F23" w:rsidRPr="00305FAC" w:rsidRDefault="00C25061" w:rsidP="00E20F23">
      <w:pPr>
        <w:rPr>
          <w:b/>
        </w:rPr>
      </w:pPr>
      <w:r>
        <w:t xml:space="preserve">See attached: </w:t>
      </w:r>
      <w:r w:rsidRPr="00C25061">
        <w:t xml:space="preserve">Appendix </w:t>
      </w:r>
      <w:r w:rsidR="00CC7433">
        <w:t>A</w:t>
      </w:r>
    </w:p>
    <w:p w14:paraId="7EDF7F3E" w14:textId="588CD0A2" w:rsidR="006877FB" w:rsidRPr="00305FAC" w:rsidRDefault="006877FB" w:rsidP="00EE2E3D">
      <w:pPr>
        <w:rPr>
          <w:b/>
        </w:rPr>
      </w:pPr>
    </w:p>
    <w:sectPr w:rsidR="006877FB" w:rsidRPr="00305FAC" w:rsidSect="00271B44">
      <w:headerReference w:type="default" r:id="rId17"/>
      <w:footerReference w:type="default" r:id="rId1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1B28E" w14:textId="77777777" w:rsidR="001C444F" w:rsidRDefault="001C444F" w:rsidP="00EF075E">
      <w:r>
        <w:separator/>
      </w:r>
    </w:p>
  </w:endnote>
  <w:endnote w:type="continuationSeparator" w:id="0">
    <w:p w14:paraId="3160FC1C" w14:textId="77777777" w:rsidR="001C444F" w:rsidRDefault="001C444F" w:rsidP="00EF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343193"/>
      <w:docPartObj>
        <w:docPartGallery w:val="Page Numbers (Bottom of Page)"/>
        <w:docPartUnique/>
      </w:docPartObj>
    </w:sdtPr>
    <w:sdtEndPr>
      <w:rPr>
        <w:noProof/>
      </w:rPr>
    </w:sdtEndPr>
    <w:sdtContent>
      <w:p w14:paraId="11ACA494" w14:textId="41FF2DEF" w:rsidR="001C444F" w:rsidRDefault="001C444F" w:rsidP="00B02955">
        <w:pPr>
          <w:pStyle w:val="Footer"/>
          <w:jc w:val="center"/>
        </w:pPr>
        <w:r>
          <w:fldChar w:fldCharType="begin"/>
        </w:r>
        <w:r>
          <w:instrText xml:space="preserve"> PAGE   \* MERGEFORMAT </w:instrText>
        </w:r>
        <w:r>
          <w:fldChar w:fldCharType="separate"/>
        </w:r>
        <w:r w:rsidR="002F630C">
          <w:rPr>
            <w:noProof/>
          </w:rPr>
          <w:t>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770741"/>
      <w:docPartObj>
        <w:docPartGallery w:val="Page Numbers (Bottom of Page)"/>
        <w:docPartUnique/>
      </w:docPartObj>
    </w:sdtPr>
    <w:sdtEndPr>
      <w:rPr>
        <w:noProof/>
      </w:rPr>
    </w:sdtEndPr>
    <w:sdtContent>
      <w:p w14:paraId="72CD5BE4" w14:textId="59A1E9C1" w:rsidR="001C444F" w:rsidRDefault="001C444F" w:rsidP="006422E7">
        <w:pPr>
          <w:pStyle w:val="Footer"/>
          <w:jc w:val="center"/>
        </w:pPr>
        <w:r>
          <w:fldChar w:fldCharType="begin"/>
        </w:r>
        <w:r>
          <w:instrText xml:space="preserve"> PAGE   \* MERGEFORMAT </w:instrText>
        </w:r>
        <w:r>
          <w:fldChar w:fldCharType="separate"/>
        </w:r>
        <w:r w:rsidR="002F630C">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C3774" w14:textId="77777777" w:rsidR="001C444F" w:rsidRDefault="001C444F" w:rsidP="00EF075E">
      <w:r>
        <w:separator/>
      </w:r>
    </w:p>
  </w:footnote>
  <w:footnote w:type="continuationSeparator" w:id="0">
    <w:p w14:paraId="585C0265" w14:textId="77777777" w:rsidR="001C444F" w:rsidRDefault="001C444F" w:rsidP="00EF075E">
      <w:r>
        <w:continuationSeparator/>
      </w:r>
    </w:p>
  </w:footnote>
  <w:footnote w:id="1">
    <w:p w14:paraId="19371397" w14:textId="01AD739B" w:rsidR="001C444F" w:rsidRPr="00271B44" w:rsidRDefault="001C444F" w:rsidP="00271B44">
      <w:pPr>
        <w:pStyle w:val="FootnoteText"/>
        <w:spacing w:after="0"/>
        <w:rPr>
          <w:sz w:val="18"/>
          <w:szCs w:val="18"/>
        </w:rPr>
      </w:pPr>
      <w:r w:rsidRPr="00271B44">
        <w:rPr>
          <w:rStyle w:val="FootnoteReference"/>
          <w:szCs w:val="18"/>
        </w:rPr>
        <w:footnoteRef/>
      </w:r>
      <w:r w:rsidRPr="00271B44">
        <w:rPr>
          <w:sz w:val="18"/>
          <w:szCs w:val="18"/>
        </w:rPr>
        <w:t xml:space="preserve"> </w:t>
      </w:r>
      <w:r w:rsidRPr="00271B44">
        <w:rPr>
          <w:rFonts w:asciiTheme="majorBidi" w:hAnsiTheme="majorBidi" w:cstheme="majorBidi"/>
          <w:sz w:val="18"/>
          <w:szCs w:val="18"/>
        </w:rPr>
        <w:t xml:space="preserve">U.S. Department of Health and Human Services, Centers for Medicare &amp; Medicaid Services: </w:t>
      </w:r>
      <w:r>
        <w:rPr>
          <w:rFonts w:asciiTheme="majorBidi" w:hAnsiTheme="majorBidi" w:cstheme="majorBidi"/>
          <w:sz w:val="18"/>
          <w:szCs w:val="18"/>
        </w:rPr>
        <w:t xml:space="preserve">Medicare Program; </w:t>
      </w:r>
      <w:r w:rsidRPr="00271B44">
        <w:rPr>
          <w:sz w:val="18"/>
          <w:szCs w:val="18"/>
        </w:rPr>
        <w:t xml:space="preserve">Hospital Inpatient Prospective Payment Systems for Acute Care Hospitals and the Long-Term Care Hospital Prospective Payment System and FY 2012 Rates; Hospitals’ FTE Resident Caps for Graduate Medical Education Payment, Federal Register/Vol. 76, No. 160, August 18, 2011. </w:t>
      </w:r>
      <w:hyperlink r:id="rId1" w:history="1">
        <w:r w:rsidRPr="00271B44">
          <w:rPr>
            <w:rStyle w:val="Hyperlink"/>
            <w:sz w:val="18"/>
            <w:szCs w:val="18"/>
          </w:rPr>
          <w:t>http://www.gpo.gov/fdsys/pkg/FR-2011-08-18/pdf/2011-19719.pdf</w:t>
        </w:r>
      </w:hyperlink>
      <w:r w:rsidRPr="00271B44">
        <w:rPr>
          <w:sz w:val="18"/>
          <w:szCs w:val="18"/>
        </w:rPr>
        <w:t>.</w:t>
      </w:r>
    </w:p>
  </w:footnote>
  <w:footnote w:id="2">
    <w:p w14:paraId="70F73B7A" w14:textId="2B2B8B8B" w:rsidR="001C444F" w:rsidRPr="00271B44" w:rsidRDefault="001C444F" w:rsidP="00271B44">
      <w:pPr>
        <w:pStyle w:val="FootnoteText"/>
        <w:spacing w:after="0"/>
        <w:rPr>
          <w:sz w:val="18"/>
          <w:szCs w:val="18"/>
        </w:rPr>
      </w:pPr>
      <w:r w:rsidRPr="00271B44">
        <w:rPr>
          <w:rStyle w:val="FootnoteReference"/>
          <w:szCs w:val="18"/>
        </w:rPr>
        <w:footnoteRef/>
      </w:r>
      <w:r w:rsidRPr="00271B44">
        <w:rPr>
          <w:sz w:val="18"/>
          <w:szCs w:val="18"/>
        </w:rPr>
        <w:t xml:space="preserve"> Patient Protection and Affordable Care Act. Pub. L. 111-148. Stat. 124-119. 23 March 2010. Web. </w:t>
      </w:r>
      <w:hyperlink r:id="rId2" w:history="1">
        <w:r w:rsidRPr="00271B44">
          <w:rPr>
            <w:rStyle w:val="Hyperlink"/>
            <w:sz w:val="18"/>
            <w:szCs w:val="18"/>
          </w:rPr>
          <w:t>http://www.gpo.gov/fdsys/pkg/PLAW-111publ148/pdf/PLAW-111publ148.pdf</w:t>
        </w:r>
      </w:hyperlink>
      <w:r w:rsidRPr="00271B44">
        <w:rPr>
          <w:sz w:val="18"/>
          <w:szCs w:val="18"/>
        </w:rPr>
        <w:t xml:space="preserve">.  </w:t>
      </w:r>
    </w:p>
  </w:footnote>
  <w:footnote w:id="3">
    <w:p w14:paraId="6F821000" w14:textId="77777777" w:rsidR="001C444F" w:rsidRPr="00673B37" w:rsidRDefault="001C444F" w:rsidP="00A26101">
      <w:pPr>
        <w:pStyle w:val="FootnoteText"/>
        <w:spacing w:after="0"/>
        <w:rPr>
          <w:sz w:val="18"/>
          <w:szCs w:val="18"/>
        </w:rPr>
      </w:pPr>
      <w:r w:rsidRPr="00673B37">
        <w:rPr>
          <w:rStyle w:val="FootnoteReference"/>
          <w:szCs w:val="18"/>
        </w:rPr>
        <w:footnoteRef/>
      </w:r>
      <w:r>
        <w:rPr>
          <w:sz w:val="18"/>
          <w:szCs w:val="18"/>
        </w:rPr>
        <w:t xml:space="preserve"> The mean hourly wage of $34.70</w:t>
      </w:r>
      <w:r w:rsidRPr="00673B37">
        <w:rPr>
          <w:sz w:val="18"/>
          <w:szCs w:val="18"/>
        </w:rPr>
        <w:t xml:space="preserve"> for a Registered Nurse was obtained from the U.S. Bureau of Labor Statistics</w:t>
      </w:r>
      <w:r>
        <w:rPr>
          <w:sz w:val="18"/>
          <w:szCs w:val="18"/>
        </w:rPr>
        <w:t>, and the wage was multiplied by 2 to account for fringe benefits</w:t>
      </w:r>
      <w:r w:rsidRPr="00673B37">
        <w:rPr>
          <w:sz w:val="18"/>
          <w:szCs w:val="18"/>
        </w:rPr>
        <w:t xml:space="preserve">. See </w:t>
      </w:r>
      <w:hyperlink r:id="rId3" w:history="1">
        <w:r w:rsidRPr="00A25849">
          <w:rPr>
            <w:rStyle w:val="Hyperlink"/>
            <w:sz w:val="18"/>
            <w:szCs w:val="18"/>
          </w:rPr>
          <w:t>http://www.bls.gov/oes/current/oes291111.htm</w:t>
        </w:r>
      </w:hyperlink>
    </w:p>
  </w:footnote>
  <w:footnote w:id="4">
    <w:p w14:paraId="6BACB41A" w14:textId="77777777" w:rsidR="001C444F" w:rsidRPr="00313290" w:rsidRDefault="001C444F" w:rsidP="0052358D">
      <w:pPr>
        <w:pStyle w:val="FootnoteText"/>
        <w:spacing w:after="0"/>
        <w:rPr>
          <w:sz w:val="18"/>
          <w:szCs w:val="18"/>
        </w:rPr>
      </w:pPr>
      <w:r w:rsidRPr="00313290">
        <w:rPr>
          <w:rStyle w:val="FootnoteReference"/>
          <w:szCs w:val="18"/>
        </w:rPr>
        <w:footnoteRef/>
      </w:r>
      <w:r w:rsidRPr="00313290">
        <w:rPr>
          <w:sz w:val="18"/>
          <w:szCs w:val="18"/>
        </w:rPr>
        <w:t xml:space="preserve"> The mean hourly wage of $21.</w:t>
      </w:r>
      <w:r>
        <w:rPr>
          <w:sz w:val="18"/>
          <w:szCs w:val="18"/>
        </w:rPr>
        <w:t>56</w:t>
      </w:r>
      <w:r w:rsidRPr="00313290">
        <w:rPr>
          <w:sz w:val="18"/>
          <w:szCs w:val="18"/>
        </w:rPr>
        <w:t xml:space="preserve"> for a </w:t>
      </w:r>
      <w:r>
        <w:rPr>
          <w:sz w:val="18"/>
          <w:szCs w:val="18"/>
        </w:rPr>
        <w:t>Licensed Vocational Nurse</w:t>
      </w:r>
      <w:r w:rsidRPr="00313290">
        <w:rPr>
          <w:sz w:val="18"/>
          <w:szCs w:val="18"/>
        </w:rPr>
        <w:t xml:space="preserve"> was obtained from the U.S. Bureau of Labor Statistics</w:t>
      </w:r>
      <w:r>
        <w:rPr>
          <w:sz w:val="18"/>
          <w:szCs w:val="18"/>
        </w:rPr>
        <w:t>, and the wage was multiplied by 2 to account for fringe benefits</w:t>
      </w:r>
      <w:r w:rsidRPr="00313290">
        <w:rPr>
          <w:sz w:val="18"/>
          <w:szCs w:val="18"/>
        </w:rPr>
        <w:t xml:space="preserve">. See </w:t>
      </w:r>
      <w:hyperlink r:id="rId4" w:history="1">
        <w:r w:rsidRPr="00314178">
          <w:rPr>
            <w:rStyle w:val="Hyperlink"/>
            <w:sz w:val="18"/>
            <w:szCs w:val="18"/>
          </w:rPr>
          <w:t>https://www.bls.gov/oes/current/oes292061.htm</w:t>
        </w:r>
      </w:hyperlink>
    </w:p>
  </w:footnote>
  <w:footnote w:id="5">
    <w:p w14:paraId="5B863D0F" w14:textId="77777777" w:rsidR="001C444F" w:rsidRPr="00673B37" w:rsidRDefault="001C444F" w:rsidP="0052358D">
      <w:pPr>
        <w:pStyle w:val="FootnoteText"/>
        <w:spacing w:after="0"/>
        <w:rPr>
          <w:sz w:val="18"/>
          <w:szCs w:val="18"/>
        </w:rPr>
      </w:pPr>
      <w:r w:rsidRPr="00313290">
        <w:rPr>
          <w:rStyle w:val="FootnoteReference"/>
          <w:szCs w:val="18"/>
        </w:rPr>
        <w:footnoteRef/>
      </w:r>
      <w:r w:rsidRPr="00313290">
        <w:rPr>
          <w:sz w:val="18"/>
          <w:szCs w:val="18"/>
        </w:rPr>
        <w:t xml:space="preserve"> The mean hourly wage of $</w:t>
      </w:r>
      <w:r>
        <w:rPr>
          <w:sz w:val="18"/>
          <w:szCs w:val="18"/>
        </w:rPr>
        <w:t>29.15</w:t>
      </w:r>
      <w:r w:rsidRPr="00313290">
        <w:rPr>
          <w:sz w:val="18"/>
          <w:szCs w:val="18"/>
        </w:rPr>
        <w:t xml:space="preserve"> for a </w:t>
      </w:r>
      <w:r>
        <w:rPr>
          <w:sz w:val="18"/>
          <w:szCs w:val="18"/>
        </w:rPr>
        <w:t>Respiratory Therapist</w:t>
      </w:r>
      <w:r w:rsidRPr="00313290">
        <w:rPr>
          <w:sz w:val="18"/>
          <w:szCs w:val="18"/>
        </w:rPr>
        <w:t xml:space="preserve"> was obtained from the U.S. Bureau of Labor Statistics</w:t>
      </w:r>
      <w:r>
        <w:rPr>
          <w:sz w:val="18"/>
          <w:szCs w:val="18"/>
        </w:rPr>
        <w:t>, and the wage was multiplied by 2 to account for fringe benefits</w:t>
      </w:r>
      <w:r w:rsidRPr="00313290">
        <w:rPr>
          <w:sz w:val="18"/>
          <w:szCs w:val="18"/>
        </w:rPr>
        <w:t xml:space="preserve">. See </w:t>
      </w:r>
      <w:hyperlink r:id="rId5" w:history="1">
        <w:r w:rsidRPr="00314178">
          <w:rPr>
            <w:rStyle w:val="Hyperlink"/>
            <w:sz w:val="18"/>
            <w:szCs w:val="18"/>
          </w:rPr>
          <w:t>https://www.bls.gov/oes/current/oes291126.htm</w:t>
        </w:r>
      </w:hyperlink>
    </w:p>
  </w:footnote>
  <w:footnote w:id="6">
    <w:p w14:paraId="47E14CC7" w14:textId="77777777" w:rsidR="001C444F" w:rsidRPr="00073ECE" w:rsidRDefault="001C444F" w:rsidP="00073ECE">
      <w:pPr>
        <w:pStyle w:val="FootnoteText"/>
        <w:spacing w:after="0"/>
        <w:rPr>
          <w:sz w:val="18"/>
          <w:szCs w:val="18"/>
        </w:rPr>
      </w:pPr>
      <w:r w:rsidRPr="00073ECE">
        <w:rPr>
          <w:rStyle w:val="FootnoteReference"/>
          <w:szCs w:val="18"/>
        </w:rPr>
        <w:footnoteRef/>
      </w:r>
      <w:r w:rsidRPr="00073ECE">
        <w:rPr>
          <w:sz w:val="18"/>
          <w:szCs w:val="18"/>
        </w:rPr>
        <w:t xml:space="preserve"> LCDS forms include 1 admission and 1 discharge assessment (2 total)</w:t>
      </w:r>
    </w:p>
  </w:footnote>
  <w:footnote w:id="7">
    <w:p w14:paraId="294B5073" w14:textId="77777777" w:rsidR="001C444F" w:rsidRPr="00673B37" w:rsidRDefault="001C444F" w:rsidP="006422E7">
      <w:pPr>
        <w:pStyle w:val="FootnoteText"/>
        <w:spacing w:after="0"/>
        <w:rPr>
          <w:sz w:val="18"/>
          <w:szCs w:val="18"/>
        </w:rPr>
      </w:pPr>
      <w:r w:rsidRPr="00673B37">
        <w:rPr>
          <w:rStyle w:val="FootnoteReference"/>
          <w:szCs w:val="18"/>
        </w:rPr>
        <w:footnoteRef/>
      </w:r>
      <w:r>
        <w:rPr>
          <w:sz w:val="18"/>
          <w:szCs w:val="18"/>
        </w:rPr>
        <w:t xml:space="preserve"> The mean hourly wage of $16.85</w:t>
      </w:r>
      <w:r w:rsidRPr="00673B37">
        <w:rPr>
          <w:sz w:val="18"/>
          <w:szCs w:val="18"/>
        </w:rPr>
        <w:t xml:space="preserve"> per hour for a Medical Secretary was obtained from the U.S. Bureau of Labor Statistics</w:t>
      </w:r>
      <w:r>
        <w:rPr>
          <w:sz w:val="18"/>
          <w:szCs w:val="18"/>
        </w:rPr>
        <w:t>, and the wage was multiplied by 2 to account for fringe benefits</w:t>
      </w:r>
      <w:r w:rsidRPr="00673B37">
        <w:rPr>
          <w:sz w:val="18"/>
          <w:szCs w:val="18"/>
        </w:rPr>
        <w:t xml:space="preserve">. See </w:t>
      </w:r>
      <w:hyperlink r:id="rId6" w:history="1">
        <w:r>
          <w:rPr>
            <w:rStyle w:val="Hyperlink"/>
            <w:sz w:val="18"/>
            <w:szCs w:val="18"/>
          </w:rPr>
          <w:t>https://www.bls.gov/oes/current/oes436013.htm</w:t>
        </w:r>
      </w:hyperlink>
    </w:p>
  </w:footnote>
  <w:footnote w:id="8">
    <w:p w14:paraId="495A23AB" w14:textId="77777777" w:rsidR="001C444F" w:rsidRPr="00073ECE" w:rsidRDefault="001C444F" w:rsidP="00AF6299">
      <w:pPr>
        <w:pStyle w:val="FootnoteText"/>
        <w:spacing w:after="0"/>
        <w:rPr>
          <w:sz w:val="18"/>
          <w:szCs w:val="18"/>
        </w:rPr>
      </w:pPr>
      <w:r w:rsidRPr="00073ECE">
        <w:rPr>
          <w:rStyle w:val="FootnoteReference"/>
          <w:szCs w:val="18"/>
        </w:rPr>
        <w:footnoteRef/>
      </w:r>
      <w:r w:rsidRPr="00073ECE">
        <w:rPr>
          <w:sz w:val="18"/>
          <w:szCs w:val="18"/>
        </w:rPr>
        <w:t xml:space="preserve"> LCDS forms include 1 admission and 1 discharge assessment (2 total)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B720D" w14:textId="77777777" w:rsidR="001C444F" w:rsidRDefault="001C4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ED951" w14:textId="77777777" w:rsidR="001C444F" w:rsidRPr="00EA4C90" w:rsidRDefault="001C444F" w:rsidP="00EA4C90">
    <w:pPr>
      <w:pStyle w:val="Header"/>
      <w:jc w:val="center"/>
      <w:rPr>
        <w:rFonts w:eastAsiaTheme="majorEastAsia" w:cs="Times New Roman"/>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81C"/>
    <w:multiLevelType w:val="hybridMultilevel"/>
    <w:tmpl w:val="41FCD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52248"/>
    <w:multiLevelType w:val="hybridMultilevel"/>
    <w:tmpl w:val="D3F85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A5321"/>
    <w:multiLevelType w:val="hybridMultilevel"/>
    <w:tmpl w:val="BA1A0EAC"/>
    <w:lvl w:ilvl="0" w:tplc="D6726D4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D4652A"/>
    <w:multiLevelType w:val="hybridMultilevel"/>
    <w:tmpl w:val="464AE800"/>
    <w:lvl w:ilvl="0" w:tplc="660AFF7E">
      <w:start w:val="1"/>
      <w:numFmt w:val="bullet"/>
      <w:pStyle w:val="bullet"/>
      <w:lvlText w:val=""/>
      <w:lvlJc w:val="left"/>
      <w:pPr>
        <w:tabs>
          <w:tab w:val="num" w:pos="-1224"/>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232328"/>
    <w:multiLevelType w:val="hybridMultilevel"/>
    <w:tmpl w:val="90E2949C"/>
    <w:lvl w:ilvl="0" w:tplc="D6726D4C">
      <w:start w:val="1"/>
      <w:numFmt w:val="bullet"/>
      <w:lvlText w:val="–"/>
      <w:lvlJc w:val="left"/>
      <w:pPr>
        <w:tabs>
          <w:tab w:val="num" w:pos="2520"/>
        </w:tabs>
        <w:ind w:left="2520" w:hanging="360"/>
      </w:pPr>
      <w:rPr>
        <w:rFonts w:ascii="Times New Roman" w:hAnsi="Times New Roman" w:cs="Times New Roman" w:hint="default"/>
      </w:rPr>
    </w:lvl>
    <w:lvl w:ilvl="1" w:tplc="B938105E">
      <w:start w:val="1"/>
      <w:numFmt w:val="bullet"/>
      <w:pStyle w:val="bullets-2ndlevel"/>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242349"/>
    <w:multiLevelType w:val="hybridMultilevel"/>
    <w:tmpl w:val="94AE5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263D76"/>
    <w:multiLevelType w:val="hybridMultilevel"/>
    <w:tmpl w:val="D832987E"/>
    <w:lvl w:ilvl="0" w:tplc="FE744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5E4926"/>
    <w:multiLevelType w:val="hybridMultilevel"/>
    <w:tmpl w:val="D3F85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B6024C"/>
    <w:multiLevelType w:val="hybridMultilevel"/>
    <w:tmpl w:val="BCAA7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79633A"/>
    <w:multiLevelType w:val="hybridMultilevel"/>
    <w:tmpl w:val="DE62D9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42A3A40"/>
    <w:multiLevelType w:val="hybridMultilevel"/>
    <w:tmpl w:val="2368B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6394162"/>
    <w:multiLevelType w:val="hybridMultilevel"/>
    <w:tmpl w:val="FDD6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5C2FF7"/>
    <w:multiLevelType w:val="hybridMultilevel"/>
    <w:tmpl w:val="C5C48B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9411FA"/>
    <w:multiLevelType w:val="hybridMultilevel"/>
    <w:tmpl w:val="D832987E"/>
    <w:lvl w:ilvl="0" w:tplc="FE744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AA7644"/>
    <w:multiLevelType w:val="hybridMultilevel"/>
    <w:tmpl w:val="D832987E"/>
    <w:lvl w:ilvl="0" w:tplc="FE744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411157"/>
    <w:multiLevelType w:val="hybridMultilevel"/>
    <w:tmpl w:val="BCAA7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8E7440"/>
    <w:multiLevelType w:val="hybridMultilevel"/>
    <w:tmpl w:val="F5F093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A394799"/>
    <w:multiLevelType w:val="singleLevel"/>
    <w:tmpl w:val="D6344B06"/>
    <w:lvl w:ilvl="0">
      <w:start w:val="1"/>
      <w:numFmt w:val="bullet"/>
      <w:pStyle w:val="bullets"/>
      <w:lvlText w:val=""/>
      <w:lvlJc w:val="left"/>
      <w:pPr>
        <w:tabs>
          <w:tab w:val="num" w:pos="1080"/>
        </w:tabs>
        <w:ind w:left="1080" w:hanging="360"/>
      </w:pPr>
      <w:rPr>
        <w:rFonts w:ascii="Symbol" w:hAnsi="Symbol" w:hint="default"/>
      </w:rPr>
    </w:lvl>
  </w:abstractNum>
  <w:abstractNum w:abstractNumId="18">
    <w:nsid w:val="782E508B"/>
    <w:multiLevelType w:val="hybridMultilevel"/>
    <w:tmpl w:val="7AC8B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0C4D45"/>
    <w:multiLevelType w:val="hybridMultilevel"/>
    <w:tmpl w:val="E54C4E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6"/>
  </w:num>
  <w:num w:numId="3">
    <w:abstractNumId w:val="19"/>
  </w:num>
  <w:num w:numId="4">
    <w:abstractNumId w:val="3"/>
  </w:num>
  <w:num w:numId="5">
    <w:abstractNumId w:val="17"/>
  </w:num>
  <w:num w:numId="6">
    <w:abstractNumId w:val="4"/>
  </w:num>
  <w:num w:numId="7">
    <w:abstractNumId w:val="2"/>
  </w:num>
  <w:num w:numId="8">
    <w:abstractNumId w:val="18"/>
  </w:num>
  <w:num w:numId="9">
    <w:abstractNumId w:val="11"/>
  </w:num>
  <w:num w:numId="10">
    <w:abstractNumId w:val="12"/>
  </w:num>
  <w:num w:numId="11">
    <w:abstractNumId w:val="8"/>
  </w:num>
  <w:num w:numId="12">
    <w:abstractNumId w:val="5"/>
  </w:num>
  <w:num w:numId="13">
    <w:abstractNumId w:val="14"/>
  </w:num>
  <w:num w:numId="14">
    <w:abstractNumId w:val="15"/>
  </w:num>
  <w:num w:numId="15">
    <w:abstractNumId w:val="0"/>
  </w:num>
  <w:num w:numId="16">
    <w:abstractNumId w:val="13"/>
  </w:num>
  <w:num w:numId="17">
    <w:abstractNumId w:val="7"/>
  </w:num>
  <w:num w:numId="18">
    <w:abstractNumId w:val="6"/>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3A"/>
    <w:rsid w:val="00006FE8"/>
    <w:rsid w:val="0002548A"/>
    <w:rsid w:val="0003773A"/>
    <w:rsid w:val="0004645A"/>
    <w:rsid w:val="00050E52"/>
    <w:rsid w:val="000510E2"/>
    <w:rsid w:val="000577D4"/>
    <w:rsid w:val="00073ECE"/>
    <w:rsid w:val="00077043"/>
    <w:rsid w:val="00077E08"/>
    <w:rsid w:val="00090C10"/>
    <w:rsid w:val="00091022"/>
    <w:rsid w:val="000A78B6"/>
    <w:rsid w:val="000B48F5"/>
    <w:rsid w:val="000C52C3"/>
    <w:rsid w:val="000D1F68"/>
    <w:rsid w:val="000E26E8"/>
    <w:rsid w:val="000E77BA"/>
    <w:rsid w:val="000F60D8"/>
    <w:rsid w:val="00114F5E"/>
    <w:rsid w:val="00117DAB"/>
    <w:rsid w:val="0012360A"/>
    <w:rsid w:val="0013197B"/>
    <w:rsid w:val="001349F5"/>
    <w:rsid w:val="0014713A"/>
    <w:rsid w:val="00157FDF"/>
    <w:rsid w:val="00161EDF"/>
    <w:rsid w:val="00162527"/>
    <w:rsid w:val="00162D98"/>
    <w:rsid w:val="00163775"/>
    <w:rsid w:val="0016538F"/>
    <w:rsid w:val="001715BA"/>
    <w:rsid w:val="00174B47"/>
    <w:rsid w:val="001754CF"/>
    <w:rsid w:val="00184C00"/>
    <w:rsid w:val="00185089"/>
    <w:rsid w:val="00191FA8"/>
    <w:rsid w:val="001A2E3F"/>
    <w:rsid w:val="001B7AD1"/>
    <w:rsid w:val="001C444F"/>
    <w:rsid w:val="001C554F"/>
    <w:rsid w:val="001C6F19"/>
    <w:rsid w:val="001D4A1E"/>
    <w:rsid w:val="001D5F5D"/>
    <w:rsid w:val="001F0B08"/>
    <w:rsid w:val="001F1A0F"/>
    <w:rsid w:val="001F5A84"/>
    <w:rsid w:val="001F724B"/>
    <w:rsid w:val="00202F53"/>
    <w:rsid w:val="00212FC7"/>
    <w:rsid w:val="0021451E"/>
    <w:rsid w:val="002216DB"/>
    <w:rsid w:val="002219EE"/>
    <w:rsid w:val="00221E17"/>
    <w:rsid w:val="00223BCC"/>
    <w:rsid w:val="0022496F"/>
    <w:rsid w:val="00231385"/>
    <w:rsid w:val="00233D5F"/>
    <w:rsid w:val="0024601C"/>
    <w:rsid w:val="0025793F"/>
    <w:rsid w:val="002624AA"/>
    <w:rsid w:val="002632BC"/>
    <w:rsid w:val="002645FF"/>
    <w:rsid w:val="00265BB7"/>
    <w:rsid w:val="00266A1A"/>
    <w:rsid w:val="00266F45"/>
    <w:rsid w:val="00267629"/>
    <w:rsid w:val="00271B44"/>
    <w:rsid w:val="00275362"/>
    <w:rsid w:val="00276012"/>
    <w:rsid w:val="00280406"/>
    <w:rsid w:val="0028264F"/>
    <w:rsid w:val="002964C4"/>
    <w:rsid w:val="002A0812"/>
    <w:rsid w:val="002A1E19"/>
    <w:rsid w:val="002A273A"/>
    <w:rsid w:val="002A31FB"/>
    <w:rsid w:val="002A4263"/>
    <w:rsid w:val="002A618B"/>
    <w:rsid w:val="002A660A"/>
    <w:rsid w:val="002B0AA1"/>
    <w:rsid w:val="002B1E5A"/>
    <w:rsid w:val="002B263F"/>
    <w:rsid w:val="002B62BB"/>
    <w:rsid w:val="002B6CDC"/>
    <w:rsid w:val="002C6267"/>
    <w:rsid w:val="002D210B"/>
    <w:rsid w:val="002D4779"/>
    <w:rsid w:val="002E0690"/>
    <w:rsid w:val="002F630C"/>
    <w:rsid w:val="00305FAC"/>
    <w:rsid w:val="00313290"/>
    <w:rsid w:val="00314178"/>
    <w:rsid w:val="00316604"/>
    <w:rsid w:val="003202C0"/>
    <w:rsid w:val="00323080"/>
    <w:rsid w:val="00324852"/>
    <w:rsid w:val="00325196"/>
    <w:rsid w:val="003321E6"/>
    <w:rsid w:val="00332827"/>
    <w:rsid w:val="00336BB6"/>
    <w:rsid w:val="00356E48"/>
    <w:rsid w:val="00360135"/>
    <w:rsid w:val="003657FC"/>
    <w:rsid w:val="00374FB8"/>
    <w:rsid w:val="00375D3F"/>
    <w:rsid w:val="00380106"/>
    <w:rsid w:val="00396125"/>
    <w:rsid w:val="003A0035"/>
    <w:rsid w:val="003A1E71"/>
    <w:rsid w:val="003B09B5"/>
    <w:rsid w:val="003B2EC5"/>
    <w:rsid w:val="003B53C7"/>
    <w:rsid w:val="003B7B81"/>
    <w:rsid w:val="003E660D"/>
    <w:rsid w:val="003E6C4D"/>
    <w:rsid w:val="003F5994"/>
    <w:rsid w:val="00400B8C"/>
    <w:rsid w:val="004060C2"/>
    <w:rsid w:val="0040639D"/>
    <w:rsid w:val="00412EE2"/>
    <w:rsid w:val="004157F2"/>
    <w:rsid w:val="00422B54"/>
    <w:rsid w:val="00437CB3"/>
    <w:rsid w:val="00440A4C"/>
    <w:rsid w:val="00442BC3"/>
    <w:rsid w:val="00445A73"/>
    <w:rsid w:val="0044798A"/>
    <w:rsid w:val="00447D87"/>
    <w:rsid w:val="004512A8"/>
    <w:rsid w:val="00456219"/>
    <w:rsid w:val="004627F8"/>
    <w:rsid w:val="00463CA4"/>
    <w:rsid w:val="00466498"/>
    <w:rsid w:val="00471BE6"/>
    <w:rsid w:val="0047324E"/>
    <w:rsid w:val="004764D2"/>
    <w:rsid w:val="004823E4"/>
    <w:rsid w:val="00487810"/>
    <w:rsid w:val="004A082F"/>
    <w:rsid w:val="004A303D"/>
    <w:rsid w:val="004A440D"/>
    <w:rsid w:val="004A6CE8"/>
    <w:rsid w:val="004A75C3"/>
    <w:rsid w:val="004B3876"/>
    <w:rsid w:val="004B5E6C"/>
    <w:rsid w:val="004B7CA1"/>
    <w:rsid w:val="004C097F"/>
    <w:rsid w:val="004C5323"/>
    <w:rsid w:val="004C7215"/>
    <w:rsid w:val="004D24F4"/>
    <w:rsid w:val="004D261F"/>
    <w:rsid w:val="004D692D"/>
    <w:rsid w:val="004E09A7"/>
    <w:rsid w:val="004E288A"/>
    <w:rsid w:val="004F541B"/>
    <w:rsid w:val="004F5673"/>
    <w:rsid w:val="00501253"/>
    <w:rsid w:val="0050127C"/>
    <w:rsid w:val="00504934"/>
    <w:rsid w:val="00505B11"/>
    <w:rsid w:val="00510116"/>
    <w:rsid w:val="0052358D"/>
    <w:rsid w:val="00527A1D"/>
    <w:rsid w:val="00535412"/>
    <w:rsid w:val="00536F3B"/>
    <w:rsid w:val="00540498"/>
    <w:rsid w:val="00554679"/>
    <w:rsid w:val="005610AC"/>
    <w:rsid w:val="00567C36"/>
    <w:rsid w:val="00567F0C"/>
    <w:rsid w:val="00572B9C"/>
    <w:rsid w:val="00574601"/>
    <w:rsid w:val="00577AB6"/>
    <w:rsid w:val="005825D1"/>
    <w:rsid w:val="00584D53"/>
    <w:rsid w:val="00590EA3"/>
    <w:rsid w:val="005929D5"/>
    <w:rsid w:val="00596869"/>
    <w:rsid w:val="005A7A75"/>
    <w:rsid w:val="005B3BE9"/>
    <w:rsid w:val="005B55B0"/>
    <w:rsid w:val="005C6BDA"/>
    <w:rsid w:val="005D164B"/>
    <w:rsid w:val="005D20BD"/>
    <w:rsid w:val="005E0B0F"/>
    <w:rsid w:val="005E77FF"/>
    <w:rsid w:val="005F063B"/>
    <w:rsid w:val="005F1450"/>
    <w:rsid w:val="005F76D3"/>
    <w:rsid w:val="00624BD2"/>
    <w:rsid w:val="00627F7A"/>
    <w:rsid w:val="00634A07"/>
    <w:rsid w:val="00641151"/>
    <w:rsid w:val="006422E7"/>
    <w:rsid w:val="006501BD"/>
    <w:rsid w:val="00661E1C"/>
    <w:rsid w:val="00667708"/>
    <w:rsid w:val="00673B37"/>
    <w:rsid w:val="006763E0"/>
    <w:rsid w:val="00681119"/>
    <w:rsid w:val="006877FB"/>
    <w:rsid w:val="00694D3E"/>
    <w:rsid w:val="006A2965"/>
    <w:rsid w:val="006A792B"/>
    <w:rsid w:val="006B4FA1"/>
    <w:rsid w:val="006B6802"/>
    <w:rsid w:val="006B692D"/>
    <w:rsid w:val="006C1066"/>
    <w:rsid w:val="006C4F1E"/>
    <w:rsid w:val="006D4E70"/>
    <w:rsid w:val="006E2AC3"/>
    <w:rsid w:val="006E420B"/>
    <w:rsid w:val="006F0FD5"/>
    <w:rsid w:val="006F54DB"/>
    <w:rsid w:val="00706FEF"/>
    <w:rsid w:val="00714772"/>
    <w:rsid w:val="007173FF"/>
    <w:rsid w:val="007231C7"/>
    <w:rsid w:val="00737260"/>
    <w:rsid w:val="0074077E"/>
    <w:rsid w:val="00744C89"/>
    <w:rsid w:val="00752B8C"/>
    <w:rsid w:val="00755801"/>
    <w:rsid w:val="00756BCC"/>
    <w:rsid w:val="00767CB0"/>
    <w:rsid w:val="0078351E"/>
    <w:rsid w:val="00785B64"/>
    <w:rsid w:val="0078663A"/>
    <w:rsid w:val="00787B96"/>
    <w:rsid w:val="00794298"/>
    <w:rsid w:val="0079486C"/>
    <w:rsid w:val="007973A6"/>
    <w:rsid w:val="007C57EA"/>
    <w:rsid w:val="007C5912"/>
    <w:rsid w:val="007C7F6A"/>
    <w:rsid w:val="007F245C"/>
    <w:rsid w:val="007F2F58"/>
    <w:rsid w:val="00801D8E"/>
    <w:rsid w:val="0081151F"/>
    <w:rsid w:val="008128E8"/>
    <w:rsid w:val="00820A13"/>
    <w:rsid w:val="00827D9E"/>
    <w:rsid w:val="00827F1B"/>
    <w:rsid w:val="00835093"/>
    <w:rsid w:val="0085026F"/>
    <w:rsid w:val="00863837"/>
    <w:rsid w:val="00863EDB"/>
    <w:rsid w:val="00865778"/>
    <w:rsid w:val="008855E5"/>
    <w:rsid w:val="008915F4"/>
    <w:rsid w:val="0089614B"/>
    <w:rsid w:val="00896AF1"/>
    <w:rsid w:val="008C1FD2"/>
    <w:rsid w:val="008C6EC7"/>
    <w:rsid w:val="008C76A1"/>
    <w:rsid w:val="008E38DE"/>
    <w:rsid w:val="008E4749"/>
    <w:rsid w:val="008E7B8D"/>
    <w:rsid w:val="008F4725"/>
    <w:rsid w:val="009127D6"/>
    <w:rsid w:val="0091695B"/>
    <w:rsid w:val="00924C2D"/>
    <w:rsid w:val="00926592"/>
    <w:rsid w:val="0092722F"/>
    <w:rsid w:val="00927FAA"/>
    <w:rsid w:val="00931A38"/>
    <w:rsid w:val="00933111"/>
    <w:rsid w:val="00934DD2"/>
    <w:rsid w:val="00935C5E"/>
    <w:rsid w:val="00941EEC"/>
    <w:rsid w:val="00942B99"/>
    <w:rsid w:val="00945F6E"/>
    <w:rsid w:val="0095597A"/>
    <w:rsid w:val="009566B1"/>
    <w:rsid w:val="00971435"/>
    <w:rsid w:val="00971E5B"/>
    <w:rsid w:val="0099020C"/>
    <w:rsid w:val="009A0305"/>
    <w:rsid w:val="009A5F1B"/>
    <w:rsid w:val="009B0EE2"/>
    <w:rsid w:val="009C2B39"/>
    <w:rsid w:val="009C6F1F"/>
    <w:rsid w:val="009F6B10"/>
    <w:rsid w:val="00A0298F"/>
    <w:rsid w:val="00A04056"/>
    <w:rsid w:val="00A179F4"/>
    <w:rsid w:val="00A25849"/>
    <w:rsid w:val="00A26101"/>
    <w:rsid w:val="00A313A4"/>
    <w:rsid w:val="00A35225"/>
    <w:rsid w:val="00A416EF"/>
    <w:rsid w:val="00A432C0"/>
    <w:rsid w:val="00A56174"/>
    <w:rsid w:val="00A640D5"/>
    <w:rsid w:val="00A724BF"/>
    <w:rsid w:val="00A73F11"/>
    <w:rsid w:val="00A80747"/>
    <w:rsid w:val="00A813DD"/>
    <w:rsid w:val="00A841BD"/>
    <w:rsid w:val="00A856B5"/>
    <w:rsid w:val="00A8600F"/>
    <w:rsid w:val="00A86179"/>
    <w:rsid w:val="00A95571"/>
    <w:rsid w:val="00A958BE"/>
    <w:rsid w:val="00AA14E5"/>
    <w:rsid w:val="00AA44D1"/>
    <w:rsid w:val="00AB0529"/>
    <w:rsid w:val="00AB431D"/>
    <w:rsid w:val="00AB6103"/>
    <w:rsid w:val="00AC0975"/>
    <w:rsid w:val="00AC7529"/>
    <w:rsid w:val="00AD34F8"/>
    <w:rsid w:val="00AF15FD"/>
    <w:rsid w:val="00AF33A4"/>
    <w:rsid w:val="00AF3A0A"/>
    <w:rsid w:val="00AF3A99"/>
    <w:rsid w:val="00AF4C29"/>
    <w:rsid w:val="00AF6299"/>
    <w:rsid w:val="00B011FA"/>
    <w:rsid w:val="00B02955"/>
    <w:rsid w:val="00B03087"/>
    <w:rsid w:val="00B04EDE"/>
    <w:rsid w:val="00B071CD"/>
    <w:rsid w:val="00B10563"/>
    <w:rsid w:val="00B11CD8"/>
    <w:rsid w:val="00B12C9E"/>
    <w:rsid w:val="00B22DDB"/>
    <w:rsid w:val="00B2457A"/>
    <w:rsid w:val="00B25865"/>
    <w:rsid w:val="00B25A5F"/>
    <w:rsid w:val="00B30671"/>
    <w:rsid w:val="00B3151F"/>
    <w:rsid w:val="00B319C1"/>
    <w:rsid w:val="00B33BD3"/>
    <w:rsid w:val="00B356A2"/>
    <w:rsid w:val="00B43AD1"/>
    <w:rsid w:val="00B470B6"/>
    <w:rsid w:val="00B51FA2"/>
    <w:rsid w:val="00B63EFC"/>
    <w:rsid w:val="00B704D4"/>
    <w:rsid w:val="00B7790B"/>
    <w:rsid w:val="00B80D03"/>
    <w:rsid w:val="00BA1806"/>
    <w:rsid w:val="00BA6E9C"/>
    <w:rsid w:val="00BB7693"/>
    <w:rsid w:val="00BC1C74"/>
    <w:rsid w:val="00BC6C9F"/>
    <w:rsid w:val="00BE1B5E"/>
    <w:rsid w:val="00BE46EE"/>
    <w:rsid w:val="00BE749B"/>
    <w:rsid w:val="00BF0F99"/>
    <w:rsid w:val="00BF408E"/>
    <w:rsid w:val="00C0223E"/>
    <w:rsid w:val="00C109AE"/>
    <w:rsid w:val="00C17352"/>
    <w:rsid w:val="00C2280F"/>
    <w:rsid w:val="00C25061"/>
    <w:rsid w:val="00C30219"/>
    <w:rsid w:val="00C32F35"/>
    <w:rsid w:val="00C400BF"/>
    <w:rsid w:val="00C4186A"/>
    <w:rsid w:val="00C44480"/>
    <w:rsid w:val="00C55E93"/>
    <w:rsid w:val="00C56F15"/>
    <w:rsid w:val="00C61AF1"/>
    <w:rsid w:val="00C643DB"/>
    <w:rsid w:val="00C65405"/>
    <w:rsid w:val="00C761FE"/>
    <w:rsid w:val="00C7660C"/>
    <w:rsid w:val="00C9367E"/>
    <w:rsid w:val="00C960CE"/>
    <w:rsid w:val="00CA3C4E"/>
    <w:rsid w:val="00CC5BFF"/>
    <w:rsid w:val="00CC6442"/>
    <w:rsid w:val="00CC7433"/>
    <w:rsid w:val="00CE4B75"/>
    <w:rsid w:val="00CF0225"/>
    <w:rsid w:val="00CF1F21"/>
    <w:rsid w:val="00CF3A56"/>
    <w:rsid w:val="00CF5EAA"/>
    <w:rsid w:val="00CF78DF"/>
    <w:rsid w:val="00D00B3B"/>
    <w:rsid w:val="00D15935"/>
    <w:rsid w:val="00D20880"/>
    <w:rsid w:val="00D2685F"/>
    <w:rsid w:val="00D30AFF"/>
    <w:rsid w:val="00D32ED2"/>
    <w:rsid w:val="00D33BB8"/>
    <w:rsid w:val="00D36DC4"/>
    <w:rsid w:val="00D40BEA"/>
    <w:rsid w:val="00D42F21"/>
    <w:rsid w:val="00D460FB"/>
    <w:rsid w:val="00D74F72"/>
    <w:rsid w:val="00D85395"/>
    <w:rsid w:val="00D97E8E"/>
    <w:rsid w:val="00DA0E52"/>
    <w:rsid w:val="00DA2073"/>
    <w:rsid w:val="00DB7ED7"/>
    <w:rsid w:val="00DC7636"/>
    <w:rsid w:val="00DD2325"/>
    <w:rsid w:val="00DD6C92"/>
    <w:rsid w:val="00DE018D"/>
    <w:rsid w:val="00DF75ED"/>
    <w:rsid w:val="00E0262A"/>
    <w:rsid w:val="00E04492"/>
    <w:rsid w:val="00E0598F"/>
    <w:rsid w:val="00E131C1"/>
    <w:rsid w:val="00E153CD"/>
    <w:rsid w:val="00E20F23"/>
    <w:rsid w:val="00E23890"/>
    <w:rsid w:val="00E27AA4"/>
    <w:rsid w:val="00E527D3"/>
    <w:rsid w:val="00E62093"/>
    <w:rsid w:val="00E7374E"/>
    <w:rsid w:val="00E73A97"/>
    <w:rsid w:val="00E86A19"/>
    <w:rsid w:val="00E9611E"/>
    <w:rsid w:val="00EA162A"/>
    <w:rsid w:val="00EA4C90"/>
    <w:rsid w:val="00EB21B5"/>
    <w:rsid w:val="00EB33D1"/>
    <w:rsid w:val="00EB7F39"/>
    <w:rsid w:val="00EC1462"/>
    <w:rsid w:val="00ED011A"/>
    <w:rsid w:val="00EE2E3D"/>
    <w:rsid w:val="00EF075E"/>
    <w:rsid w:val="00F0785E"/>
    <w:rsid w:val="00F1536F"/>
    <w:rsid w:val="00F16B21"/>
    <w:rsid w:val="00F23386"/>
    <w:rsid w:val="00F277A8"/>
    <w:rsid w:val="00F315CD"/>
    <w:rsid w:val="00F33607"/>
    <w:rsid w:val="00F33982"/>
    <w:rsid w:val="00F4206B"/>
    <w:rsid w:val="00F42ABD"/>
    <w:rsid w:val="00F46794"/>
    <w:rsid w:val="00F5442E"/>
    <w:rsid w:val="00F5585E"/>
    <w:rsid w:val="00F63B63"/>
    <w:rsid w:val="00F70516"/>
    <w:rsid w:val="00F74525"/>
    <w:rsid w:val="00F86AA2"/>
    <w:rsid w:val="00F8791D"/>
    <w:rsid w:val="00F90083"/>
    <w:rsid w:val="00F908B1"/>
    <w:rsid w:val="00F93282"/>
    <w:rsid w:val="00FA1D22"/>
    <w:rsid w:val="00FB2A83"/>
    <w:rsid w:val="00FB3123"/>
    <w:rsid w:val="00FB49F1"/>
    <w:rsid w:val="00FD0D7C"/>
    <w:rsid w:val="00FD31BA"/>
    <w:rsid w:val="00FD50CC"/>
    <w:rsid w:val="00FD5D09"/>
    <w:rsid w:val="00FD61C4"/>
    <w:rsid w:val="00FF06EA"/>
    <w:rsid w:val="00FF0B59"/>
    <w:rsid w:val="00FF2D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6865"/>
    <o:shapelayout v:ext="edit">
      <o:idmap v:ext="edit" data="1"/>
    </o:shapelayout>
  </w:shapeDefaults>
  <w:decimalSymbol w:val="."/>
  <w:listSeparator w:val=","/>
  <w14:docId w14:val="7C3A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5E"/>
    <w:rPr>
      <w:rFonts w:ascii="Times New Roman" w:hAnsi="Times New Roman"/>
    </w:rPr>
  </w:style>
  <w:style w:type="paragraph" w:styleId="Heading1">
    <w:name w:val="heading 1"/>
    <w:basedOn w:val="Normal"/>
    <w:next w:val="Normal"/>
    <w:link w:val="Heading1Char"/>
    <w:uiPriority w:val="9"/>
    <w:qFormat/>
    <w:rsid w:val="002216DB"/>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DB"/>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EF075E"/>
    <w:rPr>
      <w:rFonts w:ascii="Times New Roman" w:hAnsi="Times New Roman"/>
    </w:rPr>
  </w:style>
  <w:style w:type="paragraph" w:styleId="Header">
    <w:name w:val="header"/>
    <w:basedOn w:val="Normal"/>
    <w:link w:val="HeaderChar"/>
    <w:uiPriority w:val="99"/>
    <w:unhideWhenUsed/>
    <w:rsid w:val="00EF075E"/>
    <w:pPr>
      <w:tabs>
        <w:tab w:val="center" w:pos="4680"/>
        <w:tab w:val="right" w:pos="9360"/>
      </w:tabs>
    </w:pPr>
  </w:style>
  <w:style w:type="character" w:customStyle="1" w:styleId="HeaderChar">
    <w:name w:val="Header Char"/>
    <w:basedOn w:val="DefaultParagraphFont"/>
    <w:link w:val="Header"/>
    <w:uiPriority w:val="99"/>
    <w:rsid w:val="00EF075E"/>
    <w:rPr>
      <w:rFonts w:ascii="Times New Roman" w:hAnsi="Times New Roman"/>
    </w:rPr>
  </w:style>
  <w:style w:type="paragraph" w:styleId="Footer">
    <w:name w:val="footer"/>
    <w:basedOn w:val="Normal"/>
    <w:link w:val="FooterChar"/>
    <w:uiPriority w:val="99"/>
    <w:unhideWhenUsed/>
    <w:rsid w:val="00EF075E"/>
    <w:pPr>
      <w:tabs>
        <w:tab w:val="center" w:pos="4680"/>
        <w:tab w:val="right" w:pos="9360"/>
      </w:tabs>
    </w:pPr>
  </w:style>
  <w:style w:type="character" w:customStyle="1" w:styleId="FooterChar">
    <w:name w:val="Footer Char"/>
    <w:basedOn w:val="DefaultParagraphFont"/>
    <w:link w:val="Footer"/>
    <w:uiPriority w:val="99"/>
    <w:rsid w:val="00EF075E"/>
    <w:rPr>
      <w:rFonts w:ascii="Times New Roman" w:hAnsi="Times New Roman"/>
    </w:rPr>
  </w:style>
  <w:style w:type="paragraph" w:styleId="TOC1">
    <w:name w:val="toc 1"/>
    <w:basedOn w:val="Normal"/>
    <w:next w:val="Normal"/>
    <w:uiPriority w:val="39"/>
    <w:rsid w:val="00EF075E"/>
    <w:pPr>
      <w:tabs>
        <w:tab w:val="right" w:leader="dot" w:pos="9360"/>
      </w:tabs>
      <w:spacing w:before="240"/>
      <w:ind w:left="540" w:right="720" w:hanging="540"/>
    </w:pPr>
    <w:rPr>
      <w:rFonts w:eastAsia="Times New Roman" w:cs="Times New Roman"/>
      <w:noProof/>
      <w:sz w:val="24"/>
      <w:szCs w:val="24"/>
    </w:rPr>
  </w:style>
  <w:style w:type="paragraph" w:styleId="TOC2">
    <w:name w:val="toc 2"/>
    <w:basedOn w:val="Normal"/>
    <w:next w:val="Normal"/>
    <w:uiPriority w:val="39"/>
    <w:rsid w:val="00EF075E"/>
    <w:pPr>
      <w:tabs>
        <w:tab w:val="right" w:leader="dot" w:pos="9360"/>
      </w:tabs>
      <w:ind w:left="1080" w:right="720" w:hanging="540"/>
    </w:pPr>
    <w:rPr>
      <w:rFonts w:eastAsia="Times New Roman" w:cs="Times New Roman"/>
      <w:noProof/>
      <w:sz w:val="24"/>
      <w:szCs w:val="24"/>
    </w:rPr>
  </w:style>
  <w:style w:type="paragraph" w:customStyle="1" w:styleId="Question">
    <w:name w:val="Question"/>
    <w:basedOn w:val="Normal"/>
    <w:rsid w:val="00EF075E"/>
    <w:pPr>
      <w:widowControl w:val="0"/>
      <w:tabs>
        <w:tab w:val="left" w:pos="547"/>
      </w:tabs>
      <w:spacing w:before="240" w:after="120"/>
      <w:ind w:left="547" w:hanging="547"/>
    </w:pPr>
    <w:rPr>
      <w:rFonts w:ascii="Arial" w:eastAsia="Times New Roman" w:hAnsi="Arial" w:cs="Times New Roman"/>
      <w:b/>
      <w:sz w:val="24"/>
      <w:szCs w:val="20"/>
    </w:rPr>
  </w:style>
  <w:style w:type="paragraph" w:customStyle="1" w:styleId="TOC0">
    <w:name w:val="TOC 0"/>
    <w:basedOn w:val="Normal"/>
    <w:rsid w:val="00EF075E"/>
    <w:pPr>
      <w:spacing w:before="240" w:after="240"/>
      <w:jc w:val="center"/>
    </w:pPr>
    <w:rPr>
      <w:rFonts w:eastAsia="Times New Roman" w:cs="Times New Roman"/>
      <w:b/>
      <w:caps/>
      <w:sz w:val="24"/>
      <w:szCs w:val="24"/>
    </w:rPr>
  </w:style>
  <w:style w:type="paragraph" w:styleId="TOCHeading">
    <w:name w:val="TOC Heading"/>
    <w:basedOn w:val="Heading1"/>
    <w:next w:val="Normal"/>
    <w:uiPriority w:val="39"/>
    <w:unhideWhenUsed/>
    <w:qFormat/>
    <w:rsid w:val="00D2685F"/>
    <w:pPr>
      <w:spacing w:line="259" w:lineRule="auto"/>
      <w:outlineLvl w:val="9"/>
    </w:pPr>
  </w:style>
  <w:style w:type="paragraph" w:styleId="FootnoteText">
    <w:name w:val="footnote text"/>
    <w:aliases w:val="Char18"/>
    <w:basedOn w:val="Normal"/>
    <w:link w:val="FootnoteTextChar"/>
    <w:uiPriority w:val="99"/>
    <w:rsid w:val="00271B44"/>
    <w:pPr>
      <w:spacing w:after="240"/>
      <w:ind w:left="274" w:hanging="274"/>
    </w:pPr>
    <w:rPr>
      <w:rFonts w:eastAsia="Times New Roman" w:cs="Times New Roman"/>
      <w:sz w:val="20"/>
      <w:szCs w:val="24"/>
    </w:rPr>
  </w:style>
  <w:style w:type="character" w:customStyle="1" w:styleId="FootnoteTextChar">
    <w:name w:val="Footnote Text Char"/>
    <w:aliases w:val="Char18 Char"/>
    <w:basedOn w:val="DefaultParagraphFont"/>
    <w:link w:val="FootnoteText"/>
    <w:uiPriority w:val="99"/>
    <w:rsid w:val="00271B44"/>
    <w:rPr>
      <w:rFonts w:ascii="Times New Roman" w:eastAsia="Times New Roman" w:hAnsi="Times New Roman" w:cs="Times New Roman"/>
      <w:sz w:val="20"/>
      <w:szCs w:val="24"/>
    </w:rPr>
  </w:style>
  <w:style w:type="character" w:styleId="FootnoteReference">
    <w:name w:val="footnote reference"/>
    <w:basedOn w:val="DefaultParagraphFont"/>
    <w:uiPriority w:val="99"/>
    <w:rsid w:val="00271B44"/>
    <w:rPr>
      <w:position w:val="6"/>
      <w:sz w:val="18"/>
    </w:rPr>
  </w:style>
  <w:style w:type="paragraph" w:customStyle="1" w:styleId="Default">
    <w:name w:val="Default"/>
    <w:rsid w:val="00271B44"/>
    <w:pPr>
      <w:autoSpaceDE w:val="0"/>
      <w:autoSpaceDN w:val="0"/>
      <w:adjustRightInd w:val="0"/>
    </w:pPr>
    <w:rPr>
      <w:rFonts w:ascii="Calibri" w:hAnsi="Calibri" w:cs="Calibri"/>
      <w:color w:val="000000"/>
      <w:sz w:val="24"/>
      <w:szCs w:val="24"/>
    </w:rPr>
  </w:style>
  <w:style w:type="paragraph" w:styleId="ListContinue2">
    <w:name w:val="List Continue 2"/>
    <w:basedOn w:val="Normal"/>
    <w:rsid w:val="00694D3E"/>
    <w:pPr>
      <w:spacing w:after="120"/>
      <w:ind w:left="720"/>
      <w:contextualSpacing/>
    </w:pPr>
    <w:rPr>
      <w:rFonts w:eastAsia="Times New Roman" w:cs="Times New Roman"/>
      <w:sz w:val="24"/>
      <w:szCs w:val="24"/>
    </w:rPr>
  </w:style>
  <w:style w:type="paragraph" w:customStyle="1" w:styleId="bodytextChar">
    <w:name w:val="body text Char"/>
    <w:aliases w:val="bt Char,body tx Char,indent Char,flush Char,memo body text Char,body text,bt,body tx,indent,flush,memo body text,indent Char Char Char Char Char,indent Char Char Char Char"/>
    <w:basedOn w:val="Normal"/>
    <w:link w:val="bodytextCharChar"/>
    <w:rsid w:val="00B704D4"/>
    <w:pPr>
      <w:spacing w:after="240"/>
      <w:ind w:firstLine="720"/>
    </w:pPr>
    <w:rPr>
      <w:rFonts w:eastAsia="Times New Roman" w:cs="Times New Roman"/>
      <w:sz w:val="24"/>
      <w:szCs w:val="24"/>
    </w:rPr>
  </w:style>
  <w:style w:type="character" w:customStyle="1" w:styleId="bodytextCharChar">
    <w:name w:val="body text Char Char"/>
    <w:aliases w:val="bt Char Char,body tx Char Char,indent Char Char,flush Char Char,memo body text Char Char"/>
    <w:basedOn w:val="DefaultParagraphFont"/>
    <w:link w:val="bodytextChar"/>
    <w:rsid w:val="00B704D4"/>
    <w:rPr>
      <w:rFonts w:ascii="Times New Roman" w:eastAsia="Times New Roman" w:hAnsi="Times New Roman" w:cs="Times New Roman"/>
      <w:sz w:val="24"/>
      <w:szCs w:val="24"/>
    </w:rPr>
  </w:style>
  <w:style w:type="character" w:styleId="CommentReference">
    <w:name w:val="annotation reference"/>
    <w:basedOn w:val="DefaultParagraphFont"/>
    <w:rsid w:val="00B704D4"/>
    <w:rPr>
      <w:sz w:val="16"/>
      <w:szCs w:val="16"/>
    </w:rPr>
  </w:style>
  <w:style w:type="paragraph" w:styleId="CommentText">
    <w:name w:val="annotation text"/>
    <w:basedOn w:val="Normal"/>
    <w:link w:val="CommentTextChar"/>
    <w:rsid w:val="00B704D4"/>
    <w:rPr>
      <w:rFonts w:eastAsia="Times New Roman" w:cs="Times New Roman"/>
      <w:sz w:val="20"/>
      <w:szCs w:val="24"/>
    </w:rPr>
  </w:style>
  <w:style w:type="character" w:customStyle="1" w:styleId="CommentTextChar">
    <w:name w:val="Comment Text Char"/>
    <w:basedOn w:val="DefaultParagraphFont"/>
    <w:link w:val="CommentText"/>
    <w:rsid w:val="00B704D4"/>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B70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4D4"/>
    <w:rPr>
      <w:rFonts w:ascii="Segoe UI" w:hAnsi="Segoe UI" w:cs="Segoe UI"/>
      <w:sz w:val="18"/>
      <w:szCs w:val="18"/>
    </w:rPr>
  </w:style>
  <w:style w:type="paragraph" w:customStyle="1" w:styleId="bullet">
    <w:name w:val="bullet"/>
    <w:rsid w:val="00941EEC"/>
    <w:pPr>
      <w:numPr>
        <w:numId w:val="4"/>
      </w:numPr>
      <w:spacing w:after="360"/>
    </w:pPr>
    <w:rPr>
      <w:rFonts w:ascii="Arial" w:eastAsia="Times New Roman" w:hAnsi="Arial" w:cs="Times New Roman"/>
      <w:sz w:val="24"/>
      <w:szCs w:val="24"/>
    </w:rPr>
  </w:style>
  <w:style w:type="paragraph" w:styleId="Index2">
    <w:name w:val="index 2"/>
    <w:basedOn w:val="Normal"/>
    <w:next w:val="Normal"/>
    <w:semiHidden/>
    <w:rsid w:val="00941EEC"/>
    <w:pPr>
      <w:ind w:left="360"/>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C7215"/>
    <w:rPr>
      <w:rFonts w:eastAsiaTheme="minorHAnsi" w:cstheme="minorBidi"/>
      <w:b/>
      <w:bCs/>
      <w:szCs w:val="20"/>
    </w:rPr>
  </w:style>
  <w:style w:type="character" w:customStyle="1" w:styleId="CommentSubjectChar">
    <w:name w:val="Comment Subject Char"/>
    <w:basedOn w:val="CommentTextChar"/>
    <w:link w:val="CommentSubject"/>
    <w:uiPriority w:val="99"/>
    <w:semiHidden/>
    <w:rsid w:val="004C7215"/>
    <w:rPr>
      <w:rFonts w:ascii="Times New Roman" w:eastAsia="Times New Roman" w:hAnsi="Times New Roman" w:cs="Times New Roman"/>
      <w:b/>
      <w:bCs/>
      <w:sz w:val="20"/>
      <w:szCs w:val="20"/>
    </w:rPr>
  </w:style>
  <w:style w:type="paragraph" w:customStyle="1" w:styleId="bullets">
    <w:name w:val="bullets"/>
    <w:basedOn w:val="Normal"/>
    <w:rsid w:val="001C6F19"/>
    <w:pPr>
      <w:numPr>
        <w:numId w:val="5"/>
      </w:numPr>
      <w:spacing w:after="240"/>
    </w:pPr>
    <w:rPr>
      <w:rFonts w:eastAsia="Times New Roman" w:cs="Times New Roman"/>
      <w:sz w:val="24"/>
      <w:szCs w:val="24"/>
    </w:rPr>
  </w:style>
  <w:style w:type="paragraph" w:customStyle="1" w:styleId="bullets-2ndlevel">
    <w:name w:val="bullets-2nd level"/>
    <w:basedOn w:val="bullets"/>
    <w:rsid w:val="001C6F19"/>
    <w:pPr>
      <w:numPr>
        <w:ilvl w:val="1"/>
        <w:numId w:val="6"/>
      </w:numPr>
    </w:pPr>
  </w:style>
  <w:style w:type="table" w:customStyle="1" w:styleId="ColorfulGrid-Accent51">
    <w:name w:val="Colorful Grid - Accent 51"/>
    <w:basedOn w:val="TableNormal"/>
    <w:next w:val="ColorfulGrid-Accent5"/>
    <w:rsid w:val="00463CA4"/>
    <w:rPr>
      <w:rFonts w:ascii="Calibri" w:eastAsia="Calibri"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olorfulGrid-Accent5">
    <w:name w:val="Colorful Grid Accent 5"/>
    <w:basedOn w:val="TableNormal"/>
    <w:uiPriority w:val="73"/>
    <w:semiHidden/>
    <w:unhideWhenUsed/>
    <w:rsid w:val="00463CA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customStyle="1" w:styleId="Heading1title">
    <w:name w:val="Heading 1 title"/>
    <w:basedOn w:val="NoSpacing"/>
    <w:qFormat/>
    <w:rsid w:val="00A8600F"/>
    <w:pPr>
      <w:jc w:val="center"/>
    </w:pPr>
    <w:rPr>
      <w:b/>
      <w:u w:val="single"/>
    </w:rPr>
  </w:style>
  <w:style w:type="character" w:customStyle="1" w:styleId="Mention1">
    <w:name w:val="Mention1"/>
    <w:basedOn w:val="DefaultParagraphFont"/>
    <w:uiPriority w:val="99"/>
    <w:semiHidden/>
    <w:unhideWhenUsed/>
    <w:rsid w:val="0052358D"/>
    <w:rPr>
      <w:color w:val="2B579A"/>
      <w:shd w:val="clear" w:color="auto" w:fill="E6E6E6"/>
    </w:rPr>
  </w:style>
  <w:style w:type="paragraph" w:styleId="Revision">
    <w:name w:val="Revision"/>
    <w:hidden/>
    <w:uiPriority w:val="99"/>
    <w:semiHidden/>
    <w:rsid w:val="00EB21B5"/>
    <w:rPr>
      <w:rFonts w:ascii="Times New Roman" w:hAnsi="Times New Roman"/>
    </w:rPr>
  </w:style>
  <w:style w:type="character" w:customStyle="1" w:styleId="Mention2">
    <w:name w:val="Mention2"/>
    <w:basedOn w:val="DefaultParagraphFont"/>
    <w:uiPriority w:val="99"/>
    <w:semiHidden/>
    <w:unhideWhenUsed/>
    <w:rsid w:val="00DD2325"/>
    <w:rPr>
      <w:color w:val="2B579A"/>
      <w:shd w:val="clear" w:color="auto" w:fill="E6E6E6"/>
    </w:rPr>
  </w:style>
  <w:style w:type="paragraph" w:styleId="ListContinue">
    <w:name w:val="List Continue"/>
    <w:basedOn w:val="Normal"/>
    <w:uiPriority w:val="99"/>
    <w:semiHidden/>
    <w:unhideWhenUsed/>
    <w:rsid w:val="00E20F23"/>
    <w:pPr>
      <w:spacing w:after="120"/>
      <w:ind w:left="360"/>
      <w:contextualSpacing/>
    </w:pPr>
  </w:style>
  <w:style w:type="character" w:customStyle="1" w:styleId="UnresolvedMention">
    <w:name w:val="Unresolved Mention"/>
    <w:basedOn w:val="DefaultParagraphFont"/>
    <w:uiPriority w:val="99"/>
    <w:semiHidden/>
    <w:unhideWhenUsed/>
    <w:rsid w:val="00EB33D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5E"/>
    <w:rPr>
      <w:rFonts w:ascii="Times New Roman" w:hAnsi="Times New Roman"/>
    </w:rPr>
  </w:style>
  <w:style w:type="paragraph" w:styleId="Heading1">
    <w:name w:val="heading 1"/>
    <w:basedOn w:val="Normal"/>
    <w:next w:val="Normal"/>
    <w:link w:val="Heading1Char"/>
    <w:uiPriority w:val="9"/>
    <w:qFormat/>
    <w:rsid w:val="002216DB"/>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DB"/>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EF075E"/>
    <w:rPr>
      <w:rFonts w:ascii="Times New Roman" w:hAnsi="Times New Roman"/>
    </w:rPr>
  </w:style>
  <w:style w:type="paragraph" w:styleId="Header">
    <w:name w:val="header"/>
    <w:basedOn w:val="Normal"/>
    <w:link w:val="HeaderChar"/>
    <w:uiPriority w:val="99"/>
    <w:unhideWhenUsed/>
    <w:rsid w:val="00EF075E"/>
    <w:pPr>
      <w:tabs>
        <w:tab w:val="center" w:pos="4680"/>
        <w:tab w:val="right" w:pos="9360"/>
      </w:tabs>
    </w:pPr>
  </w:style>
  <w:style w:type="character" w:customStyle="1" w:styleId="HeaderChar">
    <w:name w:val="Header Char"/>
    <w:basedOn w:val="DefaultParagraphFont"/>
    <w:link w:val="Header"/>
    <w:uiPriority w:val="99"/>
    <w:rsid w:val="00EF075E"/>
    <w:rPr>
      <w:rFonts w:ascii="Times New Roman" w:hAnsi="Times New Roman"/>
    </w:rPr>
  </w:style>
  <w:style w:type="paragraph" w:styleId="Footer">
    <w:name w:val="footer"/>
    <w:basedOn w:val="Normal"/>
    <w:link w:val="FooterChar"/>
    <w:uiPriority w:val="99"/>
    <w:unhideWhenUsed/>
    <w:rsid w:val="00EF075E"/>
    <w:pPr>
      <w:tabs>
        <w:tab w:val="center" w:pos="4680"/>
        <w:tab w:val="right" w:pos="9360"/>
      </w:tabs>
    </w:pPr>
  </w:style>
  <w:style w:type="character" w:customStyle="1" w:styleId="FooterChar">
    <w:name w:val="Footer Char"/>
    <w:basedOn w:val="DefaultParagraphFont"/>
    <w:link w:val="Footer"/>
    <w:uiPriority w:val="99"/>
    <w:rsid w:val="00EF075E"/>
    <w:rPr>
      <w:rFonts w:ascii="Times New Roman" w:hAnsi="Times New Roman"/>
    </w:rPr>
  </w:style>
  <w:style w:type="paragraph" w:styleId="TOC1">
    <w:name w:val="toc 1"/>
    <w:basedOn w:val="Normal"/>
    <w:next w:val="Normal"/>
    <w:uiPriority w:val="39"/>
    <w:rsid w:val="00EF075E"/>
    <w:pPr>
      <w:tabs>
        <w:tab w:val="right" w:leader="dot" w:pos="9360"/>
      </w:tabs>
      <w:spacing w:before="240"/>
      <w:ind w:left="540" w:right="720" w:hanging="540"/>
    </w:pPr>
    <w:rPr>
      <w:rFonts w:eastAsia="Times New Roman" w:cs="Times New Roman"/>
      <w:noProof/>
      <w:sz w:val="24"/>
      <w:szCs w:val="24"/>
    </w:rPr>
  </w:style>
  <w:style w:type="paragraph" w:styleId="TOC2">
    <w:name w:val="toc 2"/>
    <w:basedOn w:val="Normal"/>
    <w:next w:val="Normal"/>
    <w:uiPriority w:val="39"/>
    <w:rsid w:val="00EF075E"/>
    <w:pPr>
      <w:tabs>
        <w:tab w:val="right" w:leader="dot" w:pos="9360"/>
      </w:tabs>
      <w:ind w:left="1080" w:right="720" w:hanging="540"/>
    </w:pPr>
    <w:rPr>
      <w:rFonts w:eastAsia="Times New Roman" w:cs="Times New Roman"/>
      <w:noProof/>
      <w:sz w:val="24"/>
      <w:szCs w:val="24"/>
    </w:rPr>
  </w:style>
  <w:style w:type="paragraph" w:customStyle="1" w:styleId="Question">
    <w:name w:val="Question"/>
    <w:basedOn w:val="Normal"/>
    <w:rsid w:val="00EF075E"/>
    <w:pPr>
      <w:widowControl w:val="0"/>
      <w:tabs>
        <w:tab w:val="left" w:pos="547"/>
      </w:tabs>
      <w:spacing w:before="240" w:after="120"/>
      <w:ind w:left="547" w:hanging="547"/>
    </w:pPr>
    <w:rPr>
      <w:rFonts w:ascii="Arial" w:eastAsia="Times New Roman" w:hAnsi="Arial" w:cs="Times New Roman"/>
      <w:b/>
      <w:sz w:val="24"/>
      <w:szCs w:val="20"/>
    </w:rPr>
  </w:style>
  <w:style w:type="paragraph" w:customStyle="1" w:styleId="TOC0">
    <w:name w:val="TOC 0"/>
    <w:basedOn w:val="Normal"/>
    <w:rsid w:val="00EF075E"/>
    <w:pPr>
      <w:spacing w:before="240" w:after="240"/>
      <w:jc w:val="center"/>
    </w:pPr>
    <w:rPr>
      <w:rFonts w:eastAsia="Times New Roman" w:cs="Times New Roman"/>
      <w:b/>
      <w:caps/>
      <w:sz w:val="24"/>
      <w:szCs w:val="24"/>
    </w:rPr>
  </w:style>
  <w:style w:type="paragraph" w:styleId="TOCHeading">
    <w:name w:val="TOC Heading"/>
    <w:basedOn w:val="Heading1"/>
    <w:next w:val="Normal"/>
    <w:uiPriority w:val="39"/>
    <w:unhideWhenUsed/>
    <w:qFormat/>
    <w:rsid w:val="00D2685F"/>
    <w:pPr>
      <w:spacing w:line="259" w:lineRule="auto"/>
      <w:outlineLvl w:val="9"/>
    </w:pPr>
  </w:style>
  <w:style w:type="paragraph" w:styleId="FootnoteText">
    <w:name w:val="footnote text"/>
    <w:aliases w:val="Char18"/>
    <w:basedOn w:val="Normal"/>
    <w:link w:val="FootnoteTextChar"/>
    <w:uiPriority w:val="99"/>
    <w:rsid w:val="00271B44"/>
    <w:pPr>
      <w:spacing w:after="240"/>
      <w:ind w:left="274" w:hanging="274"/>
    </w:pPr>
    <w:rPr>
      <w:rFonts w:eastAsia="Times New Roman" w:cs="Times New Roman"/>
      <w:sz w:val="20"/>
      <w:szCs w:val="24"/>
    </w:rPr>
  </w:style>
  <w:style w:type="character" w:customStyle="1" w:styleId="FootnoteTextChar">
    <w:name w:val="Footnote Text Char"/>
    <w:aliases w:val="Char18 Char"/>
    <w:basedOn w:val="DefaultParagraphFont"/>
    <w:link w:val="FootnoteText"/>
    <w:uiPriority w:val="99"/>
    <w:rsid w:val="00271B44"/>
    <w:rPr>
      <w:rFonts w:ascii="Times New Roman" w:eastAsia="Times New Roman" w:hAnsi="Times New Roman" w:cs="Times New Roman"/>
      <w:sz w:val="20"/>
      <w:szCs w:val="24"/>
    </w:rPr>
  </w:style>
  <w:style w:type="character" w:styleId="FootnoteReference">
    <w:name w:val="footnote reference"/>
    <w:basedOn w:val="DefaultParagraphFont"/>
    <w:uiPriority w:val="99"/>
    <w:rsid w:val="00271B44"/>
    <w:rPr>
      <w:position w:val="6"/>
      <w:sz w:val="18"/>
    </w:rPr>
  </w:style>
  <w:style w:type="paragraph" w:customStyle="1" w:styleId="Default">
    <w:name w:val="Default"/>
    <w:rsid w:val="00271B44"/>
    <w:pPr>
      <w:autoSpaceDE w:val="0"/>
      <w:autoSpaceDN w:val="0"/>
      <w:adjustRightInd w:val="0"/>
    </w:pPr>
    <w:rPr>
      <w:rFonts w:ascii="Calibri" w:hAnsi="Calibri" w:cs="Calibri"/>
      <w:color w:val="000000"/>
      <w:sz w:val="24"/>
      <w:szCs w:val="24"/>
    </w:rPr>
  </w:style>
  <w:style w:type="paragraph" w:styleId="ListContinue2">
    <w:name w:val="List Continue 2"/>
    <w:basedOn w:val="Normal"/>
    <w:rsid w:val="00694D3E"/>
    <w:pPr>
      <w:spacing w:after="120"/>
      <w:ind w:left="720"/>
      <w:contextualSpacing/>
    </w:pPr>
    <w:rPr>
      <w:rFonts w:eastAsia="Times New Roman" w:cs="Times New Roman"/>
      <w:sz w:val="24"/>
      <w:szCs w:val="24"/>
    </w:rPr>
  </w:style>
  <w:style w:type="paragraph" w:customStyle="1" w:styleId="bodytextChar">
    <w:name w:val="body text Char"/>
    <w:aliases w:val="bt Char,body tx Char,indent Char,flush Char,memo body text Char,body text,bt,body tx,indent,flush,memo body text,indent Char Char Char Char Char,indent Char Char Char Char"/>
    <w:basedOn w:val="Normal"/>
    <w:link w:val="bodytextCharChar"/>
    <w:rsid w:val="00B704D4"/>
    <w:pPr>
      <w:spacing w:after="240"/>
      <w:ind w:firstLine="720"/>
    </w:pPr>
    <w:rPr>
      <w:rFonts w:eastAsia="Times New Roman" w:cs="Times New Roman"/>
      <w:sz w:val="24"/>
      <w:szCs w:val="24"/>
    </w:rPr>
  </w:style>
  <w:style w:type="character" w:customStyle="1" w:styleId="bodytextCharChar">
    <w:name w:val="body text Char Char"/>
    <w:aliases w:val="bt Char Char,body tx Char Char,indent Char Char,flush Char Char,memo body text Char Char"/>
    <w:basedOn w:val="DefaultParagraphFont"/>
    <w:link w:val="bodytextChar"/>
    <w:rsid w:val="00B704D4"/>
    <w:rPr>
      <w:rFonts w:ascii="Times New Roman" w:eastAsia="Times New Roman" w:hAnsi="Times New Roman" w:cs="Times New Roman"/>
      <w:sz w:val="24"/>
      <w:szCs w:val="24"/>
    </w:rPr>
  </w:style>
  <w:style w:type="character" w:styleId="CommentReference">
    <w:name w:val="annotation reference"/>
    <w:basedOn w:val="DefaultParagraphFont"/>
    <w:rsid w:val="00B704D4"/>
    <w:rPr>
      <w:sz w:val="16"/>
      <w:szCs w:val="16"/>
    </w:rPr>
  </w:style>
  <w:style w:type="paragraph" w:styleId="CommentText">
    <w:name w:val="annotation text"/>
    <w:basedOn w:val="Normal"/>
    <w:link w:val="CommentTextChar"/>
    <w:rsid w:val="00B704D4"/>
    <w:rPr>
      <w:rFonts w:eastAsia="Times New Roman" w:cs="Times New Roman"/>
      <w:sz w:val="20"/>
      <w:szCs w:val="24"/>
    </w:rPr>
  </w:style>
  <w:style w:type="character" w:customStyle="1" w:styleId="CommentTextChar">
    <w:name w:val="Comment Text Char"/>
    <w:basedOn w:val="DefaultParagraphFont"/>
    <w:link w:val="CommentText"/>
    <w:rsid w:val="00B704D4"/>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B70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4D4"/>
    <w:rPr>
      <w:rFonts w:ascii="Segoe UI" w:hAnsi="Segoe UI" w:cs="Segoe UI"/>
      <w:sz w:val="18"/>
      <w:szCs w:val="18"/>
    </w:rPr>
  </w:style>
  <w:style w:type="paragraph" w:customStyle="1" w:styleId="bullet">
    <w:name w:val="bullet"/>
    <w:rsid w:val="00941EEC"/>
    <w:pPr>
      <w:numPr>
        <w:numId w:val="4"/>
      </w:numPr>
      <w:spacing w:after="360"/>
    </w:pPr>
    <w:rPr>
      <w:rFonts w:ascii="Arial" w:eastAsia="Times New Roman" w:hAnsi="Arial" w:cs="Times New Roman"/>
      <w:sz w:val="24"/>
      <w:szCs w:val="24"/>
    </w:rPr>
  </w:style>
  <w:style w:type="paragraph" w:styleId="Index2">
    <w:name w:val="index 2"/>
    <w:basedOn w:val="Normal"/>
    <w:next w:val="Normal"/>
    <w:semiHidden/>
    <w:rsid w:val="00941EEC"/>
    <w:pPr>
      <w:ind w:left="360"/>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C7215"/>
    <w:rPr>
      <w:rFonts w:eastAsiaTheme="minorHAnsi" w:cstheme="minorBidi"/>
      <w:b/>
      <w:bCs/>
      <w:szCs w:val="20"/>
    </w:rPr>
  </w:style>
  <w:style w:type="character" w:customStyle="1" w:styleId="CommentSubjectChar">
    <w:name w:val="Comment Subject Char"/>
    <w:basedOn w:val="CommentTextChar"/>
    <w:link w:val="CommentSubject"/>
    <w:uiPriority w:val="99"/>
    <w:semiHidden/>
    <w:rsid w:val="004C7215"/>
    <w:rPr>
      <w:rFonts w:ascii="Times New Roman" w:eastAsia="Times New Roman" w:hAnsi="Times New Roman" w:cs="Times New Roman"/>
      <w:b/>
      <w:bCs/>
      <w:sz w:val="20"/>
      <w:szCs w:val="20"/>
    </w:rPr>
  </w:style>
  <w:style w:type="paragraph" w:customStyle="1" w:styleId="bullets">
    <w:name w:val="bullets"/>
    <w:basedOn w:val="Normal"/>
    <w:rsid w:val="001C6F19"/>
    <w:pPr>
      <w:numPr>
        <w:numId w:val="5"/>
      </w:numPr>
      <w:spacing w:after="240"/>
    </w:pPr>
    <w:rPr>
      <w:rFonts w:eastAsia="Times New Roman" w:cs="Times New Roman"/>
      <w:sz w:val="24"/>
      <w:szCs w:val="24"/>
    </w:rPr>
  </w:style>
  <w:style w:type="paragraph" w:customStyle="1" w:styleId="bullets-2ndlevel">
    <w:name w:val="bullets-2nd level"/>
    <w:basedOn w:val="bullets"/>
    <w:rsid w:val="001C6F19"/>
    <w:pPr>
      <w:numPr>
        <w:ilvl w:val="1"/>
        <w:numId w:val="6"/>
      </w:numPr>
    </w:pPr>
  </w:style>
  <w:style w:type="table" w:customStyle="1" w:styleId="ColorfulGrid-Accent51">
    <w:name w:val="Colorful Grid - Accent 51"/>
    <w:basedOn w:val="TableNormal"/>
    <w:next w:val="ColorfulGrid-Accent5"/>
    <w:rsid w:val="00463CA4"/>
    <w:rPr>
      <w:rFonts w:ascii="Calibri" w:eastAsia="Calibri"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olorfulGrid-Accent5">
    <w:name w:val="Colorful Grid Accent 5"/>
    <w:basedOn w:val="TableNormal"/>
    <w:uiPriority w:val="73"/>
    <w:semiHidden/>
    <w:unhideWhenUsed/>
    <w:rsid w:val="00463CA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customStyle="1" w:styleId="Heading1title">
    <w:name w:val="Heading 1 title"/>
    <w:basedOn w:val="NoSpacing"/>
    <w:qFormat/>
    <w:rsid w:val="00A8600F"/>
    <w:pPr>
      <w:jc w:val="center"/>
    </w:pPr>
    <w:rPr>
      <w:b/>
      <w:u w:val="single"/>
    </w:rPr>
  </w:style>
  <w:style w:type="character" w:customStyle="1" w:styleId="Mention1">
    <w:name w:val="Mention1"/>
    <w:basedOn w:val="DefaultParagraphFont"/>
    <w:uiPriority w:val="99"/>
    <w:semiHidden/>
    <w:unhideWhenUsed/>
    <w:rsid w:val="0052358D"/>
    <w:rPr>
      <w:color w:val="2B579A"/>
      <w:shd w:val="clear" w:color="auto" w:fill="E6E6E6"/>
    </w:rPr>
  </w:style>
  <w:style w:type="paragraph" w:styleId="Revision">
    <w:name w:val="Revision"/>
    <w:hidden/>
    <w:uiPriority w:val="99"/>
    <w:semiHidden/>
    <w:rsid w:val="00EB21B5"/>
    <w:rPr>
      <w:rFonts w:ascii="Times New Roman" w:hAnsi="Times New Roman"/>
    </w:rPr>
  </w:style>
  <w:style w:type="character" w:customStyle="1" w:styleId="Mention2">
    <w:name w:val="Mention2"/>
    <w:basedOn w:val="DefaultParagraphFont"/>
    <w:uiPriority w:val="99"/>
    <w:semiHidden/>
    <w:unhideWhenUsed/>
    <w:rsid w:val="00DD2325"/>
    <w:rPr>
      <w:color w:val="2B579A"/>
      <w:shd w:val="clear" w:color="auto" w:fill="E6E6E6"/>
    </w:rPr>
  </w:style>
  <w:style w:type="paragraph" w:styleId="ListContinue">
    <w:name w:val="List Continue"/>
    <w:basedOn w:val="Normal"/>
    <w:uiPriority w:val="99"/>
    <w:semiHidden/>
    <w:unhideWhenUsed/>
    <w:rsid w:val="00E20F23"/>
    <w:pPr>
      <w:spacing w:after="120"/>
      <w:ind w:left="360"/>
      <w:contextualSpacing/>
    </w:pPr>
  </w:style>
  <w:style w:type="character" w:customStyle="1" w:styleId="UnresolvedMention">
    <w:name w:val="Unresolved Mention"/>
    <w:basedOn w:val="DefaultParagraphFont"/>
    <w:uiPriority w:val="99"/>
    <w:semiHidden/>
    <w:unhideWhenUsed/>
    <w:rsid w:val="00EB33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7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tso.com/laser.html"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medicare.gov/longtermcarehospitalcompar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edicare.gov/longtermcarehospitalcompa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www.qtso.com/laser.html"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gpo.gov/fdsys/pkg/FR-2017-08-14/pdf/2017-16434.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oes291111.htm" TargetMode="External"/><Relationship Id="rId2" Type="http://schemas.openxmlformats.org/officeDocument/2006/relationships/hyperlink" Target="http://www.gpo.gov/fdsys/pkg/PLAW-111publ148/pdf/PLAW-111publ148.pdf" TargetMode="External"/><Relationship Id="rId1" Type="http://schemas.openxmlformats.org/officeDocument/2006/relationships/hyperlink" Target="http://www.gpo.gov/fdsys/pkg/FR-2011-08-18/pdf/2011-19719.pdf" TargetMode="External"/><Relationship Id="rId6" Type="http://schemas.openxmlformats.org/officeDocument/2006/relationships/hyperlink" Target="https://www.bls.gov/oes/current/oes436013.htm" TargetMode="External"/><Relationship Id="rId5" Type="http://schemas.openxmlformats.org/officeDocument/2006/relationships/hyperlink" Target="https://www.bls.gov/oes/current/oes291126.htm" TargetMode="External"/><Relationship Id="rId4" Type="http://schemas.openxmlformats.org/officeDocument/2006/relationships/hyperlink" Target="https://www.bls.gov/oes/current/oes29206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l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04C92E6C-5238-4780-9234-1F628B1E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3964</Words>
  <Characters>22598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Supporting Statement-Part A</vt:lpstr>
    </vt:vector>
  </TitlesOfParts>
  <Company/>
  <LinksUpToDate>false</LinksUpToDate>
  <CharactersWithSpaces>26509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Statement-Part A</dc:title>
  <dc:subject>Supporting Statement-Part A</dc:subject>
  <dc:creator>RTI International and/or Centers for Medicaid &amp; Medicare Services</dc:creator>
  <cp:keywords>Supporting Statement-Part A</cp:keywords>
  <dc:description/>
  <cp:lastModifiedBy>SYSTEM</cp:lastModifiedBy>
  <cp:revision>2</cp:revision>
  <cp:lastPrinted>2016-02-04T22:53:00Z</cp:lastPrinted>
  <dcterms:created xsi:type="dcterms:W3CDTF">2018-03-02T12:04:00Z</dcterms:created>
  <dcterms:modified xsi:type="dcterms:W3CDTF">2018-03-02T12:04:00Z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_NewReviewCycle">
    <vt:lpwstr/>
  </property>
  <property fmtid="{D5CDD505-2E9C-101B-9397-08002B2CF9AE}" pid="4" name="_AdHocReviewCycleID">
    <vt:i4>-1194384137</vt:i4>
  </property>
  <property fmtid="{D5CDD505-2E9C-101B-9397-08002B2CF9AE}" pid="5" name="_EmailSubject">
    <vt:lpwstr>0938-1163  LCTH Continuity Assessment Record and Evaluation (CARE) Data Set</vt:lpwstr>
  </property>
  <property fmtid="{D5CDD505-2E9C-101B-9397-08002B2CF9AE}" pid="6" name="_AuthorEmail">
    <vt:lpwstr>Denise.King@cms.hhs.gov</vt:lpwstr>
  </property>
  <property fmtid="{D5CDD505-2E9C-101B-9397-08002B2CF9AE}" pid="7" name="_AuthorEmailDisplayName">
    <vt:lpwstr>King, Denise W. (CMS/OSORA)</vt:lpwstr>
  </property>
  <property fmtid="{D5CDD505-2E9C-101B-9397-08002B2CF9AE}" pid="8" name="_PreviousAdHocReviewCycleID">
    <vt:i4>-997357247</vt:i4>
  </property>
  <property fmtid="{D5CDD505-2E9C-101B-9397-08002B2CF9AE}" pid="9" name="_ReviewingToolsShownOnce">
    <vt:lpwstr/>
  </property>
</Properties>
</file>