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B0961" w14:textId="77777777" w:rsidR="00BC1B1A" w:rsidRDefault="002C12A2" w:rsidP="004D3D47">
      <w:pPr>
        <w:pStyle w:val="Title"/>
      </w:pPr>
      <w:bookmarkStart w:id="0" w:name="_GoBack"/>
      <w:bookmarkEnd w:id="0"/>
      <w:r>
        <w:t xml:space="preserve">Supporting Statement – Part </w:t>
      </w:r>
      <w:r w:rsidR="00882C92">
        <w:t>B</w:t>
      </w:r>
    </w:p>
    <w:p w14:paraId="3203896F" w14:textId="77777777" w:rsidR="002C12A2" w:rsidRDefault="00061319" w:rsidP="004D3D47">
      <w:pPr>
        <w:pStyle w:val="Subtitle"/>
      </w:pPr>
      <w:r>
        <w:t xml:space="preserve">Generic </w:t>
      </w:r>
      <w:r w:rsidR="00B92A82">
        <w:t>Social Market</w:t>
      </w:r>
      <w:r w:rsidR="00AC700C">
        <w:t>ing</w:t>
      </w:r>
      <w:r w:rsidR="00B92A82">
        <w:t xml:space="preserve"> </w:t>
      </w:r>
      <w:r>
        <w:t xml:space="preserve">&amp; Consumer Testing </w:t>
      </w:r>
      <w:r w:rsidR="00B92A82">
        <w:t>Research</w:t>
      </w:r>
      <w:r w:rsidR="0057594F">
        <w:t xml:space="preserve"> CMS-</w:t>
      </w:r>
      <w:r w:rsidR="0057594F" w:rsidRPr="00F853DB">
        <w:t>10437</w:t>
      </w:r>
    </w:p>
    <w:p w14:paraId="4CBC2DD5" w14:textId="77777777" w:rsidR="00882C92" w:rsidRPr="00333909" w:rsidRDefault="00882C92" w:rsidP="00882C92">
      <w:pPr>
        <w:pStyle w:val="Heading1"/>
      </w:pPr>
      <w:r w:rsidRPr="00333909">
        <w:t>STATISTICAL METHODS</w:t>
      </w:r>
    </w:p>
    <w:p w14:paraId="6A371B4B" w14:textId="77777777" w:rsidR="00882C92" w:rsidRPr="00333909" w:rsidRDefault="00882C92" w:rsidP="00882C92">
      <w:pPr>
        <w:spacing w:after="0" w:line="240" w:lineRule="auto"/>
        <w:rPr>
          <w:rFonts w:ascii="Times New Roman" w:hAnsi="Times New Roman"/>
          <w:b/>
          <w:sz w:val="24"/>
          <w:szCs w:val="24"/>
        </w:rPr>
      </w:pPr>
      <w:r w:rsidRPr="00333909">
        <w:rPr>
          <w:rFonts w:ascii="Times New Roman" w:hAnsi="Times New Roman"/>
          <w:sz w:val="24"/>
          <w:szCs w:val="24"/>
        </w:rPr>
        <w:t xml:space="preserve">Data collection methods and procedures will vary; however, the primary purpose of these collections will be for internal management </w:t>
      </w:r>
      <w:r w:rsidR="00555120">
        <w:rPr>
          <w:rFonts w:ascii="Times New Roman" w:hAnsi="Times New Roman"/>
          <w:sz w:val="24"/>
          <w:szCs w:val="24"/>
        </w:rPr>
        <w:t xml:space="preserve">and communications development </w:t>
      </w:r>
      <w:r w:rsidRPr="00333909">
        <w:rPr>
          <w:rFonts w:ascii="Times New Roman" w:hAnsi="Times New Roman"/>
          <w:sz w:val="24"/>
          <w:szCs w:val="24"/>
        </w:rPr>
        <w:t>purposes; there are no plans to publish or otherwise release this information</w:t>
      </w:r>
      <w:r w:rsidR="00555120">
        <w:rPr>
          <w:rFonts w:ascii="Times New Roman" w:hAnsi="Times New Roman"/>
          <w:sz w:val="24"/>
          <w:szCs w:val="24"/>
        </w:rPr>
        <w:t xml:space="preserve"> as official agency documents</w:t>
      </w:r>
      <w:r w:rsidRPr="00333909">
        <w:rPr>
          <w:rFonts w:ascii="Times New Roman" w:hAnsi="Times New Roman"/>
          <w:sz w:val="24"/>
          <w:szCs w:val="24"/>
        </w:rPr>
        <w:t xml:space="preserve">.  </w:t>
      </w:r>
    </w:p>
    <w:p w14:paraId="5F1F010F" w14:textId="77777777" w:rsidR="00882C92" w:rsidRPr="00333909" w:rsidRDefault="00882C92" w:rsidP="00882C92">
      <w:pPr>
        <w:spacing w:after="0" w:line="240" w:lineRule="auto"/>
        <w:rPr>
          <w:rFonts w:ascii="Times New Roman" w:hAnsi="Times New Roman"/>
          <w:b/>
          <w:sz w:val="24"/>
          <w:szCs w:val="24"/>
        </w:rPr>
      </w:pPr>
    </w:p>
    <w:p w14:paraId="43787D1B" w14:textId="77777777" w:rsidR="00882C92" w:rsidRPr="00333909" w:rsidRDefault="00882C92" w:rsidP="00882C92">
      <w:pPr>
        <w:pStyle w:val="ListParagraph"/>
        <w:numPr>
          <w:ilvl w:val="0"/>
          <w:numId w:val="18"/>
        </w:numPr>
        <w:spacing w:after="0" w:line="240" w:lineRule="auto"/>
        <w:contextualSpacing/>
        <w:rPr>
          <w:rFonts w:ascii="Times New Roman" w:hAnsi="Times New Roman"/>
          <w:b/>
          <w:sz w:val="24"/>
          <w:szCs w:val="24"/>
        </w:rPr>
      </w:pPr>
      <w:r w:rsidRPr="00333909">
        <w:rPr>
          <w:rFonts w:ascii="Times New Roman" w:hAnsi="Times New Roman"/>
          <w:b/>
          <w:sz w:val="24"/>
          <w:szCs w:val="24"/>
        </w:rPr>
        <w:t>Universe and Respondent Selection</w:t>
      </w:r>
    </w:p>
    <w:p w14:paraId="00645ACA" w14:textId="77777777" w:rsidR="00882C92" w:rsidRPr="00333909" w:rsidRDefault="00882C92" w:rsidP="00882C92">
      <w:pPr>
        <w:pStyle w:val="ListParagraph"/>
        <w:spacing w:after="0" w:line="240" w:lineRule="auto"/>
        <w:ind w:left="360"/>
        <w:rPr>
          <w:rFonts w:ascii="Times New Roman" w:hAnsi="Times New Roman"/>
          <w:b/>
          <w:sz w:val="24"/>
          <w:szCs w:val="24"/>
        </w:rPr>
      </w:pPr>
    </w:p>
    <w:p w14:paraId="24FBB307" w14:textId="77777777" w:rsidR="00882C92" w:rsidRPr="00333909" w:rsidRDefault="00882C92" w:rsidP="00882C92">
      <w:pPr>
        <w:pStyle w:val="ListParagraph"/>
        <w:spacing w:after="0" w:line="240" w:lineRule="auto"/>
        <w:ind w:left="360"/>
        <w:rPr>
          <w:rFonts w:ascii="Times New Roman" w:hAnsi="Times New Roman"/>
          <w:sz w:val="24"/>
          <w:szCs w:val="24"/>
        </w:rPr>
      </w:pPr>
      <w:r w:rsidRPr="00333909">
        <w:rPr>
          <w:rFonts w:ascii="Times New Roman" w:hAnsi="Times New Roman"/>
          <w:sz w:val="24"/>
          <w:szCs w:val="24"/>
        </w:rPr>
        <w:t xml:space="preserve">The activities under this clearance </w:t>
      </w:r>
      <w:r>
        <w:rPr>
          <w:rFonts w:ascii="Times New Roman" w:hAnsi="Times New Roman"/>
          <w:sz w:val="24"/>
          <w:szCs w:val="24"/>
        </w:rPr>
        <w:t xml:space="preserve">involve a combination of qualitative and quantitative approaches.  In most cases they will </w:t>
      </w:r>
      <w:r w:rsidRPr="00333909">
        <w:rPr>
          <w:rFonts w:ascii="Times New Roman" w:hAnsi="Times New Roman"/>
          <w:sz w:val="24"/>
          <w:szCs w:val="24"/>
        </w:rPr>
        <w:t xml:space="preserve">involve samples of self-selected customers, as well as convenience samples, and quota samples, with respondents selected either to cover a broad range of </w:t>
      </w:r>
      <w:r w:rsidR="008162FB">
        <w:rPr>
          <w:rFonts w:ascii="Times New Roman" w:hAnsi="Times New Roman"/>
          <w:sz w:val="24"/>
          <w:szCs w:val="24"/>
        </w:rPr>
        <w:t>consumers</w:t>
      </w:r>
      <w:r w:rsidRPr="00333909">
        <w:rPr>
          <w:rFonts w:ascii="Times New Roman" w:hAnsi="Times New Roman"/>
          <w:sz w:val="24"/>
          <w:szCs w:val="24"/>
        </w:rPr>
        <w:t xml:space="preserve"> or to include specific characteristics related to certain products or services.  </w:t>
      </w:r>
      <w:r>
        <w:rPr>
          <w:rFonts w:ascii="Times New Roman" w:hAnsi="Times New Roman"/>
          <w:sz w:val="24"/>
          <w:szCs w:val="24"/>
        </w:rPr>
        <w:t xml:space="preserve">In particular, for small sample qualitative studies and qualitative surveys using non-probability samples, limitations regarding the ability to </w:t>
      </w:r>
      <w:r w:rsidRPr="00C322ED">
        <w:rPr>
          <w:rFonts w:ascii="Times New Roman" w:hAnsi="Times New Roman"/>
          <w:sz w:val="24"/>
          <w:szCs w:val="24"/>
        </w:rPr>
        <w:t>generalize</w:t>
      </w:r>
      <w:r>
        <w:rPr>
          <w:rFonts w:ascii="Times New Roman" w:hAnsi="Times New Roman"/>
          <w:sz w:val="24"/>
          <w:szCs w:val="24"/>
        </w:rPr>
        <w:t xml:space="preserve"> from the results will be noted.  Such r</w:t>
      </w:r>
      <w:r w:rsidRPr="00333909">
        <w:rPr>
          <w:rFonts w:ascii="Times New Roman" w:hAnsi="Times New Roman"/>
          <w:sz w:val="24"/>
          <w:szCs w:val="24"/>
        </w:rPr>
        <w:t xml:space="preserve">esults will not be used to make statements representative of the universe of study, to produce </w:t>
      </w:r>
      <w:r>
        <w:rPr>
          <w:rFonts w:ascii="Times New Roman" w:hAnsi="Times New Roman"/>
          <w:sz w:val="24"/>
          <w:szCs w:val="24"/>
        </w:rPr>
        <w:t>formal statistical descriptions</w:t>
      </w:r>
      <w:r w:rsidRPr="00333909">
        <w:rPr>
          <w:rFonts w:ascii="Times New Roman" w:hAnsi="Times New Roman"/>
          <w:sz w:val="24"/>
          <w:szCs w:val="24"/>
        </w:rPr>
        <w:t xml:space="preserve">, or to </w:t>
      </w:r>
      <w:r w:rsidRPr="00C322ED">
        <w:rPr>
          <w:rFonts w:ascii="Times New Roman" w:hAnsi="Times New Roman"/>
          <w:sz w:val="24"/>
          <w:szCs w:val="24"/>
        </w:rPr>
        <w:t>generaliz</w:t>
      </w:r>
      <w:r w:rsidRPr="00333909">
        <w:rPr>
          <w:rFonts w:ascii="Times New Roman" w:hAnsi="Times New Roman"/>
          <w:sz w:val="24"/>
          <w:szCs w:val="24"/>
        </w:rPr>
        <w:t xml:space="preserve">e the data beyond the scope of the sample.  The specific sample planned for each individual collection and the method for soliciting participation will be described fully in each collection request.  </w:t>
      </w:r>
    </w:p>
    <w:p w14:paraId="670FDD7F" w14:textId="77777777" w:rsidR="00882C92" w:rsidRPr="00333909" w:rsidRDefault="00882C92" w:rsidP="00882C92">
      <w:pPr>
        <w:pStyle w:val="ListParagraph"/>
        <w:spacing w:after="0" w:line="240" w:lineRule="auto"/>
        <w:ind w:left="360"/>
        <w:rPr>
          <w:rFonts w:ascii="Times New Roman" w:hAnsi="Times New Roman"/>
          <w:sz w:val="24"/>
          <w:szCs w:val="24"/>
        </w:rPr>
      </w:pPr>
    </w:p>
    <w:p w14:paraId="66B14413" w14:textId="6BD12126" w:rsidR="00882C92" w:rsidRPr="00555120" w:rsidRDefault="00882C92" w:rsidP="00555120">
      <w:pPr>
        <w:pStyle w:val="ListParagraph"/>
        <w:spacing w:after="0" w:line="240" w:lineRule="auto"/>
        <w:ind w:left="360"/>
        <w:rPr>
          <w:rFonts w:ascii="Times New Roman" w:hAnsi="Times New Roman"/>
          <w:sz w:val="24"/>
          <w:szCs w:val="24"/>
        </w:rPr>
      </w:pPr>
      <w:r>
        <w:rPr>
          <w:rFonts w:ascii="Times New Roman" w:hAnsi="Times New Roman"/>
          <w:sz w:val="24"/>
          <w:szCs w:val="24"/>
        </w:rPr>
        <w:t>The methods</w:t>
      </w:r>
      <w:r w:rsidRPr="00333909">
        <w:rPr>
          <w:rFonts w:ascii="Times New Roman" w:hAnsi="Times New Roman"/>
          <w:sz w:val="24"/>
          <w:szCs w:val="24"/>
        </w:rPr>
        <w:t xml:space="preserve"> </w:t>
      </w:r>
      <w:r>
        <w:rPr>
          <w:rFonts w:ascii="Times New Roman" w:hAnsi="Times New Roman"/>
          <w:sz w:val="24"/>
          <w:szCs w:val="24"/>
        </w:rPr>
        <w:t xml:space="preserve">used in this work </w:t>
      </w:r>
      <w:r w:rsidRPr="00333909">
        <w:rPr>
          <w:rFonts w:ascii="Times New Roman" w:hAnsi="Times New Roman"/>
          <w:sz w:val="24"/>
          <w:szCs w:val="24"/>
        </w:rPr>
        <w:t xml:space="preserve">are </w:t>
      </w:r>
      <w:r>
        <w:rPr>
          <w:rFonts w:ascii="Times New Roman" w:hAnsi="Times New Roman"/>
          <w:sz w:val="24"/>
          <w:szCs w:val="24"/>
        </w:rPr>
        <w:t xml:space="preserve">typical of the </w:t>
      </w:r>
      <w:r w:rsidRPr="00333909">
        <w:rPr>
          <w:rFonts w:ascii="Times New Roman" w:hAnsi="Times New Roman"/>
          <w:sz w:val="24"/>
          <w:szCs w:val="24"/>
        </w:rPr>
        <w:t xml:space="preserve">tools used by program managers to </w:t>
      </w:r>
      <w:r w:rsidR="00555120">
        <w:rPr>
          <w:rFonts w:ascii="Times New Roman" w:hAnsi="Times New Roman"/>
          <w:sz w:val="24"/>
          <w:szCs w:val="24"/>
        </w:rPr>
        <w:t xml:space="preserve">develop, </w:t>
      </w:r>
      <w:r w:rsidRPr="00333909">
        <w:rPr>
          <w:rFonts w:ascii="Times New Roman" w:hAnsi="Times New Roman"/>
          <w:sz w:val="24"/>
          <w:szCs w:val="24"/>
        </w:rPr>
        <w:t xml:space="preserve">change or improve programs, products, or services.  </w:t>
      </w:r>
      <w:r w:rsidR="002D663C">
        <w:rPr>
          <w:rFonts w:ascii="Times New Roman" w:hAnsi="Times New Roman"/>
          <w:sz w:val="24"/>
          <w:szCs w:val="24"/>
        </w:rPr>
        <w:t xml:space="preserve">However, this data will not be used to make programmatic decisions. </w:t>
      </w:r>
      <w:r w:rsidRPr="00333909">
        <w:rPr>
          <w:rFonts w:ascii="Times New Roman" w:hAnsi="Times New Roman"/>
          <w:sz w:val="24"/>
          <w:szCs w:val="24"/>
        </w:rPr>
        <w:t>The accuracy, reliability, and applicability</w:t>
      </w:r>
      <w:r>
        <w:rPr>
          <w:rFonts w:ascii="Times New Roman" w:hAnsi="Times New Roman"/>
          <w:sz w:val="24"/>
          <w:szCs w:val="24"/>
        </w:rPr>
        <w:t xml:space="preserve"> of the results of these methods</w:t>
      </w:r>
      <w:r w:rsidRPr="00333909">
        <w:rPr>
          <w:rFonts w:ascii="Times New Roman" w:hAnsi="Times New Roman"/>
          <w:sz w:val="24"/>
          <w:szCs w:val="24"/>
        </w:rPr>
        <w:t xml:space="preserve"> are adequate for their purpose</w:t>
      </w:r>
      <w:r w:rsidR="00555120">
        <w:rPr>
          <w:rFonts w:ascii="Times New Roman" w:hAnsi="Times New Roman"/>
          <w:sz w:val="24"/>
          <w:szCs w:val="24"/>
        </w:rPr>
        <w:t xml:space="preserve"> (see, e.g., Patton, 2011)</w:t>
      </w:r>
      <w:r w:rsidRPr="00333909">
        <w:rPr>
          <w:rFonts w:ascii="Times New Roman" w:hAnsi="Times New Roman"/>
          <w:sz w:val="24"/>
          <w:szCs w:val="24"/>
        </w:rPr>
        <w:t>.</w:t>
      </w:r>
      <w:r w:rsidR="00555120">
        <w:rPr>
          <w:rFonts w:ascii="Times New Roman" w:hAnsi="Times New Roman"/>
          <w:sz w:val="24"/>
          <w:szCs w:val="24"/>
        </w:rPr>
        <w:t xml:space="preserve">  </w:t>
      </w:r>
      <w:r w:rsidRPr="00555120">
        <w:rPr>
          <w:rFonts w:ascii="Times New Roman" w:hAnsi="Times New Roman"/>
          <w:sz w:val="24"/>
          <w:szCs w:val="24"/>
        </w:rPr>
        <w:t xml:space="preserve">The samples associated with this collection are not subjected to the same scrutiny as scientifically drawn samples where official Agency point estimates are published or otherwise released to the public.  </w:t>
      </w:r>
      <w:r w:rsidRPr="00555120">
        <w:rPr>
          <w:rFonts w:ascii="Times New Roman" w:hAnsi="Times New Roman"/>
          <w:sz w:val="24"/>
          <w:szCs w:val="24"/>
        </w:rPr>
        <w:tab/>
      </w:r>
    </w:p>
    <w:p w14:paraId="398D7F2B" w14:textId="77777777" w:rsidR="00882C92" w:rsidRPr="00333909" w:rsidRDefault="00882C92" w:rsidP="00882C92">
      <w:pPr>
        <w:pStyle w:val="ListParagraph"/>
        <w:spacing w:after="0" w:line="240" w:lineRule="auto"/>
        <w:ind w:left="360"/>
        <w:rPr>
          <w:rFonts w:ascii="Times New Roman" w:hAnsi="Times New Roman"/>
          <w:sz w:val="24"/>
          <w:szCs w:val="24"/>
        </w:rPr>
      </w:pPr>
    </w:p>
    <w:p w14:paraId="04546E8A" w14:textId="77777777" w:rsidR="00882C92" w:rsidRPr="00333909" w:rsidRDefault="00882C92" w:rsidP="00882C92">
      <w:pPr>
        <w:pStyle w:val="ListParagraph"/>
        <w:spacing w:after="0" w:line="240" w:lineRule="auto"/>
        <w:ind w:left="360"/>
        <w:rPr>
          <w:rFonts w:ascii="Times New Roman" w:hAnsi="Times New Roman"/>
          <w:b/>
          <w:sz w:val="24"/>
          <w:szCs w:val="24"/>
        </w:rPr>
      </w:pPr>
    </w:p>
    <w:p w14:paraId="36215669" w14:textId="77777777" w:rsidR="00882C92" w:rsidRPr="00333909" w:rsidRDefault="00882C92" w:rsidP="00882C92">
      <w:pPr>
        <w:pStyle w:val="ListParagraph"/>
        <w:numPr>
          <w:ilvl w:val="0"/>
          <w:numId w:val="18"/>
        </w:numPr>
        <w:spacing w:after="0" w:line="240" w:lineRule="auto"/>
        <w:contextualSpacing/>
        <w:rPr>
          <w:rFonts w:ascii="Times New Roman" w:hAnsi="Times New Roman"/>
          <w:b/>
          <w:sz w:val="24"/>
          <w:szCs w:val="24"/>
        </w:rPr>
      </w:pPr>
      <w:r w:rsidRPr="00333909">
        <w:rPr>
          <w:rFonts w:ascii="Times New Roman" w:hAnsi="Times New Roman"/>
          <w:b/>
          <w:sz w:val="24"/>
          <w:szCs w:val="24"/>
        </w:rPr>
        <w:t>Procedures for Collecting Information</w:t>
      </w:r>
    </w:p>
    <w:p w14:paraId="37FCCF6A" w14:textId="77777777" w:rsidR="00882C92" w:rsidRPr="00333909" w:rsidRDefault="00882C92" w:rsidP="00882C92">
      <w:pPr>
        <w:pStyle w:val="ListParagraph"/>
        <w:spacing w:after="0" w:line="240" w:lineRule="auto"/>
        <w:ind w:left="360"/>
        <w:rPr>
          <w:rFonts w:ascii="Times New Roman" w:hAnsi="Times New Roman"/>
          <w:b/>
          <w:sz w:val="24"/>
          <w:szCs w:val="24"/>
        </w:rPr>
      </w:pPr>
    </w:p>
    <w:p w14:paraId="78ADE41B" w14:textId="77777777" w:rsidR="00882C92" w:rsidRPr="00333909" w:rsidRDefault="00882C92" w:rsidP="00882C92">
      <w:pPr>
        <w:pStyle w:val="ListParagraph"/>
        <w:spacing w:after="0" w:line="240" w:lineRule="auto"/>
        <w:ind w:left="360"/>
        <w:rPr>
          <w:rFonts w:ascii="Times New Roman" w:hAnsi="Times New Roman"/>
          <w:sz w:val="24"/>
          <w:szCs w:val="24"/>
        </w:rPr>
      </w:pPr>
      <w:r>
        <w:rPr>
          <w:rFonts w:ascii="Times New Roman" w:hAnsi="Times New Roman"/>
          <w:sz w:val="24"/>
          <w:szCs w:val="24"/>
        </w:rPr>
        <w:t>Specific questions for inclusion in any study would be drawn from the approved Item Bank.</w:t>
      </w:r>
    </w:p>
    <w:p w14:paraId="4214CE67" w14:textId="51EE6B62" w:rsidR="00882C92" w:rsidRDefault="00882C92" w:rsidP="00882C92">
      <w:pPr>
        <w:pStyle w:val="ListParagraph"/>
        <w:spacing w:after="0" w:line="240" w:lineRule="auto"/>
        <w:ind w:left="360"/>
        <w:rPr>
          <w:rFonts w:ascii="Times New Roman" w:hAnsi="Times New Roman"/>
          <w:sz w:val="24"/>
          <w:szCs w:val="24"/>
        </w:rPr>
      </w:pPr>
      <w:r w:rsidRPr="00333909">
        <w:rPr>
          <w:rFonts w:ascii="Times New Roman" w:hAnsi="Times New Roman"/>
          <w:sz w:val="24"/>
          <w:szCs w:val="24"/>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r>
        <w:rPr>
          <w:rFonts w:ascii="Times New Roman" w:hAnsi="Times New Roman"/>
          <w:sz w:val="24"/>
          <w:szCs w:val="24"/>
        </w:rPr>
        <w:t xml:space="preserve">  </w:t>
      </w:r>
      <w:r w:rsidR="002D663C">
        <w:rPr>
          <w:rFonts w:ascii="Times New Roman" w:hAnsi="Times New Roman"/>
          <w:sz w:val="24"/>
          <w:szCs w:val="24"/>
        </w:rPr>
        <w:t>These materials will be shared with OMB for approval with each collection request.</w:t>
      </w:r>
    </w:p>
    <w:p w14:paraId="333F2328" w14:textId="77777777" w:rsidR="00AA5451" w:rsidRDefault="00AA5451" w:rsidP="00882C92">
      <w:pPr>
        <w:pStyle w:val="ListParagraph"/>
        <w:spacing w:after="0" w:line="240" w:lineRule="auto"/>
        <w:ind w:left="360"/>
        <w:rPr>
          <w:rFonts w:ascii="Times New Roman" w:hAnsi="Times New Roman"/>
          <w:sz w:val="24"/>
          <w:szCs w:val="24"/>
        </w:rPr>
      </w:pPr>
    </w:p>
    <w:p w14:paraId="183471ED" w14:textId="58A7251D" w:rsidR="00AA5451" w:rsidRPr="00333909" w:rsidRDefault="00AA5451" w:rsidP="00882C92">
      <w:pPr>
        <w:pStyle w:val="ListParagraph"/>
        <w:spacing w:after="0" w:line="240" w:lineRule="auto"/>
        <w:ind w:left="360"/>
        <w:rPr>
          <w:rFonts w:ascii="Times New Roman" w:hAnsi="Times New Roman"/>
          <w:sz w:val="24"/>
          <w:szCs w:val="24"/>
        </w:rPr>
      </w:pPr>
      <w:r>
        <w:rPr>
          <w:rFonts w:ascii="Times New Roman" w:hAnsi="Times New Roman"/>
          <w:sz w:val="24"/>
          <w:szCs w:val="24"/>
        </w:rPr>
        <w:lastRenderedPageBreak/>
        <w:t xml:space="preserve">When more precise qualitative information is called for, we will specify </w:t>
      </w:r>
      <w:r w:rsidR="00882D3B">
        <w:rPr>
          <w:rFonts w:ascii="Times New Roman" w:hAnsi="Times New Roman"/>
          <w:sz w:val="24"/>
          <w:szCs w:val="24"/>
        </w:rPr>
        <w:t xml:space="preserve">the target population and the </w:t>
      </w:r>
      <w:r>
        <w:rPr>
          <w:rFonts w:ascii="Times New Roman" w:hAnsi="Times New Roman"/>
          <w:sz w:val="24"/>
          <w:szCs w:val="24"/>
        </w:rPr>
        <w:t>sampling frames to be used</w:t>
      </w:r>
      <w:r w:rsidR="00882D3B">
        <w:rPr>
          <w:rFonts w:ascii="Times New Roman" w:hAnsi="Times New Roman"/>
          <w:sz w:val="24"/>
          <w:szCs w:val="24"/>
        </w:rPr>
        <w:t xml:space="preserve">.  In general, such work would also specify an acceptable margin of sampling error and the criterion confidence level desired following standard survey methods (e.g., </w:t>
      </w:r>
      <w:r w:rsidR="001C03C3">
        <w:rPr>
          <w:rFonts w:ascii="Times New Roman" w:hAnsi="Times New Roman"/>
          <w:sz w:val="24"/>
          <w:szCs w:val="24"/>
        </w:rPr>
        <w:t xml:space="preserve">Groves et al., 2009).  </w:t>
      </w:r>
      <w:r>
        <w:rPr>
          <w:rFonts w:ascii="Times New Roman" w:hAnsi="Times New Roman"/>
          <w:sz w:val="24"/>
          <w:szCs w:val="24"/>
        </w:rPr>
        <w:t xml:space="preserve"> </w:t>
      </w:r>
    </w:p>
    <w:p w14:paraId="2F035403" w14:textId="77777777" w:rsidR="00882C92" w:rsidRDefault="00882C92" w:rsidP="00882C92">
      <w:pPr>
        <w:pStyle w:val="ListParagraph"/>
        <w:spacing w:after="0" w:line="240" w:lineRule="auto"/>
        <w:ind w:left="0"/>
        <w:rPr>
          <w:rFonts w:ascii="Times New Roman" w:hAnsi="Times New Roman"/>
          <w:b/>
          <w:sz w:val="24"/>
          <w:szCs w:val="24"/>
        </w:rPr>
      </w:pPr>
    </w:p>
    <w:p w14:paraId="2DBAB26F" w14:textId="77777777" w:rsidR="00882C92" w:rsidRDefault="00882C92" w:rsidP="00882C92">
      <w:pPr>
        <w:pStyle w:val="ListParagraph"/>
        <w:spacing w:after="0" w:line="240" w:lineRule="auto"/>
        <w:ind w:left="0"/>
        <w:rPr>
          <w:rFonts w:ascii="Times New Roman" w:hAnsi="Times New Roman"/>
          <w:b/>
          <w:sz w:val="24"/>
          <w:szCs w:val="24"/>
        </w:rPr>
      </w:pPr>
    </w:p>
    <w:p w14:paraId="6E5C20C4" w14:textId="77777777" w:rsidR="00882C92" w:rsidRPr="00333909" w:rsidRDefault="00882C92" w:rsidP="00882C92">
      <w:pPr>
        <w:pStyle w:val="ListParagraph"/>
        <w:numPr>
          <w:ilvl w:val="0"/>
          <w:numId w:val="18"/>
        </w:numPr>
        <w:spacing w:after="0" w:line="240" w:lineRule="auto"/>
        <w:contextualSpacing/>
        <w:rPr>
          <w:rFonts w:ascii="Times New Roman" w:hAnsi="Times New Roman"/>
          <w:b/>
          <w:sz w:val="24"/>
          <w:szCs w:val="24"/>
        </w:rPr>
      </w:pPr>
      <w:r w:rsidRPr="00333909">
        <w:rPr>
          <w:rFonts w:ascii="Times New Roman" w:hAnsi="Times New Roman"/>
          <w:b/>
          <w:sz w:val="24"/>
          <w:szCs w:val="24"/>
        </w:rPr>
        <w:t>Methods to Maximize Response</w:t>
      </w:r>
      <w:r w:rsidR="00AA5451">
        <w:rPr>
          <w:rFonts w:ascii="Times New Roman" w:hAnsi="Times New Roman"/>
          <w:b/>
          <w:sz w:val="24"/>
          <w:szCs w:val="24"/>
        </w:rPr>
        <w:t xml:space="preserve"> and Non-Response Analysis Plan</w:t>
      </w:r>
    </w:p>
    <w:p w14:paraId="5F61F43D" w14:textId="77777777" w:rsidR="00882C92" w:rsidRPr="00333909" w:rsidRDefault="00882C92" w:rsidP="00882C92">
      <w:pPr>
        <w:pStyle w:val="ListParagraph"/>
        <w:spacing w:after="0" w:line="240" w:lineRule="auto"/>
        <w:ind w:left="360"/>
        <w:rPr>
          <w:rFonts w:ascii="Times New Roman" w:hAnsi="Times New Roman"/>
          <w:sz w:val="24"/>
          <w:szCs w:val="24"/>
        </w:rPr>
      </w:pPr>
    </w:p>
    <w:p w14:paraId="4BE3BDDF" w14:textId="1F47B6A2" w:rsidR="001C03C3" w:rsidRDefault="00882C92" w:rsidP="00AA5451">
      <w:pPr>
        <w:pStyle w:val="BodyTextIndent2"/>
        <w:spacing w:before="40" w:after="240" w:line="320" w:lineRule="atLeast"/>
        <w:rPr>
          <w:rFonts w:ascii="Times New Roman" w:hAnsi="Times New Roman"/>
          <w:sz w:val="24"/>
        </w:rPr>
      </w:pPr>
      <w:r w:rsidRPr="00555120">
        <w:rPr>
          <w:rFonts w:ascii="Times New Roman" w:hAnsi="Times New Roman"/>
          <w:sz w:val="24"/>
        </w:rPr>
        <w:t xml:space="preserve">Information collected under this generic clearance is </w:t>
      </w:r>
      <w:r w:rsidRPr="00CF179A">
        <w:rPr>
          <w:rFonts w:ascii="Times New Roman" w:hAnsi="Times New Roman"/>
          <w:sz w:val="24"/>
        </w:rPr>
        <w:t>not designed</w:t>
      </w:r>
      <w:r w:rsidRPr="00555120">
        <w:rPr>
          <w:rFonts w:ascii="Times New Roman" w:hAnsi="Times New Roman"/>
          <w:sz w:val="24"/>
        </w:rPr>
        <w:t xml:space="preserve"> to yield </w:t>
      </w:r>
      <w:r w:rsidRPr="00C322ED">
        <w:rPr>
          <w:rFonts w:ascii="Times New Roman" w:hAnsi="Times New Roman"/>
          <w:sz w:val="24"/>
        </w:rPr>
        <w:t>generalizable</w:t>
      </w:r>
      <w:r w:rsidRPr="00555120">
        <w:rPr>
          <w:rFonts w:ascii="Times New Roman" w:hAnsi="Times New Roman"/>
          <w:sz w:val="24"/>
        </w:rPr>
        <w:t xml:space="preserve"> quantitative findings; but procedures to maximize consumer response will be employed to maximize response so that an appropriately diverse set of participants is available for any study.  For example, for telephone surveys CMS contractors would typically use a computer assisted telephone interviewing (CATI) mode of data collection.  For both qualitative and quantitative studies, interviewers will be trained to communicate effectively with diverse audiences and alleviate any concerns respondents may have regarding participation in the study and their CMS program benefits.  Interviewers will be available during a wide range of times and will attempt to contact potential respondents at a time that is convenient.  A toll-free number will be available to respondents so that they can get answers to any study-related questions.  </w:t>
      </w:r>
    </w:p>
    <w:p w14:paraId="7AF7FB8F" w14:textId="77777777" w:rsidR="005416AE" w:rsidRDefault="001C03C3" w:rsidP="00AA5451">
      <w:pPr>
        <w:pStyle w:val="BodyTextIndent2"/>
        <w:spacing w:before="40" w:after="240" w:line="320" w:lineRule="atLeast"/>
        <w:rPr>
          <w:rFonts w:ascii="Times New Roman" w:hAnsi="Times New Roman"/>
          <w:sz w:val="24"/>
        </w:rPr>
      </w:pPr>
      <w:r>
        <w:rPr>
          <w:rFonts w:ascii="Times New Roman" w:hAnsi="Times New Roman"/>
          <w:sz w:val="24"/>
        </w:rPr>
        <w:t xml:space="preserve">In cases where more precise quantitative information is desired, standard survey approaches for monitoring response rates and </w:t>
      </w:r>
      <w:r w:rsidR="005416AE">
        <w:rPr>
          <w:rFonts w:ascii="Times New Roman" w:hAnsi="Times New Roman"/>
          <w:sz w:val="24"/>
        </w:rPr>
        <w:t xml:space="preserve">conversion of non-respondents will be implemented.  Attention will be given throughout the survey design process to minimize non-response (e.g., as suggested, e.g., by Halbesleben &amp; Whitman (2012). </w:t>
      </w:r>
    </w:p>
    <w:p w14:paraId="167A9E34" w14:textId="77777777" w:rsidR="00AA5451" w:rsidRPr="00AA5451" w:rsidRDefault="00AA5451" w:rsidP="00AA5451">
      <w:pPr>
        <w:pStyle w:val="BodyTextIndent2"/>
        <w:spacing w:before="40" w:after="240" w:line="320" w:lineRule="atLeast"/>
        <w:rPr>
          <w:rFonts w:ascii="Times New Roman" w:hAnsi="Times New Roman"/>
          <w:sz w:val="24"/>
        </w:rPr>
      </w:pPr>
      <w:r w:rsidRPr="00AA5451">
        <w:rPr>
          <w:rFonts w:ascii="Times New Roman" w:hAnsi="Times New Roman"/>
          <w:sz w:val="24"/>
        </w:rPr>
        <w:t xml:space="preserve">Survey response rates express completed interviews as a percentage of the estimated eligible units, but note that it can be decomposed into three rates if we assume that the working residential and eligible rate of unresolved cases is equal to that of resolved cases: </w:t>
      </w:r>
    </w:p>
    <w:p w14:paraId="7913F11A" w14:textId="77777777" w:rsidR="00AA5451" w:rsidRPr="00AA5451" w:rsidRDefault="00AA5451" w:rsidP="00AA5451">
      <w:pPr>
        <w:pStyle w:val="BodyTextIndent2"/>
        <w:spacing w:before="40" w:after="240" w:line="320" w:lineRule="atLeast"/>
        <w:rPr>
          <w:rFonts w:ascii="Times New Roman" w:hAnsi="Times New Roman"/>
          <w:sz w:val="24"/>
        </w:rPr>
      </w:pPr>
      <w:r w:rsidRPr="00AA5451">
        <w:rPr>
          <w:rFonts w:ascii="Times New Roman" w:hAnsi="Times New Roman"/>
          <w:sz w:val="24"/>
        </w:rPr>
        <w:t>Response rate = Working residential number resolution rate * Household screening completion rate * Survey interview completion rate.</w:t>
      </w:r>
    </w:p>
    <w:p w14:paraId="0D1565D7" w14:textId="77777777" w:rsidR="00AA5451" w:rsidRPr="00AA5451" w:rsidRDefault="00AA5451" w:rsidP="00AA5451">
      <w:pPr>
        <w:pStyle w:val="BodyTextIndent2"/>
        <w:spacing w:before="40" w:after="240" w:line="320" w:lineRule="atLeast"/>
        <w:rPr>
          <w:rFonts w:ascii="Times New Roman" w:hAnsi="Times New Roman"/>
          <w:sz w:val="24"/>
        </w:rPr>
      </w:pPr>
      <w:r w:rsidRPr="00AA5451">
        <w:rPr>
          <w:rFonts w:ascii="Times New Roman" w:hAnsi="Times New Roman"/>
          <w:sz w:val="24"/>
        </w:rPr>
        <w:t>This rate is the so-called CASRO (</w:t>
      </w:r>
      <w:r w:rsidRPr="00AA5451">
        <w:rPr>
          <w:rFonts w:ascii="Times New Roman" w:hAnsi="Times New Roman"/>
          <w:bCs/>
          <w:sz w:val="24"/>
        </w:rPr>
        <w:t>Council of American Survey Research Organizations</w:t>
      </w:r>
      <w:r w:rsidRPr="00AA5451">
        <w:rPr>
          <w:rFonts w:ascii="Times New Roman" w:hAnsi="Times New Roman"/>
          <w:sz w:val="24"/>
        </w:rPr>
        <w:t>) response rate, or American Association for Public Opinion Research’s (AAPOR’s) third response rate definition with the working residential and eligible rate of unresolved cases equal to that of resolved cases.  We use this definition of response rates here.</w:t>
      </w:r>
    </w:p>
    <w:p w14:paraId="08F09218" w14:textId="77777777" w:rsidR="00AA5451" w:rsidRPr="00AA5451" w:rsidRDefault="005416AE" w:rsidP="00AA5451">
      <w:pPr>
        <w:pStyle w:val="BodyTextIndent2"/>
        <w:spacing w:before="40" w:after="240" w:line="320" w:lineRule="atLeast"/>
        <w:rPr>
          <w:rFonts w:ascii="Times New Roman" w:hAnsi="Times New Roman"/>
          <w:sz w:val="24"/>
        </w:rPr>
      </w:pPr>
      <w:r>
        <w:rPr>
          <w:rFonts w:ascii="Times New Roman" w:hAnsi="Times New Roman"/>
          <w:sz w:val="24"/>
        </w:rPr>
        <w:t>Even though</w:t>
      </w:r>
      <w:r w:rsidR="00AA5451" w:rsidRPr="00AA5451">
        <w:rPr>
          <w:rFonts w:ascii="Times New Roman" w:hAnsi="Times New Roman"/>
          <w:sz w:val="24"/>
        </w:rPr>
        <w:t xml:space="preserve"> surveys </w:t>
      </w:r>
      <w:r>
        <w:rPr>
          <w:rFonts w:ascii="Times New Roman" w:hAnsi="Times New Roman"/>
          <w:sz w:val="24"/>
        </w:rPr>
        <w:t xml:space="preserve">envisioned in this package </w:t>
      </w:r>
      <w:r w:rsidR="00AA5451" w:rsidRPr="00AA5451">
        <w:rPr>
          <w:rFonts w:ascii="Times New Roman" w:hAnsi="Times New Roman"/>
          <w:sz w:val="24"/>
        </w:rPr>
        <w:t xml:space="preserve">focus on communication and marketing issues and are not intended to provide official government statistics, we note that our approaches are based on well-established methods for telephone RDD sampling and data collection.  Established operational protocols are in effect that have been shown to minimize </w:t>
      </w:r>
      <w:r w:rsidR="00AA5451" w:rsidRPr="00AA5451">
        <w:rPr>
          <w:rFonts w:ascii="Times New Roman" w:hAnsi="Times New Roman"/>
          <w:sz w:val="24"/>
        </w:rPr>
        <w:lastRenderedPageBreak/>
        <w:t xml:space="preserve">sampling and measurement errors in the survey process. </w:t>
      </w:r>
      <w:r>
        <w:rPr>
          <w:rFonts w:ascii="Times New Roman" w:hAnsi="Times New Roman"/>
          <w:sz w:val="24"/>
        </w:rPr>
        <w:t>For example, we will use a dual frame RDD approach</w:t>
      </w:r>
      <w:r w:rsidR="00AA5451" w:rsidRPr="00AA5451">
        <w:rPr>
          <w:rFonts w:ascii="Times New Roman" w:hAnsi="Times New Roman"/>
          <w:sz w:val="24"/>
        </w:rPr>
        <w:t xml:space="preserve"> to address coverage issues that have often caused problems in representativeness of telephone surveys (see, e.g., Blumberg et al., 2010).  In addition, we will apply responsive design </w:t>
      </w:r>
      <w:r w:rsidRPr="00AA5451">
        <w:rPr>
          <w:rFonts w:ascii="Times New Roman" w:hAnsi="Times New Roman"/>
          <w:sz w:val="24"/>
        </w:rPr>
        <w:t>approaches</w:t>
      </w:r>
      <w:r w:rsidR="00AA5451" w:rsidRPr="00AA5451">
        <w:rPr>
          <w:rFonts w:ascii="Times New Roman" w:hAnsi="Times New Roman"/>
          <w:sz w:val="24"/>
        </w:rPr>
        <w:t xml:space="preserve"> by suing survey paradata and related information (e.g., contact patterns, length of interview, number and mode of respondent contact) to manage the survey operations, gain efficiencies, and enhance response rates.  We typically monitor real-time information on sample outcomes (e.g., rates of nonresidential telephone numbers, disconnected lines, refusals, completed interviews) to track progress and can make adjustments to enhance survey operational processes.  For example, landline and cellular phone samples often have different performance characteristics due to differential rates of nonworking and business numbers.  Ongoing monitoring can suggest changes in allocation between landline and cellular calling to optimize data collection efficiency and permit adaptive responses to potential issues with respondent selection, refusal conversion strategies, and related issues. </w:t>
      </w:r>
      <w:r>
        <w:rPr>
          <w:rFonts w:ascii="Times New Roman" w:hAnsi="Times New Roman"/>
          <w:sz w:val="24"/>
        </w:rPr>
        <w:t>We have also included items in our item inventory that will allow us to address passive non-response (e.g., as related to interest in survey topics).</w:t>
      </w:r>
    </w:p>
    <w:p w14:paraId="102163E9" w14:textId="77777777" w:rsidR="00AA5451" w:rsidRPr="00AA5451" w:rsidRDefault="00AA5451" w:rsidP="00AA5451">
      <w:pPr>
        <w:pStyle w:val="BodyTextIndent2"/>
        <w:spacing w:before="40" w:after="240" w:line="320" w:lineRule="atLeast"/>
        <w:rPr>
          <w:rFonts w:ascii="Times New Roman" w:hAnsi="Times New Roman"/>
          <w:sz w:val="24"/>
        </w:rPr>
      </w:pPr>
      <w:r w:rsidRPr="00AA5451">
        <w:rPr>
          <w:rFonts w:ascii="Times New Roman" w:hAnsi="Times New Roman"/>
          <w:sz w:val="24"/>
        </w:rPr>
        <w:t>The methods described above have been shown to yield response rates of at least 20 percent with US consumers and business leaders when the survey is of reasonable length and on a salient, non-threatening topic, as is the case in the present work.  This rate is consistent with rates in typical health policy and marketing research survey studies and can be used to establish reasonably representative samples. The following procedures, for consumers, will also encourage response:</w:t>
      </w:r>
    </w:p>
    <w:p w14:paraId="6C02962B" w14:textId="77777777" w:rsidR="00AA5451" w:rsidRPr="00AA5451" w:rsidRDefault="00AA5451" w:rsidP="00AA5451">
      <w:pPr>
        <w:pStyle w:val="BodyTextIndent2"/>
        <w:numPr>
          <w:ilvl w:val="0"/>
          <w:numId w:val="19"/>
        </w:numPr>
        <w:spacing w:before="40" w:after="240" w:line="320" w:lineRule="atLeast"/>
        <w:rPr>
          <w:rFonts w:ascii="Times New Roman" w:hAnsi="Times New Roman"/>
          <w:sz w:val="24"/>
        </w:rPr>
      </w:pPr>
      <w:r w:rsidRPr="00AA5451">
        <w:rPr>
          <w:rFonts w:ascii="Times New Roman" w:hAnsi="Times New Roman"/>
          <w:sz w:val="24"/>
        </w:rPr>
        <w:t>At least three callbacks at various times, so every case will have a day, night and weekend attempt. We will also be doing refusal conversion attempts.</w:t>
      </w:r>
    </w:p>
    <w:p w14:paraId="3A47D620" w14:textId="77777777" w:rsidR="00AA5451" w:rsidRPr="00AA5451" w:rsidRDefault="00AA5451" w:rsidP="00AA5451">
      <w:pPr>
        <w:pStyle w:val="BodyTextIndent2"/>
        <w:numPr>
          <w:ilvl w:val="0"/>
          <w:numId w:val="19"/>
        </w:numPr>
        <w:spacing w:before="40" w:after="240" w:line="320" w:lineRule="atLeast"/>
        <w:rPr>
          <w:rFonts w:ascii="Times New Roman" w:hAnsi="Times New Roman"/>
          <w:sz w:val="24"/>
        </w:rPr>
      </w:pPr>
      <w:r w:rsidRPr="00AA5451">
        <w:rPr>
          <w:rFonts w:ascii="Times New Roman" w:hAnsi="Times New Roman"/>
          <w:sz w:val="24"/>
        </w:rPr>
        <w:t>Interviewer training will review refusal avoidance and second calls to dead dispositions.</w:t>
      </w:r>
    </w:p>
    <w:p w14:paraId="70EE4FAE" w14:textId="77777777" w:rsidR="00AA5451" w:rsidRPr="00AA5451" w:rsidRDefault="00AA5451" w:rsidP="00AA5451">
      <w:pPr>
        <w:pStyle w:val="BodyTextIndent2"/>
        <w:numPr>
          <w:ilvl w:val="0"/>
          <w:numId w:val="19"/>
        </w:numPr>
        <w:spacing w:before="40" w:after="240" w:line="320" w:lineRule="atLeast"/>
        <w:rPr>
          <w:rFonts w:ascii="Times New Roman" w:hAnsi="Times New Roman"/>
          <w:sz w:val="24"/>
        </w:rPr>
      </w:pPr>
      <w:r w:rsidRPr="00AA5451">
        <w:rPr>
          <w:rFonts w:ascii="Times New Roman" w:hAnsi="Times New Roman"/>
          <w:sz w:val="24"/>
        </w:rPr>
        <w:t>A toll-free number is available at Market Strategies International to answer respondents’ questions.</w:t>
      </w:r>
    </w:p>
    <w:p w14:paraId="0173C00C" w14:textId="77777777" w:rsidR="00AA5451" w:rsidRPr="00AA5451" w:rsidRDefault="00AA5451" w:rsidP="00AA5451">
      <w:pPr>
        <w:pStyle w:val="BodyTextIndent2"/>
        <w:numPr>
          <w:ilvl w:val="0"/>
          <w:numId w:val="19"/>
        </w:numPr>
        <w:spacing w:before="40" w:after="240" w:line="320" w:lineRule="atLeast"/>
        <w:rPr>
          <w:rFonts w:ascii="Times New Roman" w:hAnsi="Times New Roman"/>
          <w:sz w:val="24"/>
        </w:rPr>
      </w:pPr>
      <w:r w:rsidRPr="00AA5451">
        <w:rPr>
          <w:rFonts w:ascii="Times New Roman" w:hAnsi="Times New Roman"/>
          <w:sz w:val="24"/>
        </w:rPr>
        <w:t>Calls to the toll-free number will be returned to address respondents’ concerns.</w:t>
      </w:r>
    </w:p>
    <w:p w14:paraId="509B4D52" w14:textId="77777777" w:rsidR="00AA5451" w:rsidRPr="00AA5451" w:rsidRDefault="00AA5451" w:rsidP="00AA5451">
      <w:pPr>
        <w:pStyle w:val="BodyTextIndent2"/>
        <w:spacing w:before="40" w:after="240" w:line="320" w:lineRule="atLeast"/>
        <w:rPr>
          <w:rFonts w:ascii="Times New Roman" w:hAnsi="Times New Roman"/>
          <w:sz w:val="24"/>
        </w:rPr>
      </w:pPr>
    </w:p>
    <w:p w14:paraId="70F22F22" w14:textId="77777777" w:rsidR="00AA5451" w:rsidRPr="00AA5451" w:rsidRDefault="00AA5451" w:rsidP="00AA5451">
      <w:pPr>
        <w:pStyle w:val="BodyTextIndent2"/>
        <w:spacing w:before="40" w:after="240" w:line="320" w:lineRule="atLeast"/>
        <w:rPr>
          <w:rFonts w:ascii="Times New Roman" w:hAnsi="Times New Roman"/>
          <w:sz w:val="24"/>
        </w:rPr>
      </w:pPr>
      <w:r w:rsidRPr="00AA5451">
        <w:rPr>
          <w:rFonts w:ascii="Times New Roman" w:hAnsi="Times New Roman"/>
          <w:sz w:val="24"/>
        </w:rPr>
        <w:t>Despite the best efforts of the marketing research industry and the survey research community, there is clear evidence of declining response rates in both telephone and face-to-face surveys (see, e.g.</w:t>
      </w:r>
      <w:r w:rsidR="00D22382" w:rsidRPr="00AA5451">
        <w:rPr>
          <w:rFonts w:ascii="Times New Roman" w:hAnsi="Times New Roman"/>
          <w:sz w:val="24"/>
        </w:rPr>
        <w:t>, NORC</w:t>
      </w:r>
      <w:r w:rsidRPr="00AA5451">
        <w:rPr>
          <w:rFonts w:ascii="Times New Roman" w:hAnsi="Times New Roman"/>
          <w:sz w:val="24"/>
        </w:rPr>
        <w:t>, 2007; Peytchev et al., 2009).  Unit nonresponse is a source of particular concern because is often regarded as a boundary condition for nonresponse bias that can limit the utility of survey results for actionable guidance.   Although a recent meta-analysis of nonresponse issues in survey research has reinforced the finding that response rate is not generally predictive of nonresponse bias</w:t>
      </w:r>
      <w:r w:rsidRPr="00AA5451">
        <w:rPr>
          <w:rFonts w:ascii="Times New Roman" w:hAnsi="Times New Roman"/>
          <w:sz w:val="24"/>
          <w:vertAlign w:val="superscript"/>
        </w:rPr>
        <w:footnoteReference w:id="1"/>
      </w:r>
      <w:r w:rsidRPr="00AA5451">
        <w:rPr>
          <w:rFonts w:ascii="Times New Roman" w:hAnsi="Times New Roman"/>
          <w:sz w:val="24"/>
        </w:rPr>
        <w:t>, there is no doubt that steps taken to assess and limit such biases can result in surveys of higher quality.  Unit non-response has two negative consequences for the quality of the estimates derived from the data.  First, nonresponse reduces the sample size and, as the number of responses decreases, the variability of survey estimates increases.  Second, and more importantly, nonresponse has the potential to cause bias in the estimates.  For means and proportions, the bias depends on two factors: the response rate, and the difference in the means or proportions of the respondents and non-respondents.  Therefore, bias can be expressed as follows:</w:t>
      </w:r>
    </w:p>
    <w:p w14:paraId="160729AF" w14:textId="77777777" w:rsidR="00AA5451" w:rsidRPr="00AA5451" w:rsidRDefault="00AA5451" w:rsidP="00AA5451">
      <w:pPr>
        <w:pStyle w:val="BodyTextIndent2"/>
        <w:spacing w:before="40" w:after="240" w:line="320" w:lineRule="atLeast"/>
        <w:rPr>
          <w:rFonts w:ascii="Times New Roman" w:hAnsi="Times New Roman"/>
          <w:sz w:val="24"/>
        </w:rPr>
      </w:pPr>
    </w:p>
    <w:p w14:paraId="2BD6DBA4" w14:textId="77777777" w:rsidR="00AA5451" w:rsidRPr="00AA5451" w:rsidRDefault="00AA5451" w:rsidP="00AA5451">
      <w:pPr>
        <w:pStyle w:val="BodyTextIndent2"/>
        <w:spacing w:before="40" w:after="240" w:line="320" w:lineRule="atLeast"/>
        <w:rPr>
          <w:rFonts w:ascii="Times New Roman" w:hAnsi="Times New Roman"/>
          <w:sz w:val="24"/>
        </w:rPr>
      </w:pPr>
      <w:r w:rsidRPr="00AA5451">
        <w:rPr>
          <w:rFonts w:ascii="Times New Roman" w:hAnsi="Times New Roman"/>
          <w:sz w:val="24"/>
        </w:rPr>
        <w:t>Bias = (1 – RR) * (S_r – S_n),</w:t>
      </w:r>
    </w:p>
    <w:p w14:paraId="6CB4FDD7" w14:textId="77777777" w:rsidR="00AA5451" w:rsidRPr="00AA5451" w:rsidRDefault="00AA5451" w:rsidP="00AA5451">
      <w:pPr>
        <w:pStyle w:val="BodyTextIndent2"/>
        <w:spacing w:before="40" w:after="240" w:line="320" w:lineRule="atLeast"/>
        <w:rPr>
          <w:rFonts w:ascii="Times New Roman" w:hAnsi="Times New Roman"/>
          <w:sz w:val="24"/>
        </w:rPr>
      </w:pPr>
    </w:p>
    <w:p w14:paraId="767B0415" w14:textId="77777777" w:rsidR="00AA5451" w:rsidRPr="00AA5451" w:rsidRDefault="00AA5451" w:rsidP="005416AE">
      <w:pPr>
        <w:pStyle w:val="BodyTextIndent2"/>
        <w:spacing w:before="40" w:after="240" w:line="320" w:lineRule="atLeast"/>
        <w:rPr>
          <w:rFonts w:ascii="Times New Roman" w:hAnsi="Times New Roman"/>
          <w:sz w:val="24"/>
        </w:rPr>
      </w:pPr>
      <w:r w:rsidRPr="00AA5451">
        <w:rPr>
          <w:rFonts w:ascii="Times New Roman" w:hAnsi="Times New Roman"/>
          <w:sz w:val="24"/>
        </w:rPr>
        <w:t>where RR = the unit response rate, S_r = the mean or proportion for respondents, and S_n = the mean of proportion for non-respondents.</w:t>
      </w:r>
    </w:p>
    <w:p w14:paraId="685897E2" w14:textId="77777777" w:rsidR="00AA5451" w:rsidRPr="00AA5451" w:rsidRDefault="00AA5451" w:rsidP="005416AE">
      <w:pPr>
        <w:pStyle w:val="BodyTextIndent2"/>
        <w:spacing w:before="40" w:after="240" w:line="320" w:lineRule="atLeast"/>
        <w:rPr>
          <w:rFonts w:ascii="Times New Roman" w:hAnsi="Times New Roman"/>
          <w:sz w:val="24"/>
        </w:rPr>
      </w:pPr>
      <w:r w:rsidRPr="00AA5451">
        <w:rPr>
          <w:rFonts w:ascii="Times New Roman" w:hAnsi="Times New Roman"/>
          <w:sz w:val="24"/>
        </w:rPr>
        <w:t xml:space="preserve">Thus, bias increases as the difference in means/proportions increases between respondents and non-respondents, or as the unit nonresponse rate increases.  Unfortunately, while the response rate can be calculated, we do not know the mean or proportion for the non-respondents.  The best strategies for combating unit non-response bias on a CATI survey, like the ones proposed for consumers in this work, are multiple re-contact attempts for non-responders (as noted above) and a robust non-response weighting scheme.  Both will be </w:t>
      </w:r>
      <w:r w:rsidR="005416AE">
        <w:rPr>
          <w:rFonts w:ascii="Times New Roman" w:hAnsi="Times New Roman"/>
          <w:sz w:val="24"/>
        </w:rPr>
        <w:t xml:space="preserve">considered </w:t>
      </w:r>
      <w:r w:rsidRPr="00AA5451">
        <w:rPr>
          <w:rFonts w:ascii="Times New Roman" w:hAnsi="Times New Roman"/>
          <w:sz w:val="24"/>
        </w:rPr>
        <w:t>in this work</w:t>
      </w:r>
      <w:r w:rsidR="005416AE">
        <w:rPr>
          <w:rFonts w:ascii="Times New Roman" w:hAnsi="Times New Roman"/>
          <w:sz w:val="24"/>
        </w:rPr>
        <w:t>.</w:t>
      </w:r>
    </w:p>
    <w:p w14:paraId="29C7957D" w14:textId="77777777" w:rsidR="00AA5451" w:rsidRPr="00AA5451" w:rsidRDefault="00AA5451" w:rsidP="005416AE">
      <w:pPr>
        <w:pStyle w:val="BodyTextIndent2"/>
        <w:spacing w:before="40" w:after="240" w:line="320" w:lineRule="atLeast"/>
        <w:rPr>
          <w:rFonts w:ascii="Times New Roman" w:hAnsi="Times New Roman"/>
          <w:sz w:val="24"/>
        </w:rPr>
      </w:pPr>
      <w:r w:rsidRPr="00AA5451">
        <w:rPr>
          <w:rFonts w:ascii="Times New Roman" w:hAnsi="Times New Roman"/>
          <w:sz w:val="24"/>
        </w:rPr>
        <w:t>The potential detrimental effect of unit nonresponse can be reduced through the use of population-based weighting that adjusts not only for under-coverage but also for non-response.  This weighting approach controls the weighted sample counts to population totals for characteristics presumed to be correlated with non-response, under-coverage, and/or the survey variables of interest.  Analyses for the total population as well as population subgroups based on the resultant survey weights should thus produce accurate and reliable results.</w:t>
      </w:r>
    </w:p>
    <w:p w14:paraId="68BEB4D3" w14:textId="77777777" w:rsidR="00AA5451" w:rsidRPr="00AA5451" w:rsidRDefault="00AA5451" w:rsidP="005416AE">
      <w:pPr>
        <w:pStyle w:val="BodyTextIndent2"/>
        <w:spacing w:before="40" w:after="240" w:line="320" w:lineRule="atLeast"/>
        <w:rPr>
          <w:rFonts w:ascii="Times New Roman" w:hAnsi="Times New Roman"/>
          <w:sz w:val="24"/>
        </w:rPr>
      </w:pPr>
      <w:r w:rsidRPr="00AA5451">
        <w:rPr>
          <w:rFonts w:ascii="Times New Roman" w:hAnsi="Times New Roman"/>
          <w:sz w:val="24"/>
        </w:rPr>
        <w:t xml:space="preserve">The surveys described here will make use of Census-based population totals for race/ethnicity, gender, age, income, and geography in deriving the survey weights.  We expect that these geographic and demographic groups would be most appropriate for ensuring sample representativeness of the population, thereby reducing the potential for bias in the resultant survey estimates.    </w:t>
      </w:r>
    </w:p>
    <w:p w14:paraId="772BE960" w14:textId="77777777" w:rsidR="00AA5451" w:rsidRPr="00AA5451" w:rsidRDefault="00AA5451" w:rsidP="005416AE">
      <w:pPr>
        <w:pStyle w:val="BodyTextIndent2"/>
        <w:spacing w:before="40" w:after="240" w:line="320" w:lineRule="atLeast"/>
        <w:rPr>
          <w:rFonts w:ascii="Times New Roman" w:hAnsi="Times New Roman"/>
          <w:sz w:val="24"/>
        </w:rPr>
      </w:pPr>
      <w:r w:rsidRPr="00AA5451">
        <w:rPr>
          <w:rFonts w:ascii="Times New Roman" w:hAnsi="Times New Roman"/>
          <w:sz w:val="24"/>
        </w:rPr>
        <w:t>In order to assess the above weighting scheme and potential non-response bias, we will be comparing demographic profiles and income distribution derived from our data against several sources, including those published by the Census Bureau for the Current Population Survey and/or</w:t>
      </w:r>
      <w:r w:rsidR="005416AE">
        <w:rPr>
          <w:rFonts w:ascii="Times New Roman" w:hAnsi="Times New Roman"/>
          <w:sz w:val="24"/>
        </w:rPr>
        <w:t xml:space="preserve"> the American Community Survey.</w:t>
      </w:r>
    </w:p>
    <w:p w14:paraId="6AA50933" w14:textId="77777777" w:rsidR="00AA5451" w:rsidRPr="00AA5451" w:rsidRDefault="00AA5451" w:rsidP="005416AE">
      <w:pPr>
        <w:pStyle w:val="BodyTextIndent2"/>
        <w:spacing w:before="40" w:after="240" w:line="320" w:lineRule="atLeast"/>
        <w:rPr>
          <w:rFonts w:ascii="Times New Roman" w:hAnsi="Times New Roman"/>
          <w:sz w:val="24"/>
        </w:rPr>
      </w:pPr>
      <w:r w:rsidRPr="00AA5451">
        <w:rPr>
          <w:rFonts w:ascii="Times New Roman" w:hAnsi="Times New Roman"/>
          <w:sz w:val="24"/>
        </w:rPr>
        <w:t>For purposes of estimation, cross-sectional weights will be developed that account for the probability of selection from each sample frame, the eligibility rate within each sample frame, levels of non-response within each sample frame, and finally differential nonresponse by age, gender, and geographic region.  Standard errors will be produced using software packages such as SPSS/PASW complex survey statistics to appropriately account for the survey design (see, e.g., Heeringa et al., 2010).</w:t>
      </w:r>
    </w:p>
    <w:p w14:paraId="585ED725" w14:textId="77777777" w:rsidR="00882C92" w:rsidRDefault="00882C92" w:rsidP="00882C92">
      <w:pPr>
        <w:pStyle w:val="ListParagraph"/>
        <w:spacing w:after="0" w:line="240" w:lineRule="auto"/>
        <w:ind w:left="0"/>
        <w:rPr>
          <w:rFonts w:ascii="Times New Roman" w:hAnsi="Times New Roman"/>
          <w:b/>
          <w:sz w:val="24"/>
          <w:szCs w:val="24"/>
        </w:rPr>
      </w:pPr>
    </w:p>
    <w:p w14:paraId="49709CAE" w14:textId="77777777" w:rsidR="00882C92" w:rsidRPr="00333909" w:rsidRDefault="00882C92" w:rsidP="00882C92">
      <w:pPr>
        <w:pStyle w:val="ListParagraph"/>
        <w:numPr>
          <w:ilvl w:val="0"/>
          <w:numId w:val="18"/>
        </w:numPr>
        <w:spacing w:after="0" w:line="240" w:lineRule="auto"/>
        <w:contextualSpacing/>
        <w:rPr>
          <w:rFonts w:ascii="Times New Roman" w:hAnsi="Times New Roman"/>
          <w:b/>
          <w:sz w:val="24"/>
          <w:szCs w:val="24"/>
        </w:rPr>
      </w:pPr>
      <w:r w:rsidRPr="00333909">
        <w:rPr>
          <w:rFonts w:ascii="Times New Roman" w:hAnsi="Times New Roman"/>
          <w:b/>
          <w:sz w:val="24"/>
          <w:szCs w:val="24"/>
        </w:rPr>
        <w:t>Testing of Procedures</w:t>
      </w:r>
    </w:p>
    <w:p w14:paraId="00378AD1" w14:textId="77777777" w:rsidR="00882C92" w:rsidRPr="00333909" w:rsidRDefault="00882C92" w:rsidP="00882C92">
      <w:pPr>
        <w:pStyle w:val="ListParagraph"/>
        <w:spacing w:after="0" w:line="240" w:lineRule="auto"/>
        <w:ind w:left="360"/>
        <w:rPr>
          <w:rFonts w:ascii="Times New Roman" w:hAnsi="Times New Roman"/>
          <w:b/>
          <w:sz w:val="24"/>
          <w:szCs w:val="24"/>
        </w:rPr>
      </w:pPr>
      <w:r w:rsidRPr="00333909">
        <w:rPr>
          <w:rFonts w:ascii="Times New Roman" w:hAnsi="Times New Roman"/>
          <w:b/>
          <w:sz w:val="24"/>
          <w:szCs w:val="24"/>
        </w:rPr>
        <w:t xml:space="preserve"> </w:t>
      </w:r>
    </w:p>
    <w:p w14:paraId="6DD531F7" w14:textId="77777777" w:rsidR="00882C92" w:rsidRPr="00333909" w:rsidRDefault="00882C92" w:rsidP="00882C92">
      <w:pPr>
        <w:pStyle w:val="ListParagraph"/>
        <w:spacing w:after="0" w:line="240" w:lineRule="auto"/>
        <w:ind w:left="360"/>
        <w:rPr>
          <w:rFonts w:ascii="Times New Roman" w:hAnsi="Times New Roman"/>
          <w:b/>
          <w:sz w:val="24"/>
          <w:szCs w:val="24"/>
        </w:rPr>
      </w:pPr>
      <w:r w:rsidRPr="00333909">
        <w:rPr>
          <w:rFonts w:ascii="Times New Roman" w:hAnsi="Times New Roman"/>
          <w:sz w:val="24"/>
          <w:szCs w:val="24"/>
        </w:rPr>
        <w:t>Pretesting may be done with internal staffs, a limited number of external colleagues, and/or customers who are familiar with the programs and products.  If the number of pretest respondents exceeds nine members of the public, the Agency will submit the pretest instruments for review under this generic clearance.</w:t>
      </w:r>
    </w:p>
    <w:p w14:paraId="26EAB9DC" w14:textId="77777777" w:rsidR="00882C92" w:rsidRPr="00333909" w:rsidRDefault="00882C92" w:rsidP="00882C92">
      <w:pPr>
        <w:pStyle w:val="ListParagraph"/>
        <w:spacing w:after="0" w:line="240" w:lineRule="auto"/>
        <w:ind w:left="360"/>
        <w:rPr>
          <w:rFonts w:ascii="Times New Roman" w:hAnsi="Times New Roman"/>
          <w:b/>
          <w:sz w:val="24"/>
          <w:szCs w:val="24"/>
        </w:rPr>
      </w:pPr>
    </w:p>
    <w:p w14:paraId="15E8E8CB" w14:textId="77777777" w:rsidR="00882C92" w:rsidRPr="00333909" w:rsidRDefault="00882C92" w:rsidP="00882C92">
      <w:pPr>
        <w:pStyle w:val="ListParagraph"/>
        <w:spacing w:after="0" w:line="240" w:lineRule="auto"/>
        <w:ind w:left="0"/>
        <w:rPr>
          <w:rFonts w:ascii="Times New Roman" w:hAnsi="Times New Roman"/>
          <w:b/>
          <w:sz w:val="24"/>
          <w:szCs w:val="24"/>
        </w:rPr>
      </w:pPr>
    </w:p>
    <w:p w14:paraId="23376C3E" w14:textId="77777777" w:rsidR="00882C92" w:rsidRPr="00333909" w:rsidRDefault="00882C92" w:rsidP="00882C92">
      <w:pPr>
        <w:pStyle w:val="ListParagraph"/>
        <w:numPr>
          <w:ilvl w:val="0"/>
          <w:numId w:val="18"/>
        </w:numPr>
        <w:spacing w:after="0" w:line="240" w:lineRule="auto"/>
        <w:contextualSpacing/>
        <w:rPr>
          <w:rFonts w:ascii="Times New Roman" w:hAnsi="Times New Roman"/>
          <w:b/>
          <w:sz w:val="24"/>
          <w:szCs w:val="24"/>
        </w:rPr>
      </w:pPr>
      <w:r w:rsidRPr="00333909">
        <w:rPr>
          <w:rFonts w:ascii="Times New Roman" w:hAnsi="Times New Roman"/>
          <w:b/>
          <w:sz w:val="24"/>
          <w:szCs w:val="24"/>
        </w:rPr>
        <w:t>Contacts for Statistical Aspects and Data Collection</w:t>
      </w:r>
    </w:p>
    <w:p w14:paraId="20405EB7" w14:textId="77777777" w:rsidR="00882C92" w:rsidRPr="00333909" w:rsidRDefault="00882C92" w:rsidP="00882C92">
      <w:pPr>
        <w:pStyle w:val="ListParagraph"/>
        <w:spacing w:after="0" w:line="240" w:lineRule="auto"/>
        <w:ind w:left="360"/>
        <w:rPr>
          <w:rFonts w:ascii="Times New Roman" w:hAnsi="Times New Roman"/>
          <w:b/>
          <w:sz w:val="24"/>
          <w:szCs w:val="24"/>
        </w:rPr>
      </w:pPr>
    </w:p>
    <w:p w14:paraId="607E644D" w14:textId="77777777" w:rsidR="00882C92" w:rsidRPr="00333909" w:rsidRDefault="00882C92" w:rsidP="00882C92">
      <w:pPr>
        <w:pStyle w:val="ListParagraph"/>
        <w:spacing w:after="0" w:line="240" w:lineRule="auto"/>
        <w:ind w:left="360"/>
        <w:rPr>
          <w:rFonts w:ascii="Times New Roman" w:hAnsi="Times New Roman"/>
          <w:sz w:val="24"/>
          <w:szCs w:val="24"/>
        </w:rPr>
      </w:pPr>
      <w:r w:rsidRPr="00333909">
        <w:rPr>
          <w:rFonts w:ascii="Times New Roman" w:hAnsi="Times New Roman"/>
          <w:sz w:val="24"/>
          <w:szCs w:val="24"/>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14:paraId="6BDAC54C" w14:textId="77777777" w:rsidR="00882C92" w:rsidRDefault="00882C92" w:rsidP="00882C92">
      <w:pPr>
        <w:pStyle w:val="NoSpacing"/>
        <w:rPr>
          <w:szCs w:val="24"/>
        </w:rPr>
      </w:pPr>
    </w:p>
    <w:p w14:paraId="42CFE0F5" w14:textId="77777777" w:rsidR="00882C92" w:rsidRPr="0032035B" w:rsidRDefault="00882C92" w:rsidP="00882C92">
      <w:pPr>
        <w:pStyle w:val="NoSpacing"/>
        <w:rPr>
          <w:szCs w:val="24"/>
        </w:rPr>
      </w:pPr>
      <w:r w:rsidRPr="0032035B">
        <w:rPr>
          <w:szCs w:val="24"/>
        </w:rPr>
        <w:t>Please contact either of the following CMS contacts regarding the statistical and methodological aspects of the design or for agency information:</w:t>
      </w:r>
    </w:p>
    <w:p w14:paraId="3BF5E3A8" w14:textId="77777777" w:rsidR="00882C92" w:rsidRPr="0032035B" w:rsidRDefault="00882C92" w:rsidP="00882C92">
      <w:pPr>
        <w:pStyle w:val="NoSpacing"/>
        <w:rPr>
          <w:color w:val="000000"/>
          <w:szCs w:val="24"/>
        </w:rPr>
      </w:pPr>
    </w:p>
    <w:p w14:paraId="632B76E6" w14:textId="77777777" w:rsidR="005416AE" w:rsidRDefault="003D3263" w:rsidP="00882C92">
      <w:pPr>
        <w:pStyle w:val="NoSpacing"/>
        <w:rPr>
          <w:color w:val="000000"/>
          <w:szCs w:val="24"/>
        </w:rPr>
      </w:pPr>
      <w:r>
        <w:rPr>
          <w:color w:val="000000"/>
          <w:szCs w:val="24"/>
        </w:rPr>
        <w:t>Allyssa Allen</w:t>
      </w:r>
    </w:p>
    <w:p w14:paraId="157D51B7" w14:textId="77777777" w:rsidR="003D3263" w:rsidRPr="0032035B" w:rsidRDefault="003D3263" w:rsidP="00882C92">
      <w:pPr>
        <w:pStyle w:val="NoSpacing"/>
        <w:rPr>
          <w:color w:val="000000"/>
          <w:szCs w:val="24"/>
        </w:rPr>
      </w:pPr>
      <w:r>
        <w:rPr>
          <w:color w:val="000000"/>
          <w:szCs w:val="24"/>
        </w:rPr>
        <w:t>Social Science Research Analyst, Division of Research</w:t>
      </w:r>
    </w:p>
    <w:p w14:paraId="03B48C23" w14:textId="77777777" w:rsidR="00882C92" w:rsidRPr="0032035B" w:rsidRDefault="00882C92" w:rsidP="00882C92">
      <w:pPr>
        <w:pStyle w:val="NoSpacing"/>
        <w:rPr>
          <w:color w:val="000000"/>
          <w:szCs w:val="24"/>
        </w:rPr>
      </w:pPr>
      <w:r w:rsidRPr="0032035B">
        <w:rPr>
          <w:color w:val="000000"/>
          <w:szCs w:val="24"/>
        </w:rPr>
        <w:t>Center for Medicare &amp; Medicaid Services</w:t>
      </w:r>
    </w:p>
    <w:p w14:paraId="4070C619" w14:textId="77777777" w:rsidR="00882C92" w:rsidRPr="0032035B" w:rsidRDefault="005416AE" w:rsidP="00882C92">
      <w:pPr>
        <w:pStyle w:val="NoSpacing"/>
        <w:rPr>
          <w:color w:val="000000"/>
          <w:szCs w:val="24"/>
        </w:rPr>
      </w:pPr>
      <w:r>
        <w:rPr>
          <w:color w:val="000000"/>
          <w:szCs w:val="24"/>
        </w:rPr>
        <w:t>7500 Security Blvd.   S1-12-08</w:t>
      </w:r>
    </w:p>
    <w:p w14:paraId="416C8D71" w14:textId="77777777" w:rsidR="00882C92" w:rsidRPr="0032035B" w:rsidRDefault="00882C92" w:rsidP="00882C92">
      <w:pPr>
        <w:pStyle w:val="NoSpacing"/>
        <w:rPr>
          <w:color w:val="000000"/>
          <w:szCs w:val="24"/>
        </w:rPr>
      </w:pPr>
      <w:r w:rsidRPr="0032035B">
        <w:rPr>
          <w:color w:val="000000"/>
          <w:szCs w:val="24"/>
        </w:rPr>
        <w:t>Baltimore, MD 21244-1850</w:t>
      </w:r>
    </w:p>
    <w:p w14:paraId="7C7AF227" w14:textId="77777777" w:rsidR="00882C92" w:rsidRPr="0032035B" w:rsidRDefault="00882C92" w:rsidP="00882C92">
      <w:pPr>
        <w:pStyle w:val="NoSpacing"/>
        <w:rPr>
          <w:color w:val="000000"/>
          <w:szCs w:val="24"/>
        </w:rPr>
      </w:pPr>
      <w:r w:rsidRPr="0032035B">
        <w:rPr>
          <w:color w:val="000000"/>
          <w:szCs w:val="24"/>
        </w:rPr>
        <w:t xml:space="preserve">(410) </w:t>
      </w:r>
      <w:r w:rsidR="003D3263">
        <w:rPr>
          <w:color w:val="000000"/>
          <w:szCs w:val="24"/>
        </w:rPr>
        <w:t>786-8436</w:t>
      </w:r>
    </w:p>
    <w:p w14:paraId="13A8B4A9" w14:textId="77777777" w:rsidR="00882C92" w:rsidRDefault="003D3263" w:rsidP="00882C92">
      <w:pPr>
        <w:pStyle w:val="NoSpacing"/>
        <w:rPr>
          <w:iCs/>
          <w:color w:val="000000"/>
          <w:szCs w:val="24"/>
        </w:rPr>
      </w:pPr>
      <w:r>
        <w:t>Allyssa.allen@cms.hhs.gov</w:t>
      </w:r>
    </w:p>
    <w:p w14:paraId="4A277FDA" w14:textId="77777777" w:rsidR="005416AE" w:rsidRDefault="005416AE" w:rsidP="00882C92">
      <w:pPr>
        <w:pStyle w:val="NoSpacing"/>
        <w:rPr>
          <w:iCs/>
          <w:color w:val="000000"/>
          <w:szCs w:val="24"/>
        </w:rPr>
      </w:pPr>
    </w:p>
    <w:p w14:paraId="68609A78" w14:textId="77777777" w:rsidR="005416AE" w:rsidRDefault="00D22382" w:rsidP="00882C92">
      <w:pPr>
        <w:pStyle w:val="NoSpacing"/>
        <w:rPr>
          <w:iCs/>
          <w:color w:val="000000"/>
          <w:szCs w:val="24"/>
        </w:rPr>
      </w:pPr>
      <w:r>
        <w:rPr>
          <w:iCs/>
          <w:color w:val="000000"/>
          <w:szCs w:val="24"/>
        </w:rPr>
        <w:t>Or</w:t>
      </w:r>
    </w:p>
    <w:p w14:paraId="5D12EA59" w14:textId="77777777" w:rsidR="005416AE" w:rsidRDefault="005416AE" w:rsidP="00882C92">
      <w:pPr>
        <w:pStyle w:val="NoSpacing"/>
        <w:rPr>
          <w:iCs/>
          <w:color w:val="000000"/>
          <w:szCs w:val="24"/>
        </w:rPr>
      </w:pPr>
    </w:p>
    <w:p w14:paraId="39B542BB" w14:textId="77777777" w:rsidR="005416AE" w:rsidRDefault="005416AE" w:rsidP="00882C92">
      <w:pPr>
        <w:pStyle w:val="NoSpacing"/>
        <w:rPr>
          <w:iCs/>
          <w:color w:val="000000"/>
          <w:szCs w:val="24"/>
        </w:rPr>
      </w:pPr>
      <w:r>
        <w:rPr>
          <w:iCs/>
          <w:color w:val="000000"/>
          <w:szCs w:val="24"/>
        </w:rPr>
        <w:t>Clarese Astrin</w:t>
      </w:r>
    </w:p>
    <w:p w14:paraId="79CDD712" w14:textId="77777777" w:rsidR="005416AE" w:rsidRDefault="003D3263" w:rsidP="00882C92">
      <w:pPr>
        <w:pStyle w:val="NoSpacing"/>
        <w:rPr>
          <w:iCs/>
          <w:color w:val="000000"/>
          <w:szCs w:val="24"/>
        </w:rPr>
      </w:pPr>
      <w:r>
        <w:rPr>
          <w:iCs/>
          <w:color w:val="000000"/>
          <w:szCs w:val="24"/>
        </w:rPr>
        <w:t>Director, Division of Research</w:t>
      </w:r>
    </w:p>
    <w:p w14:paraId="68C0D741" w14:textId="77777777" w:rsidR="0076171B" w:rsidRDefault="0076171B" w:rsidP="00882C92">
      <w:pPr>
        <w:pStyle w:val="NoSpacing"/>
        <w:rPr>
          <w:iCs/>
          <w:color w:val="000000"/>
          <w:szCs w:val="24"/>
        </w:rPr>
      </w:pPr>
      <w:r>
        <w:rPr>
          <w:iCs/>
          <w:color w:val="000000"/>
          <w:szCs w:val="24"/>
        </w:rPr>
        <w:t>Centers for Medicare &amp; Medicaid Services</w:t>
      </w:r>
    </w:p>
    <w:p w14:paraId="490ED36C" w14:textId="77777777" w:rsidR="0076171B" w:rsidRDefault="0076171B" w:rsidP="00882C92">
      <w:pPr>
        <w:pStyle w:val="NoSpacing"/>
        <w:rPr>
          <w:iCs/>
          <w:color w:val="000000"/>
          <w:szCs w:val="24"/>
        </w:rPr>
      </w:pPr>
      <w:r>
        <w:rPr>
          <w:iCs/>
          <w:color w:val="000000"/>
          <w:szCs w:val="24"/>
        </w:rPr>
        <w:t xml:space="preserve">7500 Security Blvd. </w:t>
      </w:r>
    </w:p>
    <w:p w14:paraId="58D1A4E8" w14:textId="77777777" w:rsidR="0076171B" w:rsidRDefault="0076171B" w:rsidP="00882C92">
      <w:pPr>
        <w:pStyle w:val="NoSpacing"/>
        <w:rPr>
          <w:iCs/>
          <w:color w:val="000000"/>
          <w:szCs w:val="24"/>
        </w:rPr>
      </w:pPr>
      <w:r>
        <w:rPr>
          <w:iCs/>
          <w:color w:val="000000"/>
          <w:szCs w:val="24"/>
        </w:rPr>
        <w:t>Baltimore, MD 21244-1850</w:t>
      </w:r>
    </w:p>
    <w:p w14:paraId="7DB04DD7" w14:textId="77777777" w:rsidR="0076171B" w:rsidRDefault="0076171B" w:rsidP="00882C92">
      <w:pPr>
        <w:pStyle w:val="NoSpacing"/>
        <w:rPr>
          <w:iCs/>
          <w:color w:val="000000"/>
          <w:szCs w:val="24"/>
        </w:rPr>
      </w:pPr>
      <w:r>
        <w:rPr>
          <w:iCs/>
          <w:color w:val="000000"/>
          <w:szCs w:val="24"/>
        </w:rPr>
        <w:t>(410) 786-5424</w:t>
      </w:r>
    </w:p>
    <w:p w14:paraId="6FA73115" w14:textId="77777777" w:rsidR="0076171B" w:rsidRDefault="00F85B18" w:rsidP="00882C92">
      <w:pPr>
        <w:pStyle w:val="NoSpacing"/>
        <w:rPr>
          <w:iCs/>
          <w:color w:val="000000"/>
          <w:szCs w:val="24"/>
        </w:rPr>
      </w:pPr>
      <w:hyperlink r:id="rId9" w:history="1">
        <w:r w:rsidR="0076171B" w:rsidRPr="00233ABE">
          <w:rPr>
            <w:rStyle w:val="Hyperlink"/>
            <w:iCs/>
            <w:szCs w:val="24"/>
          </w:rPr>
          <w:t>clarese.astrin@cms.hhs.gov</w:t>
        </w:r>
      </w:hyperlink>
    </w:p>
    <w:p w14:paraId="7C12D5C1" w14:textId="77777777" w:rsidR="0076171B" w:rsidRDefault="0076171B" w:rsidP="00882C92">
      <w:pPr>
        <w:pStyle w:val="NoSpacing"/>
        <w:rPr>
          <w:iCs/>
          <w:color w:val="000000"/>
          <w:szCs w:val="24"/>
        </w:rPr>
      </w:pPr>
    </w:p>
    <w:p w14:paraId="799F594D" w14:textId="77777777" w:rsidR="0076171B" w:rsidRDefault="0076171B" w:rsidP="00882C92">
      <w:pPr>
        <w:pStyle w:val="NoSpacing"/>
        <w:rPr>
          <w:szCs w:val="24"/>
        </w:rPr>
      </w:pPr>
    </w:p>
    <w:p w14:paraId="7131D97A" w14:textId="77777777" w:rsidR="00565C8D" w:rsidRPr="00170458" w:rsidRDefault="00565C8D" w:rsidP="00F1674F">
      <w:pPr>
        <w:pStyle w:val="Heading1"/>
      </w:pPr>
      <w:r w:rsidRPr="00170458">
        <w:t>R</w:t>
      </w:r>
      <w:r w:rsidR="00F1674F">
        <w:t>EFERENCES</w:t>
      </w:r>
    </w:p>
    <w:p w14:paraId="20711CED" w14:textId="77777777" w:rsidR="00565C8D" w:rsidRPr="00170458" w:rsidRDefault="00565C8D" w:rsidP="00170458">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The American Association for Public Opinion Research (AAPOR) (2011). “</w:t>
      </w:r>
      <w:r w:rsidRPr="00D22382">
        <w:rPr>
          <w:rFonts w:ascii="Times New Roman" w:hAnsi="Times New Roman"/>
          <w:b/>
          <w:spacing w:val="-3"/>
          <w:sz w:val="24"/>
        </w:rPr>
        <w:t>Standard Definitions: Final Dispositions of Case Codes and Outcome Rates for Surveys.</w:t>
      </w:r>
      <w:r w:rsidRPr="00170458">
        <w:rPr>
          <w:rFonts w:ascii="Times New Roman" w:hAnsi="Times New Roman"/>
          <w:spacing w:val="-3"/>
          <w:sz w:val="24"/>
        </w:rPr>
        <w:t>” 7th edition. Lenexa, Kansas: AAPOR.</w:t>
      </w:r>
    </w:p>
    <w:p w14:paraId="2E6F7076" w14:textId="77777777" w:rsidR="00565C8D" w:rsidRPr="00170458" w:rsidRDefault="00565C8D" w:rsidP="00170458">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Blumberg, Stephen J. &amp; Luke, Julian V. (2010). “</w:t>
      </w:r>
      <w:r w:rsidRPr="00D22382">
        <w:rPr>
          <w:rFonts w:ascii="Times New Roman" w:hAnsi="Times New Roman"/>
          <w:b/>
          <w:spacing w:val="-3"/>
          <w:sz w:val="24"/>
        </w:rPr>
        <w:t>Wireless Substitution: Early Release of Estimates from the National Health Interview Survey, July–December 2009</w:t>
      </w:r>
      <w:r w:rsidRPr="00170458">
        <w:rPr>
          <w:rFonts w:ascii="Times New Roman" w:hAnsi="Times New Roman"/>
          <w:spacing w:val="-3"/>
          <w:sz w:val="24"/>
        </w:rPr>
        <w:t xml:space="preserve">” </w:t>
      </w:r>
      <w:hyperlink r:id="rId10" w:history="1">
        <w:r w:rsidRPr="00170458">
          <w:rPr>
            <w:rStyle w:val="Hyperlink"/>
            <w:rFonts w:ascii="Times New Roman" w:hAnsi="Times New Roman"/>
            <w:spacing w:val="-3"/>
            <w:sz w:val="24"/>
          </w:rPr>
          <w:t>http://www.cdc.gov/nchs/data/nhis/earlyrelease/wireless201005.pdf</w:t>
        </w:r>
      </w:hyperlink>
      <w:r w:rsidRPr="00170458">
        <w:rPr>
          <w:rFonts w:ascii="Times New Roman" w:hAnsi="Times New Roman"/>
          <w:spacing w:val="-3"/>
          <w:sz w:val="24"/>
        </w:rPr>
        <w:t xml:space="preserve">. </w:t>
      </w:r>
    </w:p>
    <w:p w14:paraId="043A39D6" w14:textId="77777777" w:rsidR="00565C8D" w:rsidRPr="00170458" w:rsidRDefault="00565C8D" w:rsidP="00565C8D">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 xml:space="preserve">Curtin, Richard, Presser, Stanley &amp; Singer, Eleanor. (2005). Changes in telephone survey non-response over the past quarter century.  </w:t>
      </w:r>
      <w:r w:rsidRPr="00D22382">
        <w:rPr>
          <w:rFonts w:ascii="Times New Roman" w:hAnsi="Times New Roman"/>
          <w:b/>
          <w:spacing w:val="-3"/>
          <w:sz w:val="24"/>
        </w:rPr>
        <w:t>Public Opinion Quarterly</w:t>
      </w:r>
      <w:r w:rsidRPr="00170458">
        <w:rPr>
          <w:rFonts w:ascii="Times New Roman" w:hAnsi="Times New Roman"/>
          <w:spacing w:val="-3"/>
          <w:sz w:val="24"/>
        </w:rPr>
        <w:t>, 69: 87-98.</w:t>
      </w:r>
    </w:p>
    <w:p w14:paraId="48C9677C" w14:textId="77777777" w:rsidR="00565C8D" w:rsidRPr="00170458" w:rsidRDefault="00565C8D" w:rsidP="00170458">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 xml:space="preserve">Groves RM, Fowler, Jr. FJ, Couper, MP, Lepkowski JM, Singer, E &amp; Tourangeau R. (2009).  </w:t>
      </w:r>
      <w:r w:rsidRPr="00D22382">
        <w:rPr>
          <w:rFonts w:ascii="Times New Roman" w:hAnsi="Times New Roman"/>
          <w:b/>
          <w:spacing w:val="-3"/>
          <w:sz w:val="24"/>
        </w:rPr>
        <w:t>Survey Methodology, 2</w:t>
      </w:r>
      <w:r w:rsidRPr="00D22382">
        <w:rPr>
          <w:rFonts w:ascii="Times New Roman" w:hAnsi="Times New Roman"/>
          <w:b/>
          <w:spacing w:val="-3"/>
          <w:sz w:val="24"/>
          <w:vertAlign w:val="superscript"/>
        </w:rPr>
        <w:t>nd</w:t>
      </w:r>
      <w:r w:rsidRPr="00D22382">
        <w:rPr>
          <w:rFonts w:ascii="Times New Roman" w:hAnsi="Times New Roman"/>
          <w:b/>
          <w:spacing w:val="-3"/>
          <w:sz w:val="24"/>
        </w:rPr>
        <w:t xml:space="preserve"> Edition</w:t>
      </w:r>
      <w:r w:rsidRPr="00170458">
        <w:rPr>
          <w:rFonts w:ascii="Times New Roman" w:hAnsi="Times New Roman"/>
          <w:spacing w:val="-3"/>
          <w:sz w:val="24"/>
        </w:rPr>
        <w:t>.  NY:  Wiley.</w:t>
      </w:r>
    </w:p>
    <w:p w14:paraId="7193E858" w14:textId="77777777" w:rsidR="00565C8D" w:rsidRPr="00170458" w:rsidRDefault="00565C8D" w:rsidP="00565C8D">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 xml:space="preserve">Groves, Robert M. &amp; Peytcheva, E. (2008).  The impact of nonresponse rates on nonresponse bias:  A meta-analysis.  </w:t>
      </w:r>
      <w:r w:rsidRPr="00D22382">
        <w:rPr>
          <w:rFonts w:ascii="Times New Roman" w:hAnsi="Times New Roman"/>
          <w:b/>
          <w:spacing w:val="-3"/>
          <w:sz w:val="24"/>
        </w:rPr>
        <w:t>Public Opinion Quarterly</w:t>
      </w:r>
      <w:r w:rsidRPr="00170458">
        <w:rPr>
          <w:rFonts w:ascii="Times New Roman" w:hAnsi="Times New Roman"/>
          <w:spacing w:val="-3"/>
          <w:sz w:val="24"/>
        </w:rPr>
        <w:t>, 72(2), 167-189.</w:t>
      </w:r>
    </w:p>
    <w:p w14:paraId="5245722D" w14:textId="77777777" w:rsidR="00565C8D" w:rsidRPr="00170458" w:rsidRDefault="009F78D6" w:rsidP="00D22382">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 xml:space="preserve">Halbesleben JR &amp; Whitman MV (2013).  Evaluating survey quality in health services research:  A decision framework for assessing nonresponse bias.  (2013). </w:t>
      </w:r>
      <w:r w:rsidRPr="00D22382">
        <w:rPr>
          <w:rFonts w:ascii="Times New Roman" w:hAnsi="Times New Roman"/>
          <w:b/>
          <w:spacing w:val="-3"/>
          <w:sz w:val="24"/>
        </w:rPr>
        <w:t>Health Services Research</w:t>
      </w:r>
      <w:r w:rsidRPr="00170458">
        <w:rPr>
          <w:rFonts w:ascii="Times New Roman" w:hAnsi="Times New Roman"/>
          <w:spacing w:val="-3"/>
          <w:sz w:val="24"/>
        </w:rPr>
        <w:t>, 48(3): 913-930. Epub 2012 October 10.</w:t>
      </w:r>
    </w:p>
    <w:p w14:paraId="4D3A0C14" w14:textId="77777777" w:rsidR="00565C8D" w:rsidRPr="00170458" w:rsidRDefault="00565C8D" w:rsidP="00170458">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 xml:space="preserve">Heeringa, Steven G., West, Brady T., &amp; Berglund, Patricia A. (2010).  </w:t>
      </w:r>
      <w:r w:rsidRPr="00D22382">
        <w:rPr>
          <w:rFonts w:ascii="Times New Roman" w:hAnsi="Times New Roman"/>
          <w:b/>
          <w:spacing w:val="-3"/>
          <w:sz w:val="24"/>
        </w:rPr>
        <w:t>Applied Survey Data Analysi</w:t>
      </w:r>
      <w:r w:rsidR="00170458" w:rsidRPr="00D22382">
        <w:rPr>
          <w:rFonts w:ascii="Times New Roman" w:hAnsi="Times New Roman"/>
          <w:b/>
          <w:spacing w:val="-3"/>
          <w:sz w:val="24"/>
        </w:rPr>
        <w:t>s</w:t>
      </w:r>
      <w:r w:rsidR="00170458">
        <w:rPr>
          <w:rFonts w:ascii="Times New Roman" w:hAnsi="Times New Roman"/>
          <w:spacing w:val="-3"/>
          <w:sz w:val="24"/>
        </w:rPr>
        <w:t>.  Boca Raton, FL:  CRC Press.</w:t>
      </w:r>
    </w:p>
    <w:p w14:paraId="46EE2C0A" w14:textId="77777777" w:rsidR="00565C8D" w:rsidRPr="00170458" w:rsidRDefault="00565C8D" w:rsidP="00170458">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 xml:space="preserve">Lepkowski, James M. (1988). “Telephone Sampling Methods in the United States,” pp. 73–98 in R. M. Groves et al. (eds.), </w:t>
      </w:r>
      <w:r w:rsidRPr="00D22382">
        <w:rPr>
          <w:rFonts w:ascii="Times New Roman" w:hAnsi="Times New Roman"/>
          <w:b/>
          <w:spacing w:val="-3"/>
          <w:sz w:val="24"/>
        </w:rPr>
        <w:t>Telephone Survey Methodology</w:t>
      </w:r>
      <w:r w:rsidRPr="00170458">
        <w:rPr>
          <w:rFonts w:ascii="Times New Roman" w:hAnsi="Times New Roman"/>
          <w:spacing w:val="-3"/>
          <w:sz w:val="24"/>
        </w:rPr>
        <w:t>. New York: Wiley.</w:t>
      </w:r>
    </w:p>
    <w:p w14:paraId="3A1C4E21" w14:textId="77777777" w:rsidR="00565C8D" w:rsidRPr="00170458" w:rsidRDefault="00565C8D" w:rsidP="00565C8D">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 xml:space="preserve">NORC. (2007)  </w:t>
      </w:r>
      <w:r w:rsidRPr="00D22382">
        <w:rPr>
          <w:rFonts w:ascii="Times New Roman" w:hAnsi="Times New Roman"/>
          <w:b/>
          <w:spacing w:val="-3"/>
          <w:sz w:val="24"/>
        </w:rPr>
        <w:t>National Immunization Survey</w:t>
      </w:r>
      <w:r w:rsidRPr="00170458">
        <w:rPr>
          <w:rFonts w:ascii="Times New Roman" w:hAnsi="Times New Roman"/>
          <w:spacing w:val="-3"/>
          <w:sz w:val="24"/>
        </w:rPr>
        <w:t>:  A user’s guide for the 2006 Public Use Data File.</w:t>
      </w:r>
    </w:p>
    <w:p w14:paraId="6AEE214D" w14:textId="77777777" w:rsidR="00565C8D" w:rsidRPr="00170458" w:rsidRDefault="009F78D6" w:rsidP="00170458">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 xml:space="preserve">Patton, MQ (2011).  </w:t>
      </w:r>
      <w:r w:rsidRPr="00D22382">
        <w:rPr>
          <w:rFonts w:ascii="Times New Roman" w:hAnsi="Times New Roman"/>
          <w:b/>
          <w:spacing w:val="-3"/>
          <w:sz w:val="24"/>
        </w:rPr>
        <w:t>Developmental Evaluation:  Applying complexity concepts to enhance innovation and use</w:t>
      </w:r>
      <w:r w:rsidRPr="00170458">
        <w:rPr>
          <w:rFonts w:ascii="Times New Roman" w:hAnsi="Times New Roman"/>
          <w:spacing w:val="-3"/>
          <w:sz w:val="24"/>
        </w:rPr>
        <w:t>.  New York:  Guilford Press.</w:t>
      </w:r>
    </w:p>
    <w:p w14:paraId="4C807498" w14:textId="77777777" w:rsidR="00565C8D" w:rsidRPr="00170458" w:rsidRDefault="00565C8D" w:rsidP="00170458">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 xml:space="preserve">Peytchev, Andy, Baxter, Rodney K., Carley-Baxter, Lisa R.  (2009).  Not all survey effort is equal:  Reduction of nonresponse bias and nonresponse error.  </w:t>
      </w:r>
      <w:r w:rsidRPr="00D22382">
        <w:rPr>
          <w:rFonts w:ascii="Times New Roman" w:hAnsi="Times New Roman"/>
          <w:b/>
          <w:spacing w:val="-3"/>
          <w:sz w:val="24"/>
        </w:rPr>
        <w:t>Public Opi</w:t>
      </w:r>
      <w:r w:rsidR="00170458" w:rsidRPr="00D22382">
        <w:rPr>
          <w:rFonts w:ascii="Times New Roman" w:hAnsi="Times New Roman"/>
          <w:b/>
          <w:spacing w:val="-3"/>
          <w:sz w:val="24"/>
        </w:rPr>
        <w:t>nion Quarterly</w:t>
      </w:r>
      <w:r w:rsidR="00170458">
        <w:rPr>
          <w:rFonts w:ascii="Times New Roman" w:hAnsi="Times New Roman"/>
          <w:spacing w:val="-3"/>
          <w:sz w:val="24"/>
        </w:rPr>
        <w:t>, 73(4): 785-806.</w:t>
      </w:r>
    </w:p>
    <w:p w14:paraId="7705BB2A" w14:textId="77777777" w:rsidR="00565C8D" w:rsidRPr="00170458" w:rsidRDefault="00565C8D" w:rsidP="00565C8D">
      <w:pPr>
        <w:tabs>
          <w:tab w:val="left" w:pos="0"/>
          <w:tab w:val="left" w:pos="2196"/>
          <w:tab w:val="left" w:pos="2880"/>
        </w:tabs>
        <w:suppressAutoHyphens/>
        <w:ind w:left="720" w:hanging="720"/>
        <w:jc w:val="both"/>
        <w:rPr>
          <w:rFonts w:ascii="Times New Roman" w:hAnsi="Times New Roman"/>
          <w:spacing w:val="-3"/>
          <w:sz w:val="24"/>
        </w:rPr>
      </w:pPr>
      <w:r w:rsidRPr="00170458">
        <w:rPr>
          <w:rFonts w:ascii="Times New Roman" w:hAnsi="Times New Roman"/>
          <w:spacing w:val="-3"/>
          <w:sz w:val="24"/>
        </w:rPr>
        <w:t>The Pew Research Center fo</w:t>
      </w:r>
      <w:r w:rsidR="00170458" w:rsidRPr="00170458">
        <w:rPr>
          <w:rFonts w:ascii="Times New Roman" w:hAnsi="Times New Roman"/>
          <w:spacing w:val="-3"/>
          <w:sz w:val="24"/>
        </w:rPr>
        <w:t xml:space="preserve">r the People &amp; the Press (2012).  </w:t>
      </w:r>
      <w:r w:rsidR="00170458" w:rsidRPr="00D22382">
        <w:rPr>
          <w:rFonts w:ascii="Times New Roman" w:hAnsi="Times New Roman"/>
          <w:b/>
          <w:spacing w:val="-3"/>
          <w:sz w:val="24"/>
        </w:rPr>
        <w:t>Digital Differences</w:t>
      </w:r>
      <w:r w:rsidR="00170458" w:rsidRPr="00170458">
        <w:rPr>
          <w:rFonts w:ascii="Times New Roman" w:hAnsi="Times New Roman"/>
          <w:spacing w:val="-3"/>
          <w:sz w:val="24"/>
        </w:rPr>
        <w:t xml:space="preserve">.  Available at:  </w:t>
      </w:r>
      <w:hyperlink r:id="rId11" w:history="1">
        <w:r w:rsidR="00170458" w:rsidRPr="00170458">
          <w:rPr>
            <w:rStyle w:val="Hyperlink"/>
            <w:rFonts w:ascii="Times New Roman" w:hAnsi="Times New Roman"/>
            <w:spacing w:val="-3"/>
            <w:sz w:val="24"/>
          </w:rPr>
          <w:t>http://www.pewinternet.org/Reports/2012/Digital-differences.aspx</w:t>
        </w:r>
      </w:hyperlink>
      <w:r w:rsidR="00170458" w:rsidRPr="00170458">
        <w:rPr>
          <w:rFonts w:ascii="Times New Roman" w:hAnsi="Times New Roman"/>
          <w:spacing w:val="-3"/>
          <w:sz w:val="24"/>
        </w:rPr>
        <w:t xml:space="preserve"> (Accessed 5/10/2013).</w:t>
      </w:r>
    </w:p>
    <w:p w14:paraId="31EA3331" w14:textId="77777777" w:rsidR="00170458" w:rsidRPr="00170458" w:rsidRDefault="00170458" w:rsidP="00565C8D">
      <w:pPr>
        <w:tabs>
          <w:tab w:val="left" w:pos="0"/>
          <w:tab w:val="left" w:pos="2196"/>
          <w:tab w:val="left" w:pos="2880"/>
        </w:tabs>
        <w:suppressAutoHyphens/>
        <w:ind w:left="720" w:hanging="720"/>
        <w:jc w:val="both"/>
        <w:rPr>
          <w:rFonts w:ascii="Times New Roman" w:hAnsi="Times New Roman"/>
          <w:spacing w:val="-3"/>
          <w:sz w:val="24"/>
        </w:rPr>
      </w:pPr>
    </w:p>
    <w:p w14:paraId="00BABF3D" w14:textId="77777777" w:rsidR="00882C92" w:rsidRPr="00170458" w:rsidRDefault="00882C92">
      <w:pPr>
        <w:spacing w:after="0" w:line="240" w:lineRule="auto"/>
        <w:rPr>
          <w:rFonts w:ascii="Times New Roman" w:hAnsi="Times New Roman"/>
          <w:sz w:val="24"/>
          <w:szCs w:val="24"/>
        </w:rPr>
      </w:pPr>
    </w:p>
    <w:sectPr w:rsidR="00882C92" w:rsidRPr="00170458" w:rsidSect="00BC1B1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CB518" w14:textId="77777777" w:rsidR="00FF5108" w:rsidRDefault="00FF5108" w:rsidP="005E0B56">
      <w:pPr>
        <w:spacing w:after="0" w:line="240" w:lineRule="auto"/>
      </w:pPr>
      <w:r>
        <w:separator/>
      </w:r>
    </w:p>
  </w:endnote>
  <w:endnote w:type="continuationSeparator" w:id="0">
    <w:p w14:paraId="796C8ED3" w14:textId="77777777" w:rsidR="00FF5108" w:rsidRDefault="00FF5108" w:rsidP="005E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9795" w14:textId="77777777" w:rsidR="004D3D47" w:rsidRDefault="00D22382">
    <w:pPr>
      <w:pStyle w:val="Footer"/>
      <w:jc w:val="center"/>
    </w:pPr>
    <w:r>
      <w:fldChar w:fldCharType="begin"/>
    </w:r>
    <w:r>
      <w:instrText xml:space="preserve"> PAGE   \* MERGEFORMAT </w:instrText>
    </w:r>
    <w:r>
      <w:fldChar w:fldCharType="separate"/>
    </w:r>
    <w:r w:rsidR="00F85B18">
      <w:rPr>
        <w:noProof/>
      </w:rPr>
      <w:t>1</w:t>
    </w:r>
    <w:r>
      <w:rPr>
        <w:noProof/>
      </w:rPr>
      <w:fldChar w:fldCharType="end"/>
    </w:r>
  </w:p>
  <w:p w14:paraId="3A6CFE41" w14:textId="77777777" w:rsidR="004D3D47" w:rsidRDefault="004D3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B8F47" w14:textId="77777777" w:rsidR="00FF5108" w:rsidRDefault="00FF5108" w:rsidP="005E0B56">
      <w:pPr>
        <w:spacing w:after="0" w:line="240" w:lineRule="auto"/>
      </w:pPr>
      <w:r>
        <w:separator/>
      </w:r>
    </w:p>
  </w:footnote>
  <w:footnote w:type="continuationSeparator" w:id="0">
    <w:p w14:paraId="3D840095" w14:textId="77777777" w:rsidR="00FF5108" w:rsidRDefault="00FF5108" w:rsidP="005E0B56">
      <w:pPr>
        <w:spacing w:after="0" w:line="240" w:lineRule="auto"/>
      </w:pPr>
      <w:r>
        <w:continuationSeparator/>
      </w:r>
    </w:p>
  </w:footnote>
  <w:footnote w:id="1">
    <w:p w14:paraId="56175B73" w14:textId="77777777" w:rsidR="00AA5451" w:rsidRDefault="00AA5451" w:rsidP="00AA5451">
      <w:pPr>
        <w:pStyle w:val="FootnoteText"/>
      </w:pPr>
      <w:r>
        <w:rPr>
          <w:rStyle w:val="FootnoteReference"/>
        </w:rPr>
        <w:footnoteRef/>
      </w:r>
      <w:r>
        <w:t xml:space="preserve"> Groves RM &amp; Peytcheva E (2008).  The impact of nonresponse rates on nonresponse bias:  A meta-analysis.  Public Opinion Quarterly, 72(2), 167-189.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5DB"/>
    <w:multiLevelType w:val="hybridMultilevel"/>
    <w:tmpl w:val="D770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21A04"/>
    <w:multiLevelType w:val="hybridMultilevel"/>
    <w:tmpl w:val="7EA066CC"/>
    <w:lvl w:ilvl="0" w:tplc="1438F9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G Times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91414D"/>
    <w:multiLevelType w:val="hybridMultilevel"/>
    <w:tmpl w:val="C7B056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B815B86"/>
    <w:multiLevelType w:val="hybridMultilevel"/>
    <w:tmpl w:val="DB946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146B7"/>
    <w:multiLevelType w:val="hybridMultilevel"/>
    <w:tmpl w:val="5A947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5A2713E"/>
    <w:multiLevelType w:val="hybridMultilevel"/>
    <w:tmpl w:val="FA043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401616"/>
    <w:multiLevelType w:val="hybridMultilevel"/>
    <w:tmpl w:val="DF7AC6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31B36783"/>
    <w:multiLevelType w:val="hybridMultilevel"/>
    <w:tmpl w:val="77242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1922BB"/>
    <w:multiLevelType w:val="hybridMultilevel"/>
    <w:tmpl w:val="4816D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3B6D56"/>
    <w:multiLevelType w:val="hybridMultilevel"/>
    <w:tmpl w:val="83189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04176B"/>
    <w:multiLevelType w:val="hybridMultilevel"/>
    <w:tmpl w:val="E214A7B2"/>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2">
    <w:nsid w:val="40582DF6"/>
    <w:multiLevelType w:val="hybridMultilevel"/>
    <w:tmpl w:val="E510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A23BC3"/>
    <w:multiLevelType w:val="hybridMultilevel"/>
    <w:tmpl w:val="AADEB7DE"/>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582D0A42"/>
    <w:multiLevelType w:val="hybridMultilevel"/>
    <w:tmpl w:val="C6CC3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4C662D"/>
    <w:multiLevelType w:val="hybridMultilevel"/>
    <w:tmpl w:val="2E8E5712"/>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6FFC5812"/>
    <w:multiLevelType w:val="hybridMultilevel"/>
    <w:tmpl w:val="8166A6F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772B0418"/>
    <w:multiLevelType w:val="hybridMultilevel"/>
    <w:tmpl w:val="8DC06FC6"/>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7F343452"/>
    <w:multiLevelType w:val="hybridMultilevel"/>
    <w:tmpl w:val="EAD20AE8"/>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2"/>
  </w:num>
  <w:num w:numId="2">
    <w:abstractNumId w:val="18"/>
  </w:num>
  <w:num w:numId="3">
    <w:abstractNumId w:val="13"/>
  </w:num>
  <w:num w:numId="4">
    <w:abstractNumId w:val="15"/>
  </w:num>
  <w:num w:numId="5">
    <w:abstractNumId w:val="16"/>
  </w:num>
  <w:num w:numId="6">
    <w:abstractNumId w:val="17"/>
  </w:num>
  <w:num w:numId="7">
    <w:abstractNumId w:val="6"/>
  </w:num>
  <w:num w:numId="8">
    <w:abstractNumId w:val="9"/>
  </w:num>
  <w:num w:numId="9">
    <w:abstractNumId w:val="10"/>
  </w:num>
  <w:num w:numId="10">
    <w:abstractNumId w:val="2"/>
  </w:num>
  <w:num w:numId="11">
    <w:abstractNumId w:val="4"/>
  </w:num>
  <w:num w:numId="12">
    <w:abstractNumId w:val="11"/>
  </w:num>
  <w:num w:numId="13">
    <w:abstractNumId w:val="8"/>
  </w:num>
  <w:num w:numId="14">
    <w:abstractNumId w:val="14"/>
  </w:num>
  <w:num w:numId="15">
    <w:abstractNumId w:val="3"/>
  </w:num>
  <w:num w:numId="16">
    <w:abstractNumId w:val="1"/>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A2"/>
    <w:rsid w:val="000011C2"/>
    <w:rsid w:val="00001605"/>
    <w:rsid w:val="000237A1"/>
    <w:rsid w:val="00033799"/>
    <w:rsid w:val="00046302"/>
    <w:rsid w:val="00046FF2"/>
    <w:rsid w:val="00056902"/>
    <w:rsid w:val="00056A85"/>
    <w:rsid w:val="00061319"/>
    <w:rsid w:val="00067FC8"/>
    <w:rsid w:val="0007525D"/>
    <w:rsid w:val="00080067"/>
    <w:rsid w:val="000805CE"/>
    <w:rsid w:val="00094D19"/>
    <w:rsid w:val="000A4CF8"/>
    <w:rsid w:val="000C4004"/>
    <w:rsid w:val="000C58DC"/>
    <w:rsid w:val="000E0CD8"/>
    <w:rsid w:val="000E7788"/>
    <w:rsid w:val="001169AC"/>
    <w:rsid w:val="00122C2F"/>
    <w:rsid w:val="001259F2"/>
    <w:rsid w:val="00125D4A"/>
    <w:rsid w:val="00130FBF"/>
    <w:rsid w:val="00133D88"/>
    <w:rsid w:val="00143566"/>
    <w:rsid w:val="00150099"/>
    <w:rsid w:val="001508DF"/>
    <w:rsid w:val="001513C5"/>
    <w:rsid w:val="00156FB9"/>
    <w:rsid w:val="00170458"/>
    <w:rsid w:val="00174E49"/>
    <w:rsid w:val="00175944"/>
    <w:rsid w:val="00177A22"/>
    <w:rsid w:val="0019527A"/>
    <w:rsid w:val="0019722A"/>
    <w:rsid w:val="001A71BD"/>
    <w:rsid w:val="001A79AB"/>
    <w:rsid w:val="001B08AD"/>
    <w:rsid w:val="001C03C3"/>
    <w:rsid w:val="001C5645"/>
    <w:rsid w:val="001D2288"/>
    <w:rsid w:val="001D5C89"/>
    <w:rsid w:val="001E1C57"/>
    <w:rsid w:val="001E39C1"/>
    <w:rsid w:val="001E4C4D"/>
    <w:rsid w:val="001F53AE"/>
    <w:rsid w:val="00203032"/>
    <w:rsid w:val="00210C39"/>
    <w:rsid w:val="00216313"/>
    <w:rsid w:val="00217778"/>
    <w:rsid w:val="0022004B"/>
    <w:rsid w:val="0022781E"/>
    <w:rsid w:val="00233064"/>
    <w:rsid w:val="00245FEE"/>
    <w:rsid w:val="00256A80"/>
    <w:rsid w:val="00264622"/>
    <w:rsid w:val="00270878"/>
    <w:rsid w:val="00273442"/>
    <w:rsid w:val="00276A28"/>
    <w:rsid w:val="00283853"/>
    <w:rsid w:val="00283CA4"/>
    <w:rsid w:val="0029087A"/>
    <w:rsid w:val="00292638"/>
    <w:rsid w:val="002A3530"/>
    <w:rsid w:val="002A3A8C"/>
    <w:rsid w:val="002A3BB1"/>
    <w:rsid w:val="002A6280"/>
    <w:rsid w:val="002B13B4"/>
    <w:rsid w:val="002C12A2"/>
    <w:rsid w:val="002C68D9"/>
    <w:rsid w:val="002D663C"/>
    <w:rsid w:val="002D6CE4"/>
    <w:rsid w:val="002E72A9"/>
    <w:rsid w:val="00303F8E"/>
    <w:rsid w:val="00311B07"/>
    <w:rsid w:val="003123ED"/>
    <w:rsid w:val="0031276E"/>
    <w:rsid w:val="00313122"/>
    <w:rsid w:val="0032035B"/>
    <w:rsid w:val="003219B9"/>
    <w:rsid w:val="003317EA"/>
    <w:rsid w:val="00332DD6"/>
    <w:rsid w:val="003472C4"/>
    <w:rsid w:val="00353D69"/>
    <w:rsid w:val="00356098"/>
    <w:rsid w:val="00364A2A"/>
    <w:rsid w:val="00365769"/>
    <w:rsid w:val="00372145"/>
    <w:rsid w:val="00375C8C"/>
    <w:rsid w:val="00387C72"/>
    <w:rsid w:val="00387F92"/>
    <w:rsid w:val="003930F1"/>
    <w:rsid w:val="00393589"/>
    <w:rsid w:val="003A00BF"/>
    <w:rsid w:val="003A2E2C"/>
    <w:rsid w:val="003B1809"/>
    <w:rsid w:val="003D3263"/>
    <w:rsid w:val="003D3DA3"/>
    <w:rsid w:val="003E20C4"/>
    <w:rsid w:val="003F107D"/>
    <w:rsid w:val="003F5A3F"/>
    <w:rsid w:val="003F657C"/>
    <w:rsid w:val="003F727B"/>
    <w:rsid w:val="003F7A48"/>
    <w:rsid w:val="004147AA"/>
    <w:rsid w:val="004211EA"/>
    <w:rsid w:val="00423694"/>
    <w:rsid w:val="00426BF6"/>
    <w:rsid w:val="004313E8"/>
    <w:rsid w:val="00432580"/>
    <w:rsid w:val="0044644C"/>
    <w:rsid w:val="00451F8D"/>
    <w:rsid w:val="0045776B"/>
    <w:rsid w:val="00462F02"/>
    <w:rsid w:val="0047160E"/>
    <w:rsid w:val="0047295B"/>
    <w:rsid w:val="00475FB5"/>
    <w:rsid w:val="004771A7"/>
    <w:rsid w:val="004901FF"/>
    <w:rsid w:val="004A7C7A"/>
    <w:rsid w:val="004B311B"/>
    <w:rsid w:val="004B5B58"/>
    <w:rsid w:val="004C3368"/>
    <w:rsid w:val="004C7C0B"/>
    <w:rsid w:val="004D3D47"/>
    <w:rsid w:val="004D46E4"/>
    <w:rsid w:val="004E3E68"/>
    <w:rsid w:val="004F3C2D"/>
    <w:rsid w:val="004F6F95"/>
    <w:rsid w:val="004F71BC"/>
    <w:rsid w:val="005021B9"/>
    <w:rsid w:val="00506E4A"/>
    <w:rsid w:val="0051163B"/>
    <w:rsid w:val="00512F79"/>
    <w:rsid w:val="00514918"/>
    <w:rsid w:val="00521280"/>
    <w:rsid w:val="00525B06"/>
    <w:rsid w:val="00530D31"/>
    <w:rsid w:val="00535920"/>
    <w:rsid w:val="005416AE"/>
    <w:rsid w:val="00555120"/>
    <w:rsid w:val="00561BD3"/>
    <w:rsid w:val="005620E5"/>
    <w:rsid w:val="00565C8D"/>
    <w:rsid w:val="005663DE"/>
    <w:rsid w:val="00570918"/>
    <w:rsid w:val="00573CAA"/>
    <w:rsid w:val="0057594F"/>
    <w:rsid w:val="005772BD"/>
    <w:rsid w:val="00581CD9"/>
    <w:rsid w:val="00594026"/>
    <w:rsid w:val="005A3B0F"/>
    <w:rsid w:val="005A4FBE"/>
    <w:rsid w:val="005A5EF6"/>
    <w:rsid w:val="005A76F3"/>
    <w:rsid w:val="005B07DF"/>
    <w:rsid w:val="005B25A2"/>
    <w:rsid w:val="005B4F16"/>
    <w:rsid w:val="005C3712"/>
    <w:rsid w:val="005C42A3"/>
    <w:rsid w:val="005C65A3"/>
    <w:rsid w:val="005D2859"/>
    <w:rsid w:val="005E0B56"/>
    <w:rsid w:val="005E3FFC"/>
    <w:rsid w:val="005E5CE1"/>
    <w:rsid w:val="005F1B6F"/>
    <w:rsid w:val="005F1C77"/>
    <w:rsid w:val="006016EB"/>
    <w:rsid w:val="00602089"/>
    <w:rsid w:val="00603F0C"/>
    <w:rsid w:val="006067B6"/>
    <w:rsid w:val="00611675"/>
    <w:rsid w:val="00615225"/>
    <w:rsid w:val="00622385"/>
    <w:rsid w:val="00622418"/>
    <w:rsid w:val="006272C2"/>
    <w:rsid w:val="00631FC6"/>
    <w:rsid w:val="0063569B"/>
    <w:rsid w:val="0064217B"/>
    <w:rsid w:val="00651246"/>
    <w:rsid w:val="006516EE"/>
    <w:rsid w:val="00651F03"/>
    <w:rsid w:val="00654FDB"/>
    <w:rsid w:val="0066252A"/>
    <w:rsid w:val="006630E9"/>
    <w:rsid w:val="006635AF"/>
    <w:rsid w:val="00671E78"/>
    <w:rsid w:val="00674488"/>
    <w:rsid w:val="00691518"/>
    <w:rsid w:val="00691BEE"/>
    <w:rsid w:val="00693399"/>
    <w:rsid w:val="006B1B56"/>
    <w:rsid w:val="006B2F13"/>
    <w:rsid w:val="006F331D"/>
    <w:rsid w:val="006F3F0C"/>
    <w:rsid w:val="006F67EA"/>
    <w:rsid w:val="00704A2C"/>
    <w:rsid w:val="00704F2D"/>
    <w:rsid w:val="00707802"/>
    <w:rsid w:val="007100DE"/>
    <w:rsid w:val="007101B6"/>
    <w:rsid w:val="007105F8"/>
    <w:rsid w:val="00713331"/>
    <w:rsid w:val="00715A99"/>
    <w:rsid w:val="007160C6"/>
    <w:rsid w:val="0071762A"/>
    <w:rsid w:val="00725563"/>
    <w:rsid w:val="00726776"/>
    <w:rsid w:val="00743CB6"/>
    <w:rsid w:val="00750850"/>
    <w:rsid w:val="00750D19"/>
    <w:rsid w:val="00752E6A"/>
    <w:rsid w:val="00753C05"/>
    <w:rsid w:val="00756A14"/>
    <w:rsid w:val="0076171B"/>
    <w:rsid w:val="0077469E"/>
    <w:rsid w:val="00775F61"/>
    <w:rsid w:val="0079172F"/>
    <w:rsid w:val="00792D6B"/>
    <w:rsid w:val="007A1C01"/>
    <w:rsid w:val="007A5E53"/>
    <w:rsid w:val="007A64C6"/>
    <w:rsid w:val="007B2C14"/>
    <w:rsid w:val="007B405D"/>
    <w:rsid w:val="007B6F0C"/>
    <w:rsid w:val="007C7009"/>
    <w:rsid w:val="007D70F8"/>
    <w:rsid w:val="007E2567"/>
    <w:rsid w:val="007E34B1"/>
    <w:rsid w:val="007E7F57"/>
    <w:rsid w:val="007F4F15"/>
    <w:rsid w:val="008007CF"/>
    <w:rsid w:val="008067EA"/>
    <w:rsid w:val="0080736A"/>
    <w:rsid w:val="00807767"/>
    <w:rsid w:val="00815E80"/>
    <w:rsid w:val="00815F8F"/>
    <w:rsid w:val="008162FB"/>
    <w:rsid w:val="00816E1A"/>
    <w:rsid w:val="008205DA"/>
    <w:rsid w:val="00820EF4"/>
    <w:rsid w:val="00823FD8"/>
    <w:rsid w:val="00840492"/>
    <w:rsid w:val="0084550C"/>
    <w:rsid w:val="00846F73"/>
    <w:rsid w:val="008515F2"/>
    <w:rsid w:val="00864AFA"/>
    <w:rsid w:val="00876D99"/>
    <w:rsid w:val="00882C92"/>
    <w:rsid w:val="00882D3B"/>
    <w:rsid w:val="008A3E6B"/>
    <w:rsid w:val="008A4689"/>
    <w:rsid w:val="008A6679"/>
    <w:rsid w:val="008B5759"/>
    <w:rsid w:val="008B7369"/>
    <w:rsid w:val="008E1D16"/>
    <w:rsid w:val="008E4A10"/>
    <w:rsid w:val="008E70E2"/>
    <w:rsid w:val="008F0D32"/>
    <w:rsid w:val="008F13C3"/>
    <w:rsid w:val="008F52C6"/>
    <w:rsid w:val="00906ED0"/>
    <w:rsid w:val="00917D34"/>
    <w:rsid w:val="009245E7"/>
    <w:rsid w:val="00926441"/>
    <w:rsid w:val="009331E3"/>
    <w:rsid w:val="0094220D"/>
    <w:rsid w:val="00950129"/>
    <w:rsid w:val="00951E9B"/>
    <w:rsid w:val="009530A0"/>
    <w:rsid w:val="00953CBB"/>
    <w:rsid w:val="00956B74"/>
    <w:rsid w:val="00971E4D"/>
    <w:rsid w:val="0097523A"/>
    <w:rsid w:val="0098113D"/>
    <w:rsid w:val="00990772"/>
    <w:rsid w:val="00994B9C"/>
    <w:rsid w:val="009A39F7"/>
    <w:rsid w:val="009B032E"/>
    <w:rsid w:val="009B4BC0"/>
    <w:rsid w:val="009B7A11"/>
    <w:rsid w:val="009C0DD2"/>
    <w:rsid w:val="009C1992"/>
    <w:rsid w:val="009D1A81"/>
    <w:rsid w:val="009D4C2A"/>
    <w:rsid w:val="009D55E5"/>
    <w:rsid w:val="009E5A08"/>
    <w:rsid w:val="009F78D6"/>
    <w:rsid w:val="00A06C6F"/>
    <w:rsid w:val="00A15990"/>
    <w:rsid w:val="00A165F3"/>
    <w:rsid w:val="00A23782"/>
    <w:rsid w:val="00A441CC"/>
    <w:rsid w:val="00A705C1"/>
    <w:rsid w:val="00A70B32"/>
    <w:rsid w:val="00A76131"/>
    <w:rsid w:val="00A82F69"/>
    <w:rsid w:val="00A861EE"/>
    <w:rsid w:val="00A95245"/>
    <w:rsid w:val="00AA3A45"/>
    <w:rsid w:val="00AA49DB"/>
    <w:rsid w:val="00AA5451"/>
    <w:rsid w:val="00AB2881"/>
    <w:rsid w:val="00AC700C"/>
    <w:rsid w:val="00AD37EF"/>
    <w:rsid w:val="00AE7784"/>
    <w:rsid w:val="00AF79CA"/>
    <w:rsid w:val="00B0409E"/>
    <w:rsid w:val="00B07A74"/>
    <w:rsid w:val="00B20E40"/>
    <w:rsid w:val="00B21AA3"/>
    <w:rsid w:val="00B27678"/>
    <w:rsid w:val="00B30B21"/>
    <w:rsid w:val="00B4597F"/>
    <w:rsid w:val="00B46847"/>
    <w:rsid w:val="00B47E3D"/>
    <w:rsid w:val="00B50E95"/>
    <w:rsid w:val="00B62E9A"/>
    <w:rsid w:val="00B6370E"/>
    <w:rsid w:val="00B70FB9"/>
    <w:rsid w:val="00B7568A"/>
    <w:rsid w:val="00B80C8A"/>
    <w:rsid w:val="00B8126C"/>
    <w:rsid w:val="00B843F8"/>
    <w:rsid w:val="00B92A82"/>
    <w:rsid w:val="00B9619A"/>
    <w:rsid w:val="00B96BD0"/>
    <w:rsid w:val="00BA1298"/>
    <w:rsid w:val="00BA14D5"/>
    <w:rsid w:val="00BA4655"/>
    <w:rsid w:val="00BB34A4"/>
    <w:rsid w:val="00BB5722"/>
    <w:rsid w:val="00BC13F7"/>
    <w:rsid w:val="00BC1B1A"/>
    <w:rsid w:val="00BC33CE"/>
    <w:rsid w:val="00BC7C28"/>
    <w:rsid w:val="00BD5744"/>
    <w:rsid w:val="00BE3B9F"/>
    <w:rsid w:val="00BE6F5E"/>
    <w:rsid w:val="00C01B35"/>
    <w:rsid w:val="00C0370A"/>
    <w:rsid w:val="00C069F2"/>
    <w:rsid w:val="00C126E8"/>
    <w:rsid w:val="00C1421A"/>
    <w:rsid w:val="00C15081"/>
    <w:rsid w:val="00C16175"/>
    <w:rsid w:val="00C322ED"/>
    <w:rsid w:val="00C36E80"/>
    <w:rsid w:val="00C403C6"/>
    <w:rsid w:val="00C442CA"/>
    <w:rsid w:val="00C47301"/>
    <w:rsid w:val="00C5263C"/>
    <w:rsid w:val="00C61E9C"/>
    <w:rsid w:val="00C62C5A"/>
    <w:rsid w:val="00C6515C"/>
    <w:rsid w:val="00C662F3"/>
    <w:rsid w:val="00C7004C"/>
    <w:rsid w:val="00C7254B"/>
    <w:rsid w:val="00C73046"/>
    <w:rsid w:val="00C807E4"/>
    <w:rsid w:val="00C84B20"/>
    <w:rsid w:val="00C84F29"/>
    <w:rsid w:val="00C942EE"/>
    <w:rsid w:val="00C9577D"/>
    <w:rsid w:val="00CA0CAB"/>
    <w:rsid w:val="00CA4267"/>
    <w:rsid w:val="00CA506A"/>
    <w:rsid w:val="00CB1942"/>
    <w:rsid w:val="00CB252E"/>
    <w:rsid w:val="00CC0BD2"/>
    <w:rsid w:val="00CC5BA8"/>
    <w:rsid w:val="00CE0594"/>
    <w:rsid w:val="00CF179A"/>
    <w:rsid w:val="00D040BE"/>
    <w:rsid w:val="00D13E11"/>
    <w:rsid w:val="00D14D79"/>
    <w:rsid w:val="00D22382"/>
    <w:rsid w:val="00D26BD4"/>
    <w:rsid w:val="00D27C41"/>
    <w:rsid w:val="00D364C1"/>
    <w:rsid w:val="00D520CF"/>
    <w:rsid w:val="00D61553"/>
    <w:rsid w:val="00D727C9"/>
    <w:rsid w:val="00D7286E"/>
    <w:rsid w:val="00D73209"/>
    <w:rsid w:val="00D75530"/>
    <w:rsid w:val="00D80049"/>
    <w:rsid w:val="00D848B5"/>
    <w:rsid w:val="00DA56CF"/>
    <w:rsid w:val="00DC426A"/>
    <w:rsid w:val="00DC714C"/>
    <w:rsid w:val="00DD600A"/>
    <w:rsid w:val="00DF3AAB"/>
    <w:rsid w:val="00DF6BB2"/>
    <w:rsid w:val="00E028E4"/>
    <w:rsid w:val="00E1506E"/>
    <w:rsid w:val="00E15363"/>
    <w:rsid w:val="00E25D64"/>
    <w:rsid w:val="00E321DF"/>
    <w:rsid w:val="00E46CCA"/>
    <w:rsid w:val="00E50681"/>
    <w:rsid w:val="00E530A0"/>
    <w:rsid w:val="00E577D7"/>
    <w:rsid w:val="00E6528D"/>
    <w:rsid w:val="00E71812"/>
    <w:rsid w:val="00E75DAF"/>
    <w:rsid w:val="00E80C36"/>
    <w:rsid w:val="00E857FC"/>
    <w:rsid w:val="00E901E6"/>
    <w:rsid w:val="00EA3602"/>
    <w:rsid w:val="00EA6818"/>
    <w:rsid w:val="00EB439E"/>
    <w:rsid w:val="00EB60DB"/>
    <w:rsid w:val="00EC575C"/>
    <w:rsid w:val="00ED2211"/>
    <w:rsid w:val="00ED2F1F"/>
    <w:rsid w:val="00EE2F68"/>
    <w:rsid w:val="00EE6644"/>
    <w:rsid w:val="00EE7B96"/>
    <w:rsid w:val="00F041D3"/>
    <w:rsid w:val="00F05B35"/>
    <w:rsid w:val="00F13EE6"/>
    <w:rsid w:val="00F1674F"/>
    <w:rsid w:val="00F23E90"/>
    <w:rsid w:val="00F3232C"/>
    <w:rsid w:val="00F41CBF"/>
    <w:rsid w:val="00F510DD"/>
    <w:rsid w:val="00F53780"/>
    <w:rsid w:val="00F54D2D"/>
    <w:rsid w:val="00F651CA"/>
    <w:rsid w:val="00F7234B"/>
    <w:rsid w:val="00F741E1"/>
    <w:rsid w:val="00F85B18"/>
    <w:rsid w:val="00F921EB"/>
    <w:rsid w:val="00F9778C"/>
    <w:rsid w:val="00FC2A14"/>
    <w:rsid w:val="00FC4512"/>
    <w:rsid w:val="00FC6546"/>
    <w:rsid w:val="00FD3312"/>
    <w:rsid w:val="00FE0BCE"/>
    <w:rsid w:val="00FE7B64"/>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1A"/>
    <w:pPr>
      <w:spacing w:after="200" w:line="276" w:lineRule="auto"/>
    </w:pPr>
    <w:rPr>
      <w:sz w:val="22"/>
      <w:szCs w:val="22"/>
    </w:rPr>
  </w:style>
  <w:style w:type="paragraph" w:styleId="Heading1">
    <w:name w:val="heading 1"/>
    <w:basedOn w:val="Normal"/>
    <w:next w:val="Normal"/>
    <w:link w:val="Heading1Char"/>
    <w:uiPriority w:val="9"/>
    <w:qFormat/>
    <w:rsid w:val="00882C92"/>
    <w:pPr>
      <w:keepNext/>
      <w:keepLines/>
      <w:spacing w:after="240" w:line="240" w:lineRule="auto"/>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84550C"/>
    <w:pPr>
      <w:keepNext/>
      <w:keepLines/>
      <w:spacing w:after="360" w:line="240" w:lineRule="auto"/>
      <w:jc w:val="center"/>
      <w:outlineLvl w:val="1"/>
    </w:pPr>
    <w:rPr>
      <w:rFonts w:ascii="Times New Roman" w:eastAsia="Times New Roman" w:hAnsi="Times New Roman"/>
      <w:b/>
      <w:bCs/>
      <w:szCs w:val="26"/>
    </w:rPr>
  </w:style>
  <w:style w:type="paragraph" w:styleId="Heading3">
    <w:name w:val="heading 3"/>
    <w:basedOn w:val="Normal"/>
    <w:next w:val="Normal"/>
    <w:link w:val="Heading3Char"/>
    <w:uiPriority w:val="9"/>
    <w:unhideWhenUsed/>
    <w:qFormat/>
    <w:rsid w:val="00094D19"/>
    <w:pPr>
      <w:keepNext/>
      <w:keepLines/>
      <w:spacing w:after="240" w:line="240" w:lineRule="auto"/>
      <w:outlineLvl w:val="2"/>
    </w:pPr>
    <w:rPr>
      <w:rFonts w:ascii="Times New Roman" w:eastAsia="Times New Roman" w:hAnsi="Times New Roman"/>
      <w:b/>
      <w:bCs/>
      <w:sz w:val="24"/>
    </w:rPr>
  </w:style>
  <w:style w:type="paragraph" w:styleId="Heading4">
    <w:name w:val="heading 4"/>
    <w:basedOn w:val="Normal"/>
    <w:next w:val="Normal"/>
    <w:link w:val="Heading4Char"/>
    <w:uiPriority w:val="9"/>
    <w:unhideWhenUsed/>
    <w:qFormat/>
    <w:rsid w:val="004B5B58"/>
    <w:pPr>
      <w:keepNext/>
      <w:spacing w:after="180"/>
      <w:outlineLvl w:val="3"/>
    </w:pPr>
    <w:rPr>
      <w:rFonts w:ascii="Arial" w:eastAsia="Times New Roman" w:hAnsi="Arial"/>
      <w:b/>
      <w:bCs/>
    </w:rPr>
  </w:style>
  <w:style w:type="paragraph" w:styleId="Heading5">
    <w:name w:val="heading 5"/>
    <w:basedOn w:val="Normal"/>
    <w:next w:val="Normal"/>
    <w:link w:val="Heading5Char"/>
    <w:uiPriority w:val="9"/>
    <w:unhideWhenUsed/>
    <w:qFormat/>
    <w:rsid w:val="00094D19"/>
    <w:pPr>
      <w:spacing w:before="120" w:after="120"/>
      <w:outlineLvl w:val="4"/>
    </w:pPr>
    <w:rPr>
      <w:rFonts w:ascii="Times New Roman" w:eastAsia="Times New Roman" w:hAnsi="Times New Roman"/>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2C92"/>
    <w:rPr>
      <w:rFonts w:ascii="Times New Roman" w:eastAsia="Times New Roman" w:hAnsi="Times New Roman"/>
      <w:b/>
      <w:bCs/>
      <w:sz w:val="24"/>
      <w:szCs w:val="28"/>
    </w:rPr>
  </w:style>
  <w:style w:type="character" w:customStyle="1" w:styleId="Heading2Char">
    <w:name w:val="Heading 2 Char"/>
    <w:link w:val="Heading2"/>
    <w:uiPriority w:val="9"/>
    <w:rsid w:val="0084550C"/>
    <w:rPr>
      <w:rFonts w:ascii="Times New Roman" w:eastAsia="Times New Roman" w:hAnsi="Times New Roman"/>
      <w:b/>
      <w:bCs/>
      <w:sz w:val="22"/>
      <w:szCs w:val="26"/>
    </w:rPr>
  </w:style>
  <w:style w:type="paragraph" w:styleId="NoSpacing">
    <w:name w:val="No Spacing"/>
    <w:uiPriority w:val="1"/>
    <w:qFormat/>
    <w:rsid w:val="005D2859"/>
    <w:rPr>
      <w:rFonts w:ascii="Times New Roman" w:hAnsi="Times New Roman"/>
      <w:sz w:val="24"/>
      <w:szCs w:val="22"/>
    </w:rPr>
  </w:style>
  <w:style w:type="character" w:customStyle="1" w:styleId="Heading3Char">
    <w:name w:val="Heading 3 Char"/>
    <w:link w:val="Heading3"/>
    <w:uiPriority w:val="9"/>
    <w:rsid w:val="00094D19"/>
    <w:rPr>
      <w:rFonts w:ascii="Times New Roman" w:eastAsia="Times New Roman" w:hAnsi="Times New Roman"/>
      <w:b/>
      <w:bCs/>
      <w:sz w:val="24"/>
      <w:szCs w:val="22"/>
    </w:rPr>
  </w:style>
  <w:style w:type="character" w:styleId="Hyperlink">
    <w:name w:val="Hyperlink"/>
    <w:unhideWhenUsed/>
    <w:rsid w:val="005E5CE1"/>
    <w:rPr>
      <w:color w:val="0000FF"/>
      <w:u w:val="single"/>
    </w:rPr>
  </w:style>
  <w:style w:type="character" w:styleId="FollowedHyperlink">
    <w:name w:val="FollowedHyperlink"/>
    <w:uiPriority w:val="99"/>
    <w:semiHidden/>
    <w:unhideWhenUsed/>
    <w:rsid w:val="005E5CE1"/>
    <w:rPr>
      <w:color w:val="800080"/>
      <w:u w:val="single"/>
    </w:rPr>
  </w:style>
  <w:style w:type="paragraph" w:styleId="BodyTextIndent">
    <w:name w:val="Body Text Indent"/>
    <w:basedOn w:val="Normal"/>
    <w:link w:val="BodyTextIndentChar"/>
    <w:qFormat/>
    <w:rsid w:val="00820EF4"/>
    <w:pPr>
      <w:spacing w:after="0" w:line="240" w:lineRule="auto"/>
      <w:ind w:left="288"/>
    </w:pPr>
    <w:rPr>
      <w:rFonts w:ascii="Times New Roman" w:eastAsia="Times New Roman" w:hAnsi="Times New Roman"/>
      <w:sz w:val="24"/>
      <w:szCs w:val="24"/>
    </w:rPr>
  </w:style>
  <w:style w:type="character" w:customStyle="1" w:styleId="BodyTextIndentChar">
    <w:name w:val="Body Text Indent Char"/>
    <w:link w:val="BodyTextIndent"/>
    <w:rsid w:val="00820EF4"/>
    <w:rPr>
      <w:rFonts w:ascii="Times New Roman" w:eastAsia="Times New Roman" w:hAnsi="Times New Roman"/>
      <w:sz w:val="24"/>
      <w:szCs w:val="24"/>
    </w:rPr>
  </w:style>
  <w:style w:type="character" w:customStyle="1" w:styleId="Heading4Char">
    <w:name w:val="Heading 4 Char"/>
    <w:link w:val="Heading4"/>
    <w:uiPriority w:val="9"/>
    <w:rsid w:val="004B5B58"/>
    <w:rPr>
      <w:rFonts w:ascii="Arial" w:eastAsia="Times New Roman" w:hAnsi="Arial" w:cs="Arial"/>
      <w:b/>
      <w:bCs/>
      <w:sz w:val="22"/>
      <w:szCs w:val="22"/>
    </w:rPr>
  </w:style>
  <w:style w:type="paragraph" w:styleId="NormalWeb">
    <w:name w:val="Normal (Web)"/>
    <w:basedOn w:val="Normal"/>
    <w:uiPriority w:val="99"/>
    <w:semiHidden/>
    <w:unhideWhenUsed/>
    <w:rsid w:val="00B8126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8126C"/>
    <w:rPr>
      <w:b/>
      <w:bCs/>
    </w:rPr>
  </w:style>
  <w:style w:type="character" w:customStyle="1" w:styleId="Heading5Char">
    <w:name w:val="Heading 5 Char"/>
    <w:link w:val="Heading5"/>
    <w:uiPriority w:val="9"/>
    <w:rsid w:val="00094D19"/>
    <w:rPr>
      <w:rFonts w:ascii="Times New Roman" w:eastAsia="Times New Roman" w:hAnsi="Times New Roman" w:cs="Times New Roman"/>
      <w:b/>
      <w:bCs/>
      <w:iCs/>
      <w:sz w:val="24"/>
      <w:szCs w:val="26"/>
    </w:rPr>
  </w:style>
  <w:style w:type="character" w:customStyle="1" w:styleId="SP-SglSpPa">
    <w:name w:val="SP-Sgl Sp Pa"/>
    <w:rsid w:val="00094D19"/>
  </w:style>
  <w:style w:type="paragraph" w:customStyle="1" w:styleId="IndentStyle2">
    <w:name w:val="Indent Style 2"/>
    <w:basedOn w:val="NoSpacing"/>
    <w:next w:val="BodyTextIndent2"/>
    <w:qFormat/>
    <w:rsid w:val="008205DA"/>
    <w:pPr>
      <w:ind w:left="360"/>
    </w:pPr>
  </w:style>
  <w:style w:type="paragraph" w:styleId="ListParagraph">
    <w:name w:val="List Paragraph"/>
    <w:basedOn w:val="Normal"/>
    <w:uiPriority w:val="34"/>
    <w:qFormat/>
    <w:rsid w:val="007B6F0C"/>
    <w:pPr>
      <w:ind w:left="720"/>
    </w:pPr>
  </w:style>
  <w:style w:type="paragraph" w:styleId="BodyTextIndent2">
    <w:name w:val="Body Text Indent 2"/>
    <w:basedOn w:val="Normal"/>
    <w:link w:val="BodyTextIndent2Char"/>
    <w:uiPriority w:val="99"/>
    <w:unhideWhenUsed/>
    <w:rsid w:val="007B6F0C"/>
    <w:pPr>
      <w:spacing w:after="120" w:line="480" w:lineRule="auto"/>
      <w:ind w:left="360"/>
    </w:pPr>
  </w:style>
  <w:style w:type="character" w:customStyle="1" w:styleId="BodyTextIndent2Char">
    <w:name w:val="Body Text Indent 2 Char"/>
    <w:link w:val="BodyTextIndent2"/>
    <w:uiPriority w:val="99"/>
    <w:rsid w:val="007B6F0C"/>
    <w:rPr>
      <w:sz w:val="22"/>
      <w:szCs w:val="22"/>
    </w:rPr>
  </w:style>
  <w:style w:type="paragraph" w:styleId="Header">
    <w:name w:val="header"/>
    <w:basedOn w:val="Normal"/>
    <w:link w:val="HeaderChar"/>
    <w:uiPriority w:val="99"/>
    <w:semiHidden/>
    <w:unhideWhenUsed/>
    <w:rsid w:val="005E0B56"/>
    <w:pPr>
      <w:tabs>
        <w:tab w:val="center" w:pos="4680"/>
        <w:tab w:val="right" w:pos="9360"/>
      </w:tabs>
    </w:pPr>
  </w:style>
  <w:style w:type="character" w:customStyle="1" w:styleId="HeaderChar">
    <w:name w:val="Header Char"/>
    <w:link w:val="Header"/>
    <w:uiPriority w:val="99"/>
    <w:semiHidden/>
    <w:rsid w:val="005E0B56"/>
    <w:rPr>
      <w:sz w:val="22"/>
      <w:szCs w:val="22"/>
    </w:rPr>
  </w:style>
  <w:style w:type="paragraph" w:styleId="Footer">
    <w:name w:val="footer"/>
    <w:basedOn w:val="Normal"/>
    <w:link w:val="FooterChar"/>
    <w:uiPriority w:val="99"/>
    <w:unhideWhenUsed/>
    <w:rsid w:val="005E0B56"/>
    <w:pPr>
      <w:tabs>
        <w:tab w:val="center" w:pos="4680"/>
        <w:tab w:val="right" w:pos="9360"/>
      </w:tabs>
    </w:pPr>
  </w:style>
  <w:style w:type="character" w:customStyle="1" w:styleId="FooterChar">
    <w:name w:val="Footer Char"/>
    <w:link w:val="Footer"/>
    <w:uiPriority w:val="99"/>
    <w:rsid w:val="005E0B56"/>
    <w:rPr>
      <w:sz w:val="22"/>
      <w:szCs w:val="22"/>
    </w:rPr>
  </w:style>
  <w:style w:type="character" w:styleId="CommentReference">
    <w:name w:val="annotation reference"/>
    <w:uiPriority w:val="99"/>
    <w:semiHidden/>
    <w:unhideWhenUsed/>
    <w:rsid w:val="00691518"/>
    <w:rPr>
      <w:sz w:val="16"/>
      <w:szCs w:val="16"/>
    </w:rPr>
  </w:style>
  <w:style w:type="paragraph" w:styleId="CommentText">
    <w:name w:val="annotation text"/>
    <w:basedOn w:val="Normal"/>
    <w:link w:val="CommentTextChar"/>
    <w:uiPriority w:val="99"/>
    <w:semiHidden/>
    <w:unhideWhenUsed/>
    <w:rsid w:val="00691518"/>
    <w:rPr>
      <w:sz w:val="20"/>
      <w:szCs w:val="20"/>
    </w:rPr>
  </w:style>
  <w:style w:type="character" w:customStyle="1" w:styleId="CommentTextChar">
    <w:name w:val="Comment Text Char"/>
    <w:basedOn w:val="DefaultParagraphFont"/>
    <w:link w:val="CommentText"/>
    <w:uiPriority w:val="99"/>
    <w:semiHidden/>
    <w:rsid w:val="00691518"/>
  </w:style>
  <w:style w:type="paragraph" w:styleId="CommentSubject">
    <w:name w:val="annotation subject"/>
    <w:basedOn w:val="CommentText"/>
    <w:next w:val="CommentText"/>
    <w:link w:val="CommentSubjectChar"/>
    <w:uiPriority w:val="99"/>
    <w:semiHidden/>
    <w:unhideWhenUsed/>
    <w:rsid w:val="00691518"/>
    <w:rPr>
      <w:b/>
      <w:bCs/>
    </w:rPr>
  </w:style>
  <w:style w:type="character" w:customStyle="1" w:styleId="CommentSubjectChar">
    <w:name w:val="Comment Subject Char"/>
    <w:link w:val="CommentSubject"/>
    <w:uiPriority w:val="99"/>
    <w:semiHidden/>
    <w:rsid w:val="00691518"/>
    <w:rPr>
      <w:b/>
      <w:bCs/>
    </w:rPr>
  </w:style>
  <w:style w:type="paragraph" w:styleId="BalloonText">
    <w:name w:val="Balloon Text"/>
    <w:basedOn w:val="Normal"/>
    <w:link w:val="BalloonTextChar"/>
    <w:uiPriority w:val="99"/>
    <w:semiHidden/>
    <w:unhideWhenUsed/>
    <w:rsid w:val="0069151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91518"/>
    <w:rPr>
      <w:rFonts w:ascii="Tahoma" w:hAnsi="Tahoma" w:cs="Tahoma"/>
      <w:sz w:val="16"/>
      <w:szCs w:val="16"/>
    </w:rPr>
  </w:style>
  <w:style w:type="paragraph" w:styleId="Revision">
    <w:name w:val="Revision"/>
    <w:hidden/>
    <w:uiPriority w:val="99"/>
    <w:semiHidden/>
    <w:rsid w:val="00906ED0"/>
    <w:rPr>
      <w:sz w:val="22"/>
      <w:szCs w:val="22"/>
    </w:rPr>
  </w:style>
  <w:style w:type="paragraph" w:styleId="Title">
    <w:name w:val="Title"/>
    <w:basedOn w:val="Normal"/>
    <w:next w:val="Normal"/>
    <w:link w:val="TitleChar"/>
    <w:uiPriority w:val="10"/>
    <w:qFormat/>
    <w:rsid w:val="00B20E40"/>
    <w:pPr>
      <w:spacing w:after="300" w:line="240" w:lineRule="auto"/>
      <w:contextualSpacing/>
      <w:jc w:val="center"/>
    </w:pPr>
    <w:rPr>
      <w:rFonts w:ascii="Times New Roman" w:eastAsiaTheme="majorEastAsia" w:hAnsi="Times New Roman" w:cstheme="majorBidi"/>
      <w:b/>
      <w:spacing w:val="5"/>
      <w:kern w:val="28"/>
      <w:sz w:val="24"/>
      <w:szCs w:val="52"/>
      <w:u w:val="single"/>
    </w:rPr>
  </w:style>
  <w:style w:type="character" w:customStyle="1" w:styleId="TitleChar">
    <w:name w:val="Title Char"/>
    <w:basedOn w:val="DefaultParagraphFont"/>
    <w:link w:val="Title"/>
    <w:uiPriority w:val="10"/>
    <w:rsid w:val="00B20E40"/>
    <w:rPr>
      <w:rFonts w:ascii="Times New Roman" w:eastAsiaTheme="majorEastAsia" w:hAnsi="Times New Roman" w:cstheme="majorBidi"/>
      <w:b/>
      <w:spacing w:val="5"/>
      <w:kern w:val="28"/>
      <w:sz w:val="24"/>
      <w:szCs w:val="52"/>
      <w:u w:val="single"/>
    </w:rPr>
  </w:style>
  <w:style w:type="paragraph" w:styleId="Subtitle">
    <w:name w:val="Subtitle"/>
    <w:basedOn w:val="Normal"/>
    <w:next w:val="Normal"/>
    <w:link w:val="SubtitleChar"/>
    <w:uiPriority w:val="11"/>
    <w:qFormat/>
    <w:rsid w:val="00882C92"/>
    <w:pPr>
      <w:numPr>
        <w:ilvl w:val="1"/>
      </w:numPr>
      <w:spacing w:after="400"/>
      <w:jc w:val="center"/>
    </w:pPr>
    <w:rPr>
      <w:rFonts w:ascii="Times New Roman" w:eastAsiaTheme="majorEastAsia" w:hAnsi="Times New Roman" w:cstheme="majorBidi"/>
      <w:iCs/>
      <w:sz w:val="24"/>
      <w:szCs w:val="24"/>
    </w:rPr>
  </w:style>
  <w:style w:type="character" w:customStyle="1" w:styleId="SubtitleChar">
    <w:name w:val="Subtitle Char"/>
    <w:basedOn w:val="DefaultParagraphFont"/>
    <w:link w:val="Subtitle"/>
    <w:uiPriority w:val="11"/>
    <w:rsid w:val="00882C92"/>
    <w:rPr>
      <w:rFonts w:ascii="Times New Roman" w:eastAsiaTheme="majorEastAsia" w:hAnsi="Times New Roman" w:cstheme="majorBidi"/>
      <w:iCs/>
      <w:sz w:val="24"/>
      <w:szCs w:val="24"/>
    </w:rPr>
  </w:style>
  <w:style w:type="paragraph" w:styleId="BodyTextIndent3">
    <w:name w:val="Body Text Indent 3"/>
    <w:basedOn w:val="Normal"/>
    <w:link w:val="BodyTextIndent3Char"/>
    <w:uiPriority w:val="99"/>
    <w:semiHidden/>
    <w:unhideWhenUsed/>
    <w:rsid w:val="00882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2C92"/>
    <w:rPr>
      <w:sz w:val="16"/>
      <w:szCs w:val="16"/>
    </w:rPr>
  </w:style>
  <w:style w:type="paragraph" w:styleId="FootnoteText">
    <w:name w:val="footnote text"/>
    <w:aliases w:val="F1"/>
    <w:basedOn w:val="Normal"/>
    <w:link w:val="FootnoteTextChar"/>
    <w:semiHidden/>
    <w:unhideWhenUsed/>
    <w:rsid w:val="00AA545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AA5451"/>
  </w:style>
  <w:style w:type="character" w:styleId="FootnoteReference">
    <w:name w:val="footnote reference"/>
    <w:semiHidden/>
    <w:rsid w:val="00AA54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1A"/>
    <w:pPr>
      <w:spacing w:after="200" w:line="276" w:lineRule="auto"/>
    </w:pPr>
    <w:rPr>
      <w:sz w:val="22"/>
      <w:szCs w:val="22"/>
    </w:rPr>
  </w:style>
  <w:style w:type="paragraph" w:styleId="Heading1">
    <w:name w:val="heading 1"/>
    <w:basedOn w:val="Normal"/>
    <w:next w:val="Normal"/>
    <w:link w:val="Heading1Char"/>
    <w:uiPriority w:val="9"/>
    <w:qFormat/>
    <w:rsid w:val="00882C92"/>
    <w:pPr>
      <w:keepNext/>
      <w:keepLines/>
      <w:spacing w:after="240" w:line="240" w:lineRule="auto"/>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84550C"/>
    <w:pPr>
      <w:keepNext/>
      <w:keepLines/>
      <w:spacing w:after="360" w:line="240" w:lineRule="auto"/>
      <w:jc w:val="center"/>
      <w:outlineLvl w:val="1"/>
    </w:pPr>
    <w:rPr>
      <w:rFonts w:ascii="Times New Roman" w:eastAsia="Times New Roman" w:hAnsi="Times New Roman"/>
      <w:b/>
      <w:bCs/>
      <w:szCs w:val="26"/>
    </w:rPr>
  </w:style>
  <w:style w:type="paragraph" w:styleId="Heading3">
    <w:name w:val="heading 3"/>
    <w:basedOn w:val="Normal"/>
    <w:next w:val="Normal"/>
    <w:link w:val="Heading3Char"/>
    <w:uiPriority w:val="9"/>
    <w:unhideWhenUsed/>
    <w:qFormat/>
    <w:rsid w:val="00094D19"/>
    <w:pPr>
      <w:keepNext/>
      <w:keepLines/>
      <w:spacing w:after="240" w:line="240" w:lineRule="auto"/>
      <w:outlineLvl w:val="2"/>
    </w:pPr>
    <w:rPr>
      <w:rFonts w:ascii="Times New Roman" w:eastAsia="Times New Roman" w:hAnsi="Times New Roman"/>
      <w:b/>
      <w:bCs/>
      <w:sz w:val="24"/>
    </w:rPr>
  </w:style>
  <w:style w:type="paragraph" w:styleId="Heading4">
    <w:name w:val="heading 4"/>
    <w:basedOn w:val="Normal"/>
    <w:next w:val="Normal"/>
    <w:link w:val="Heading4Char"/>
    <w:uiPriority w:val="9"/>
    <w:unhideWhenUsed/>
    <w:qFormat/>
    <w:rsid w:val="004B5B58"/>
    <w:pPr>
      <w:keepNext/>
      <w:spacing w:after="180"/>
      <w:outlineLvl w:val="3"/>
    </w:pPr>
    <w:rPr>
      <w:rFonts w:ascii="Arial" w:eastAsia="Times New Roman" w:hAnsi="Arial"/>
      <w:b/>
      <w:bCs/>
    </w:rPr>
  </w:style>
  <w:style w:type="paragraph" w:styleId="Heading5">
    <w:name w:val="heading 5"/>
    <w:basedOn w:val="Normal"/>
    <w:next w:val="Normal"/>
    <w:link w:val="Heading5Char"/>
    <w:uiPriority w:val="9"/>
    <w:unhideWhenUsed/>
    <w:qFormat/>
    <w:rsid w:val="00094D19"/>
    <w:pPr>
      <w:spacing w:before="120" w:after="120"/>
      <w:outlineLvl w:val="4"/>
    </w:pPr>
    <w:rPr>
      <w:rFonts w:ascii="Times New Roman" w:eastAsia="Times New Roman" w:hAnsi="Times New Roman"/>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2C92"/>
    <w:rPr>
      <w:rFonts w:ascii="Times New Roman" w:eastAsia="Times New Roman" w:hAnsi="Times New Roman"/>
      <w:b/>
      <w:bCs/>
      <w:sz w:val="24"/>
      <w:szCs w:val="28"/>
    </w:rPr>
  </w:style>
  <w:style w:type="character" w:customStyle="1" w:styleId="Heading2Char">
    <w:name w:val="Heading 2 Char"/>
    <w:link w:val="Heading2"/>
    <w:uiPriority w:val="9"/>
    <w:rsid w:val="0084550C"/>
    <w:rPr>
      <w:rFonts w:ascii="Times New Roman" w:eastAsia="Times New Roman" w:hAnsi="Times New Roman"/>
      <w:b/>
      <w:bCs/>
      <w:sz w:val="22"/>
      <w:szCs w:val="26"/>
    </w:rPr>
  </w:style>
  <w:style w:type="paragraph" w:styleId="NoSpacing">
    <w:name w:val="No Spacing"/>
    <w:uiPriority w:val="1"/>
    <w:qFormat/>
    <w:rsid w:val="005D2859"/>
    <w:rPr>
      <w:rFonts w:ascii="Times New Roman" w:hAnsi="Times New Roman"/>
      <w:sz w:val="24"/>
      <w:szCs w:val="22"/>
    </w:rPr>
  </w:style>
  <w:style w:type="character" w:customStyle="1" w:styleId="Heading3Char">
    <w:name w:val="Heading 3 Char"/>
    <w:link w:val="Heading3"/>
    <w:uiPriority w:val="9"/>
    <w:rsid w:val="00094D19"/>
    <w:rPr>
      <w:rFonts w:ascii="Times New Roman" w:eastAsia="Times New Roman" w:hAnsi="Times New Roman"/>
      <w:b/>
      <w:bCs/>
      <w:sz w:val="24"/>
      <w:szCs w:val="22"/>
    </w:rPr>
  </w:style>
  <w:style w:type="character" w:styleId="Hyperlink">
    <w:name w:val="Hyperlink"/>
    <w:unhideWhenUsed/>
    <w:rsid w:val="005E5CE1"/>
    <w:rPr>
      <w:color w:val="0000FF"/>
      <w:u w:val="single"/>
    </w:rPr>
  </w:style>
  <w:style w:type="character" w:styleId="FollowedHyperlink">
    <w:name w:val="FollowedHyperlink"/>
    <w:uiPriority w:val="99"/>
    <w:semiHidden/>
    <w:unhideWhenUsed/>
    <w:rsid w:val="005E5CE1"/>
    <w:rPr>
      <w:color w:val="800080"/>
      <w:u w:val="single"/>
    </w:rPr>
  </w:style>
  <w:style w:type="paragraph" w:styleId="BodyTextIndent">
    <w:name w:val="Body Text Indent"/>
    <w:basedOn w:val="Normal"/>
    <w:link w:val="BodyTextIndentChar"/>
    <w:qFormat/>
    <w:rsid w:val="00820EF4"/>
    <w:pPr>
      <w:spacing w:after="0" w:line="240" w:lineRule="auto"/>
      <w:ind w:left="288"/>
    </w:pPr>
    <w:rPr>
      <w:rFonts w:ascii="Times New Roman" w:eastAsia="Times New Roman" w:hAnsi="Times New Roman"/>
      <w:sz w:val="24"/>
      <w:szCs w:val="24"/>
    </w:rPr>
  </w:style>
  <w:style w:type="character" w:customStyle="1" w:styleId="BodyTextIndentChar">
    <w:name w:val="Body Text Indent Char"/>
    <w:link w:val="BodyTextIndent"/>
    <w:rsid w:val="00820EF4"/>
    <w:rPr>
      <w:rFonts w:ascii="Times New Roman" w:eastAsia="Times New Roman" w:hAnsi="Times New Roman"/>
      <w:sz w:val="24"/>
      <w:szCs w:val="24"/>
    </w:rPr>
  </w:style>
  <w:style w:type="character" w:customStyle="1" w:styleId="Heading4Char">
    <w:name w:val="Heading 4 Char"/>
    <w:link w:val="Heading4"/>
    <w:uiPriority w:val="9"/>
    <w:rsid w:val="004B5B58"/>
    <w:rPr>
      <w:rFonts w:ascii="Arial" w:eastAsia="Times New Roman" w:hAnsi="Arial" w:cs="Arial"/>
      <w:b/>
      <w:bCs/>
      <w:sz w:val="22"/>
      <w:szCs w:val="22"/>
    </w:rPr>
  </w:style>
  <w:style w:type="paragraph" w:styleId="NormalWeb">
    <w:name w:val="Normal (Web)"/>
    <w:basedOn w:val="Normal"/>
    <w:uiPriority w:val="99"/>
    <w:semiHidden/>
    <w:unhideWhenUsed/>
    <w:rsid w:val="00B8126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8126C"/>
    <w:rPr>
      <w:b/>
      <w:bCs/>
    </w:rPr>
  </w:style>
  <w:style w:type="character" w:customStyle="1" w:styleId="Heading5Char">
    <w:name w:val="Heading 5 Char"/>
    <w:link w:val="Heading5"/>
    <w:uiPriority w:val="9"/>
    <w:rsid w:val="00094D19"/>
    <w:rPr>
      <w:rFonts w:ascii="Times New Roman" w:eastAsia="Times New Roman" w:hAnsi="Times New Roman" w:cs="Times New Roman"/>
      <w:b/>
      <w:bCs/>
      <w:iCs/>
      <w:sz w:val="24"/>
      <w:szCs w:val="26"/>
    </w:rPr>
  </w:style>
  <w:style w:type="character" w:customStyle="1" w:styleId="SP-SglSpPa">
    <w:name w:val="SP-Sgl Sp Pa"/>
    <w:rsid w:val="00094D19"/>
  </w:style>
  <w:style w:type="paragraph" w:customStyle="1" w:styleId="IndentStyle2">
    <w:name w:val="Indent Style 2"/>
    <w:basedOn w:val="NoSpacing"/>
    <w:next w:val="BodyTextIndent2"/>
    <w:qFormat/>
    <w:rsid w:val="008205DA"/>
    <w:pPr>
      <w:ind w:left="360"/>
    </w:pPr>
  </w:style>
  <w:style w:type="paragraph" w:styleId="ListParagraph">
    <w:name w:val="List Paragraph"/>
    <w:basedOn w:val="Normal"/>
    <w:uiPriority w:val="34"/>
    <w:qFormat/>
    <w:rsid w:val="007B6F0C"/>
    <w:pPr>
      <w:ind w:left="720"/>
    </w:pPr>
  </w:style>
  <w:style w:type="paragraph" w:styleId="BodyTextIndent2">
    <w:name w:val="Body Text Indent 2"/>
    <w:basedOn w:val="Normal"/>
    <w:link w:val="BodyTextIndent2Char"/>
    <w:uiPriority w:val="99"/>
    <w:unhideWhenUsed/>
    <w:rsid w:val="007B6F0C"/>
    <w:pPr>
      <w:spacing w:after="120" w:line="480" w:lineRule="auto"/>
      <w:ind w:left="360"/>
    </w:pPr>
  </w:style>
  <w:style w:type="character" w:customStyle="1" w:styleId="BodyTextIndent2Char">
    <w:name w:val="Body Text Indent 2 Char"/>
    <w:link w:val="BodyTextIndent2"/>
    <w:uiPriority w:val="99"/>
    <w:rsid w:val="007B6F0C"/>
    <w:rPr>
      <w:sz w:val="22"/>
      <w:szCs w:val="22"/>
    </w:rPr>
  </w:style>
  <w:style w:type="paragraph" w:styleId="Header">
    <w:name w:val="header"/>
    <w:basedOn w:val="Normal"/>
    <w:link w:val="HeaderChar"/>
    <w:uiPriority w:val="99"/>
    <w:semiHidden/>
    <w:unhideWhenUsed/>
    <w:rsid w:val="005E0B56"/>
    <w:pPr>
      <w:tabs>
        <w:tab w:val="center" w:pos="4680"/>
        <w:tab w:val="right" w:pos="9360"/>
      </w:tabs>
    </w:pPr>
  </w:style>
  <w:style w:type="character" w:customStyle="1" w:styleId="HeaderChar">
    <w:name w:val="Header Char"/>
    <w:link w:val="Header"/>
    <w:uiPriority w:val="99"/>
    <w:semiHidden/>
    <w:rsid w:val="005E0B56"/>
    <w:rPr>
      <w:sz w:val="22"/>
      <w:szCs w:val="22"/>
    </w:rPr>
  </w:style>
  <w:style w:type="paragraph" w:styleId="Footer">
    <w:name w:val="footer"/>
    <w:basedOn w:val="Normal"/>
    <w:link w:val="FooterChar"/>
    <w:uiPriority w:val="99"/>
    <w:unhideWhenUsed/>
    <w:rsid w:val="005E0B56"/>
    <w:pPr>
      <w:tabs>
        <w:tab w:val="center" w:pos="4680"/>
        <w:tab w:val="right" w:pos="9360"/>
      </w:tabs>
    </w:pPr>
  </w:style>
  <w:style w:type="character" w:customStyle="1" w:styleId="FooterChar">
    <w:name w:val="Footer Char"/>
    <w:link w:val="Footer"/>
    <w:uiPriority w:val="99"/>
    <w:rsid w:val="005E0B56"/>
    <w:rPr>
      <w:sz w:val="22"/>
      <w:szCs w:val="22"/>
    </w:rPr>
  </w:style>
  <w:style w:type="character" w:styleId="CommentReference">
    <w:name w:val="annotation reference"/>
    <w:uiPriority w:val="99"/>
    <w:semiHidden/>
    <w:unhideWhenUsed/>
    <w:rsid w:val="00691518"/>
    <w:rPr>
      <w:sz w:val="16"/>
      <w:szCs w:val="16"/>
    </w:rPr>
  </w:style>
  <w:style w:type="paragraph" w:styleId="CommentText">
    <w:name w:val="annotation text"/>
    <w:basedOn w:val="Normal"/>
    <w:link w:val="CommentTextChar"/>
    <w:uiPriority w:val="99"/>
    <w:semiHidden/>
    <w:unhideWhenUsed/>
    <w:rsid w:val="00691518"/>
    <w:rPr>
      <w:sz w:val="20"/>
      <w:szCs w:val="20"/>
    </w:rPr>
  </w:style>
  <w:style w:type="character" w:customStyle="1" w:styleId="CommentTextChar">
    <w:name w:val="Comment Text Char"/>
    <w:basedOn w:val="DefaultParagraphFont"/>
    <w:link w:val="CommentText"/>
    <w:uiPriority w:val="99"/>
    <w:semiHidden/>
    <w:rsid w:val="00691518"/>
  </w:style>
  <w:style w:type="paragraph" w:styleId="CommentSubject">
    <w:name w:val="annotation subject"/>
    <w:basedOn w:val="CommentText"/>
    <w:next w:val="CommentText"/>
    <w:link w:val="CommentSubjectChar"/>
    <w:uiPriority w:val="99"/>
    <w:semiHidden/>
    <w:unhideWhenUsed/>
    <w:rsid w:val="00691518"/>
    <w:rPr>
      <w:b/>
      <w:bCs/>
    </w:rPr>
  </w:style>
  <w:style w:type="character" w:customStyle="1" w:styleId="CommentSubjectChar">
    <w:name w:val="Comment Subject Char"/>
    <w:link w:val="CommentSubject"/>
    <w:uiPriority w:val="99"/>
    <w:semiHidden/>
    <w:rsid w:val="00691518"/>
    <w:rPr>
      <w:b/>
      <w:bCs/>
    </w:rPr>
  </w:style>
  <w:style w:type="paragraph" w:styleId="BalloonText">
    <w:name w:val="Balloon Text"/>
    <w:basedOn w:val="Normal"/>
    <w:link w:val="BalloonTextChar"/>
    <w:uiPriority w:val="99"/>
    <w:semiHidden/>
    <w:unhideWhenUsed/>
    <w:rsid w:val="0069151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91518"/>
    <w:rPr>
      <w:rFonts w:ascii="Tahoma" w:hAnsi="Tahoma" w:cs="Tahoma"/>
      <w:sz w:val="16"/>
      <w:szCs w:val="16"/>
    </w:rPr>
  </w:style>
  <w:style w:type="paragraph" w:styleId="Revision">
    <w:name w:val="Revision"/>
    <w:hidden/>
    <w:uiPriority w:val="99"/>
    <w:semiHidden/>
    <w:rsid w:val="00906ED0"/>
    <w:rPr>
      <w:sz w:val="22"/>
      <w:szCs w:val="22"/>
    </w:rPr>
  </w:style>
  <w:style w:type="paragraph" w:styleId="Title">
    <w:name w:val="Title"/>
    <w:basedOn w:val="Normal"/>
    <w:next w:val="Normal"/>
    <w:link w:val="TitleChar"/>
    <w:uiPriority w:val="10"/>
    <w:qFormat/>
    <w:rsid w:val="00B20E40"/>
    <w:pPr>
      <w:spacing w:after="300" w:line="240" w:lineRule="auto"/>
      <w:contextualSpacing/>
      <w:jc w:val="center"/>
    </w:pPr>
    <w:rPr>
      <w:rFonts w:ascii="Times New Roman" w:eastAsiaTheme="majorEastAsia" w:hAnsi="Times New Roman" w:cstheme="majorBidi"/>
      <w:b/>
      <w:spacing w:val="5"/>
      <w:kern w:val="28"/>
      <w:sz w:val="24"/>
      <w:szCs w:val="52"/>
      <w:u w:val="single"/>
    </w:rPr>
  </w:style>
  <w:style w:type="character" w:customStyle="1" w:styleId="TitleChar">
    <w:name w:val="Title Char"/>
    <w:basedOn w:val="DefaultParagraphFont"/>
    <w:link w:val="Title"/>
    <w:uiPriority w:val="10"/>
    <w:rsid w:val="00B20E40"/>
    <w:rPr>
      <w:rFonts w:ascii="Times New Roman" w:eastAsiaTheme="majorEastAsia" w:hAnsi="Times New Roman" w:cstheme="majorBidi"/>
      <w:b/>
      <w:spacing w:val="5"/>
      <w:kern w:val="28"/>
      <w:sz w:val="24"/>
      <w:szCs w:val="52"/>
      <w:u w:val="single"/>
    </w:rPr>
  </w:style>
  <w:style w:type="paragraph" w:styleId="Subtitle">
    <w:name w:val="Subtitle"/>
    <w:basedOn w:val="Normal"/>
    <w:next w:val="Normal"/>
    <w:link w:val="SubtitleChar"/>
    <w:uiPriority w:val="11"/>
    <w:qFormat/>
    <w:rsid w:val="00882C92"/>
    <w:pPr>
      <w:numPr>
        <w:ilvl w:val="1"/>
      </w:numPr>
      <w:spacing w:after="400"/>
      <w:jc w:val="center"/>
    </w:pPr>
    <w:rPr>
      <w:rFonts w:ascii="Times New Roman" w:eastAsiaTheme="majorEastAsia" w:hAnsi="Times New Roman" w:cstheme="majorBidi"/>
      <w:iCs/>
      <w:sz w:val="24"/>
      <w:szCs w:val="24"/>
    </w:rPr>
  </w:style>
  <w:style w:type="character" w:customStyle="1" w:styleId="SubtitleChar">
    <w:name w:val="Subtitle Char"/>
    <w:basedOn w:val="DefaultParagraphFont"/>
    <w:link w:val="Subtitle"/>
    <w:uiPriority w:val="11"/>
    <w:rsid w:val="00882C92"/>
    <w:rPr>
      <w:rFonts w:ascii="Times New Roman" w:eastAsiaTheme="majorEastAsia" w:hAnsi="Times New Roman" w:cstheme="majorBidi"/>
      <w:iCs/>
      <w:sz w:val="24"/>
      <w:szCs w:val="24"/>
    </w:rPr>
  </w:style>
  <w:style w:type="paragraph" w:styleId="BodyTextIndent3">
    <w:name w:val="Body Text Indent 3"/>
    <w:basedOn w:val="Normal"/>
    <w:link w:val="BodyTextIndent3Char"/>
    <w:uiPriority w:val="99"/>
    <w:semiHidden/>
    <w:unhideWhenUsed/>
    <w:rsid w:val="00882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2C92"/>
    <w:rPr>
      <w:sz w:val="16"/>
      <w:szCs w:val="16"/>
    </w:rPr>
  </w:style>
  <w:style w:type="paragraph" w:styleId="FootnoteText">
    <w:name w:val="footnote text"/>
    <w:aliases w:val="F1"/>
    <w:basedOn w:val="Normal"/>
    <w:link w:val="FootnoteTextChar"/>
    <w:semiHidden/>
    <w:unhideWhenUsed/>
    <w:rsid w:val="00AA545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AA5451"/>
  </w:style>
  <w:style w:type="character" w:styleId="FootnoteReference">
    <w:name w:val="footnote reference"/>
    <w:semiHidden/>
    <w:rsid w:val="00AA5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winternet.org/Reports/2012/Digital-differences.aspx" TargetMode="External"/><Relationship Id="rId5" Type="http://schemas.openxmlformats.org/officeDocument/2006/relationships/settings" Target="settings.xml"/><Relationship Id="rId10" Type="http://schemas.openxmlformats.org/officeDocument/2006/relationships/hyperlink" Target="http://www.cdc.gov/nchs/data/nhis/earlyrelease/wireless201005.pdf" TargetMode="External"/><Relationship Id="rId4" Type="http://schemas.microsoft.com/office/2007/relationships/stylesWithEffects" Target="stylesWithEffects.xml"/><Relationship Id="rId9" Type="http://schemas.openxmlformats.org/officeDocument/2006/relationships/hyperlink" Target="mailto:clarese.astrin@cms.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F216-A9A2-4477-B386-8DC8824F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Supporting Statement - Part B: Generic Social Marketing &amp; Consumer Testing Research, OMB Clearance CMS-10437</vt:lpstr>
    </vt:vector>
  </TitlesOfParts>
  <Company>CMS</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 Generic Social Marketing &amp; Consumer Testing Research, OMB Clearance CMS-10437</dc:title>
  <dc:subject>OMB Clearance CMS-10437  - Supporting Statement - Generic Social Marketing &amp; Consumer Testing Research</dc:subject>
  <dc:creator>CMS, OC</dc:creator>
  <cp:keywords>Generic Clearance, OMB Clearance, Social Marketing, Consumer Testing</cp:keywords>
  <cp:lastModifiedBy>SYSTEM</cp:lastModifiedBy>
  <cp:revision>2</cp:revision>
  <cp:lastPrinted>2013-05-13T18:58:00Z</cp:lastPrinted>
  <dcterms:created xsi:type="dcterms:W3CDTF">2017-12-21T16:09:00Z</dcterms:created>
  <dcterms:modified xsi:type="dcterms:W3CDTF">2017-12-21T16:09:00Z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