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w:t>
      </w:r>
      <w:r w:rsidR="00FD0F1D">
        <w:lastRenderedPageBreak/>
        <w:t xml:space="preserve">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t xml:space="preserve">Massey D and Tourangeau R (2013). New challenges to social measurement.  </w:t>
      </w:r>
      <w:r>
        <w:rPr>
          <w:b/>
          <w:i/>
          <w:iCs/>
        </w:rPr>
        <w:t>Ann Am Acad Pol Soc Sci,</w:t>
      </w:r>
      <w:r w:rsidRPr="002A06E5">
        <w:t xml:space="preserve"> 645(1): 6–22.</w:t>
      </w:r>
    </w:p>
    <w:p w:rsidR="002A06E5" w:rsidP="002A06E5" w:rsidRDefault="002A06E5">
      <w:r>
        <w:t xml:space="preserve">Singer E and Ye C (2013).  The use and effects of incentives in surveys. </w:t>
      </w:r>
      <w:r w:rsidRPr="002A06E5">
        <w:rPr>
          <w:b/>
          <w:i/>
          <w:iCs/>
        </w:rPr>
        <w:t>Ann Am Acad Pol Soc Sci,</w:t>
      </w:r>
      <w:r>
        <w:t xml:space="preserve"> 645(1): 112-141</w:t>
      </w:r>
      <w:r w:rsidRPr="002A06E5">
        <w:t>.</w:t>
      </w:r>
    </w:p>
    <w:p w:rsidR="008207B0" w:rsidP="002A06E5" w:rsidRDefault="008207B0">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0E2084"/>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42AF6"/>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3ECD-6A3B-4727-92A6-8A24F14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2020-06-12T15:25:00Z</dcterms:created>
  <dcterms:modified xsi:type="dcterms:W3CDTF">2020-06-12T15:25:00Z</dcterms:modified>
</cp:coreProperties>
</file>