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4CDB8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7F9C031B" w:rsidR="00F82FD7" w:rsidRPr="006D2CF7" w:rsidRDefault="006B284C" w:rsidP="00F82FD7">
      <w:r>
        <w:rPr>
          <w:rFonts w:cs="Arial"/>
          <w:color w:val="333333"/>
          <w:shd w:val="clear" w:color="auto" w:fill="FFFFFF"/>
        </w:rPr>
        <w:t>PHE</w:t>
      </w:r>
      <w:r w:rsidR="00F24D86">
        <w:rPr>
          <w:rFonts w:cs="Arial"/>
          <w:color w:val="333333"/>
          <w:shd w:val="clear" w:color="auto" w:fill="FFFFFF"/>
        </w:rPr>
        <w:t>.gov Satisfaction Survey</w:t>
      </w:r>
      <w:r w:rsidR="001254BD">
        <w:rPr>
          <w:rFonts w:cs="Arial"/>
          <w:color w:val="333333"/>
          <w:shd w:val="clear" w:color="auto" w:fill="FFFFFF"/>
        </w:rPr>
        <w:t>s: Exit Survey and In-Page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0AD03A6A" w14:textId="56C75B9E" w:rsidR="004D22CE" w:rsidRPr="00363B07"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w:t>
      </w:r>
      <w:r w:rsidR="00584662">
        <w:t>R</w:t>
      </w:r>
      <w:r w:rsidR="00F24D86">
        <w:t xml:space="preserve">-managed website, </w:t>
      </w:r>
      <w:hyperlink r:id="rId10" w:history="1">
        <w:r w:rsidR="00363B07" w:rsidRPr="008118F6">
          <w:rPr>
            <w:rStyle w:val="Hyperlink"/>
          </w:rPr>
          <w:t>www.PHE.gov</w:t>
        </w:r>
      </w:hyperlink>
      <w:r w:rsidR="00F24D86">
        <w:t>.</w:t>
      </w:r>
      <w:r w:rsidR="00363B07">
        <w:t xml:space="preserve"> </w:t>
      </w:r>
      <w:r w:rsidR="00022108">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040DDD0D" w14:textId="6579363C" w:rsidR="001254BD" w:rsidRDefault="001254BD" w:rsidP="001D5023">
      <w:pPr>
        <w:rPr>
          <w:szCs w:val="21"/>
        </w:rPr>
      </w:pPr>
    </w:p>
    <w:p w14:paraId="585E1652" w14:textId="3A601855" w:rsidR="003E237D" w:rsidRDefault="001254BD" w:rsidP="001254BD">
      <w:pPr>
        <w:rPr>
          <w:szCs w:val="21"/>
        </w:rPr>
      </w:pPr>
      <w:r>
        <w:rPr>
          <w:szCs w:val="21"/>
        </w:rPr>
        <w:t xml:space="preserve">HHS/ASPR is seeking this feedback to improve usability on </w:t>
      </w:r>
      <w:r w:rsidR="00363B07">
        <w:rPr>
          <w:szCs w:val="21"/>
        </w:rPr>
        <w:t>its</w:t>
      </w:r>
      <w:r>
        <w:rPr>
          <w:szCs w:val="21"/>
        </w:rPr>
        <w:t xml:space="preserve"> existing website</w:t>
      </w:r>
      <w:r w:rsidR="00363B07">
        <w:rPr>
          <w:szCs w:val="21"/>
        </w:rPr>
        <w:t>, www.PHE.gov</w:t>
      </w:r>
      <w:r>
        <w:rPr>
          <w:szCs w:val="21"/>
        </w:rPr>
        <w:t xml:space="preserve">. HHS/ASPR seeks to better understand the public’s experience on our site, </w:t>
      </w:r>
      <w:r w:rsidR="003E237D">
        <w:rPr>
          <w:szCs w:val="21"/>
        </w:rPr>
        <w:t xml:space="preserve">their ability to complete the tasks, the public’s perception of the quality of the information that they found, </w:t>
      </w:r>
      <w:r>
        <w:rPr>
          <w:szCs w:val="21"/>
        </w:rPr>
        <w:t xml:space="preserve">and ways that we can improve the </w:t>
      </w:r>
      <w:r w:rsidR="003E237D">
        <w:rPr>
          <w:szCs w:val="21"/>
        </w:rPr>
        <w:t xml:space="preserve">overall user </w:t>
      </w:r>
      <w:r w:rsidR="006A5FDF">
        <w:rPr>
          <w:szCs w:val="21"/>
        </w:rPr>
        <w:t>experience</w:t>
      </w:r>
      <w:r>
        <w:rPr>
          <w:szCs w:val="21"/>
        </w:rPr>
        <w:t>.</w:t>
      </w:r>
    </w:p>
    <w:p w14:paraId="7BF9A14E" w14:textId="03FE4878" w:rsidR="006A5FDF" w:rsidRDefault="006A5FDF" w:rsidP="001254BD">
      <w:pPr>
        <w:rPr>
          <w:szCs w:val="21"/>
        </w:rPr>
      </w:pPr>
    </w:p>
    <w:p w14:paraId="4668F60F" w14:textId="680570DC" w:rsidR="003A5495" w:rsidRDefault="006A5FDF" w:rsidP="001254BD">
      <w:pPr>
        <w:rPr>
          <w:szCs w:val="21"/>
        </w:rPr>
      </w:pPr>
      <w:r>
        <w:rPr>
          <w:szCs w:val="21"/>
        </w:rPr>
        <w:t xml:space="preserve">We are using two different methods to learn more about the public’s experience. On the bottom of the majority of the pages on our website, there will be </w:t>
      </w:r>
      <w:r w:rsidR="003A5495">
        <w:rPr>
          <w:szCs w:val="21"/>
        </w:rPr>
        <w:t>a brief in-page survey. This survey provides users the opportunity to give us specific feedback on a page within our site. Users may also opt to take an exit survey when they leave the site. This survey gives users and opportunity to tell us about their overall experience.</w:t>
      </w:r>
    </w:p>
    <w:p w14:paraId="64A3BAF9" w14:textId="77777777" w:rsidR="003E237D" w:rsidRDefault="003E237D" w:rsidP="001254BD">
      <w:pPr>
        <w:rPr>
          <w:szCs w:val="21"/>
        </w:rPr>
      </w:pPr>
    </w:p>
    <w:p w14:paraId="6639680F" w14:textId="2B66FDD0" w:rsidR="001254BD" w:rsidRDefault="003E237D" w:rsidP="001254BD">
      <w:pPr>
        <w:rPr>
          <w:szCs w:val="21"/>
        </w:rPr>
      </w:pPr>
      <w:r>
        <w:rPr>
          <w:szCs w:val="21"/>
        </w:rPr>
        <w:t xml:space="preserve">In keeping with OMB’s description of the appropriate use of the Fast-Track PRA process, this collection is focused on improving existing </w:t>
      </w:r>
      <w:r w:rsidR="00363B07">
        <w:rPr>
          <w:szCs w:val="21"/>
        </w:rPr>
        <w:t xml:space="preserve">government </w:t>
      </w:r>
      <w:r>
        <w:rPr>
          <w:szCs w:val="21"/>
        </w:rPr>
        <w:t xml:space="preserve">services, the collection is voluntary and the burden is low. The survey only takes 45 seconds to 5 minutes to complete. We do not plan to disseminate the results. </w:t>
      </w:r>
      <w:r w:rsidR="001254B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4494067" w14:textId="488DA00D" w:rsidR="00D76EB5" w:rsidRDefault="00D56BD2" w:rsidP="00DC7D67">
      <w:pPr>
        <w:spacing w:after="160" w:line="252" w:lineRule="auto"/>
      </w:pPr>
      <w:r>
        <w:t>Survey participation will be optional and voluntary.</w:t>
      </w:r>
      <w:r w:rsidR="00C63F00">
        <w:t xml:space="preserve">  </w:t>
      </w:r>
      <w:r w:rsidR="00D76EB5">
        <w:t>Users will have the opportunity to take an exit survey and</w:t>
      </w:r>
      <w:r w:rsidR="00C332A6">
        <w:t>/or</w:t>
      </w:r>
      <w:r w:rsidR="00D76EB5">
        <w:t xml:space="preserve"> an in-page survey</w:t>
      </w:r>
    </w:p>
    <w:p w14:paraId="6FCEE69B" w14:textId="3C98D7FA" w:rsidR="00DC7D67" w:rsidRDefault="00C63F00" w:rsidP="00DC7D67">
      <w:pPr>
        <w:spacing w:after="160" w:line="252" w:lineRule="auto"/>
      </w:pPr>
      <w:r>
        <w:t xml:space="preserve">We will be </w:t>
      </w:r>
      <w:r w:rsidR="007F040B">
        <w:t xml:space="preserve">presenting the </w:t>
      </w:r>
      <w:r w:rsidR="00D76EB5">
        <w:t xml:space="preserve">exit </w:t>
      </w:r>
      <w:r w:rsidR="007F040B">
        <w:t xml:space="preserve">survey to </w:t>
      </w:r>
      <w:r w:rsidR="00F24D86">
        <w:t>visitors when they attempt to either close their browser or browser tab.  This implementation method is less burdensome to users, as it is typically triggered at the end of user’s session.</w:t>
      </w:r>
      <w:r w:rsidR="007F040B">
        <w:t xml:space="preserve"> </w:t>
      </w:r>
    </w:p>
    <w:p w14:paraId="4EA2763A" w14:textId="333A11D1" w:rsidR="00D76EB5" w:rsidRPr="00DC7D67" w:rsidRDefault="00D76EB5" w:rsidP="00DC7D67">
      <w:pPr>
        <w:spacing w:after="160" w:line="252" w:lineRule="auto"/>
        <w:rPr>
          <w:b/>
        </w:rPr>
      </w:pPr>
      <w:r>
        <w:t xml:space="preserve">We will also provide users with the ability to provide their feedback at any point during their experience through an in page survey. This survey will be presented at the bottom of the pages on our website, where the user </w:t>
      </w:r>
      <w:r w:rsidR="00C332A6">
        <w:t xml:space="preserve">can easily find it after he or </w:t>
      </w:r>
      <w:r>
        <w:t>she has finished reading the page.</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0235847" w14:textId="77777777" w:rsidR="00D76EB5" w:rsidRDefault="00D76EB5">
      <w:pPr>
        <w:rPr>
          <w:b/>
        </w:rPr>
      </w:pPr>
      <w:r>
        <w:rPr>
          <w:b/>
        </w:rPr>
        <w:br w:type="page"/>
      </w:r>
    </w:p>
    <w:p w14:paraId="0F8BF1F9" w14:textId="1A927871" w:rsidR="00B46F2C" w:rsidRDefault="00B46F2C">
      <w:pPr>
        <w:rPr>
          <w:b/>
        </w:rPr>
      </w:pPr>
      <w:r>
        <w:rPr>
          <w:b/>
        </w:rPr>
        <w:lastRenderedPageBreak/>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5EFF246A" w:rsidR="00035111" w:rsidRDefault="00035111" w:rsidP="00035111">
      <w:r w:rsidRPr="00546783">
        <w:rPr>
          <w:b/>
          <w:i/>
        </w:rPr>
        <w:t>Name:</w:t>
      </w:r>
      <w:r>
        <w:t xml:space="preserve"> </w:t>
      </w:r>
      <w:r w:rsidR="003E237D">
        <w:t>Elizabeth Jarrett</w:t>
      </w:r>
      <w:r w:rsidR="00532C15">
        <w:t xml:space="preserve">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012030F4" w:rsidR="00B46F2C" w:rsidRDefault="00B46F2C" w:rsidP="00C86E91">
      <w:pPr>
        <w:pStyle w:val="ListParagraph"/>
        <w:numPr>
          <w:ilvl w:val="0"/>
          <w:numId w:val="18"/>
        </w:numPr>
      </w:pPr>
      <w:r>
        <w:t>If Yes, is the information that will be collected included in records that are subject to the Privacy Act of 1974?   [  ] Yes [</w:t>
      </w:r>
      <w:r w:rsidR="003E237D">
        <w:t xml:space="preserve"> </w:t>
      </w:r>
      <w:r>
        <w:t xml:space="preserve">]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2500FFF4" w:rsidR="00C464CA" w:rsidRPr="00B50FE7" w:rsidRDefault="00D93EDB" w:rsidP="00C63F00">
            <w:r>
              <w:t>Individuals/Households: Exit Survey</w:t>
            </w:r>
          </w:p>
        </w:tc>
        <w:tc>
          <w:tcPr>
            <w:tcW w:w="1530" w:type="dxa"/>
          </w:tcPr>
          <w:p w14:paraId="11C44577" w14:textId="0A2243AC" w:rsidR="00C464CA" w:rsidRPr="00B50FE7" w:rsidRDefault="00677813" w:rsidP="00B758BE">
            <w:r>
              <w:t>1</w:t>
            </w:r>
            <w:r w:rsidR="003D1A1F">
              <w:t>50</w:t>
            </w:r>
          </w:p>
        </w:tc>
        <w:tc>
          <w:tcPr>
            <w:tcW w:w="1620" w:type="dxa"/>
          </w:tcPr>
          <w:p w14:paraId="31A9913E" w14:textId="163ABFCD" w:rsidR="00C464CA" w:rsidRPr="00B50FE7" w:rsidRDefault="00BD4790" w:rsidP="00DC7D67">
            <w:r>
              <w:t>5</w:t>
            </w:r>
            <w:r w:rsidR="00F82FD7">
              <w:t>/60</w:t>
            </w:r>
          </w:p>
        </w:tc>
        <w:tc>
          <w:tcPr>
            <w:tcW w:w="1093" w:type="dxa"/>
          </w:tcPr>
          <w:p w14:paraId="5135B50A" w14:textId="024C0FD2" w:rsidR="00C464CA" w:rsidRPr="00B50FE7" w:rsidRDefault="00677813" w:rsidP="00677813">
            <w:r>
              <w:t xml:space="preserve">12.5 </w:t>
            </w:r>
            <w:r w:rsidR="00BF1A29">
              <w:t>hours</w:t>
            </w:r>
          </w:p>
        </w:tc>
      </w:tr>
      <w:tr w:rsidR="00C63F00" w:rsidRPr="00B50FE7" w14:paraId="654928D8" w14:textId="77777777" w:rsidTr="00B758BE">
        <w:trPr>
          <w:trHeight w:val="274"/>
        </w:trPr>
        <w:tc>
          <w:tcPr>
            <w:tcW w:w="5418" w:type="dxa"/>
          </w:tcPr>
          <w:p w14:paraId="1731737A" w14:textId="4A68E4E2" w:rsidR="00C63F00" w:rsidRPr="00B50FE7" w:rsidRDefault="00D93EDB" w:rsidP="00C63F00">
            <w:r>
              <w:t>Individual/Households: In-Page Survey</w:t>
            </w:r>
          </w:p>
        </w:tc>
        <w:tc>
          <w:tcPr>
            <w:tcW w:w="1530" w:type="dxa"/>
          </w:tcPr>
          <w:p w14:paraId="5F27DA2C" w14:textId="092B60C4" w:rsidR="00C63F00" w:rsidRDefault="00363B07" w:rsidP="00C63F00">
            <w:r>
              <w:t>650</w:t>
            </w:r>
          </w:p>
        </w:tc>
        <w:tc>
          <w:tcPr>
            <w:tcW w:w="1620" w:type="dxa"/>
          </w:tcPr>
          <w:p w14:paraId="16E9B56F" w14:textId="1DD7F3F0" w:rsidR="00C63F00" w:rsidRPr="00B50FE7" w:rsidRDefault="00363B07" w:rsidP="00C63F00">
            <w:r>
              <w:t>5/60</w:t>
            </w:r>
          </w:p>
        </w:tc>
        <w:tc>
          <w:tcPr>
            <w:tcW w:w="1093" w:type="dxa"/>
          </w:tcPr>
          <w:p w14:paraId="6D6BDFE0" w14:textId="77777777" w:rsidR="00C63F00" w:rsidRDefault="00363B07" w:rsidP="00C63F00">
            <w:r>
              <w:t>54.2</w:t>
            </w:r>
          </w:p>
          <w:p w14:paraId="1EE228EF" w14:textId="0737CE7F" w:rsidR="00363B07" w:rsidRDefault="00363B07" w:rsidP="00C63F00">
            <w:r>
              <w:t>hours</w:t>
            </w:r>
          </w:p>
        </w:tc>
      </w:tr>
      <w:tr w:rsidR="00363B07" w:rsidRPr="00B50FE7" w14:paraId="414B92BA" w14:textId="77777777" w:rsidTr="00B758BE">
        <w:trPr>
          <w:trHeight w:val="274"/>
        </w:trPr>
        <w:tc>
          <w:tcPr>
            <w:tcW w:w="5418" w:type="dxa"/>
          </w:tcPr>
          <w:p w14:paraId="18104D37" w14:textId="77777777" w:rsidR="00363B07" w:rsidRDefault="00363B07" w:rsidP="00C63F00"/>
        </w:tc>
        <w:tc>
          <w:tcPr>
            <w:tcW w:w="1530" w:type="dxa"/>
          </w:tcPr>
          <w:p w14:paraId="446EF459" w14:textId="77777777" w:rsidR="00363B07" w:rsidRDefault="00363B07" w:rsidP="00C63F00"/>
        </w:tc>
        <w:tc>
          <w:tcPr>
            <w:tcW w:w="1620" w:type="dxa"/>
          </w:tcPr>
          <w:p w14:paraId="6FA0CB1A" w14:textId="77777777" w:rsidR="00363B07" w:rsidRPr="00B50FE7" w:rsidRDefault="00363B07" w:rsidP="00C63F00"/>
        </w:tc>
        <w:tc>
          <w:tcPr>
            <w:tcW w:w="1093" w:type="dxa"/>
          </w:tcPr>
          <w:p w14:paraId="069C9D4F" w14:textId="77777777" w:rsidR="00363B07" w:rsidRDefault="00363B07"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73A29306" w:rsidR="00C63F00" w:rsidRPr="00B50FE7" w:rsidRDefault="00D76EB5" w:rsidP="003A3194">
            <w:pPr>
              <w:rPr>
                <w:b/>
              </w:rPr>
            </w:pPr>
            <w:r>
              <w:rPr>
                <w:b/>
              </w:rPr>
              <w:t xml:space="preserve">66.7 </w:t>
            </w:r>
            <w:r w:rsidR="00BF1A29">
              <w:rPr>
                <w:b/>
              </w:rPr>
              <w:t>hours</w:t>
            </w:r>
          </w:p>
        </w:tc>
      </w:tr>
    </w:tbl>
    <w:p w14:paraId="5D50B81A" w14:textId="08AA240F" w:rsidR="00B46F2C" w:rsidRPr="00B50FE7" w:rsidRDefault="00B46F2C" w:rsidP="00F3170F"/>
    <w:p w14:paraId="7CB3987B" w14:textId="14909B38"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 xml:space="preserve">is </w:t>
      </w:r>
      <w:r w:rsidR="003E237D">
        <w:t>4</w:t>
      </w:r>
      <w:r w:rsidR="00D93EDB">
        <w:t xml:space="preserve"> business hours.</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7305EB9C" w:rsidR="00B46F2C" w:rsidRDefault="00D56BD2" w:rsidP="00DC7D67">
      <w:pPr>
        <w:pStyle w:val="ListParagraph"/>
        <w:ind w:left="360"/>
      </w:pPr>
      <w:r>
        <w:t>[</w:t>
      </w:r>
      <w:r w:rsidR="00D93EDB">
        <w:t>X</w:t>
      </w:r>
      <w:r w:rsidR="00B46F2C" w:rsidRPr="00B50FE7">
        <w:t>] Yes</w:t>
      </w:r>
      <w:r w:rsidR="00B46F2C" w:rsidRPr="00B50FE7">
        <w:tab/>
        <w:t>[] No</w:t>
      </w:r>
    </w:p>
    <w:p w14:paraId="5AED838B" w14:textId="77777777" w:rsidR="00D93EDB" w:rsidRPr="00B50FE7" w:rsidRDefault="00D93EDB" w:rsidP="00DC7D67">
      <w:pPr>
        <w:pStyle w:val="ListParagraph"/>
        <w:ind w:left="360"/>
      </w:pPr>
    </w:p>
    <w:p w14:paraId="28E91D36" w14:textId="611B63C6" w:rsidR="003A5495"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72CF9BDC" w14:textId="2FB2FF7E" w:rsidR="003A5495" w:rsidRDefault="003A5495" w:rsidP="001B0AAA">
      <w:pPr>
        <w:rPr>
          <w:b/>
          <w:i/>
        </w:rPr>
      </w:pPr>
    </w:p>
    <w:p w14:paraId="010054BA" w14:textId="61265B77" w:rsidR="003A5495" w:rsidRPr="003A5495" w:rsidRDefault="003A5495" w:rsidP="001B0AAA">
      <w:r>
        <w:t xml:space="preserve">ASPR gathers statistics on the total number of page views and sessions via Google Analytics. HHS.gov uses both an in-page survey and an exit survey of similar length and complexity. We have based </w:t>
      </w:r>
      <w:r w:rsidR="00363B07">
        <w:t>estimated number of respondents and participation time off of the data gathered from the HHS.gov site.</w:t>
      </w:r>
    </w:p>
    <w:p w14:paraId="4DFB5E68" w14:textId="77777777" w:rsidR="00E611E2" w:rsidRPr="00B50FE7" w:rsidRDefault="00E611E2" w:rsidP="001B0AAA"/>
    <w:p w14:paraId="37C4EA93" w14:textId="0B4F81E8" w:rsidR="009C0F5A" w:rsidRDefault="00363B07" w:rsidP="00D56BD2">
      <w:r>
        <w:t>The number of potential participants in our exit survey is based on the number of sessions. T</w:t>
      </w:r>
      <w:r w:rsidR="007F040B">
        <w:t>here are roughly</w:t>
      </w:r>
      <w:r w:rsidR="003A3194">
        <w:t xml:space="preserve"> </w:t>
      </w:r>
      <w:r w:rsidR="006B284C">
        <w:t xml:space="preserve">44,500 monthly sessions on </w:t>
      </w:r>
      <w:r w:rsidR="00022151">
        <w:t>PHE</w:t>
      </w:r>
      <w:r w:rsidR="003A3194">
        <w:t>.</w:t>
      </w:r>
      <w:r w:rsidR="007F040B">
        <w:t>gov per</w:t>
      </w:r>
      <w:r w:rsidR="006B284C">
        <w:t xml:space="preserve"> month</w:t>
      </w:r>
      <w:r w:rsidR="007F040B">
        <w:t>.</w:t>
      </w:r>
      <w:r w:rsidR="006B284C">
        <w:t xml:space="preserve"> </w:t>
      </w:r>
      <w:r w:rsidR="003E237D">
        <w:t>Based on the participation rates of a similar information collection on the HHS.gov website, HHS/ASPR expects a</w:t>
      </w:r>
      <w:r w:rsidR="00BB6D79">
        <w:t xml:space="preserve"> </w:t>
      </w:r>
      <w:r w:rsidR="006B284C">
        <w:t>.3</w:t>
      </w:r>
      <w:r w:rsidR="00BB6D79">
        <w:t xml:space="preserve"> per</w:t>
      </w:r>
      <w:r w:rsidR="00EA769D">
        <w:t xml:space="preserve">cent response rate, </w:t>
      </w:r>
      <w:r w:rsidR="00D76EB5">
        <w:t xml:space="preserve">resulting in </w:t>
      </w:r>
      <w:r w:rsidR="00EA769D">
        <w:t>up to 150 responses per month.  Estimating that it takes roughly five minutes to complete the survey,</w:t>
      </w:r>
      <w:r w:rsidR="00BD4790">
        <w:t xml:space="preserve"> we estimate </w:t>
      </w:r>
      <w:r w:rsidR="00D76EB5">
        <w:t xml:space="preserve">a total burden of </w:t>
      </w:r>
      <w:r w:rsidR="00677813">
        <w:t xml:space="preserve">12.5 </w:t>
      </w:r>
      <w:r w:rsidR="004244C3">
        <w:t xml:space="preserve">hours </w:t>
      </w:r>
      <w:r w:rsidR="00022151">
        <w:t>per month.</w:t>
      </w:r>
    </w:p>
    <w:p w14:paraId="37B626F9" w14:textId="05C19B71" w:rsidR="00363B07" w:rsidRDefault="00363B07" w:rsidP="00D56BD2"/>
    <w:p w14:paraId="6F74F040" w14:textId="27E5A829" w:rsidR="00363B07" w:rsidRDefault="00363B07" w:rsidP="00D56BD2">
      <w:r>
        <w:t>The number of potential participants in our on-page survey is based on the number of page views. There are roughly 112,000 page views on PHE.gov per month.  Based on the participation rates of a similar information collection on the HHS.gov website, HHS/ASPR expects a .55 percent response rate</w:t>
      </w:r>
      <w:r w:rsidR="00D76EB5">
        <w:t>, resulting in</w:t>
      </w:r>
      <w:r>
        <w:t xml:space="preserve"> up to 650 respondents each month.  Estimating that it takes roughly five minutes to complete the brief survey, we estimate 54.2 hours per month.</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683B65BF" w:rsidR="00B46F2C" w:rsidRDefault="00B46F2C" w:rsidP="0024521E">
      <w:pPr>
        <w:rPr>
          <w:b/>
        </w:rPr>
      </w:pPr>
      <w:r w:rsidRPr="00B50FE7">
        <w:rPr>
          <w:b/>
        </w:rPr>
        <w:t>Please make sure that all instruments, instructions, and scripts are submitted with the request.</w:t>
      </w:r>
    </w:p>
    <w:p w14:paraId="49BB4221" w14:textId="77777777" w:rsidR="00363B07" w:rsidRPr="00B50FE7" w:rsidRDefault="00363B07" w:rsidP="0024521E">
      <w:pPr>
        <w:rPr>
          <w:b/>
        </w:rPr>
      </w:pPr>
    </w:p>
    <w:p w14:paraId="30684FAA" w14:textId="313322A5" w:rsidR="00A220BF" w:rsidRPr="00363B07" w:rsidRDefault="00A220BF" w:rsidP="00363B07">
      <w:pPr>
        <w:pStyle w:val="Header"/>
        <w:rPr>
          <w:rFonts w:asciiTheme="majorHAnsi" w:eastAsiaTheme="majorEastAsia" w:hAnsiTheme="majorHAnsi" w:cstheme="majorBidi"/>
          <w:b/>
          <w:color w:val="365F91" w:themeColor="accent1" w:themeShade="BF"/>
          <w:sz w:val="32"/>
          <w:szCs w:val="32"/>
          <w:shd w:val="clear" w:color="auto" w:fill="FFFFFF"/>
        </w:rPr>
      </w:pPr>
      <w:r w:rsidRPr="00B50FE7">
        <w:rPr>
          <w:b/>
        </w:rPr>
        <w:t>NOTE:</w:t>
      </w:r>
      <w:r w:rsidR="004244C3">
        <w:t xml:space="preserve"> Please see attachment</w:t>
      </w:r>
      <w:r w:rsidR="00363B07">
        <w:t>s “</w:t>
      </w:r>
      <w:r w:rsidR="00363B07" w:rsidRPr="00363B07">
        <w:t>On-Page Survey:  PHE.gov Site-wide Satisfaction Survey</w:t>
      </w:r>
      <w:r w:rsidR="00363B07">
        <w:t>” and “</w:t>
      </w:r>
      <w:r w:rsidR="00363B07" w:rsidRPr="00363B07">
        <w:t>Exit Survey:  PHE.gov Site-wide Satisfaction Survey</w:t>
      </w:r>
      <w:r w:rsidR="00363B07">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D19B9" w14:textId="77777777" w:rsidR="00E46029" w:rsidRDefault="00E46029">
      <w:r>
        <w:separator/>
      </w:r>
    </w:p>
  </w:endnote>
  <w:endnote w:type="continuationSeparator" w:id="0">
    <w:p w14:paraId="4A7286E3" w14:textId="77777777" w:rsidR="00E46029" w:rsidRDefault="00E46029">
      <w:r>
        <w:continuationSeparator/>
      </w:r>
    </w:p>
  </w:endnote>
  <w:endnote w:type="continuationNotice" w:id="1">
    <w:p w14:paraId="690973BB" w14:textId="77777777" w:rsidR="00E46029" w:rsidRDefault="00E4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149A9089"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32A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2CBD6" w14:textId="77777777" w:rsidR="00E46029" w:rsidRDefault="00E46029">
      <w:r>
        <w:separator/>
      </w:r>
    </w:p>
  </w:footnote>
  <w:footnote w:type="continuationSeparator" w:id="0">
    <w:p w14:paraId="59BD2E53" w14:textId="77777777" w:rsidR="00E46029" w:rsidRDefault="00E46029">
      <w:r>
        <w:continuationSeparator/>
      </w:r>
    </w:p>
  </w:footnote>
  <w:footnote w:type="continuationNotice" w:id="1">
    <w:p w14:paraId="25BA9054" w14:textId="77777777" w:rsidR="00E46029" w:rsidRDefault="00E460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15ECC"/>
    <w:multiLevelType w:val="hybridMultilevel"/>
    <w:tmpl w:val="1DE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EF7C1C"/>
    <w:multiLevelType w:val="hybridMultilevel"/>
    <w:tmpl w:val="031A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C7294"/>
    <w:multiLevelType w:val="hybridMultilevel"/>
    <w:tmpl w:val="D6C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F21A46"/>
    <w:multiLevelType w:val="multilevel"/>
    <w:tmpl w:val="5B62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2"/>
  </w:num>
  <w:num w:numId="4">
    <w:abstractNumId w:val="25"/>
  </w:num>
  <w:num w:numId="5">
    <w:abstractNumId w:val="5"/>
  </w:num>
  <w:num w:numId="6">
    <w:abstractNumId w:val="1"/>
  </w:num>
  <w:num w:numId="7">
    <w:abstractNumId w:val="14"/>
  </w:num>
  <w:num w:numId="8">
    <w:abstractNumId w:val="19"/>
  </w:num>
  <w:num w:numId="9">
    <w:abstractNumId w:val="15"/>
  </w:num>
  <w:num w:numId="10">
    <w:abstractNumId w:val="2"/>
  </w:num>
  <w:num w:numId="11">
    <w:abstractNumId w:val="9"/>
  </w:num>
  <w:num w:numId="12">
    <w:abstractNumId w:val="12"/>
  </w:num>
  <w:num w:numId="13">
    <w:abstractNumId w:val="0"/>
  </w:num>
  <w:num w:numId="14">
    <w:abstractNumId w:val="21"/>
  </w:num>
  <w:num w:numId="15">
    <w:abstractNumId w:val="18"/>
  </w:num>
  <w:num w:numId="16">
    <w:abstractNumId w:val="17"/>
  </w:num>
  <w:num w:numId="17">
    <w:abstractNumId w:val="6"/>
  </w:num>
  <w:num w:numId="18">
    <w:abstractNumId w:val="7"/>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4"/>
  </w:num>
  <w:num w:numId="24">
    <w:abstractNumId w:val="10"/>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2151"/>
    <w:rsid w:val="00023A57"/>
    <w:rsid w:val="00025F10"/>
    <w:rsid w:val="00035111"/>
    <w:rsid w:val="00047A64"/>
    <w:rsid w:val="00067329"/>
    <w:rsid w:val="00082767"/>
    <w:rsid w:val="000B2838"/>
    <w:rsid w:val="000C7392"/>
    <w:rsid w:val="000D085C"/>
    <w:rsid w:val="000D3C31"/>
    <w:rsid w:val="000D44CA"/>
    <w:rsid w:val="000E200B"/>
    <w:rsid w:val="000F68BE"/>
    <w:rsid w:val="001254BD"/>
    <w:rsid w:val="00130F7B"/>
    <w:rsid w:val="00144369"/>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76858"/>
    <w:rsid w:val="002821FF"/>
    <w:rsid w:val="002B3C95"/>
    <w:rsid w:val="002C31AC"/>
    <w:rsid w:val="002D0B92"/>
    <w:rsid w:val="002F1B1A"/>
    <w:rsid w:val="00302131"/>
    <w:rsid w:val="00303357"/>
    <w:rsid w:val="0034353C"/>
    <w:rsid w:val="00353B1A"/>
    <w:rsid w:val="00363B07"/>
    <w:rsid w:val="00391E63"/>
    <w:rsid w:val="00393CF5"/>
    <w:rsid w:val="003A1084"/>
    <w:rsid w:val="003A3194"/>
    <w:rsid w:val="003A5495"/>
    <w:rsid w:val="003A67B4"/>
    <w:rsid w:val="003D1A1F"/>
    <w:rsid w:val="003D5BBE"/>
    <w:rsid w:val="003E18EA"/>
    <w:rsid w:val="003E1D76"/>
    <w:rsid w:val="003E237D"/>
    <w:rsid w:val="003E3C61"/>
    <w:rsid w:val="003E4A91"/>
    <w:rsid w:val="003F1C5B"/>
    <w:rsid w:val="004004C3"/>
    <w:rsid w:val="004011DE"/>
    <w:rsid w:val="0041235A"/>
    <w:rsid w:val="0041337D"/>
    <w:rsid w:val="00420E51"/>
    <w:rsid w:val="004244C3"/>
    <w:rsid w:val="00434E33"/>
    <w:rsid w:val="00441434"/>
    <w:rsid w:val="0045264C"/>
    <w:rsid w:val="004876EC"/>
    <w:rsid w:val="004A1D44"/>
    <w:rsid w:val="004B4291"/>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84662"/>
    <w:rsid w:val="005A1006"/>
    <w:rsid w:val="005B789E"/>
    <w:rsid w:val="005C1682"/>
    <w:rsid w:val="005D426F"/>
    <w:rsid w:val="005E714A"/>
    <w:rsid w:val="005F1F63"/>
    <w:rsid w:val="005F2671"/>
    <w:rsid w:val="00607533"/>
    <w:rsid w:val="00610D5D"/>
    <w:rsid w:val="006140A0"/>
    <w:rsid w:val="006266B0"/>
    <w:rsid w:val="00636621"/>
    <w:rsid w:val="00642B49"/>
    <w:rsid w:val="00662786"/>
    <w:rsid w:val="006651B4"/>
    <w:rsid w:val="00677813"/>
    <w:rsid w:val="006832D9"/>
    <w:rsid w:val="00690E83"/>
    <w:rsid w:val="0069403B"/>
    <w:rsid w:val="006A5FDF"/>
    <w:rsid w:val="006B284C"/>
    <w:rsid w:val="006E1B84"/>
    <w:rsid w:val="006F3DDE"/>
    <w:rsid w:val="00704678"/>
    <w:rsid w:val="00704B1A"/>
    <w:rsid w:val="00705102"/>
    <w:rsid w:val="007425E7"/>
    <w:rsid w:val="007709D7"/>
    <w:rsid w:val="007742AD"/>
    <w:rsid w:val="0077484E"/>
    <w:rsid w:val="0079104E"/>
    <w:rsid w:val="007E03A5"/>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B235D"/>
    <w:rsid w:val="009C0F5A"/>
    <w:rsid w:val="009C13B9"/>
    <w:rsid w:val="009C4734"/>
    <w:rsid w:val="009D01A2"/>
    <w:rsid w:val="009F5923"/>
    <w:rsid w:val="00A220BF"/>
    <w:rsid w:val="00A2318D"/>
    <w:rsid w:val="00A403BB"/>
    <w:rsid w:val="00A4290D"/>
    <w:rsid w:val="00A674DF"/>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2A6"/>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76EB5"/>
    <w:rsid w:val="00D93EDB"/>
    <w:rsid w:val="00DB59D0"/>
    <w:rsid w:val="00DC33D3"/>
    <w:rsid w:val="00DC7D67"/>
    <w:rsid w:val="00E11116"/>
    <w:rsid w:val="00E26329"/>
    <w:rsid w:val="00E40B50"/>
    <w:rsid w:val="00E46029"/>
    <w:rsid w:val="00E47641"/>
    <w:rsid w:val="00E50293"/>
    <w:rsid w:val="00E611E2"/>
    <w:rsid w:val="00E65FFC"/>
    <w:rsid w:val="00E80951"/>
    <w:rsid w:val="00E854FE"/>
    <w:rsid w:val="00E86CC6"/>
    <w:rsid w:val="00EA769D"/>
    <w:rsid w:val="00EB56B3"/>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8382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PHE.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FDFAC99D-EAAE-424B-9E21-03B88D7A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dcterms:created xsi:type="dcterms:W3CDTF">2018-04-24T17:40:00Z</dcterms:created>
  <dcterms:modified xsi:type="dcterms:W3CDTF">2018-04-24T17:40:00Z</dcterms:modified>
</cp:coreProperties>
</file>