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80A08" w14:textId="72A68E5C" w:rsidR="00E42A47" w:rsidRPr="00E42A47" w:rsidRDefault="00F06866" w:rsidP="00EE263C">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8D234A">
        <w:rPr>
          <w:sz w:val="28"/>
        </w:rPr>
        <w:t>0</w:t>
      </w:r>
      <w:r w:rsidR="009F4B85">
        <w:rPr>
          <w:sz w:val="28"/>
        </w:rPr>
        <w:t>990</w:t>
      </w:r>
      <w:r>
        <w:rPr>
          <w:sz w:val="28"/>
        </w:rPr>
        <w:t>-</w:t>
      </w:r>
      <w:r w:rsidR="009F4B85">
        <w:rPr>
          <w:sz w:val="28"/>
        </w:rPr>
        <w:t>0</w:t>
      </w:r>
      <w:r w:rsidR="00CF188A">
        <w:rPr>
          <w:sz w:val="28"/>
        </w:rPr>
        <w:t>0379</w:t>
      </w:r>
      <w:r>
        <w:rPr>
          <w:sz w:val="28"/>
        </w:rPr>
        <w:t>)</w:t>
      </w:r>
    </w:p>
    <w:p w14:paraId="4D759365" w14:textId="77777777" w:rsidR="00E42A47" w:rsidRPr="00E42A47" w:rsidRDefault="0060017B" w:rsidP="00434E33">
      <w:r>
        <w:rPr>
          <w:b/>
          <w:noProof/>
        </w:rPr>
        <mc:AlternateContent>
          <mc:Choice Requires="wps">
            <w:drawing>
              <wp:anchor distT="0" distB="0" distL="114300" distR="114300" simplePos="0" relativeHeight="251657728" behindDoc="0" locked="0" layoutInCell="0" allowOverlap="1" wp14:anchorId="0DBF1583" wp14:editId="76A9067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96DFE4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32A47643" w14:textId="77777777" w:rsidR="008D234A" w:rsidRDefault="008D234A">
      <w:pPr>
        <w:rPr>
          <w:highlight w:val="yellow"/>
        </w:rPr>
      </w:pPr>
    </w:p>
    <w:p w14:paraId="6A59C9BF" w14:textId="68936BDC" w:rsidR="008D234A" w:rsidRPr="009D2A0A" w:rsidRDefault="00666D9A" w:rsidP="00BE29F3">
      <w:r w:rsidRPr="009D2A0A">
        <w:t>W</w:t>
      </w:r>
      <w:r w:rsidR="00207C38" w:rsidRPr="009D2A0A">
        <w:t>omenshealth.gov Homepage Redesign Testing</w:t>
      </w:r>
    </w:p>
    <w:p w14:paraId="119D8353" w14:textId="77777777" w:rsidR="008373A4" w:rsidRPr="009D2A0A" w:rsidRDefault="008373A4"/>
    <w:p w14:paraId="62C3BFF2" w14:textId="77777777" w:rsidR="00951962" w:rsidRPr="009D2A0A" w:rsidRDefault="00951962" w:rsidP="00565C39">
      <w:pPr>
        <w:pStyle w:val="Header"/>
        <w:tabs>
          <w:tab w:val="clear" w:pos="4320"/>
          <w:tab w:val="clear" w:pos="8640"/>
        </w:tabs>
      </w:pPr>
      <w:r w:rsidRPr="009D2A0A">
        <w:t>Included in this memo are three materials related to testing:</w:t>
      </w:r>
    </w:p>
    <w:p w14:paraId="0AA79AFB" w14:textId="77777777" w:rsidR="00951962" w:rsidRPr="009D2A0A" w:rsidRDefault="00951962" w:rsidP="00951962">
      <w:pPr>
        <w:pStyle w:val="Header"/>
        <w:numPr>
          <w:ilvl w:val="0"/>
          <w:numId w:val="21"/>
        </w:numPr>
        <w:tabs>
          <w:tab w:val="clear" w:pos="4320"/>
          <w:tab w:val="clear" w:pos="8640"/>
        </w:tabs>
      </w:pPr>
      <w:r w:rsidRPr="009D2A0A">
        <w:t>A screening guide for recruitment</w:t>
      </w:r>
    </w:p>
    <w:p w14:paraId="5AF15085" w14:textId="77777777" w:rsidR="00565C39" w:rsidRPr="009D2A0A" w:rsidRDefault="00565C39" w:rsidP="00951962">
      <w:pPr>
        <w:pStyle w:val="Header"/>
        <w:numPr>
          <w:ilvl w:val="0"/>
          <w:numId w:val="21"/>
        </w:numPr>
        <w:tabs>
          <w:tab w:val="clear" w:pos="4320"/>
          <w:tab w:val="clear" w:pos="8640"/>
        </w:tabs>
      </w:pPr>
      <w:r w:rsidRPr="009D2A0A">
        <w:t xml:space="preserve">A discussion guide for the testing </w:t>
      </w:r>
    </w:p>
    <w:p w14:paraId="76AAE723" w14:textId="77777777" w:rsidR="00951962" w:rsidRPr="009D2A0A" w:rsidRDefault="00951962" w:rsidP="00951962">
      <w:pPr>
        <w:pStyle w:val="Header"/>
        <w:numPr>
          <w:ilvl w:val="0"/>
          <w:numId w:val="21"/>
        </w:numPr>
        <w:tabs>
          <w:tab w:val="clear" w:pos="4320"/>
          <w:tab w:val="clear" w:pos="8640"/>
        </w:tabs>
      </w:pPr>
      <w:r w:rsidRPr="009D2A0A">
        <w:t>Mockups of the homepage (mobile and desktop)</w:t>
      </w:r>
    </w:p>
    <w:p w14:paraId="15722E57" w14:textId="77777777" w:rsidR="00565C39" w:rsidRPr="009D2A0A" w:rsidRDefault="00565C39" w:rsidP="00565C39">
      <w:pPr>
        <w:pStyle w:val="Header"/>
        <w:tabs>
          <w:tab w:val="clear" w:pos="4320"/>
          <w:tab w:val="clear" w:pos="8640"/>
        </w:tabs>
      </w:pPr>
    </w:p>
    <w:p w14:paraId="58688690" w14:textId="77777777" w:rsidR="00FC2146" w:rsidRPr="009D2A0A" w:rsidRDefault="00FC2146">
      <w:pPr>
        <w:rPr>
          <w:b/>
        </w:rPr>
      </w:pPr>
    </w:p>
    <w:p w14:paraId="3CFF1CAD" w14:textId="77777777" w:rsidR="001B0AAA" w:rsidRPr="009D2A0A" w:rsidRDefault="00F15956">
      <w:r w:rsidRPr="009D2A0A">
        <w:rPr>
          <w:b/>
        </w:rPr>
        <w:t>PURPOSE:</w:t>
      </w:r>
      <w:r w:rsidR="00C14CC4" w:rsidRPr="009D2A0A">
        <w:rPr>
          <w:b/>
        </w:rPr>
        <w:t xml:space="preserve">  </w:t>
      </w:r>
    </w:p>
    <w:p w14:paraId="21FBF4F0" w14:textId="77777777" w:rsidR="001B0AAA" w:rsidRPr="009D2A0A" w:rsidRDefault="001B0AAA"/>
    <w:p w14:paraId="7BE660DC" w14:textId="2A13715F" w:rsidR="00D045F2" w:rsidRDefault="00FB553D" w:rsidP="00D045F2">
      <w:r>
        <w:t>U</w:t>
      </w:r>
      <w:r w:rsidRPr="00FB553D">
        <w:t xml:space="preserve">nder Public Law 111–148 section 3509 </w:t>
      </w:r>
      <w:r>
        <w:t>t</w:t>
      </w:r>
      <w:r w:rsidR="00207C38" w:rsidRPr="009D2A0A">
        <w:t xml:space="preserve">he Office on Women’s Health </w:t>
      </w:r>
      <w:r w:rsidR="00D045F2">
        <w:t xml:space="preserve">(OWH) </w:t>
      </w:r>
      <w:r w:rsidR="00207C38" w:rsidRPr="009D2A0A">
        <w:t xml:space="preserve">is </w:t>
      </w:r>
      <w:r w:rsidR="00D045F2">
        <w:t xml:space="preserve">required to “establish a National Women’s Health Information Center.” The foundation of the National Women’s Health Information Center is the </w:t>
      </w:r>
      <w:hyperlink r:id="rId9" w:history="1">
        <w:r w:rsidR="00D045F2" w:rsidRPr="002A2280">
          <w:rPr>
            <w:rStyle w:val="Hyperlink"/>
          </w:rPr>
          <w:t>https://womenshealth.gov</w:t>
        </w:r>
      </w:hyperlink>
      <w:r w:rsidR="00D045F2">
        <w:t xml:space="preserve"> website, visited by </w:t>
      </w:r>
      <w:r w:rsidR="009654D5">
        <w:t xml:space="preserve">approximately </w:t>
      </w:r>
      <w:r w:rsidR="00D045F2">
        <w:t xml:space="preserve">1 million people each month. This website is where OWH publishes </w:t>
      </w:r>
      <w:r w:rsidR="009654D5">
        <w:t xml:space="preserve">women’s </w:t>
      </w:r>
      <w:r w:rsidR="00D045F2">
        <w:t>health information in plain language at the 6</w:t>
      </w:r>
      <w:r w:rsidR="00D045F2" w:rsidRPr="00D045F2">
        <w:rPr>
          <w:vertAlign w:val="superscript"/>
        </w:rPr>
        <w:t>th</w:t>
      </w:r>
      <w:r w:rsidR="00D045F2">
        <w:t xml:space="preserve"> to 8</w:t>
      </w:r>
      <w:r w:rsidR="00D045F2" w:rsidRPr="00D045F2">
        <w:rPr>
          <w:vertAlign w:val="superscript"/>
        </w:rPr>
        <w:t>th</w:t>
      </w:r>
      <w:r w:rsidR="00D045F2">
        <w:t xml:space="preserve"> grade reading level. Under the law</w:t>
      </w:r>
      <w:r w:rsidR="009654D5">
        <w:t>,</w:t>
      </w:r>
      <w:r w:rsidR="00D045F2">
        <w:t xml:space="preserve"> OWH is </w:t>
      </w:r>
      <w:r>
        <w:t xml:space="preserve">responsible for </w:t>
      </w:r>
      <w:r w:rsidR="00D045F2">
        <w:t xml:space="preserve">facilitating access to this health information. As a result, OWH must ensure that the </w:t>
      </w:r>
      <w:hyperlink r:id="rId10" w:history="1">
        <w:r w:rsidR="00D045F2" w:rsidRPr="002A2280">
          <w:rPr>
            <w:rStyle w:val="Hyperlink"/>
          </w:rPr>
          <w:t>https://womenshealth.gov</w:t>
        </w:r>
      </w:hyperlink>
      <w:r w:rsidR="00D045F2">
        <w:t xml:space="preserve"> website is easy </w:t>
      </w:r>
      <w:r w:rsidR="005F6162">
        <w:t xml:space="preserve">for all Americans </w:t>
      </w:r>
      <w:r w:rsidR="00D045F2">
        <w:t xml:space="preserve">to navigate and understand. The homepage of the website was last </w:t>
      </w:r>
      <w:r w:rsidR="00207C38" w:rsidRPr="009D2A0A">
        <w:t>redesign</w:t>
      </w:r>
      <w:r w:rsidR="00D045F2">
        <w:t xml:space="preserve">ed </w:t>
      </w:r>
      <w:r w:rsidR="00114606">
        <w:t>in 2014</w:t>
      </w:r>
      <w:r w:rsidR="00D045F2">
        <w:t xml:space="preserve"> to make it readable on a mobile device. Now that the entire website is readable on a mobile device, the homepage design must be updated to make sure </w:t>
      </w:r>
      <w:r w:rsidR="009654D5">
        <w:t>it</w:t>
      </w:r>
      <w:r w:rsidR="00D045F2">
        <w:t xml:space="preserve"> meet</w:t>
      </w:r>
      <w:r w:rsidR="009654D5">
        <w:t>s</w:t>
      </w:r>
      <w:r w:rsidR="00D045F2">
        <w:t xml:space="preserve"> new 508-compliance </w:t>
      </w:r>
      <w:r w:rsidR="009654D5">
        <w:t xml:space="preserve">requirements </w:t>
      </w:r>
      <w:r w:rsidR="00D045F2">
        <w:t xml:space="preserve">and </w:t>
      </w:r>
      <w:r w:rsidR="009654D5">
        <w:t>to keep</w:t>
      </w:r>
      <w:r w:rsidR="00D045F2">
        <w:t xml:space="preserve"> pace with new technologies in mobile websites.</w:t>
      </w:r>
    </w:p>
    <w:p w14:paraId="4F3C19A1" w14:textId="77777777" w:rsidR="00D045F2" w:rsidRDefault="00D045F2" w:rsidP="00D045F2"/>
    <w:p w14:paraId="374CD826" w14:textId="144DC31D" w:rsidR="00764E52" w:rsidRDefault="00764E52" w:rsidP="00764E52">
      <w:r>
        <w:t xml:space="preserve">Government regulations and policies, including OMB’s </w:t>
      </w:r>
      <w:r w:rsidR="0078276F">
        <w:t xml:space="preserve">memorandum </w:t>
      </w:r>
      <w:r w:rsidRPr="00764E52">
        <w:t xml:space="preserve">M-17-06 </w:t>
      </w:r>
      <w:r>
        <w:t>“</w:t>
      </w:r>
      <w:r w:rsidRPr="00764E52">
        <w:t>Policies for Federal Agency Public Websites and Digital Services</w:t>
      </w:r>
      <w:r>
        <w:t xml:space="preserve">” requires that “Federal websites and digital services should always meet and maintain high standards of effectiveness and </w:t>
      </w:r>
      <w:r w:rsidRPr="00335D01">
        <w:rPr>
          <w:i/>
        </w:rPr>
        <w:t>usability</w:t>
      </w:r>
      <w:r>
        <w:t>…” The OMB regulations say:</w:t>
      </w:r>
    </w:p>
    <w:p w14:paraId="0642FD3D" w14:textId="77777777" w:rsidR="0078276F" w:rsidRDefault="0078276F" w:rsidP="00764E52"/>
    <w:p w14:paraId="7F1290F7" w14:textId="03871F5E" w:rsidR="00764E52" w:rsidRPr="00764E52" w:rsidRDefault="00764E52" w:rsidP="00764E52">
      <w:pPr>
        <w:ind w:left="720"/>
        <w:rPr>
          <w:i/>
        </w:rPr>
      </w:pPr>
      <w:r w:rsidRPr="00764E52">
        <w:rPr>
          <w:i/>
        </w:rPr>
        <w:t>All public facing websites and digital services should be designed around user needs with data-driven analysis influencing management and development decisions. Agencies should use qualitative and quantitative data to determine user goals, needs, and behaviors, and continually test websites and digital services to ensure that user needs are addressed.</w:t>
      </w:r>
    </w:p>
    <w:p w14:paraId="71CB1A1C" w14:textId="77777777" w:rsidR="00764E52" w:rsidRDefault="00764E52" w:rsidP="00764E52">
      <w:pPr>
        <w:ind w:left="720"/>
      </w:pPr>
    </w:p>
    <w:p w14:paraId="3E51BC56" w14:textId="64B2D396" w:rsidR="005F6162" w:rsidRDefault="005F6162" w:rsidP="00764E52">
      <w:r>
        <w:t>In OMB memorandum M-11-26</w:t>
      </w:r>
      <w:r w:rsidR="00335D01">
        <w:t>,</w:t>
      </w:r>
      <w:r>
        <w:t xml:space="preserve"> the Fast Track clearance process under the Paperwork Reduction Act is specifically recommended for i</w:t>
      </w:r>
      <w:r w:rsidR="0078276F">
        <w:t xml:space="preserve">n-person website usability testing. </w:t>
      </w:r>
      <w:r w:rsidR="00764E52">
        <w:t>As a result, w</w:t>
      </w:r>
      <w:r w:rsidR="00D045F2">
        <w:t xml:space="preserve">e would </w:t>
      </w:r>
      <w:r>
        <w:t xml:space="preserve">like to use this clearance process </w:t>
      </w:r>
      <w:r w:rsidR="00D045F2">
        <w:t xml:space="preserve">to test a new </w:t>
      </w:r>
      <w:r w:rsidR="00207C38" w:rsidRPr="009D2A0A">
        <w:t>homepage design</w:t>
      </w:r>
      <w:r w:rsidR="00D045F2">
        <w:t xml:space="preserve"> to make sure all women, and others interested in women’s health, can easily find the health information they need</w:t>
      </w:r>
      <w:r w:rsidR="00207C38" w:rsidRPr="009D2A0A">
        <w:t>.</w:t>
      </w:r>
      <w:r w:rsidR="00565C39" w:rsidRPr="009D2A0A">
        <w:t xml:space="preserve"> </w:t>
      </w:r>
    </w:p>
    <w:p w14:paraId="4FCC3829" w14:textId="77777777" w:rsidR="005F6162" w:rsidRDefault="005F6162" w:rsidP="00764E52"/>
    <w:p w14:paraId="59F057BA" w14:textId="1E7C60F3" w:rsidR="00565C39" w:rsidRPr="009D2A0A" w:rsidRDefault="0047098B" w:rsidP="00764E52">
      <w:r>
        <w:t xml:space="preserve">The website is “responsive,” which means that the webpage is </w:t>
      </w:r>
      <w:r w:rsidR="009654D5">
        <w:t xml:space="preserve">automatically </w:t>
      </w:r>
      <w:r>
        <w:t>arranged to fit whatever size screen a person is using, whether it’s a mobile phone, tablet, or laptop computer. Therefore, our usability t</w:t>
      </w:r>
      <w:r w:rsidR="00565C39" w:rsidRPr="009D2A0A">
        <w:t xml:space="preserve">esting will focus on one </w:t>
      </w:r>
      <w:r w:rsidR="009654D5">
        <w:t xml:space="preserve">new </w:t>
      </w:r>
      <w:r>
        <w:t xml:space="preserve">homepage </w:t>
      </w:r>
      <w:r w:rsidR="00565C39" w:rsidRPr="009D2A0A">
        <w:t xml:space="preserve">design in two different formats: one for </w:t>
      </w:r>
      <w:r>
        <w:t xml:space="preserve">a </w:t>
      </w:r>
      <w:r w:rsidR="00565C39" w:rsidRPr="009D2A0A">
        <w:t xml:space="preserve">mobile </w:t>
      </w:r>
      <w:r>
        <w:t xml:space="preserve">phone </w:t>
      </w:r>
      <w:r w:rsidR="00565C39" w:rsidRPr="009D2A0A">
        <w:t xml:space="preserve">and one for </w:t>
      </w:r>
      <w:r>
        <w:t>a laptop computer or the “desktop” version</w:t>
      </w:r>
      <w:r w:rsidR="00565C39" w:rsidRPr="009D2A0A">
        <w:t xml:space="preserve">. </w:t>
      </w:r>
      <w:r w:rsidR="00335D01">
        <w:t xml:space="preserve">During a 1-hour </w:t>
      </w:r>
      <w:r w:rsidR="00532641">
        <w:t>in-depth interview</w:t>
      </w:r>
      <w:r w:rsidR="00335D01">
        <w:t>, u</w:t>
      </w:r>
      <w:r>
        <w:t>sability testing p</w:t>
      </w:r>
      <w:r w:rsidR="00565C39" w:rsidRPr="009D2A0A">
        <w:t xml:space="preserve">articipants will be asked questions about different elements of each design to understand if the intended design meets user needs and expectations. </w:t>
      </w:r>
      <w:r w:rsidR="009D2A0A">
        <w:t xml:space="preserve">The testing will take place in three locations across the country, in an effort to obtain feedback from a diverse population of users. The locations are Columbia, SC, Omaha, NE, and Spokane, WA. </w:t>
      </w:r>
    </w:p>
    <w:p w14:paraId="746271C7" w14:textId="77777777" w:rsidR="00565C39" w:rsidRPr="009D2A0A" w:rsidRDefault="00565C39"/>
    <w:p w14:paraId="7FB3DF1E" w14:textId="77777777" w:rsidR="00C8488C" w:rsidRPr="009D2A0A" w:rsidRDefault="00C8488C" w:rsidP="00434E33">
      <w:pPr>
        <w:pStyle w:val="Header"/>
        <w:tabs>
          <w:tab w:val="clear" w:pos="4320"/>
          <w:tab w:val="clear" w:pos="8640"/>
        </w:tabs>
        <w:rPr>
          <w:b/>
        </w:rPr>
      </w:pPr>
    </w:p>
    <w:p w14:paraId="32837D9B" w14:textId="77777777" w:rsidR="00434E33" w:rsidRPr="009D2A0A" w:rsidRDefault="00434E33" w:rsidP="00434E33">
      <w:pPr>
        <w:pStyle w:val="Header"/>
        <w:tabs>
          <w:tab w:val="clear" w:pos="4320"/>
          <w:tab w:val="clear" w:pos="8640"/>
        </w:tabs>
        <w:rPr>
          <w:i/>
          <w:snapToGrid/>
        </w:rPr>
      </w:pPr>
      <w:r w:rsidRPr="009D2A0A">
        <w:rPr>
          <w:b/>
        </w:rPr>
        <w:t>DESCRIPTION OF RESPONDENTS</w:t>
      </w:r>
      <w:r w:rsidRPr="009D2A0A">
        <w:t xml:space="preserve">: </w:t>
      </w:r>
    </w:p>
    <w:p w14:paraId="7035F6B4" w14:textId="0DAC2446" w:rsidR="00D21BE9" w:rsidRDefault="00335D01">
      <w:r>
        <w:t>In order to get feedback from a very diverse target audience of all women in the U.S. who read English, w</w:t>
      </w:r>
      <w:r w:rsidR="00D21BE9">
        <w:t>e need to recruit respondent</w:t>
      </w:r>
      <w:r>
        <w:t xml:space="preserve">s </w:t>
      </w:r>
      <w:r w:rsidR="00532641">
        <w:t>who are diverse with regard to education, income, racial and ethnic identity, insurance coverage, and employment status</w:t>
      </w:r>
      <w:r w:rsidR="00D21BE9">
        <w:t xml:space="preserve">. </w:t>
      </w:r>
      <w:r w:rsidR="00532641">
        <w:t>W</w:t>
      </w:r>
      <w:r w:rsidR="00D21BE9">
        <w:t xml:space="preserve">e </w:t>
      </w:r>
      <w:r w:rsidR="00532641">
        <w:t>will recruit</w:t>
      </w:r>
      <w:r w:rsidR="00D21BE9">
        <w:t xml:space="preserve"> 1</w:t>
      </w:r>
      <w:r w:rsidR="001F2FD0">
        <w:t>6</w:t>
      </w:r>
      <w:r w:rsidR="00D21BE9">
        <w:t xml:space="preserve"> respondents per site </w:t>
      </w:r>
      <w:r w:rsidR="002D0688">
        <w:t>-</w:t>
      </w:r>
      <w:r w:rsidR="00D21BE9">
        <w:t xml:space="preserve"> 8 </w:t>
      </w:r>
      <w:r w:rsidR="002D0688">
        <w:t xml:space="preserve">actual </w:t>
      </w:r>
      <w:r w:rsidR="00D21BE9">
        <w:t xml:space="preserve">participants and </w:t>
      </w:r>
      <w:r w:rsidR="001F2FD0">
        <w:t xml:space="preserve">8 </w:t>
      </w:r>
      <w:r w:rsidR="00D21BE9">
        <w:t xml:space="preserve">standby participants in each location. In total we will recruit </w:t>
      </w:r>
      <w:r w:rsidR="001F2FD0">
        <w:t xml:space="preserve">48 </w:t>
      </w:r>
      <w:r w:rsidR="00D21BE9">
        <w:t>people</w:t>
      </w:r>
      <w:r w:rsidR="002D0688">
        <w:t xml:space="preserve">, which includes </w:t>
      </w:r>
      <w:r w:rsidR="00D21BE9">
        <w:t>24 actual participants</w:t>
      </w:r>
      <w:r w:rsidR="002D0688">
        <w:t xml:space="preserve"> and </w:t>
      </w:r>
      <w:r w:rsidR="001F2FD0">
        <w:t xml:space="preserve">24 </w:t>
      </w:r>
      <w:r w:rsidR="002D0688">
        <w:t>standby participants</w:t>
      </w:r>
      <w:r w:rsidR="00D21BE9">
        <w:t>.</w:t>
      </w:r>
    </w:p>
    <w:p w14:paraId="745DB2B1" w14:textId="499D209E" w:rsidR="00D21BE9" w:rsidRDefault="00D21BE9"/>
    <w:p w14:paraId="1804FD70" w14:textId="0F30B3EC" w:rsidR="003C1B08" w:rsidRDefault="00532641" w:rsidP="00532641">
      <w:r>
        <w:t>OWH prioritizes meeting the needs of rural Americans who live outside of a metro area with easy-to-understand digital health information that is readable on a mobile device. As a result, we require that at least 3 participants in each testing location live in a rural area outside of the testing location. We anticipate that these respondents will need to travel up to an hour to reach the testing location.</w:t>
      </w:r>
    </w:p>
    <w:p w14:paraId="346E3743" w14:textId="77777777" w:rsidR="00D21BE9" w:rsidRDefault="00D21BE9"/>
    <w:p w14:paraId="62C09235" w14:textId="77777777" w:rsidR="00D21BE9" w:rsidRDefault="00D21BE9"/>
    <w:p w14:paraId="7CE991BA" w14:textId="2FCBC69C" w:rsidR="00F06866" w:rsidRPr="00F06866" w:rsidRDefault="00666D9A">
      <w:pPr>
        <w:rPr>
          <w:b/>
        </w:rPr>
      </w:pPr>
      <w:r w:rsidRPr="009D2A0A">
        <w:t xml:space="preserve"> </w:t>
      </w:r>
      <w:r w:rsidR="00F06866">
        <w:rPr>
          <w:b/>
        </w:rPr>
        <w:t>TYPE OF COLLECTION:</w:t>
      </w:r>
      <w:r w:rsidR="008D234A">
        <w:t xml:space="preserve"> </w:t>
      </w:r>
    </w:p>
    <w:p w14:paraId="27887BD7" w14:textId="77777777" w:rsidR="00441434" w:rsidRPr="00434E33" w:rsidRDefault="00441434" w:rsidP="0096108F">
      <w:pPr>
        <w:pStyle w:val="BodyTextIndent"/>
        <w:tabs>
          <w:tab w:val="left" w:pos="360"/>
        </w:tabs>
        <w:ind w:left="0"/>
        <w:rPr>
          <w:bCs/>
          <w:sz w:val="16"/>
          <w:szCs w:val="16"/>
        </w:rPr>
      </w:pPr>
    </w:p>
    <w:p w14:paraId="3A03B6E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B8CA6EB" w14:textId="1D6C0CA6" w:rsidR="0096108F" w:rsidRDefault="0096108F" w:rsidP="0096108F">
      <w:pPr>
        <w:pStyle w:val="BodyTextIndent"/>
        <w:tabs>
          <w:tab w:val="left" w:pos="360"/>
        </w:tabs>
        <w:ind w:left="0"/>
        <w:rPr>
          <w:bCs/>
          <w:sz w:val="24"/>
        </w:rPr>
      </w:pPr>
      <w:r w:rsidRPr="00F06866">
        <w:rPr>
          <w:bCs/>
          <w:sz w:val="24"/>
        </w:rPr>
        <w:t>[</w:t>
      </w:r>
      <w:r w:rsidR="00207C38">
        <w:rPr>
          <w:bCs/>
          <w:sz w:val="24"/>
        </w:rPr>
        <w:t>x</w:t>
      </w:r>
      <w:r w:rsidRPr="00F06866">
        <w:rPr>
          <w:bCs/>
          <w:sz w:val="24"/>
        </w:rPr>
        <w:t xml:space="preserve"> ] </w:t>
      </w:r>
      <w:r w:rsidR="00F06866" w:rsidRPr="00F06866">
        <w:rPr>
          <w:bCs/>
          <w:sz w:val="24"/>
        </w:rPr>
        <w:t>Usability</w:t>
      </w:r>
      <w:r w:rsidR="009239AA">
        <w:rPr>
          <w:bCs/>
          <w:sz w:val="24"/>
        </w:rPr>
        <w:t xml:space="preserve"> Testing (e.g., Website or Software</w:t>
      </w:r>
      <w:r w:rsidR="00A754C5">
        <w:rPr>
          <w:bCs/>
          <w:sz w:val="24"/>
        </w:rPr>
        <w:t>)</w:t>
      </w:r>
      <w:r w:rsidR="00F06866">
        <w:rPr>
          <w:bCs/>
          <w:sz w:val="24"/>
        </w:rPr>
        <w:tab/>
        <w:t>[ ] Small Discussion Group</w:t>
      </w:r>
    </w:p>
    <w:p w14:paraId="1DEC4789" w14:textId="77777777" w:rsidR="00F06866" w:rsidRPr="00F06866" w:rsidRDefault="00182647" w:rsidP="0096108F">
      <w:pPr>
        <w:pStyle w:val="BodyTextIndent"/>
        <w:tabs>
          <w:tab w:val="left" w:pos="360"/>
        </w:tabs>
        <w:ind w:left="0"/>
        <w:rPr>
          <w:bCs/>
          <w:sz w:val="24"/>
        </w:rPr>
      </w:pPr>
      <w:r w:rsidRPr="00F06866">
        <w:rPr>
          <w:bCs/>
          <w:sz w:val="24"/>
        </w:rPr>
        <w:t xml:space="preserve">[ ] </w:t>
      </w:r>
      <w:r>
        <w:rPr>
          <w:bCs/>
          <w:sz w:val="24"/>
        </w:rPr>
        <w:t>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C811529" w14:textId="77777777" w:rsidR="00434E33" w:rsidRDefault="00434E33">
      <w:pPr>
        <w:pStyle w:val="Header"/>
        <w:tabs>
          <w:tab w:val="clear" w:pos="4320"/>
          <w:tab w:val="clear" w:pos="8640"/>
        </w:tabs>
      </w:pPr>
    </w:p>
    <w:p w14:paraId="4F1576D2" w14:textId="77777777" w:rsidR="00CA2650" w:rsidRDefault="00441434">
      <w:pPr>
        <w:rPr>
          <w:b/>
        </w:rPr>
      </w:pPr>
      <w:r>
        <w:rPr>
          <w:b/>
        </w:rPr>
        <w:t>C</w:t>
      </w:r>
      <w:r w:rsidR="009C13B9">
        <w:rPr>
          <w:b/>
        </w:rPr>
        <w:t>ERTIFICATION:</w:t>
      </w:r>
      <w:r w:rsidR="00FC2146">
        <w:rPr>
          <w:b/>
        </w:rPr>
        <w:t xml:space="preserve"> </w:t>
      </w:r>
    </w:p>
    <w:p w14:paraId="057C4796" w14:textId="77777777" w:rsidR="00441434" w:rsidRDefault="00441434">
      <w:pPr>
        <w:rPr>
          <w:sz w:val="16"/>
          <w:szCs w:val="16"/>
        </w:rPr>
      </w:pPr>
    </w:p>
    <w:p w14:paraId="0BD2EB2F" w14:textId="77777777" w:rsidR="008101A5" w:rsidRPr="009C13B9" w:rsidRDefault="008101A5" w:rsidP="008101A5">
      <w:r>
        <w:t xml:space="preserve">I certify the following to be true: </w:t>
      </w:r>
    </w:p>
    <w:p w14:paraId="35952B90" w14:textId="77777777" w:rsidR="008101A5" w:rsidRDefault="008101A5" w:rsidP="008101A5">
      <w:pPr>
        <w:pStyle w:val="ListParagraph"/>
        <w:numPr>
          <w:ilvl w:val="0"/>
          <w:numId w:val="14"/>
        </w:numPr>
      </w:pPr>
      <w:r>
        <w:t>The collection is voluntary.</w:t>
      </w:r>
      <w:r w:rsidRPr="00C14CC4">
        <w:t xml:space="preserve"> </w:t>
      </w:r>
    </w:p>
    <w:p w14:paraId="36B503B6" w14:textId="77777777" w:rsidR="008101A5" w:rsidRDefault="008101A5" w:rsidP="008101A5">
      <w:pPr>
        <w:pStyle w:val="ListParagraph"/>
        <w:numPr>
          <w:ilvl w:val="0"/>
          <w:numId w:val="14"/>
        </w:numPr>
      </w:pPr>
      <w:r>
        <w:t>The</w:t>
      </w:r>
      <w:r w:rsidRPr="00C14CC4">
        <w:t xml:space="preserve"> collection </w:t>
      </w:r>
      <w:r>
        <w:t xml:space="preserve">is </w:t>
      </w:r>
      <w:r w:rsidRPr="00C14CC4">
        <w:t xml:space="preserve">low-burden for respondents and low-cost for the </w:t>
      </w:r>
      <w:r w:rsidR="00182647">
        <w:t>f</w:t>
      </w:r>
      <w:r w:rsidRPr="00C14CC4">
        <w:t xml:space="preserve">ederal </w:t>
      </w:r>
      <w:r w:rsidR="00182647">
        <w:t>g</w:t>
      </w:r>
      <w:r w:rsidRPr="00C14CC4">
        <w:t>overnment</w:t>
      </w:r>
      <w:r>
        <w:t>.</w:t>
      </w:r>
    </w:p>
    <w:p w14:paraId="595C332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182647">
        <w:t>not</w:t>
      </w:r>
      <w:r w:rsidRPr="00C14CC4">
        <w:t xml:space="preserve"> raise issues of concern to other federal agencies</w:t>
      </w:r>
      <w:r>
        <w:t>.</w:t>
      </w:r>
      <w:r>
        <w:tab/>
      </w:r>
      <w:r>
        <w:tab/>
      </w:r>
      <w:r>
        <w:tab/>
      </w:r>
      <w:r>
        <w:tab/>
      </w:r>
      <w:r>
        <w:tab/>
      </w:r>
      <w:r>
        <w:tab/>
      </w:r>
      <w:r>
        <w:tab/>
      </w:r>
      <w:r>
        <w:tab/>
      </w:r>
      <w:r>
        <w:tab/>
      </w:r>
    </w:p>
    <w:p w14:paraId="41228D46" w14:textId="77777777" w:rsidR="008101A5" w:rsidRDefault="008101A5" w:rsidP="008101A5">
      <w:pPr>
        <w:pStyle w:val="ListParagraph"/>
        <w:numPr>
          <w:ilvl w:val="0"/>
          <w:numId w:val="14"/>
        </w:numPr>
      </w:pPr>
      <w:r>
        <w:t xml:space="preserve">The results are </w:t>
      </w:r>
      <w:r w:rsidRPr="00182647">
        <w:t>not</w:t>
      </w:r>
      <w:r w:rsidRPr="00895229">
        <w:t xml:space="preserve"> </w:t>
      </w:r>
      <w:r>
        <w:t>intended to be</w:t>
      </w:r>
      <w:r w:rsidRPr="00C14CC4">
        <w:t xml:space="preserve"> </w:t>
      </w:r>
      <w:r>
        <w:t>disseminated to the p</w:t>
      </w:r>
      <w:r w:rsidRPr="009C13B9">
        <w:t>ublic</w:t>
      </w:r>
      <w:r>
        <w:t>.</w:t>
      </w:r>
      <w:r>
        <w:tab/>
      </w:r>
      <w:r>
        <w:tab/>
      </w:r>
    </w:p>
    <w:p w14:paraId="65927BD0" w14:textId="77777777" w:rsidR="008101A5" w:rsidRDefault="008101A5" w:rsidP="008101A5">
      <w:pPr>
        <w:pStyle w:val="ListParagraph"/>
        <w:numPr>
          <w:ilvl w:val="0"/>
          <w:numId w:val="14"/>
        </w:numPr>
      </w:pPr>
      <w:r>
        <w:t xml:space="preserve">Information gathered will not be used for the purpose of </w:t>
      </w:r>
      <w:r w:rsidRPr="00182647">
        <w:t>substantially</w:t>
      </w:r>
      <w:r>
        <w:t xml:space="preserve"> informing </w:t>
      </w:r>
      <w:r w:rsidRPr="00182647">
        <w:t xml:space="preserve">influential </w:t>
      </w:r>
      <w:r>
        <w:t xml:space="preserve">policy decisions. </w:t>
      </w:r>
    </w:p>
    <w:p w14:paraId="3FA4BC0B"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DCED7E6" w14:textId="77777777" w:rsidR="009C13B9" w:rsidRDefault="009C13B9" w:rsidP="009C13B9"/>
    <w:p w14:paraId="733D6D97" w14:textId="53F33F12" w:rsidR="004325BD" w:rsidRDefault="009C13B9">
      <w:r>
        <w:t>Name:_____</w:t>
      </w:r>
      <w:r w:rsidR="00532641">
        <w:t>Brooke Leggin</w:t>
      </w:r>
      <w:r>
        <w:t>_____________________</w:t>
      </w:r>
      <w:r w:rsidR="008D234A">
        <w:t xml:space="preserve"> </w:t>
      </w:r>
      <w:r w:rsidR="008D234A" w:rsidRPr="00532641">
        <w:t>(Project manager’s name)</w:t>
      </w:r>
      <w:r w:rsidR="004325BD">
        <w:br w:type="page"/>
      </w:r>
    </w:p>
    <w:p w14:paraId="16A22E4C" w14:textId="77777777" w:rsidR="009C13B9" w:rsidRDefault="009C13B9" w:rsidP="009C13B9">
      <w:r>
        <w:lastRenderedPageBreak/>
        <w:t>To assist review, please provide answers to the following question</w:t>
      </w:r>
      <w:r w:rsidR="00182647">
        <w:t>s</w:t>
      </w:r>
      <w:r>
        <w:t>:</w:t>
      </w:r>
    </w:p>
    <w:p w14:paraId="66D6D793" w14:textId="77777777" w:rsidR="009C13B9" w:rsidRDefault="009C13B9" w:rsidP="009C13B9">
      <w:pPr>
        <w:pStyle w:val="ListParagraph"/>
        <w:ind w:left="360"/>
      </w:pPr>
    </w:p>
    <w:p w14:paraId="5B19048F" w14:textId="77777777" w:rsidR="009C13B9" w:rsidRPr="00C86E91" w:rsidRDefault="00C86E91" w:rsidP="00C86E91">
      <w:pPr>
        <w:rPr>
          <w:b/>
        </w:rPr>
      </w:pPr>
      <w:r w:rsidRPr="00C86E91">
        <w:rPr>
          <w:b/>
        </w:rPr>
        <w:t>Personally Identifiable Information:</w:t>
      </w:r>
    </w:p>
    <w:p w14:paraId="69D0B9D6"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66D9A">
        <w:t>x</w:t>
      </w:r>
      <w:r w:rsidR="009239AA">
        <w:t xml:space="preserve"> ]  No </w:t>
      </w:r>
    </w:p>
    <w:p w14:paraId="0776496C"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63B49146" w14:textId="77777777" w:rsidR="00C86E91" w:rsidRDefault="00C86E91" w:rsidP="00C86E91">
      <w:pPr>
        <w:pStyle w:val="ListParagraph"/>
        <w:numPr>
          <w:ilvl w:val="0"/>
          <w:numId w:val="18"/>
        </w:numPr>
      </w:pPr>
      <w:r>
        <w:t>If Applicable, has a System or Records Notice been published?  [  ] Yes  [  ] No</w:t>
      </w:r>
    </w:p>
    <w:p w14:paraId="21360505" w14:textId="77777777" w:rsidR="00E42A47" w:rsidRDefault="00E42A47" w:rsidP="00C86E91">
      <w:pPr>
        <w:pStyle w:val="ListParagraph"/>
        <w:ind w:left="0"/>
        <w:rPr>
          <w:b/>
        </w:rPr>
      </w:pPr>
    </w:p>
    <w:p w14:paraId="306B5B72" w14:textId="77777777" w:rsidR="00C86E91" w:rsidRPr="00C86E91" w:rsidRDefault="00CB1078" w:rsidP="00C86E91">
      <w:pPr>
        <w:pStyle w:val="ListParagraph"/>
        <w:ind w:left="0"/>
        <w:rPr>
          <w:b/>
        </w:rPr>
      </w:pPr>
      <w:r>
        <w:rPr>
          <w:b/>
        </w:rPr>
        <w:t>Gifts or Payments</w:t>
      </w:r>
      <w:r w:rsidR="00C86E91">
        <w:rPr>
          <w:b/>
        </w:rPr>
        <w:t>:</w:t>
      </w:r>
    </w:p>
    <w:p w14:paraId="31083A9F" w14:textId="7716E662" w:rsidR="00F60BB0" w:rsidRDefault="00C86E91" w:rsidP="002D0688">
      <w:r>
        <w:t>Is an incentive (e.g., money</w:t>
      </w:r>
      <w:r w:rsidR="00182647">
        <w:t>,</w:t>
      </w:r>
      <w:r>
        <w:t xml:space="preserve"> </w:t>
      </w:r>
      <w:r w:rsidR="00182647">
        <w:t>reimbursement of expenses or</w:t>
      </w:r>
      <w:r>
        <w:t xml:space="preserve"> token of appreciation) provided to participants?  [</w:t>
      </w:r>
      <w:r w:rsidR="00666D9A">
        <w:t>x</w:t>
      </w:r>
      <w:r w:rsidR="002458D7">
        <w:t xml:space="preserve"> </w:t>
      </w:r>
      <w:r>
        <w:t xml:space="preserve">] Yes [  ] No  </w:t>
      </w:r>
      <w:r w:rsidR="00182647">
        <w:t>I</w:t>
      </w:r>
      <w:r w:rsidR="00E42A47">
        <w:t xml:space="preserve">f </w:t>
      </w:r>
      <w:r w:rsidR="00182647">
        <w:t>Y</w:t>
      </w:r>
      <w:r w:rsidR="00E42A47">
        <w:t>es, please describe the incentive and provide a justification for the amount</w:t>
      </w:r>
      <w:r w:rsidR="00E42A47" w:rsidRPr="009D2A0A">
        <w:t xml:space="preserve">. </w:t>
      </w:r>
      <w:r w:rsidR="00666D9A" w:rsidRPr="009D2A0A">
        <w:t xml:space="preserve"> </w:t>
      </w:r>
    </w:p>
    <w:p w14:paraId="22D0D9AD" w14:textId="77777777" w:rsidR="0079221E" w:rsidRDefault="0079221E" w:rsidP="00764E52"/>
    <w:p w14:paraId="2D75FC91" w14:textId="5ED7D5EF" w:rsidR="00F60BB0" w:rsidRDefault="0087161C" w:rsidP="00F60BB0">
      <w:r>
        <w:t>The professional research firm we are working with to conduct usability testing across the U.S. suggests a $50 incentive for a 60 minute in-depth interview for usability testing.</w:t>
      </w:r>
      <w:r w:rsidR="00604ED1">
        <w:t xml:space="preserve"> </w:t>
      </w:r>
      <w:r w:rsidR="00F60BB0">
        <w:t>This incentive is similar with government-wide incentives for cog</w:t>
      </w:r>
      <w:r w:rsidR="00222107">
        <w:t>nitive</w:t>
      </w:r>
      <w:r w:rsidR="00F60BB0">
        <w:t xml:space="preserve"> interviews. The rate is designed to cover costs of participation (travel, child or elder care, etc). </w:t>
      </w:r>
    </w:p>
    <w:p w14:paraId="658A3B75" w14:textId="77777777" w:rsidR="00604ED1" w:rsidRDefault="00604ED1" w:rsidP="007F761B"/>
    <w:p w14:paraId="3E9986C3" w14:textId="6E21ED7B" w:rsidR="0087161C" w:rsidRDefault="0087161C" w:rsidP="00764E52">
      <w:r>
        <w:t>Because OWH requires at least 3 participants at each site to be from a rural area</w:t>
      </w:r>
      <w:r w:rsidR="00114606">
        <w:t>,</w:t>
      </w:r>
      <w:r>
        <w:t xml:space="preserve"> we anticipate that travel time to the testing site could be up to 1 hour. Additionally we require at least half of the participants be of reproductive age (18 – 44)</w:t>
      </w:r>
      <w:r w:rsidR="007F761B">
        <w:t xml:space="preserve"> and all participants will be </w:t>
      </w:r>
      <w:r w:rsidR="000E491A">
        <w:t>adult women 18 and older</w:t>
      </w:r>
      <w:r>
        <w:t>. Therefore we expect a majority of participants to have childcare or eldercare responsibilities</w:t>
      </w:r>
      <w:r w:rsidR="00A957AC">
        <w:t xml:space="preserve"> and some to be employed full-time</w:t>
      </w:r>
      <w:r w:rsidR="0098523E">
        <w:t xml:space="preserve"> professionals</w:t>
      </w:r>
      <w:r>
        <w:t xml:space="preserve">. </w:t>
      </w:r>
      <w:r w:rsidR="007F761B">
        <w:t xml:space="preserve">OWH will not be reimbursing participants for travel costs, nor providing childcare or eldercare at the testing site. Therefore the incentive is necessary to recruit participants from all income levels and employment categories, in addition to geographic areas. Without a sufficient incentive to cover the cost of transportation, possibly missing work, and childcare or elder care, we would </w:t>
      </w:r>
      <w:r w:rsidR="007F761B" w:rsidRPr="007F761B">
        <w:t xml:space="preserve">exclude sections of the population who cannot afford to </w:t>
      </w:r>
      <w:r w:rsidR="007F761B">
        <w:t>participant in an</w:t>
      </w:r>
      <w:r w:rsidR="007F761B" w:rsidRPr="007F761B">
        <w:t xml:space="preserve"> in-depth interview.</w:t>
      </w:r>
      <w:r w:rsidR="007F761B">
        <w:t xml:space="preserve"> Research shows that people with less income and resources are not as healthy. It is especially important that our usability testing be accessible to people in poor health, with a disability, with a low income</w:t>
      </w:r>
      <w:r w:rsidR="00CF188A">
        <w:t>, or lower levels of education.</w:t>
      </w:r>
    </w:p>
    <w:p w14:paraId="5E8DF7B8" w14:textId="77777777" w:rsidR="00C86E91" w:rsidRDefault="00C86E91">
      <w:pPr>
        <w:rPr>
          <w:b/>
        </w:rPr>
      </w:pPr>
    </w:p>
    <w:p w14:paraId="076531F4" w14:textId="77777777" w:rsidR="006832D9" w:rsidRPr="004325BD" w:rsidRDefault="005E714A" w:rsidP="004325BD">
      <w:pPr>
        <w:rPr>
          <w:i/>
        </w:rPr>
      </w:pPr>
      <w:r>
        <w:rPr>
          <w:b/>
        </w:rPr>
        <w:t>BURDEN HOUR</w:t>
      </w:r>
      <w:r w:rsidR="00441434">
        <w:rPr>
          <w:b/>
        </w:rPr>
        <w:t>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25D20433" w14:textId="77777777" w:rsidTr="00EF2095">
        <w:trPr>
          <w:trHeight w:val="274"/>
        </w:trPr>
        <w:tc>
          <w:tcPr>
            <w:tcW w:w="5418" w:type="dxa"/>
          </w:tcPr>
          <w:p w14:paraId="503A0487" w14:textId="77777777" w:rsidR="006832D9" w:rsidRPr="00F6240A" w:rsidRDefault="00E40B50" w:rsidP="00C8488C">
            <w:pPr>
              <w:rPr>
                <w:b/>
              </w:rPr>
            </w:pPr>
            <w:r>
              <w:rPr>
                <w:b/>
              </w:rPr>
              <w:t>Category of Respondent</w:t>
            </w:r>
            <w:r w:rsidR="00EF2095">
              <w:rPr>
                <w:b/>
              </w:rPr>
              <w:t xml:space="preserve"> </w:t>
            </w:r>
          </w:p>
        </w:tc>
        <w:tc>
          <w:tcPr>
            <w:tcW w:w="1530" w:type="dxa"/>
          </w:tcPr>
          <w:p w14:paraId="5CCC934C"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2F3BA5CC" w14:textId="77777777" w:rsidR="006832D9" w:rsidRPr="00F6240A" w:rsidRDefault="006832D9" w:rsidP="00843796">
            <w:pPr>
              <w:rPr>
                <w:b/>
              </w:rPr>
            </w:pPr>
            <w:r w:rsidRPr="00F6240A">
              <w:rPr>
                <w:b/>
              </w:rPr>
              <w:t>Participation Time</w:t>
            </w:r>
          </w:p>
        </w:tc>
        <w:tc>
          <w:tcPr>
            <w:tcW w:w="1003" w:type="dxa"/>
          </w:tcPr>
          <w:p w14:paraId="1E545F20" w14:textId="77777777" w:rsidR="006832D9" w:rsidRPr="00F6240A" w:rsidRDefault="006832D9" w:rsidP="00843796">
            <w:pPr>
              <w:rPr>
                <w:b/>
              </w:rPr>
            </w:pPr>
            <w:r w:rsidRPr="00F6240A">
              <w:rPr>
                <w:b/>
              </w:rPr>
              <w:t>Burden</w:t>
            </w:r>
          </w:p>
        </w:tc>
      </w:tr>
      <w:tr w:rsidR="003044A0" w14:paraId="10773A78" w14:textId="77777777" w:rsidTr="00EF2095">
        <w:trPr>
          <w:trHeight w:val="274"/>
        </w:trPr>
        <w:tc>
          <w:tcPr>
            <w:tcW w:w="5418" w:type="dxa"/>
          </w:tcPr>
          <w:p w14:paraId="1C0D5206" w14:textId="7F7F3610" w:rsidR="003044A0" w:rsidRDefault="00B47256" w:rsidP="00666D9A">
            <w:r>
              <w:t>Screening - Women over 18 in the recruitment firm’s database</w:t>
            </w:r>
            <w:r w:rsidR="001D66BD">
              <w:t xml:space="preserve"> who do not qualify for testing</w:t>
            </w:r>
          </w:p>
          <w:p w14:paraId="49197A64" w14:textId="77777777" w:rsidR="001D66BD" w:rsidRDefault="001D66BD" w:rsidP="00666D9A"/>
          <w:p w14:paraId="6E13F7EE" w14:textId="54E97A80" w:rsidR="00B47256" w:rsidRDefault="00B47256" w:rsidP="00666D9A"/>
        </w:tc>
        <w:tc>
          <w:tcPr>
            <w:tcW w:w="1530" w:type="dxa"/>
          </w:tcPr>
          <w:p w14:paraId="0F1B5F4C" w14:textId="275792CE" w:rsidR="003044A0" w:rsidRPr="009D2A0A" w:rsidRDefault="001D66BD" w:rsidP="00843796">
            <w:r>
              <w:t>720</w:t>
            </w:r>
          </w:p>
        </w:tc>
        <w:tc>
          <w:tcPr>
            <w:tcW w:w="1710" w:type="dxa"/>
          </w:tcPr>
          <w:p w14:paraId="2823A793" w14:textId="732CBC69" w:rsidR="003044A0" w:rsidRPr="009D2A0A" w:rsidRDefault="001D66BD" w:rsidP="00843796">
            <w:r>
              <w:t>5 minutes</w:t>
            </w:r>
          </w:p>
        </w:tc>
        <w:tc>
          <w:tcPr>
            <w:tcW w:w="1003" w:type="dxa"/>
          </w:tcPr>
          <w:p w14:paraId="7AE07862" w14:textId="69A30F02" w:rsidR="003044A0" w:rsidRDefault="001D66BD" w:rsidP="00843796">
            <w:r>
              <w:t>60 hours</w:t>
            </w:r>
          </w:p>
        </w:tc>
      </w:tr>
      <w:tr w:rsidR="001D66BD" w14:paraId="09B6AD02" w14:textId="77777777" w:rsidTr="00EF2095">
        <w:trPr>
          <w:trHeight w:val="274"/>
        </w:trPr>
        <w:tc>
          <w:tcPr>
            <w:tcW w:w="5418" w:type="dxa"/>
          </w:tcPr>
          <w:p w14:paraId="321E870D" w14:textId="22422AFD" w:rsidR="001D66BD" w:rsidRDefault="001D66BD" w:rsidP="001D66BD">
            <w:r>
              <w:t>Screening - Women over 18 in the recruitment firm’s database who do qualify for testing</w:t>
            </w:r>
          </w:p>
          <w:p w14:paraId="2C18468A" w14:textId="167976DA" w:rsidR="001D66BD" w:rsidRDefault="001D66BD" w:rsidP="001D66BD"/>
        </w:tc>
        <w:tc>
          <w:tcPr>
            <w:tcW w:w="1530" w:type="dxa"/>
          </w:tcPr>
          <w:p w14:paraId="3A56F453" w14:textId="5C7DF1D1" w:rsidR="001D66BD" w:rsidRDefault="001D66BD" w:rsidP="00843796">
            <w:r>
              <w:t>240</w:t>
            </w:r>
          </w:p>
        </w:tc>
        <w:tc>
          <w:tcPr>
            <w:tcW w:w="1710" w:type="dxa"/>
          </w:tcPr>
          <w:p w14:paraId="34E7E5FA" w14:textId="36B4C3D5" w:rsidR="001D66BD" w:rsidRDefault="001D66BD" w:rsidP="00843796">
            <w:r>
              <w:t>15 minutes</w:t>
            </w:r>
          </w:p>
        </w:tc>
        <w:tc>
          <w:tcPr>
            <w:tcW w:w="1003" w:type="dxa"/>
          </w:tcPr>
          <w:p w14:paraId="3F6E68C9" w14:textId="6BEDAE0F" w:rsidR="001D66BD" w:rsidRDefault="001D66BD" w:rsidP="00843796">
            <w:r>
              <w:t>60 hours</w:t>
            </w:r>
          </w:p>
        </w:tc>
      </w:tr>
      <w:tr w:rsidR="00EF2095" w14:paraId="0D2E5089" w14:textId="77777777" w:rsidTr="00EF2095">
        <w:trPr>
          <w:trHeight w:val="274"/>
        </w:trPr>
        <w:tc>
          <w:tcPr>
            <w:tcW w:w="5418" w:type="dxa"/>
          </w:tcPr>
          <w:p w14:paraId="6FF637D6" w14:textId="29158E17" w:rsidR="006832D9" w:rsidRDefault="00B47256" w:rsidP="00666D9A">
            <w:r>
              <w:t xml:space="preserve">Participant - </w:t>
            </w:r>
            <w:r w:rsidR="00666D9A">
              <w:t>Women who use the internet for health information</w:t>
            </w:r>
            <w:r w:rsidR="00085908">
              <w:t xml:space="preserve">  </w:t>
            </w:r>
            <w:r w:rsidR="001D66BD">
              <w:t>and agree to participate</w:t>
            </w:r>
          </w:p>
          <w:p w14:paraId="04F7ED80" w14:textId="51CAE669" w:rsidR="00B47256" w:rsidRDefault="00B47256" w:rsidP="00666D9A"/>
        </w:tc>
        <w:tc>
          <w:tcPr>
            <w:tcW w:w="1530" w:type="dxa"/>
          </w:tcPr>
          <w:p w14:paraId="365EFA3A" w14:textId="77777777" w:rsidR="006832D9" w:rsidRPr="009D2A0A" w:rsidRDefault="00FC2146" w:rsidP="00843796">
            <w:r w:rsidRPr="009D2A0A">
              <w:t>2</w:t>
            </w:r>
            <w:r w:rsidR="00666D9A" w:rsidRPr="009D2A0A">
              <w:t>4</w:t>
            </w:r>
          </w:p>
        </w:tc>
        <w:tc>
          <w:tcPr>
            <w:tcW w:w="1710" w:type="dxa"/>
          </w:tcPr>
          <w:p w14:paraId="74B25BC8" w14:textId="34CEB520" w:rsidR="006832D9" w:rsidRPr="009D2A0A" w:rsidRDefault="00666D9A" w:rsidP="00B47256">
            <w:r w:rsidRPr="009D2A0A">
              <w:t>1 hour</w:t>
            </w:r>
          </w:p>
        </w:tc>
        <w:tc>
          <w:tcPr>
            <w:tcW w:w="1003" w:type="dxa"/>
          </w:tcPr>
          <w:p w14:paraId="79780A41" w14:textId="07892CA5" w:rsidR="006832D9" w:rsidRDefault="00B47256" w:rsidP="00843796">
            <w:r>
              <w:t xml:space="preserve">24 </w:t>
            </w:r>
            <w:r w:rsidR="00666D9A">
              <w:t>hours</w:t>
            </w:r>
          </w:p>
        </w:tc>
      </w:tr>
      <w:tr w:rsidR="00EF2095" w14:paraId="25D9ABF3" w14:textId="77777777" w:rsidTr="00EF2095">
        <w:trPr>
          <w:trHeight w:val="274"/>
        </w:trPr>
        <w:tc>
          <w:tcPr>
            <w:tcW w:w="5418" w:type="dxa"/>
          </w:tcPr>
          <w:p w14:paraId="36540EDC" w14:textId="77777777" w:rsidR="006832D9" w:rsidRDefault="009D2A0A" w:rsidP="00B47256">
            <w:r>
              <w:t>Backup participant</w:t>
            </w:r>
            <w:r w:rsidR="00B47256">
              <w:t xml:space="preserve"> - Women</w:t>
            </w:r>
            <w:r>
              <w:t xml:space="preserve"> who meet criteria above</w:t>
            </w:r>
            <w:r w:rsidR="00B47256">
              <w:t xml:space="preserve"> to fill-in for no-shows</w:t>
            </w:r>
          </w:p>
          <w:p w14:paraId="44D4410E" w14:textId="4C38B3BC" w:rsidR="00B47256" w:rsidRDefault="00B47256" w:rsidP="00B47256"/>
        </w:tc>
        <w:tc>
          <w:tcPr>
            <w:tcW w:w="1530" w:type="dxa"/>
          </w:tcPr>
          <w:p w14:paraId="1DD09326" w14:textId="1FF84954" w:rsidR="006832D9" w:rsidRPr="009D2A0A" w:rsidRDefault="001F2FD0" w:rsidP="00843796">
            <w:r>
              <w:t>24</w:t>
            </w:r>
          </w:p>
        </w:tc>
        <w:tc>
          <w:tcPr>
            <w:tcW w:w="1710" w:type="dxa"/>
          </w:tcPr>
          <w:p w14:paraId="65A9E335" w14:textId="1321E253" w:rsidR="006832D9" w:rsidRPr="009D2A0A" w:rsidRDefault="001F2FD0" w:rsidP="00B47256">
            <w:r>
              <w:t>1</w:t>
            </w:r>
            <w:r w:rsidRPr="009D2A0A">
              <w:t xml:space="preserve"> </w:t>
            </w:r>
            <w:r w:rsidR="009D2A0A" w:rsidRPr="009D2A0A">
              <w:t>hours</w:t>
            </w:r>
          </w:p>
        </w:tc>
        <w:tc>
          <w:tcPr>
            <w:tcW w:w="1003" w:type="dxa"/>
          </w:tcPr>
          <w:p w14:paraId="417E5041" w14:textId="400EA67D" w:rsidR="006832D9" w:rsidRDefault="00B47256" w:rsidP="00843796">
            <w:r>
              <w:t>24</w:t>
            </w:r>
            <w:r w:rsidR="009D2A0A">
              <w:t xml:space="preserve"> hours</w:t>
            </w:r>
          </w:p>
        </w:tc>
      </w:tr>
      <w:tr w:rsidR="00EF2095" w14:paraId="7BA4D9C7" w14:textId="77777777" w:rsidTr="00EF2095">
        <w:trPr>
          <w:trHeight w:val="289"/>
        </w:trPr>
        <w:tc>
          <w:tcPr>
            <w:tcW w:w="5418" w:type="dxa"/>
          </w:tcPr>
          <w:p w14:paraId="2AA6570E" w14:textId="77777777" w:rsidR="006832D9" w:rsidRPr="00F6240A" w:rsidRDefault="006832D9" w:rsidP="00843796">
            <w:pPr>
              <w:rPr>
                <w:b/>
              </w:rPr>
            </w:pPr>
            <w:r>
              <w:rPr>
                <w:b/>
              </w:rPr>
              <w:t>Totals</w:t>
            </w:r>
          </w:p>
        </w:tc>
        <w:tc>
          <w:tcPr>
            <w:tcW w:w="1530" w:type="dxa"/>
          </w:tcPr>
          <w:p w14:paraId="4A667C64" w14:textId="34827D46" w:rsidR="006832D9" w:rsidRPr="00F6240A" w:rsidRDefault="006832D9" w:rsidP="00843796">
            <w:pPr>
              <w:rPr>
                <w:b/>
              </w:rPr>
            </w:pPr>
          </w:p>
        </w:tc>
        <w:tc>
          <w:tcPr>
            <w:tcW w:w="1710" w:type="dxa"/>
          </w:tcPr>
          <w:p w14:paraId="58BEED08" w14:textId="77777777" w:rsidR="006832D9" w:rsidRDefault="006832D9" w:rsidP="00843796"/>
        </w:tc>
        <w:tc>
          <w:tcPr>
            <w:tcW w:w="1003" w:type="dxa"/>
          </w:tcPr>
          <w:p w14:paraId="2F982A8B" w14:textId="21D11E28" w:rsidR="006832D9" w:rsidRPr="00F6240A" w:rsidRDefault="001D66BD" w:rsidP="00843796">
            <w:pPr>
              <w:rPr>
                <w:b/>
              </w:rPr>
            </w:pPr>
            <w:r>
              <w:rPr>
                <w:b/>
              </w:rPr>
              <w:t>16</w:t>
            </w:r>
            <w:r w:rsidR="00532641">
              <w:rPr>
                <w:b/>
              </w:rPr>
              <w:t>8 hours</w:t>
            </w:r>
          </w:p>
        </w:tc>
      </w:tr>
    </w:tbl>
    <w:p w14:paraId="7E43ABD6" w14:textId="77777777" w:rsidR="00F3170F" w:rsidRDefault="00F3170F" w:rsidP="00F3170F"/>
    <w:p w14:paraId="05243D63" w14:textId="15F45695"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182647">
        <w:t>f</w:t>
      </w:r>
      <w:r w:rsidR="00C86E91">
        <w:t>ederal government is  __</w:t>
      </w:r>
      <w:r w:rsidR="00666D9A">
        <w:t>$5</w:t>
      </w:r>
      <w:r w:rsidR="009D2A0A">
        <w:t>9</w:t>
      </w:r>
      <w:r w:rsidR="00666D9A">
        <w:t>,</w:t>
      </w:r>
      <w:r w:rsidR="001F2FD0">
        <w:t>3</w:t>
      </w:r>
      <w:r w:rsidR="00666D9A">
        <w:t>00</w:t>
      </w:r>
      <w:r w:rsidR="00C86E91">
        <w:t>__</w:t>
      </w:r>
    </w:p>
    <w:p w14:paraId="5A53B031" w14:textId="5EB739EA" w:rsidR="00ED6492" w:rsidRDefault="008D234A">
      <w:pPr>
        <w:rPr>
          <w:bCs/>
        </w:rPr>
      </w:pPr>
      <w:r w:rsidRPr="00CF7BF9">
        <w:rPr>
          <w:bCs/>
        </w:rPr>
        <w:t>(</w:t>
      </w:r>
      <w:r w:rsidR="00182647">
        <w:rPr>
          <w:bCs/>
        </w:rPr>
        <w:t>N</w:t>
      </w:r>
      <w:r w:rsidRPr="00CF7BF9">
        <w:rPr>
          <w:bCs/>
        </w:rPr>
        <w:t xml:space="preserve">ote: </w:t>
      </w:r>
      <w:r>
        <w:rPr>
          <w:bCs/>
        </w:rPr>
        <w:t xml:space="preserve"> </w:t>
      </w:r>
      <w:r w:rsidR="00182647">
        <w:rPr>
          <w:bCs/>
        </w:rPr>
        <w:t>A</w:t>
      </w:r>
      <w:r w:rsidR="00CF7BF9">
        <w:rPr>
          <w:bCs/>
        </w:rPr>
        <w:t>mount</w:t>
      </w:r>
      <w:r>
        <w:rPr>
          <w:bCs/>
        </w:rPr>
        <w:t xml:space="preserve"> should include contractor </w:t>
      </w:r>
      <w:r w:rsidR="00CF7BF9">
        <w:rPr>
          <w:bCs/>
        </w:rPr>
        <w:t>costs</w:t>
      </w:r>
      <w:r>
        <w:rPr>
          <w:bCs/>
        </w:rPr>
        <w:t xml:space="preserve"> if the </w:t>
      </w:r>
      <w:r w:rsidR="00CF7BF9">
        <w:rPr>
          <w:bCs/>
        </w:rPr>
        <w:t xml:space="preserve">contractor is involved </w:t>
      </w:r>
      <w:r w:rsidR="00182647">
        <w:rPr>
          <w:bCs/>
        </w:rPr>
        <w:t xml:space="preserve">in </w:t>
      </w:r>
      <w:r w:rsidR="00CF7BF9">
        <w:rPr>
          <w:bCs/>
        </w:rPr>
        <w:t>the survey/collection)</w:t>
      </w:r>
    </w:p>
    <w:p w14:paraId="3635A94A" w14:textId="43AC4935" w:rsidR="00567F45" w:rsidRDefault="00567F45">
      <w:pPr>
        <w:rPr>
          <w:bCs/>
        </w:rPr>
      </w:pPr>
    </w:p>
    <w:p w14:paraId="7757ABE0" w14:textId="77777777" w:rsidR="0069403B" w:rsidRPr="00182647" w:rsidRDefault="00ED6492" w:rsidP="00F06866">
      <w:pPr>
        <w:rPr>
          <w:b/>
        </w:rPr>
      </w:pPr>
      <w:r w:rsidRPr="00182647">
        <w:rPr>
          <w:b/>
          <w:bCs/>
        </w:rPr>
        <w:t xml:space="preserve">If you are conducting a focus group, survey, or plan to employ statistical methods, please </w:t>
      </w:r>
      <w:r w:rsidR="0069403B" w:rsidRPr="00182647">
        <w:rPr>
          <w:b/>
          <w:bCs/>
        </w:rPr>
        <w:t xml:space="preserve"> provide answers to the following questions:</w:t>
      </w:r>
    </w:p>
    <w:p w14:paraId="796999B9" w14:textId="2FB84E1B" w:rsidR="0069403B" w:rsidRDefault="0069403B" w:rsidP="00F06866"/>
    <w:p w14:paraId="4C992A1D" w14:textId="1ED27F2A" w:rsidR="000E491A" w:rsidRDefault="000E491A" w:rsidP="000E491A">
      <w:pPr>
        <w:ind w:left="720"/>
      </w:pPr>
      <w:r>
        <w:t>We are not conducting a focus group or survey and do not plan to employ statistical methods.</w:t>
      </w:r>
    </w:p>
    <w:p w14:paraId="0C651EBD" w14:textId="77777777" w:rsidR="000E491A" w:rsidRPr="000E491A" w:rsidRDefault="000E491A" w:rsidP="00F06866"/>
    <w:p w14:paraId="633B3708" w14:textId="77777777" w:rsidR="00F06866" w:rsidRDefault="00636621" w:rsidP="00F06866">
      <w:pPr>
        <w:rPr>
          <w:b/>
        </w:rPr>
      </w:pPr>
      <w:r>
        <w:rPr>
          <w:b/>
        </w:rPr>
        <w:t>The</w:t>
      </w:r>
      <w:r w:rsidR="0069403B">
        <w:rPr>
          <w:b/>
        </w:rPr>
        <w:t xml:space="preserve"> select</w:t>
      </w:r>
      <w:r>
        <w:rPr>
          <w:b/>
        </w:rPr>
        <w:t>ion of your targeted respondents</w:t>
      </w:r>
    </w:p>
    <w:p w14:paraId="71BB0C3D" w14:textId="118BAE34" w:rsidR="00636621" w:rsidRDefault="0069403B" w:rsidP="004325B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E491A">
        <w:t xml:space="preserve"> X</w:t>
      </w:r>
      <w:r w:rsidR="00532641">
        <w:t xml:space="preserve"> </w:t>
      </w:r>
      <w:r>
        <w:t>] No</w:t>
      </w:r>
    </w:p>
    <w:p w14:paraId="2FD1744D" w14:textId="77777777" w:rsidR="00636621" w:rsidRDefault="00636621" w:rsidP="001B0AAA">
      <w:r w:rsidRPr="00636621">
        <w:t xml:space="preserve">If the answer is </w:t>
      </w:r>
      <w:r w:rsidR="00182647">
        <w:t>Y</w:t>
      </w:r>
      <w:r w:rsidRPr="00636621">
        <w:t xml:space="preserve">es, </w:t>
      </w:r>
      <w:r>
        <w:t>please provide a description of both below</w:t>
      </w:r>
      <w:r w:rsidR="00A403BB">
        <w:t xml:space="preserve"> (or attach the sampling plan)</w:t>
      </w:r>
      <w:r>
        <w:t xml:space="preserve">?  </w:t>
      </w:r>
      <w:r w:rsidRPr="00636621">
        <w:t xml:space="preserve"> </w:t>
      </w:r>
      <w:r>
        <w:t xml:space="preserve">If the answer is </w:t>
      </w:r>
      <w:r w:rsidR="00182647">
        <w:t>N</w:t>
      </w:r>
      <w:r>
        <w:t>o, please provide a description of how you plan to identify your potential group of respondents</w:t>
      </w:r>
      <w:r w:rsidR="001B0AAA">
        <w:t xml:space="preserve"> and how you will select them</w:t>
      </w:r>
      <w:r>
        <w:t>?</w:t>
      </w:r>
    </w:p>
    <w:p w14:paraId="194AECD2" w14:textId="77777777" w:rsidR="000E491A" w:rsidRDefault="000E491A" w:rsidP="004131A7"/>
    <w:p w14:paraId="1167766E" w14:textId="6A6BE42A" w:rsidR="00A403BB" w:rsidRDefault="000E491A" w:rsidP="004131A7">
      <w:r w:rsidRPr="000E491A">
        <w:t>For this effort, we will be working with professional recruiting partners who have proprietary “opt-in” databases of potential research participants. The recruiting partners can filter by gender and age as a starting point based on information they already have about individuals. Individuals who reside on these databases will then receive a telephone screening questionnaire to ensure they meet all the specific qualifications. All individuals must meet the criteria listed in the screening questionnaire, and they will provide consent to participate before any research can take place.</w:t>
      </w:r>
    </w:p>
    <w:p w14:paraId="481D2215" w14:textId="77777777" w:rsidR="000E491A" w:rsidRDefault="000E491A" w:rsidP="004131A7"/>
    <w:p w14:paraId="4937263D" w14:textId="77777777" w:rsidR="00A403BB" w:rsidRDefault="00A403BB" w:rsidP="00A403BB">
      <w:pPr>
        <w:rPr>
          <w:b/>
        </w:rPr>
      </w:pPr>
      <w:r>
        <w:rPr>
          <w:b/>
        </w:rPr>
        <w:t xml:space="preserve">Administration of the </w:t>
      </w:r>
      <w:r w:rsidR="00D05798">
        <w:rPr>
          <w:b/>
        </w:rPr>
        <w:t>Survey</w:t>
      </w:r>
    </w:p>
    <w:p w14:paraId="63C2C88D" w14:textId="77777777" w:rsidR="00A403BB" w:rsidRDefault="001B0AAA" w:rsidP="00A403BB">
      <w:pPr>
        <w:pStyle w:val="ListParagraph"/>
        <w:numPr>
          <w:ilvl w:val="0"/>
          <w:numId w:val="17"/>
        </w:numPr>
      </w:pPr>
      <w:r>
        <w:t>H</w:t>
      </w:r>
      <w:r w:rsidR="00A403BB">
        <w:t>ow will you collect the information? (Check all that apply)</w:t>
      </w:r>
    </w:p>
    <w:p w14:paraId="4294B39F" w14:textId="77777777" w:rsidR="001B0AAA" w:rsidRDefault="00A403BB" w:rsidP="001B0AAA">
      <w:pPr>
        <w:ind w:left="720"/>
      </w:pPr>
      <w:r>
        <w:t xml:space="preserve">[ </w:t>
      </w:r>
      <w:r w:rsidR="001B0AAA">
        <w:t xml:space="preserve"> </w:t>
      </w:r>
      <w:r>
        <w:t>] Web-based</w:t>
      </w:r>
      <w:r w:rsidR="001B0AAA">
        <w:t xml:space="preserve"> or other forms of </w:t>
      </w:r>
      <w:r w:rsidR="00182647">
        <w:t>s</w:t>
      </w:r>
      <w:r w:rsidR="001B0AAA">
        <w:t xml:space="preserve">ocial </w:t>
      </w:r>
      <w:r w:rsidR="00182647">
        <w:t>m</w:t>
      </w:r>
      <w:r w:rsidR="001B0AAA">
        <w:t>edia</w:t>
      </w:r>
      <w:r w:rsidR="00182647">
        <w:t>.</w:t>
      </w:r>
      <w:r w:rsidR="001B0AAA">
        <w:t xml:space="preserve"> </w:t>
      </w:r>
    </w:p>
    <w:p w14:paraId="5DBBB1E7" w14:textId="77777777" w:rsidR="001B0AAA" w:rsidRDefault="00A403BB" w:rsidP="001B0AAA">
      <w:pPr>
        <w:ind w:left="720"/>
      </w:pPr>
      <w:r>
        <w:t xml:space="preserve">[ </w:t>
      </w:r>
      <w:r w:rsidR="001B0AAA">
        <w:t xml:space="preserve"> </w:t>
      </w:r>
      <w:r>
        <w:t>] Telephone</w:t>
      </w:r>
      <w:r w:rsidR="00182647">
        <w:t>.</w:t>
      </w:r>
      <w:r>
        <w:tab/>
      </w:r>
    </w:p>
    <w:p w14:paraId="04A4CE47" w14:textId="77777777" w:rsidR="001B0AAA" w:rsidRDefault="00A403BB" w:rsidP="001B0AAA">
      <w:pPr>
        <w:ind w:left="720"/>
      </w:pPr>
      <w:r>
        <w:t>[</w:t>
      </w:r>
      <w:r w:rsidR="00666D9A">
        <w:t>x</w:t>
      </w:r>
      <w:r w:rsidR="001B0AAA">
        <w:t xml:space="preserve"> </w:t>
      </w:r>
      <w:r>
        <w:t xml:space="preserve"> ] In-person</w:t>
      </w:r>
      <w:r w:rsidR="00182647">
        <w:t>.</w:t>
      </w:r>
      <w:r>
        <w:tab/>
      </w:r>
    </w:p>
    <w:p w14:paraId="418A27B9" w14:textId="77777777" w:rsidR="001B0AAA" w:rsidRDefault="00A403BB" w:rsidP="001B0AAA">
      <w:pPr>
        <w:ind w:left="720"/>
      </w:pPr>
      <w:r>
        <w:t xml:space="preserve">[ </w:t>
      </w:r>
      <w:r w:rsidR="001B0AAA">
        <w:t xml:space="preserve"> </w:t>
      </w:r>
      <w:r>
        <w:t>] Mail</w:t>
      </w:r>
      <w:r w:rsidR="00182647">
        <w:t>.</w:t>
      </w:r>
      <w:r w:rsidR="001B0AAA">
        <w:t xml:space="preserve"> </w:t>
      </w:r>
    </w:p>
    <w:p w14:paraId="6C22CB4E" w14:textId="77777777" w:rsidR="00E42A47" w:rsidRDefault="00A403BB" w:rsidP="004325BD">
      <w:pPr>
        <w:ind w:left="720"/>
      </w:pPr>
      <w:r>
        <w:t xml:space="preserve">[ </w:t>
      </w:r>
      <w:r w:rsidR="001B0AAA">
        <w:t xml:space="preserve"> </w:t>
      </w:r>
      <w:r>
        <w:t xml:space="preserve">] Other, </w:t>
      </w:r>
      <w:r w:rsidR="00182647">
        <w:t>e</w:t>
      </w:r>
      <w:r>
        <w:t>xplain</w:t>
      </w:r>
      <w:r w:rsidR="00182647">
        <w:t>.</w:t>
      </w:r>
    </w:p>
    <w:p w14:paraId="0DDE6D25" w14:textId="77777777" w:rsidR="00F24CFC" w:rsidRDefault="00F24CFC" w:rsidP="00F24CFC">
      <w:pPr>
        <w:pStyle w:val="ListParagraph"/>
        <w:numPr>
          <w:ilvl w:val="0"/>
          <w:numId w:val="17"/>
        </w:numPr>
      </w:pPr>
      <w:r>
        <w:t>Will interviewers or facilitators be used?  [</w:t>
      </w:r>
      <w:r w:rsidR="00666D9A">
        <w:t>x</w:t>
      </w:r>
      <w:r>
        <w:t xml:space="preserve">  ] Yes [  ] No</w:t>
      </w:r>
    </w:p>
    <w:p w14:paraId="290DD705" w14:textId="77777777" w:rsidR="00F24CFC" w:rsidRDefault="00F24CFC" w:rsidP="00F24CFC">
      <w:pPr>
        <w:pStyle w:val="ListParagraph"/>
        <w:ind w:left="360"/>
      </w:pPr>
      <w:r>
        <w:t xml:space="preserve"> </w:t>
      </w:r>
    </w:p>
    <w:p w14:paraId="12FEA599" w14:textId="77777777" w:rsidR="004325BD" w:rsidRDefault="00F24CFC" w:rsidP="0024521E">
      <w:pPr>
        <w:rPr>
          <w:b/>
        </w:rPr>
      </w:pPr>
      <w:r w:rsidRPr="00F24CFC">
        <w:rPr>
          <w:b/>
        </w:rPr>
        <w:t xml:space="preserve">Please make sure that all </w:t>
      </w:r>
      <w:r w:rsidR="00AE5016">
        <w:rPr>
          <w:b/>
        </w:rPr>
        <w:t>survey materials</w:t>
      </w:r>
      <w:r w:rsidRPr="00F24CFC">
        <w:rPr>
          <w:b/>
        </w:rPr>
        <w:t>, instructions and scripts are submitted with the request.</w:t>
      </w:r>
    </w:p>
    <w:p w14:paraId="4E239CB2" w14:textId="77777777" w:rsidR="00565C39" w:rsidRDefault="00565C39" w:rsidP="004325BD"/>
    <w:p w14:paraId="473F48C2" w14:textId="77777777" w:rsidR="00565C39" w:rsidRDefault="00565C39" w:rsidP="004325BD"/>
    <w:p w14:paraId="61D70A20" w14:textId="77777777" w:rsidR="00565C39" w:rsidRDefault="00565C39" w:rsidP="00565C39">
      <w:r>
        <w:t xml:space="preserve">INCLUDE: </w:t>
      </w:r>
    </w:p>
    <w:p w14:paraId="11AC4AB0" w14:textId="77777777" w:rsidR="00565C39" w:rsidRDefault="00565C39" w:rsidP="00565C39">
      <w:r>
        <w:t>•</w:t>
      </w:r>
      <w:r>
        <w:tab/>
        <w:t>SCREENER</w:t>
      </w:r>
    </w:p>
    <w:p w14:paraId="19BA0C58" w14:textId="77777777" w:rsidR="00951962" w:rsidRDefault="00565C39" w:rsidP="00565C39">
      <w:r>
        <w:t>•</w:t>
      </w:r>
      <w:r>
        <w:tab/>
        <w:t xml:space="preserve">DISCUSSION GUIDE </w:t>
      </w:r>
    </w:p>
    <w:p w14:paraId="11784D9C" w14:textId="77777777" w:rsidR="00951962" w:rsidRDefault="00951962" w:rsidP="00951962">
      <w:r>
        <w:t>•</w:t>
      </w:r>
      <w:r>
        <w:tab/>
        <w:t>HOMEPAGE DESIGNS (DESKTOP AND MOBILE)</w:t>
      </w:r>
    </w:p>
    <w:p w14:paraId="4F4611A5" w14:textId="77777777" w:rsidR="004325BD" w:rsidRDefault="004325BD" w:rsidP="00565C39">
      <w:r>
        <w:br w:type="page"/>
      </w:r>
    </w:p>
    <w:p w14:paraId="4E1FB4B7" w14:textId="77777777" w:rsidR="00F24CFC" w:rsidRDefault="00F24CFC" w:rsidP="004325BD">
      <w:pPr>
        <w:pStyle w:val="Heading2"/>
        <w:tabs>
          <w:tab w:val="left" w:pos="900"/>
        </w:tabs>
        <w:ind w:right="-180"/>
        <w:jc w:val="left"/>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3164BF27" w14:textId="77777777" w:rsidR="00F24CFC" w:rsidRDefault="00F24CFC" w:rsidP="00F24CFC">
      <w:pPr>
        <w:rPr>
          <w:b/>
        </w:rPr>
      </w:pPr>
    </w:p>
    <w:p w14:paraId="0105F983"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4D6A3F86" wp14:editId="0013E35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B2F27B6"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D41CED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0A9B792" w14:textId="77777777" w:rsidR="00F24CFC" w:rsidRPr="008F50D4" w:rsidRDefault="00F24CFC" w:rsidP="00F24CFC"/>
    <w:p w14:paraId="49F445B0"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B224F1F" w14:textId="77777777" w:rsidR="00F24CFC" w:rsidRPr="008F50D4" w:rsidRDefault="00F24CFC" w:rsidP="00F24CFC">
      <w:pPr>
        <w:pStyle w:val="Header"/>
        <w:tabs>
          <w:tab w:val="clear" w:pos="4320"/>
          <w:tab w:val="clear" w:pos="8640"/>
        </w:tabs>
        <w:rPr>
          <w:b/>
        </w:rPr>
      </w:pPr>
    </w:p>
    <w:p w14:paraId="2E423E77"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E632BC7" w14:textId="77777777" w:rsidR="00F24CFC" w:rsidRPr="008F50D4" w:rsidRDefault="00F24CFC" w:rsidP="00F24CFC">
      <w:pPr>
        <w:rPr>
          <w:b/>
        </w:rPr>
      </w:pPr>
    </w:p>
    <w:p w14:paraId="7D93553E" w14:textId="77777777" w:rsidR="00F24CFC" w:rsidRPr="008F50D4" w:rsidRDefault="00F24CFC" w:rsidP="00F24CFC">
      <w:pPr>
        <w:rPr>
          <w:b/>
        </w:rPr>
      </w:pPr>
      <w:r w:rsidRPr="008F50D4">
        <w:rPr>
          <w:b/>
        </w:rPr>
        <w:t>TYPE OF COLLECTION:</w:t>
      </w:r>
      <w:r w:rsidRPr="008F50D4">
        <w:t xml:space="preserve"> Check one box.  If you are requesting approval of other </w:t>
      </w:r>
      <w:r w:rsidR="00D05798">
        <w:t>surveys</w:t>
      </w:r>
      <w:r w:rsidRPr="008F50D4">
        <w:t xml:space="preserve"> under the generic</w:t>
      </w:r>
      <w:r w:rsidR="00182647">
        <w:t xml:space="preserve"> clearance</w:t>
      </w:r>
      <w:r w:rsidR="008F50D4" w:rsidRPr="008F50D4">
        <w:t xml:space="preserve">, you must complete a form for each </w:t>
      </w:r>
      <w:r w:rsidR="00D05798">
        <w:t>survey</w:t>
      </w:r>
      <w:r w:rsidR="008F50D4" w:rsidRPr="008F50D4">
        <w:t>.</w:t>
      </w:r>
    </w:p>
    <w:p w14:paraId="183A3791" w14:textId="77777777" w:rsidR="00F24CFC" w:rsidRPr="008F50D4" w:rsidRDefault="00F24CFC" w:rsidP="00F24CFC">
      <w:pPr>
        <w:pStyle w:val="BodyTextIndent"/>
        <w:tabs>
          <w:tab w:val="left" w:pos="360"/>
        </w:tabs>
        <w:ind w:left="0"/>
        <w:rPr>
          <w:bCs/>
          <w:sz w:val="24"/>
          <w:szCs w:val="24"/>
        </w:rPr>
      </w:pPr>
    </w:p>
    <w:p w14:paraId="0C727BE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F076E83" w14:textId="77777777" w:rsidR="00F24CFC" w:rsidRDefault="00F24CFC" w:rsidP="00F24CFC">
      <w:pPr>
        <w:rPr>
          <w:sz w:val="16"/>
          <w:szCs w:val="16"/>
        </w:rPr>
      </w:pPr>
    </w:p>
    <w:p w14:paraId="7B275028"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E3B140E" w14:textId="77777777" w:rsidR="008F50D4" w:rsidRPr="008F50D4" w:rsidRDefault="008F50D4" w:rsidP="00F24CFC"/>
    <w:p w14:paraId="2B7D2AF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w:t>
      </w:r>
      <w:r w:rsidR="00804CD5">
        <w:t>‘y</w:t>
      </w:r>
      <w:r w:rsidR="008F50D4">
        <w:t>es</w:t>
      </w:r>
      <w:r w:rsidR="00804CD5">
        <w:t>’</w:t>
      </w:r>
      <w:r w:rsidR="008F50D4">
        <w:t xml:space="preserve">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r w:rsidR="00E42A47">
        <w:t xml:space="preserve"> For example, explain the need for incentives to improve response rates, validity and reliability; describe higher </w:t>
      </w:r>
      <w:r w:rsidR="00182647">
        <w:t>out-of-</w:t>
      </w:r>
      <w:r w:rsidR="00E42A47">
        <w:t>pocket costs to respondent or unusual demands; provide data showing impact of incentives on response rates and survey responses; demonstrate need due to special populations.</w:t>
      </w:r>
    </w:p>
    <w:p w14:paraId="7BE50875" w14:textId="77777777" w:rsidR="00F24CFC" w:rsidRDefault="00F24CFC" w:rsidP="00F24CFC">
      <w:pPr>
        <w:rPr>
          <w:b/>
        </w:rPr>
      </w:pPr>
    </w:p>
    <w:p w14:paraId="1C827774" w14:textId="77777777" w:rsidR="008F50D4" w:rsidRDefault="00F24CFC" w:rsidP="00F24CFC">
      <w:pPr>
        <w:rPr>
          <w:b/>
        </w:rPr>
      </w:pPr>
      <w:r>
        <w:rPr>
          <w:b/>
        </w:rPr>
        <w:t>BURDEN HOURS</w:t>
      </w:r>
      <w:r w:rsidR="008F50D4">
        <w:rPr>
          <w:b/>
        </w:rPr>
        <w:t>:</w:t>
      </w:r>
    </w:p>
    <w:p w14:paraId="542D55DC" w14:textId="77777777" w:rsidR="008F50D4" w:rsidRDefault="008F50D4" w:rsidP="00F24CFC">
      <w:r>
        <w:rPr>
          <w:b/>
        </w:rPr>
        <w:t xml:space="preserve">Category of Respondents:  </w:t>
      </w:r>
      <w:r>
        <w:t xml:space="preserve">Identify who you expect the respondents to be in terms of the following categories: (1) </w:t>
      </w:r>
      <w:r w:rsidR="00182647">
        <w:t>i</w:t>
      </w:r>
      <w:r>
        <w:t xml:space="preserve">ndividuals or </w:t>
      </w:r>
      <w:r w:rsidR="00182647">
        <w:t>h</w:t>
      </w:r>
      <w:r>
        <w:t>ouseholds;</w:t>
      </w:r>
      <w:r w:rsidR="00182647">
        <w:t xml:space="preserve"> </w:t>
      </w:r>
      <w:r>
        <w:t xml:space="preserve">(2) </w:t>
      </w:r>
      <w:r w:rsidR="00182647">
        <w:t>p</w:t>
      </w:r>
      <w:r>
        <w:t xml:space="preserve">rivate </w:t>
      </w:r>
      <w:r w:rsidR="00182647">
        <w:t>s</w:t>
      </w:r>
      <w:r>
        <w:t xml:space="preserve">ector; (3) </w:t>
      </w:r>
      <w:r w:rsidR="00182647">
        <w:t>s</w:t>
      </w:r>
      <w:r>
        <w:t xml:space="preserve">tate, local or tribal governments; or (4) </w:t>
      </w:r>
      <w:r w:rsidR="00182647">
        <w:t>f</w:t>
      </w:r>
      <w:r>
        <w:t xml:space="preserve">ederal </w:t>
      </w:r>
      <w:r w:rsidR="00182647">
        <w:t xml:space="preserve">government. </w:t>
      </w:r>
      <w:r>
        <w:t xml:space="preserve">Only one type of respondent can be selected. </w:t>
      </w:r>
    </w:p>
    <w:p w14:paraId="6A43C604"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5107346"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3232CE2" w14:textId="77777777" w:rsidR="00F24CFC" w:rsidRPr="008F50D4" w:rsidRDefault="008F50D4" w:rsidP="00F24CFC">
      <w:r w:rsidRPr="008F50D4">
        <w:rPr>
          <w:b/>
        </w:rPr>
        <w:t>Burden:</w:t>
      </w:r>
      <w:r>
        <w:t xml:space="preserve">  Provide the </w:t>
      </w:r>
      <w:r w:rsidR="00182647">
        <w:t>a</w:t>
      </w:r>
      <w:r w:rsidR="00F24CFC" w:rsidRPr="008F50D4">
        <w:t xml:space="preserve">nnual burden hours: Multiply the </w:t>
      </w:r>
      <w:r w:rsidR="00182647">
        <w:t>n</w:t>
      </w:r>
      <w:r w:rsidR="00F24CFC" w:rsidRPr="008F50D4">
        <w:t>umber of responses and the participation time and</w:t>
      </w:r>
      <w:r>
        <w:t xml:space="preserve"> </w:t>
      </w:r>
      <w:r w:rsidR="003F1C5B">
        <w:t>divide by 60.</w:t>
      </w:r>
    </w:p>
    <w:p w14:paraId="177D9586" w14:textId="77777777" w:rsidR="00F24CFC" w:rsidRPr="006832D9" w:rsidRDefault="00F24CFC" w:rsidP="00F24CFC">
      <w:pPr>
        <w:keepNext/>
        <w:keepLines/>
        <w:rPr>
          <w:b/>
        </w:rPr>
      </w:pPr>
    </w:p>
    <w:p w14:paraId="47DDEABB"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w:t>
      </w:r>
      <w:r w:rsidR="00182647">
        <w:t>f</w:t>
      </w:r>
      <w:r>
        <w:t>ederal government</w:t>
      </w:r>
      <w:r w:rsidR="003F1C5B">
        <w:t>.</w:t>
      </w:r>
    </w:p>
    <w:p w14:paraId="2782D27D" w14:textId="77777777" w:rsidR="00F24CFC" w:rsidRDefault="00F24CFC" w:rsidP="00F24CFC">
      <w:pPr>
        <w:rPr>
          <w:b/>
          <w:bCs/>
          <w:u w:val="single"/>
        </w:rPr>
      </w:pPr>
    </w:p>
    <w:p w14:paraId="60D1D4FB" w14:textId="77777777" w:rsidR="00F24CFC" w:rsidRDefault="00F24CFC" w:rsidP="00F24CFC">
      <w:pPr>
        <w:rPr>
          <w:b/>
        </w:rPr>
      </w:pPr>
      <w:r w:rsidRPr="00182647">
        <w:rPr>
          <w:b/>
          <w:bCs/>
        </w:rPr>
        <w:t>If you are conducting a focus group, survey, or plan to employ statistical methods, please  provide answers to the following questions:</w:t>
      </w:r>
    </w:p>
    <w:p w14:paraId="6CE49DA3" w14:textId="77777777" w:rsidR="00F24CFC" w:rsidRDefault="00A17CE0" w:rsidP="00A17CE0">
      <w:pPr>
        <w:pStyle w:val="ListParagraph"/>
        <w:numPr>
          <w:ilvl w:val="0"/>
          <w:numId w:val="19"/>
        </w:numPr>
      </w:pPr>
      <w:r>
        <w:t xml:space="preserve">Describe </w:t>
      </w:r>
      <w:r w:rsidR="00F24CFC">
        <w:t>how you plan to identify your potential group of responden</w:t>
      </w:r>
      <w:r w:rsidR="003F1C5B">
        <w:t xml:space="preserve">ts and how you will select them.  </w:t>
      </w:r>
      <w:r w:rsidR="003F1C5B" w:rsidRPr="00636621">
        <w:t xml:space="preserve">If the answer is </w:t>
      </w:r>
      <w:r>
        <w:t>Y</w:t>
      </w:r>
      <w:r w:rsidR="003F1C5B" w:rsidRPr="00636621">
        <w:t xml:space="preserve">es, </w:t>
      </w:r>
      <w:r w:rsidR="003F1C5B">
        <w:t>to the first question, you may provide the sampling plan in an attachment.</w:t>
      </w:r>
    </w:p>
    <w:p w14:paraId="19806B1B" w14:textId="77777777" w:rsidR="00F24CFC" w:rsidRPr="003F1C5B" w:rsidRDefault="003F1C5B" w:rsidP="00A17CE0">
      <w:pPr>
        <w:pStyle w:val="ListParagraph"/>
        <w:numPr>
          <w:ilvl w:val="0"/>
          <w:numId w:val="19"/>
        </w:numPr>
      </w:pPr>
      <w:r>
        <w:t>Identify how the information will be collected. More than one box may be checked.  Indicate whether there will be interviewers (e.g. for surveys) or facilitators (e.g., for focus groups) used.</w:t>
      </w:r>
    </w:p>
    <w:p w14:paraId="6E99AC12" w14:textId="77777777" w:rsidR="00F24CFC" w:rsidRDefault="00F24CFC" w:rsidP="00F24CFC">
      <w:pPr>
        <w:pStyle w:val="ListParagraph"/>
        <w:ind w:left="360"/>
      </w:pPr>
    </w:p>
    <w:p w14:paraId="186B1066" w14:textId="77777777" w:rsidR="00584811" w:rsidRPr="004325BD" w:rsidRDefault="00F24CFC" w:rsidP="00584811">
      <w:pPr>
        <w:rPr>
          <w:b/>
        </w:rPr>
      </w:pPr>
      <w:r w:rsidRPr="00F24CFC">
        <w:rPr>
          <w:b/>
        </w:rPr>
        <w:t xml:space="preserve">Please make sure all </w:t>
      </w:r>
      <w:r w:rsidR="00D05798">
        <w:rPr>
          <w:b/>
        </w:rPr>
        <w:t>survey materials such as</w:t>
      </w:r>
      <w:r w:rsidRPr="00F24CFC">
        <w:rPr>
          <w:b/>
        </w:rPr>
        <w:t xml:space="preserve"> </w:t>
      </w:r>
      <w:r w:rsidR="00D05798">
        <w:rPr>
          <w:b/>
        </w:rPr>
        <w:t xml:space="preserve">interview/survey questions, </w:t>
      </w:r>
      <w:r w:rsidRPr="00F24CFC">
        <w:rPr>
          <w:b/>
        </w:rPr>
        <w:t>scripts</w:t>
      </w:r>
      <w:r w:rsidR="00D05798">
        <w:rPr>
          <w:b/>
        </w:rPr>
        <w:t>, etc</w:t>
      </w:r>
      <w:r w:rsidRPr="00F24CFC">
        <w:rPr>
          <w:b/>
        </w:rPr>
        <w:t xml:space="preserve"> are submitted with the request.</w:t>
      </w:r>
      <w:r w:rsidR="004C7050">
        <w:rPr>
          <w:b/>
        </w:rPr>
        <w:t xml:space="preserve">  See next page for the Survey </w:t>
      </w:r>
      <w:r w:rsidR="00AE5016">
        <w:rPr>
          <w:b/>
        </w:rPr>
        <w:t>Materials</w:t>
      </w:r>
      <w:r w:rsidR="004C7050">
        <w:rPr>
          <w:b/>
        </w:rPr>
        <w:t xml:space="preserve"> Template</w:t>
      </w:r>
      <w:r w:rsidR="004325BD">
        <w:rPr>
          <w:b/>
        </w:rPr>
        <w:t>.</w:t>
      </w:r>
    </w:p>
    <w:sectPr w:rsidR="00584811" w:rsidRPr="004325BD" w:rsidSect="004325BD">
      <w:footerReference w:type="default" r:id="rId11"/>
      <w:pgSz w:w="12240" w:h="15840"/>
      <w:pgMar w:top="576" w:right="1440" w:bottom="864"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3CD5A9" w16cid:durableId="1EFAE8F2"/>
  <w16cid:commentId w16cid:paraId="39D47772" w16cid:durableId="1EFAEA04"/>
  <w16cid:commentId w16cid:paraId="6ADD9EB7" w16cid:durableId="1EFAE8F3"/>
  <w16cid:commentId w16cid:paraId="28D03AE8" w16cid:durableId="1EFAEA2F"/>
  <w16cid:commentId w16cid:paraId="412CAF74" w16cid:durableId="1EFAEACC"/>
  <w16cid:commentId w16cid:paraId="531EC904" w16cid:durableId="1EFAE8F4"/>
  <w16cid:commentId w16cid:paraId="3C8809F5" w16cid:durableId="1EFAEB51"/>
  <w16cid:commentId w16cid:paraId="14932B78" w16cid:durableId="1EFAEC01"/>
  <w16cid:commentId w16cid:paraId="5F128614" w16cid:durableId="1EFAE8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C0983" w14:textId="77777777" w:rsidR="00301BA9" w:rsidRDefault="00301BA9">
      <w:r>
        <w:separator/>
      </w:r>
    </w:p>
  </w:endnote>
  <w:endnote w:type="continuationSeparator" w:id="0">
    <w:p w14:paraId="0B03A7F6" w14:textId="77777777" w:rsidR="00301BA9" w:rsidRDefault="0030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D7826" w14:textId="77777777"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E2A49" w14:textId="77777777" w:rsidR="00301BA9" w:rsidRDefault="00301BA9">
      <w:r>
        <w:separator/>
      </w:r>
    </w:p>
  </w:footnote>
  <w:footnote w:type="continuationSeparator" w:id="0">
    <w:p w14:paraId="7E38AB65" w14:textId="77777777" w:rsidR="00301BA9" w:rsidRDefault="00301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F96845"/>
    <w:multiLevelType w:val="hybridMultilevel"/>
    <w:tmpl w:val="DE4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C27FA5"/>
    <w:multiLevelType w:val="hybridMultilevel"/>
    <w:tmpl w:val="84D8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E21529"/>
    <w:multiLevelType w:val="hybridMultilevel"/>
    <w:tmpl w:val="D6A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7A7D61"/>
    <w:multiLevelType w:val="hybridMultilevel"/>
    <w:tmpl w:val="96F4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80089E"/>
    <w:multiLevelType w:val="hybridMultilevel"/>
    <w:tmpl w:val="E4F6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F97F25"/>
    <w:multiLevelType w:val="hybridMultilevel"/>
    <w:tmpl w:val="111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9"/>
  </w:num>
  <w:num w:numId="4">
    <w:abstractNumId w:val="22"/>
  </w:num>
  <w:num w:numId="5">
    <w:abstractNumId w:val="3"/>
  </w:num>
  <w:num w:numId="6">
    <w:abstractNumId w:val="1"/>
  </w:num>
  <w:num w:numId="7">
    <w:abstractNumId w:val="10"/>
  </w:num>
  <w:num w:numId="8">
    <w:abstractNumId w:val="17"/>
  </w:num>
  <w:num w:numId="9">
    <w:abstractNumId w:val="11"/>
  </w:num>
  <w:num w:numId="10">
    <w:abstractNumId w:val="2"/>
  </w:num>
  <w:num w:numId="11">
    <w:abstractNumId w:val="6"/>
  </w:num>
  <w:num w:numId="12">
    <w:abstractNumId w:val="8"/>
  </w:num>
  <w:num w:numId="13">
    <w:abstractNumId w:val="0"/>
  </w:num>
  <w:num w:numId="14">
    <w:abstractNumId w:val="18"/>
  </w:num>
  <w:num w:numId="15">
    <w:abstractNumId w:val="16"/>
  </w:num>
  <w:num w:numId="16">
    <w:abstractNumId w:val="13"/>
  </w:num>
  <w:num w:numId="17">
    <w:abstractNumId w:val="4"/>
  </w:num>
  <w:num w:numId="18">
    <w:abstractNumId w:val="5"/>
  </w:num>
  <w:num w:numId="19">
    <w:abstractNumId w:val="14"/>
  </w:num>
  <w:num w:numId="20">
    <w:abstractNumId w:val="9"/>
  </w:num>
  <w:num w:numId="21">
    <w:abstractNumId w:val="23"/>
  </w:num>
  <w:num w:numId="22">
    <w:abstractNumId w:val="21"/>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895"/>
    <w:rsid w:val="00023A57"/>
    <w:rsid w:val="00047A64"/>
    <w:rsid w:val="00067329"/>
    <w:rsid w:val="00085908"/>
    <w:rsid w:val="000B2838"/>
    <w:rsid w:val="000B3242"/>
    <w:rsid w:val="000D44CA"/>
    <w:rsid w:val="000D5641"/>
    <w:rsid w:val="000E200B"/>
    <w:rsid w:val="000E491A"/>
    <w:rsid w:val="000F68BE"/>
    <w:rsid w:val="00106368"/>
    <w:rsid w:val="00114606"/>
    <w:rsid w:val="00182647"/>
    <w:rsid w:val="001927A4"/>
    <w:rsid w:val="00194AC6"/>
    <w:rsid w:val="001A23B0"/>
    <w:rsid w:val="001A25CC"/>
    <w:rsid w:val="001B0AAA"/>
    <w:rsid w:val="001C39F7"/>
    <w:rsid w:val="001D66BD"/>
    <w:rsid w:val="001F2FD0"/>
    <w:rsid w:val="00207C38"/>
    <w:rsid w:val="00222107"/>
    <w:rsid w:val="00237B48"/>
    <w:rsid w:val="002414E6"/>
    <w:rsid w:val="0024521E"/>
    <w:rsid w:val="002458D7"/>
    <w:rsid w:val="00263C3D"/>
    <w:rsid w:val="00274D0B"/>
    <w:rsid w:val="00292857"/>
    <w:rsid w:val="002B3C95"/>
    <w:rsid w:val="002D0688"/>
    <w:rsid w:val="002D0B92"/>
    <w:rsid w:val="00301BA9"/>
    <w:rsid w:val="003044A0"/>
    <w:rsid w:val="00335D01"/>
    <w:rsid w:val="00361F0E"/>
    <w:rsid w:val="003B634D"/>
    <w:rsid w:val="003C1B08"/>
    <w:rsid w:val="003D5BBE"/>
    <w:rsid w:val="003E3C61"/>
    <w:rsid w:val="003F1C5B"/>
    <w:rsid w:val="004131A7"/>
    <w:rsid w:val="004325BD"/>
    <w:rsid w:val="00434E33"/>
    <w:rsid w:val="00441434"/>
    <w:rsid w:val="0045264C"/>
    <w:rsid w:val="0047098B"/>
    <w:rsid w:val="00472EAF"/>
    <w:rsid w:val="004876EC"/>
    <w:rsid w:val="004A51EC"/>
    <w:rsid w:val="004C7050"/>
    <w:rsid w:val="004D0525"/>
    <w:rsid w:val="004D6E14"/>
    <w:rsid w:val="005009B0"/>
    <w:rsid w:val="00532641"/>
    <w:rsid w:val="005436BA"/>
    <w:rsid w:val="00565C39"/>
    <w:rsid w:val="00567F45"/>
    <w:rsid w:val="00580EDE"/>
    <w:rsid w:val="00584811"/>
    <w:rsid w:val="005A1006"/>
    <w:rsid w:val="005E714A"/>
    <w:rsid w:val="005F6162"/>
    <w:rsid w:val="0060017B"/>
    <w:rsid w:val="00604ED1"/>
    <w:rsid w:val="006140A0"/>
    <w:rsid w:val="00636621"/>
    <w:rsid w:val="00642A48"/>
    <w:rsid w:val="00642B49"/>
    <w:rsid w:val="00660ACE"/>
    <w:rsid w:val="00666D9A"/>
    <w:rsid w:val="006762DA"/>
    <w:rsid w:val="006832D9"/>
    <w:rsid w:val="0069403B"/>
    <w:rsid w:val="00694540"/>
    <w:rsid w:val="006C05E8"/>
    <w:rsid w:val="006D649A"/>
    <w:rsid w:val="006F3DDE"/>
    <w:rsid w:val="00704678"/>
    <w:rsid w:val="00706BEB"/>
    <w:rsid w:val="007425E7"/>
    <w:rsid w:val="00745CD9"/>
    <w:rsid w:val="00762F43"/>
    <w:rsid w:val="00764E52"/>
    <w:rsid w:val="0078276F"/>
    <w:rsid w:val="0079221E"/>
    <w:rsid w:val="007F761B"/>
    <w:rsid w:val="00802607"/>
    <w:rsid w:val="00804CD5"/>
    <w:rsid w:val="008101A5"/>
    <w:rsid w:val="00822664"/>
    <w:rsid w:val="008373A4"/>
    <w:rsid w:val="00843796"/>
    <w:rsid w:val="0087161C"/>
    <w:rsid w:val="0088718C"/>
    <w:rsid w:val="00895229"/>
    <w:rsid w:val="008A23E4"/>
    <w:rsid w:val="008C5F40"/>
    <w:rsid w:val="008D234A"/>
    <w:rsid w:val="008D72FC"/>
    <w:rsid w:val="008F0203"/>
    <w:rsid w:val="008F50D4"/>
    <w:rsid w:val="009239AA"/>
    <w:rsid w:val="00935ADA"/>
    <w:rsid w:val="00946B6C"/>
    <w:rsid w:val="00951962"/>
    <w:rsid w:val="00955A71"/>
    <w:rsid w:val="0096108F"/>
    <w:rsid w:val="009654D5"/>
    <w:rsid w:val="0098523E"/>
    <w:rsid w:val="009C13B9"/>
    <w:rsid w:val="009D01A2"/>
    <w:rsid w:val="009D2A0A"/>
    <w:rsid w:val="009F4B85"/>
    <w:rsid w:val="009F5923"/>
    <w:rsid w:val="00A17CE0"/>
    <w:rsid w:val="00A403BB"/>
    <w:rsid w:val="00A674DF"/>
    <w:rsid w:val="00A754C5"/>
    <w:rsid w:val="00A83AA6"/>
    <w:rsid w:val="00A957AC"/>
    <w:rsid w:val="00AC253B"/>
    <w:rsid w:val="00AE1809"/>
    <w:rsid w:val="00AE5016"/>
    <w:rsid w:val="00B47256"/>
    <w:rsid w:val="00B64C73"/>
    <w:rsid w:val="00B80D76"/>
    <w:rsid w:val="00BA2105"/>
    <w:rsid w:val="00BA7A4E"/>
    <w:rsid w:val="00BA7E06"/>
    <w:rsid w:val="00BB43B5"/>
    <w:rsid w:val="00BB6219"/>
    <w:rsid w:val="00BC2F28"/>
    <w:rsid w:val="00BD290F"/>
    <w:rsid w:val="00BE29F3"/>
    <w:rsid w:val="00C14CC4"/>
    <w:rsid w:val="00C33C52"/>
    <w:rsid w:val="00C40D8B"/>
    <w:rsid w:val="00C429AD"/>
    <w:rsid w:val="00C8407A"/>
    <w:rsid w:val="00C8488C"/>
    <w:rsid w:val="00C86E91"/>
    <w:rsid w:val="00CA2650"/>
    <w:rsid w:val="00CB1078"/>
    <w:rsid w:val="00CC6FAF"/>
    <w:rsid w:val="00CE380A"/>
    <w:rsid w:val="00CF188A"/>
    <w:rsid w:val="00CF7BF9"/>
    <w:rsid w:val="00D045F2"/>
    <w:rsid w:val="00D05798"/>
    <w:rsid w:val="00D21BE9"/>
    <w:rsid w:val="00D24698"/>
    <w:rsid w:val="00D6383F"/>
    <w:rsid w:val="00D80CDE"/>
    <w:rsid w:val="00DB59D0"/>
    <w:rsid w:val="00DC33D3"/>
    <w:rsid w:val="00DF4394"/>
    <w:rsid w:val="00E04ABC"/>
    <w:rsid w:val="00E26329"/>
    <w:rsid w:val="00E40B50"/>
    <w:rsid w:val="00E42A47"/>
    <w:rsid w:val="00E50293"/>
    <w:rsid w:val="00E62D33"/>
    <w:rsid w:val="00E65FFC"/>
    <w:rsid w:val="00E77136"/>
    <w:rsid w:val="00E80951"/>
    <w:rsid w:val="00E86CC6"/>
    <w:rsid w:val="00EA2DFA"/>
    <w:rsid w:val="00EB56B3"/>
    <w:rsid w:val="00ED6492"/>
    <w:rsid w:val="00EE263C"/>
    <w:rsid w:val="00EF2095"/>
    <w:rsid w:val="00F06866"/>
    <w:rsid w:val="00F14300"/>
    <w:rsid w:val="00F15956"/>
    <w:rsid w:val="00F24CFC"/>
    <w:rsid w:val="00F3170F"/>
    <w:rsid w:val="00F60BB0"/>
    <w:rsid w:val="00F976B0"/>
    <w:rsid w:val="00FA6DE7"/>
    <w:rsid w:val="00FB553D"/>
    <w:rsid w:val="00FC0A8E"/>
    <w:rsid w:val="00FC214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44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rsid w:val="00584811"/>
    <w:rPr>
      <w:snapToGrid w:val="0"/>
      <w:sz w:val="24"/>
      <w:szCs w:val="24"/>
    </w:rPr>
  </w:style>
  <w:style w:type="character" w:customStyle="1" w:styleId="ListParagraphChar">
    <w:name w:val="List Paragraph Char"/>
    <w:link w:val="ListParagraph"/>
    <w:uiPriority w:val="34"/>
    <w:locked/>
    <w:rsid w:val="004131A7"/>
    <w:rPr>
      <w:sz w:val="24"/>
      <w:szCs w:val="24"/>
    </w:rPr>
  </w:style>
  <w:style w:type="character" w:styleId="Hyperlink">
    <w:name w:val="Hyperlink"/>
    <w:basedOn w:val="DefaultParagraphFont"/>
    <w:uiPriority w:val="99"/>
    <w:unhideWhenUsed/>
    <w:rsid w:val="00567F45"/>
    <w:rPr>
      <w:color w:val="0000FF" w:themeColor="hyperlink"/>
      <w:u w:val="single"/>
    </w:rPr>
  </w:style>
  <w:style w:type="paragraph" w:styleId="FootnoteText">
    <w:name w:val="footnote text"/>
    <w:basedOn w:val="Normal"/>
    <w:link w:val="FootnoteTextChar"/>
    <w:uiPriority w:val="99"/>
    <w:semiHidden/>
    <w:unhideWhenUsed/>
    <w:rsid w:val="00567F45"/>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567F45"/>
    <w:rPr>
      <w:rFonts w:asciiTheme="minorHAnsi" w:eastAsiaTheme="minorEastAsia" w:hAnsiTheme="minorHAnsi" w:cstheme="minorBidi"/>
      <w:sz w:val="24"/>
      <w:szCs w:val="24"/>
    </w:rPr>
  </w:style>
  <w:style w:type="character" w:styleId="FootnoteReference">
    <w:name w:val="footnote reference"/>
    <w:basedOn w:val="DefaultParagraphFont"/>
    <w:uiPriority w:val="99"/>
    <w:semiHidden/>
    <w:unhideWhenUsed/>
    <w:rsid w:val="00567F45"/>
    <w:rPr>
      <w:vertAlign w:val="superscript"/>
    </w:rPr>
  </w:style>
  <w:style w:type="character" w:styleId="FollowedHyperlink">
    <w:name w:val="FollowedHyperlink"/>
    <w:basedOn w:val="DefaultParagraphFont"/>
    <w:semiHidden/>
    <w:unhideWhenUsed/>
    <w:rsid w:val="00567F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rsid w:val="00584811"/>
    <w:rPr>
      <w:snapToGrid w:val="0"/>
      <w:sz w:val="24"/>
      <w:szCs w:val="24"/>
    </w:rPr>
  </w:style>
  <w:style w:type="character" w:customStyle="1" w:styleId="ListParagraphChar">
    <w:name w:val="List Paragraph Char"/>
    <w:link w:val="ListParagraph"/>
    <w:uiPriority w:val="34"/>
    <w:locked/>
    <w:rsid w:val="004131A7"/>
    <w:rPr>
      <w:sz w:val="24"/>
      <w:szCs w:val="24"/>
    </w:rPr>
  </w:style>
  <w:style w:type="character" w:styleId="Hyperlink">
    <w:name w:val="Hyperlink"/>
    <w:basedOn w:val="DefaultParagraphFont"/>
    <w:uiPriority w:val="99"/>
    <w:unhideWhenUsed/>
    <w:rsid w:val="00567F45"/>
    <w:rPr>
      <w:color w:val="0000FF" w:themeColor="hyperlink"/>
      <w:u w:val="single"/>
    </w:rPr>
  </w:style>
  <w:style w:type="paragraph" w:styleId="FootnoteText">
    <w:name w:val="footnote text"/>
    <w:basedOn w:val="Normal"/>
    <w:link w:val="FootnoteTextChar"/>
    <w:uiPriority w:val="99"/>
    <w:semiHidden/>
    <w:unhideWhenUsed/>
    <w:rsid w:val="00567F45"/>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567F45"/>
    <w:rPr>
      <w:rFonts w:asciiTheme="minorHAnsi" w:eastAsiaTheme="minorEastAsia" w:hAnsiTheme="minorHAnsi" w:cstheme="minorBidi"/>
      <w:sz w:val="24"/>
      <w:szCs w:val="24"/>
    </w:rPr>
  </w:style>
  <w:style w:type="character" w:styleId="FootnoteReference">
    <w:name w:val="footnote reference"/>
    <w:basedOn w:val="DefaultParagraphFont"/>
    <w:uiPriority w:val="99"/>
    <w:semiHidden/>
    <w:unhideWhenUsed/>
    <w:rsid w:val="00567F45"/>
    <w:rPr>
      <w:vertAlign w:val="superscript"/>
    </w:rPr>
  </w:style>
  <w:style w:type="character" w:styleId="FollowedHyperlink">
    <w:name w:val="FollowedHyperlink"/>
    <w:basedOn w:val="DefaultParagraphFont"/>
    <w:semiHidden/>
    <w:unhideWhenUsed/>
    <w:rsid w:val="00567F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omenshealth.gov" TargetMode="External"/><Relationship Id="rId4" Type="http://schemas.microsoft.com/office/2007/relationships/stylesWithEffects" Target="stylesWithEffects.xml"/><Relationship Id="rId9" Type="http://schemas.openxmlformats.org/officeDocument/2006/relationships/hyperlink" Target="https://womenshealt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0F4C-A72A-470F-A6D2-2D1828AD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2018-02-07T20:57:00Z</cp:lastPrinted>
  <dcterms:created xsi:type="dcterms:W3CDTF">2018-11-08T18:58:00Z</dcterms:created>
  <dcterms:modified xsi:type="dcterms:W3CDTF">2018-11-08T18:58:00Z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