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6A6" w:rsidRPr="00C921E6" w:rsidRDefault="00835C0A" w:rsidP="007854AE">
      <w:pPr>
        <w:jc w:val="center"/>
        <w:rPr>
          <w:b/>
          <w:sz w:val="36"/>
          <w:szCs w:val="36"/>
        </w:rPr>
      </w:pPr>
      <w:r w:rsidRPr="00C921E6">
        <w:rPr>
          <w:b/>
          <w:sz w:val="36"/>
          <w:szCs w:val="36"/>
        </w:rPr>
        <w:t>Response Rates in the Consumer Expenditure Survey</w:t>
      </w:r>
    </w:p>
    <w:p w:rsidR="00BE485A" w:rsidRPr="00CD3508" w:rsidRDefault="00BE485A" w:rsidP="007854AE">
      <w:pPr>
        <w:jc w:val="center"/>
        <w:rPr>
          <w:b/>
          <w:sz w:val="20"/>
          <w:szCs w:val="20"/>
        </w:rPr>
      </w:pPr>
    </w:p>
    <w:p w:rsidR="007854AE" w:rsidRPr="00CD3508" w:rsidRDefault="004175F3" w:rsidP="007854AE">
      <w:pPr>
        <w:jc w:val="center"/>
        <w:rPr>
          <w:sz w:val="20"/>
          <w:szCs w:val="20"/>
        </w:rPr>
      </w:pPr>
      <w:r>
        <w:rPr>
          <w:sz w:val="20"/>
          <w:szCs w:val="20"/>
        </w:rPr>
        <w:t xml:space="preserve">by </w:t>
      </w:r>
      <w:r w:rsidR="007854AE" w:rsidRPr="00CD3508">
        <w:rPr>
          <w:sz w:val="20"/>
          <w:szCs w:val="20"/>
        </w:rPr>
        <w:t>Sharon Krieger</w:t>
      </w:r>
      <w:r w:rsidR="00EE146A" w:rsidRPr="00CD3508">
        <w:rPr>
          <w:sz w:val="20"/>
          <w:szCs w:val="20"/>
        </w:rPr>
        <w:t xml:space="preserve"> and </w:t>
      </w:r>
      <w:r w:rsidR="00C921E6">
        <w:rPr>
          <w:sz w:val="20"/>
          <w:szCs w:val="20"/>
        </w:rPr>
        <w:t>David Swanson</w:t>
      </w:r>
    </w:p>
    <w:p w:rsidR="002A4344" w:rsidRPr="00CD3508" w:rsidRDefault="002A4344" w:rsidP="005841D9">
      <w:pPr>
        <w:jc w:val="both"/>
        <w:rPr>
          <w:b/>
          <w:sz w:val="20"/>
          <w:szCs w:val="20"/>
        </w:rPr>
      </w:pPr>
    </w:p>
    <w:p w:rsidR="00BE485A" w:rsidRPr="00CD3508" w:rsidRDefault="00BE485A" w:rsidP="005841D9">
      <w:pPr>
        <w:jc w:val="both"/>
        <w:rPr>
          <w:sz w:val="20"/>
          <w:szCs w:val="20"/>
        </w:rPr>
      </w:pPr>
    </w:p>
    <w:p w:rsidR="002E4913" w:rsidRPr="00CD3508" w:rsidRDefault="002E4913" w:rsidP="005841D9">
      <w:pPr>
        <w:jc w:val="both"/>
        <w:rPr>
          <w:sz w:val="20"/>
          <w:szCs w:val="20"/>
        </w:rPr>
      </w:pPr>
      <w:r w:rsidRPr="00CD3508">
        <w:rPr>
          <w:sz w:val="20"/>
          <w:szCs w:val="20"/>
        </w:rPr>
        <w:t xml:space="preserve">Response rates are one of the most important indicators of survey quality.  </w:t>
      </w:r>
      <w:r w:rsidR="007D738B" w:rsidRPr="00CD3508">
        <w:rPr>
          <w:sz w:val="20"/>
          <w:szCs w:val="20"/>
        </w:rPr>
        <w:t xml:space="preserve">It is important to monitor </w:t>
      </w:r>
      <w:r w:rsidR="00417C43" w:rsidRPr="00CD3508">
        <w:rPr>
          <w:sz w:val="20"/>
          <w:szCs w:val="20"/>
        </w:rPr>
        <w:t xml:space="preserve">response rates </w:t>
      </w:r>
      <w:r w:rsidR="007D738B" w:rsidRPr="00CD3508">
        <w:rPr>
          <w:sz w:val="20"/>
          <w:szCs w:val="20"/>
        </w:rPr>
        <w:t>because</w:t>
      </w:r>
      <w:r w:rsidRPr="00CD3508">
        <w:rPr>
          <w:sz w:val="20"/>
          <w:szCs w:val="20"/>
        </w:rPr>
        <w:t xml:space="preserve"> nonresponse can introduce bias</w:t>
      </w:r>
      <w:r w:rsidR="007D738B" w:rsidRPr="00CD3508">
        <w:rPr>
          <w:sz w:val="20"/>
          <w:szCs w:val="20"/>
        </w:rPr>
        <w:t xml:space="preserve"> into any survey’s published estimates</w:t>
      </w:r>
      <w:r w:rsidR="00057CEE">
        <w:rPr>
          <w:sz w:val="20"/>
          <w:szCs w:val="20"/>
        </w:rPr>
        <w:t xml:space="preserve"> w</w:t>
      </w:r>
      <w:r w:rsidR="00417C43" w:rsidRPr="00CD3508">
        <w:rPr>
          <w:sz w:val="20"/>
          <w:szCs w:val="20"/>
        </w:rPr>
        <w:t xml:space="preserve">hen </w:t>
      </w:r>
      <w:r w:rsidR="00057CEE">
        <w:rPr>
          <w:sz w:val="20"/>
          <w:szCs w:val="20"/>
        </w:rPr>
        <w:t>its</w:t>
      </w:r>
      <w:r w:rsidR="00417C43" w:rsidRPr="00CD3508">
        <w:rPr>
          <w:sz w:val="20"/>
          <w:szCs w:val="20"/>
        </w:rPr>
        <w:t xml:space="preserve"> responders and nonresponders</w:t>
      </w:r>
      <w:bookmarkStart w:id="0" w:name="_GoBack"/>
      <w:bookmarkEnd w:id="0"/>
      <w:r w:rsidR="00417C43" w:rsidRPr="00CD3508">
        <w:rPr>
          <w:sz w:val="20"/>
          <w:szCs w:val="20"/>
        </w:rPr>
        <w:t xml:space="preserve"> differ in terms of th</w:t>
      </w:r>
      <w:r w:rsidR="00057CEE">
        <w:rPr>
          <w:sz w:val="20"/>
          <w:szCs w:val="20"/>
        </w:rPr>
        <w:t>e characteristic being measured</w:t>
      </w:r>
      <w:r w:rsidR="00417C43" w:rsidRPr="00CD3508">
        <w:rPr>
          <w:sz w:val="20"/>
          <w:szCs w:val="20"/>
        </w:rPr>
        <w:t xml:space="preserve">.  </w:t>
      </w:r>
      <w:r w:rsidR="00E26064">
        <w:rPr>
          <w:sz w:val="20"/>
          <w:szCs w:val="20"/>
        </w:rPr>
        <w:t>M</w:t>
      </w:r>
      <w:r w:rsidR="00417C43" w:rsidRPr="00CD3508">
        <w:rPr>
          <w:sz w:val="20"/>
          <w:szCs w:val="20"/>
        </w:rPr>
        <w:t>ost surveys have</w:t>
      </w:r>
      <w:r w:rsidRPr="00CD3508">
        <w:rPr>
          <w:sz w:val="20"/>
          <w:szCs w:val="20"/>
        </w:rPr>
        <w:t xml:space="preserve"> procedures to adjust for </w:t>
      </w:r>
      <w:r w:rsidR="00104BCF">
        <w:rPr>
          <w:sz w:val="20"/>
          <w:szCs w:val="20"/>
        </w:rPr>
        <w:t xml:space="preserve">the effects of </w:t>
      </w:r>
      <w:r w:rsidRPr="00CD3508">
        <w:rPr>
          <w:sz w:val="20"/>
          <w:szCs w:val="20"/>
        </w:rPr>
        <w:t xml:space="preserve">nonresponse, </w:t>
      </w:r>
      <w:r w:rsidR="00E26064">
        <w:rPr>
          <w:sz w:val="20"/>
          <w:szCs w:val="20"/>
        </w:rPr>
        <w:t xml:space="preserve">but </w:t>
      </w:r>
      <w:r w:rsidRPr="00CD3508">
        <w:rPr>
          <w:sz w:val="20"/>
          <w:szCs w:val="20"/>
        </w:rPr>
        <w:t xml:space="preserve">any imperfection in </w:t>
      </w:r>
      <w:r w:rsidR="00417C43" w:rsidRPr="00CD3508">
        <w:rPr>
          <w:sz w:val="20"/>
          <w:szCs w:val="20"/>
        </w:rPr>
        <w:t>the</w:t>
      </w:r>
      <w:r w:rsidR="00057CEE">
        <w:rPr>
          <w:sz w:val="20"/>
          <w:szCs w:val="20"/>
        </w:rPr>
        <w:t xml:space="preserve"> procedures</w:t>
      </w:r>
      <w:r w:rsidRPr="00CD3508">
        <w:rPr>
          <w:sz w:val="20"/>
          <w:szCs w:val="20"/>
        </w:rPr>
        <w:t xml:space="preserve"> is magnified when response rates decline.  Therefore it is important to monitor response rates and to keep them as high as possible.</w:t>
      </w:r>
    </w:p>
    <w:p w:rsidR="002E4913" w:rsidRPr="00CD3508" w:rsidRDefault="002E4913" w:rsidP="005841D9">
      <w:pPr>
        <w:jc w:val="both"/>
        <w:rPr>
          <w:sz w:val="20"/>
          <w:szCs w:val="20"/>
        </w:rPr>
      </w:pPr>
    </w:p>
    <w:p w:rsidR="00243EF5" w:rsidRPr="00CD3508" w:rsidRDefault="00844484" w:rsidP="005841D9">
      <w:pPr>
        <w:jc w:val="both"/>
        <w:rPr>
          <w:sz w:val="20"/>
          <w:szCs w:val="20"/>
        </w:rPr>
      </w:pPr>
      <w:r w:rsidRPr="00CD3508">
        <w:rPr>
          <w:sz w:val="20"/>
          <w:szCs w:val="20"/>
        </w:rPr>
        <w:t>This article describes how the B</w:t>
      </w:r>
      <w:r w:rsidR="004108A4" w:rsidRPr="00CD3508">
        <w:rPr>
          <w:sz w:val="20"/>
          <w:szCs w:val="20"/>
        </w:rPr>
        <w:t>ureau of Labor Statistics (B</w:t>
      </w:r>
      <w:r w:rsidRPr="00CD3508">
        <w:rPr>
          <w:sz w:val="20"/>
          <w:szCs w:val="20"/>
        </w:rPr>
        <w:t>LS</w:t>
      </w:r>
      <w:r w:rsidR="004108A4" w:rsidRPr="00CD3508">
        <w:rPr>
          <w:sz w:val="20"/>
          <w:szCs w:val="20"/>
        </w:rPr>
        <w:t>)</w:t>
      </w:r>
      <w:r w:rsidRPr="00CD3508">
        <w:rPr>
          <w:sz w:val="20"/>
          <w:szCs w:val="20"/>
        </w:rPr>
        <w:t xml:space="preserve"> categorizes </w:t>
      </w:r>
      <w:r w:rsidR="00BE5974" w:rsidRPr="00CD3508">
        <w:rPr>
          <w:sz w:val="20"/>
          <w:szCs w:val="20"/>
        </w:rPr>
        <w:t xml:space="preserve">the </w:t>
      </w:r>
      <w:r w:rsidRPr="00CD3508">
        <w:rPr>
          <w:sz w:val="20"/>
          <w:szCs w:val="20"/>
        </w:rPr>
        <w:t xml:space="preserve">outcomes </w:t>
      </w:r>
      <w:r w:rsidR="00BE5974" w:rsidRPr="00CD3508">
        <w:rPr>
          <w:sz w:val="20"/>
          <w:szCs w:val="20"/>
        </w:rPr>
        <w:t>of visit</w:t>
      </w:r>
      <w:r w:rsidR="00072C41" w:rsidRPr="00CD3508">
        <w:rPr>
          <w:sz w:val="20"/>
          <w:szCs w:val="20"/>
        </w:rPr>
        <w:t>s to</w:t>
      </w:r>
      <w:r w:rsidR="005710E7" w:rsidRPr="00CD3508">
        <w:rPr>
          <w:sz w:val="20"/>
          <w:szCs w:val="20"/>
        </w:rPr>
        <w:t xml:space="preserve"> survey households</w:t>
      </w:r>
      <w:r w:rsidR="001A48F2" w:rsidRPr="00CD3508">
        <w:rPr>
          <w:sz w:val="20"/>
          <w:szCs w:val="20"/>
        </w:rPr>
        <w:t xml:space="preserve"> in terms of response and non</w:t>
      </w:r>
      <w:r w:rsidR="00BE5974" w:rsidRPr="00CD3508">
        <w:rPr>
          <w:sz w:val="20"/>
          <w:szCs w:val="20"/>
        </w:rPr>
        <w:t>response</w:t>
      </w:r>
      <w:r w:rsidR="008A4689" w:rsidRPr="00CD3508">
        <w:rPr>
          <w:sz w:val="20"/>
          <w:szCs w:val="20"/>
        </w:rPr>
        <w:t xml:space="preserve"> and explains </w:t>
      </w:r>
      <w:r w:rsidRPr="00CD3508">
        <w:rPr>
          <w:sz w:val="20"/>
          <w:szCs w:val="20"/>
        </w:rPr>
        <w:t xml:space="preserve">how </w:t>
      </w:r>
      <w:r w:rsidR="008A4689" w:rsidRPr="00CD3508">
        <w:rPr>
          <w:sz w:val="20"/>
          <w:szCs w:val="20"/>
        </w:rPr>
        <w:t>the BLS</w:t>
      </w:r>
      <w:r w:rsidRPr="00CD3508">
        <w:rPr>
          <w:sz w:val="20"/>
          <w:szCs w:val="20"/>
        </w:rPr>
        <w:t xml:space="preserve"> calculates</w:t>
      </w:r>
      <w:r w:rsidR="0056707E" w:rsidRPr="00CD3508">
        <w:rPr>
          <w:sz w:val="20"/>
          <w:szCs w:val="20"/>
        </w:rPr>
        <w:t xml:space="preserve"> </w:t>
      </w:r>
      <w:r w:rsidRPr="00CD3508">
        <w:rPr>
          <w:sz w:val="20"/>
          <w:szCs w:val="20"/>
        </w:rPr>
        <w:t xml:space="preserve">response rates for </w:t>
      </w:r>
      <w:r w:rsidR="00E07914" w:rsidRPr="00CD3508">
        <w:rPr>
          <w:sz w:val="20"/>
          <w:szCs w:val="20"/>
        </w:rPr>
        <w:t>the Consumer Expenditure Survey (CE)</w:t>
      </w:r>
      <w:r w:rsidRPr="00CD3508">
        <w:rPr>
          <w:sz w:val="20"/>
          <w:szCs w:val="20"/>
        </w:rPr>
        <w:t>.</w:t>
      </w:r>
    </w:p>
    <w:p w:rsidR="00844484" w:rsidRPr="00CD3508" w:rsidRDefault="00844484" w:rsidP="005841D9">
      <w:pPr>
        <w:jc w:val="both"/>
        <w:rPr>
          <w:sz w:val="20"/>
          <w:szCs w:val="20"/>
        </w:rPr>
      </w:pPr>
    </w:p>
    <w:p w:rsidR="00844484" w:rsidRPr="00CD3508" w:rsidRDefault="001E4A52" w:rsidP="005841D9">
      <w:pPr>
        <w:jc w:val="both"/>
        <w:rPr>
          <w:b/>
          <w:sz w:val="20"/>
          <w:szCs w:val="20"/>
        </w:rPr>
      </w:pPr>
      <w:r w:rsidRPr="00CD3508">
        <w:rPr>
          <w:b/>
          <w:sz w:val="20"/>
          <w:szCs w:val="20"/>
        </w:rPr>
        <w:t>Selection of households</w:t>
      </w:r>
    </w:p>
    <w:p w:rsidR="00417C43" w:rsidRPr="00CD3508" w:rsidRDefault="00417C43" w:rsidP="00417C43">
      <w:pPr>
        <w:jc w:val="both"/>
        <w:rPr>
          <w:sz w:val="20"/>
          <w:szCs w:val="20"/>
        </w:rPr>
      </w:pPr>
      <w:r w:rsidRPr="00CD3508">
        <w:rPr>
          <w:sz w:val="20"/>
          <w:szCs w:val="20"/>
        </w:rPr>
        <w:t>The CE selects a representative sample of households from across the nation to find out how Americans spend their money.  Specific households are drawn from the Census</w:t>
      </w:r>
      <w:r w:rsidR="00B82CAB">
        <w:rPr>
          <w:sz w:val="20"/>
          <w:szCs w:val="20"/>
        </w:rPr>
        <w:t xml:space="preserve"> Bureau’s Master Address File, which is basically a list of all residential addresses identified in the 2010 census </w:t>
      </w:r>
      <w:r w:rsidR="00A90B2E">
        <w:rPr>
          <w:sz w:val="20"/>
          <w:szCs w:val="20"/>
        </w:rPr>
        <w:t xml:space="preserve">and is updated twice per year with information </w:t>
      </w:r>
      <w:r w:rsidR="00B82CAB">
        <w:rPr>
          <w:sz w:val="20"/>
          <w:szCs w:val="20"/>
        </w:rPr>
        <w:t>from the U.S. Postal Service</w:t>
      </w:r>
      <w:r w:rsidRPr="00CD3508">
        <w:rPr>
          <w:sz w:val="20"/>
          <w:szCs w:val="20"/>
        </w:rPr>
        <w:t xml:space="preserve">.  Data for the Diary and Interview surveys are collected by field representatives who make personal visits to the households in the survey’s sample.  The CE emphasizes the importance of gaining </w:t>
      </w:r>
      <w:r w:rsidR="004C297A" w:rsidRPr="00CD3508">
        <w:rPr>
          <w:sz w:val="20"/>
          <w:szCs w:val="20"/>
        </w:rPr>
        <w:t>cooper</w:t>
      </w:r>
      <w:r w:rsidRPr="00CD3508">
        <w:rPr>
          <w:sz w:val="20"/>
          <w:szCs w:val="20"/>
        </w:rPr>
        <w:t>ation at each household since each completed interview represents many American households.</w:t>
      </w:r>
    </w:p>
    <w:p w:rsidR="00AE0506" w:rsidRPr="00CD3508" w:rsidRDefault="00AE0506" w:rsidP="001B16E8">
      <w:pPr>
        <w:rPr>
          <w:sz w:val="20"/>
          <w:szCs w:val="20"/>
        </w:rPr>
      </w:pPr>
    </w:p>
    <w:p w:rsidR="00243EF5" w:rsidRPr="00CD3508" w:rsidRDefault="00687D19" w:rsidP="005841D9">
      <w:pPr>
        <w:tabs>
          <w:tab w:val="left" w:pos="5295"/>
        </w:tabs>
        <w:jc w:val="both"/>
        <w:rPr>
          <w:b/>
          <w:sz w:val="20"/>
          <w:szCs w:val="20"/>
        </w:rPr>
      </w:pPr>
      <w:r w:rsidRPr="00CD3508">
        <w:rPr>
          <w:b/>
          <w:sz w:val="20"/>
          <w:szCs w:val="20"/>
        </w:rPr>
        <w:t xml:space="preserve">Nonresponse </w:t>
      </w:r>
      <w:r w:rsidR="001E4A52" w:rsidRPr="00CD3508">
        <w:rPr>
          <w:b/>
          <w:sz w:val="20"/>
          <w:szCs w:val="20"/>
        </w:rPr>
        <w:t>t</w:t>
      </w:r>
      <w:r w:rsidRPr="00CD3508">
        <w:rPr>
          <w:b/>
          <w:sz w:val="20"/>
          <w:szCs w:val="20"/>
        </w:rPr>
        <w:t xml:space="preserve">ypes and </w:t>
      </w:r>
      <w:r w:rsidR="001E4A52" w:rsidRPr="00CD3508">
        <w:rPr>
          <w:b/>
          <w:sz w:val="20"/>
          <w:szCs w:val="20"/>
        </w:rPr>
        <w:t>o</w:t>
      </w:r>
      <w:r w:rsidRPr="00CD3508">
        <w:rPr>
          <w:b/>
          <w:sz w:val="20"/>
          <w:szCs w:val="20"/>
        </w:rPr>
        <w:t xml:space="preserve">utcome </w:t>
      </w:r>
      <w:r w:rsidR="001E4A52" w:rsidRPr="00CD3508">
        <w:rPr>
          <w:b/>
          <w:sz w:val="20"/>
          <w:szCs w:val="20"/>
        </w:rPr>
        <w:t>c</w:t>
      </w:r>
      <w:r w:rsidRPr="00CD3508">
        <w:rPr>
          <w:b/>
          <w:sz w:val="20"/>
          <w:szCs w:val="20"/>
        </w:rPr>
        <w:t>odes</w:t>
      </w:r>
    </w:p>
    <w:p w:rsidR="00243EF5" w:rsidRPr="00CD3508" w:rsidRDefault="00417C43" w:rsidP="00417C43">
      <w:pPr>
        <w:jc w:val="both"/>
        <w:rPr>
          <w:sz w:val="20"/>
          <w:szCs w:val="20"/>
        </w:rPr>
      </w:pPr>
      <w:r w:rsidRPr="00CD3508">
        <w:rPr>
          <w:sz w:val="20"/>
          <w:szCs w:val="20"/>
        </w:rPr>
        <w:t>Like any survey, the CE does not get responses from every household it visits.  At most addresses, a household member participates in the survey and gives a “completed interview.”  However at some addresses, the survey’s field representative finds an occupied housing unit but either is unable to contact an eligible household member or is unable to convince a reluctant household member to participate in the survey.  Still, at other addresses the housing unit is unoccupied or is not eligible to participate in the survey.  Such households are called “nonresponders.”</w:t>
      </w:r>
    </w:p>
    <w:p w:rsidR="00417C43" w:rsidRPr="00CD3508" w:rsidRDefault="00417C43" w:rsidP="00417C43">
      <w:pPr>
        <w:jc w:val="both"/>
        <w:rPr>
          <w:sz w:val="20"/>
          <w:szCs w:val="20"/>
        </w:rPr>
      </w:pPr>
    </w:p>
    <w:p w:rsidR="008719AC" w:rsidRPr="00CD3508" w:rsidRDefault="008719AC" w:rsidP="008719AC">
      <w:pPr>
        <w:jc w:val="both"/>
        <w:rPr>
          <w:sz w:val="20"/>
          <w:szCs w:val="20"/>
        </w:rPr>
      </w:pPr>
      <w:r w:rsidRPr="00CD3508">
        <w:rPr>
          <w:sz w:val="20"/>
          <w:szCs w:val="20"/>
        </w:rPr>
        <w:t xml:space="preserve">Field representatives assign outcome codes </w:t>
      </w:r>
      <w:r w:rsidR="0059114F" w:rsidRPr="00CD3508">
        <w:rPr>
          <w:sz w:val="20"/>
          <w:szCs w:val="20"/>
        </w:rPr>
        <w:t>to</w:t>
      </w:r>
      <w:r w:rsidRPr="00CD3508">
        <w:rPr>
          <w:sz w:val="20"/>
          <w:szCs w:val="20"/>
        </w:rPr>
        <w:t xml:space="preserve"> each address they visit.  Multiple visits to a housing unit may be required before a final outcome code can be assigned.  Sometimes multiple visits are </w:t>
      </w:r>
      <w:r w:rsidR="007854AE" w:rsidRPr="00CD3508">
        <w:rPr>
          <w:sz w:val="20"/>
          <w:szCs w:val="20"/>
        </w:rPr>
        <w:t xml:space="preserve">made in </w:t>
      </w:r>
      <w:r w:rsidRPr="00CD3508">
        <w:rPr>
          <w:sz w:val="20"/>
          <w:szCs w:val="20"/>
        </w:rPr>
        <w:t xml:space="preserve">an attempt to convince </w:t>
      </w:r>
      <w:r w:rsidR="00057CEE">
        <w:rPr>
          <w:sz w:val="20"/>
          <w:szCs w:val="20"/>
        </w:rPr>
        <w:t xml:space="preserve">a </w:t>
      </w:r>
      <w:r w:rsidRPr="00CD3508">
        <w:rPr>
          <w:sz w:val="20"/>
          <w:szCs w:val="20"/>
        </w:rPr>
        <w:t xml:space="preserve">reluctant household to </w:t>
      </w:r>
      <w:r w:rsidR="00FE2204">
        <w:rPr>
          <w:sz w:val="20"/>
          <w:szCs w:val="20"/>
        </w:rPr>
        <w:t>participate in</w:t>
      </w:r>
      <w:r w:rsidRPr="00CD3508">
        <w:rPr>
          <w:sz w:val="20"/>
          <w:szCs w:val="20"/>
        </w:rPr>
        <w:t xml:space="preserve"> the survey</w:t>
      </w:r>
      <w:r w:rsidR="00CD0078">
        <w:rPr>
          <w:sz w:val="20"/>
          <w:szCs w:val="20"/>
        </w:rPr>
        <w:t>, and</w:t>
      </w:r>
      <w:r w:rsidRPr="00CD3508">
        <w:rPr>
          <w:sz w:val="20"/>
          <w:szCs w:val="20"/>
        </w:rPr>
        <w:t xml:space="preserve"> other times it takes more than one visit before a field representative actually contacts an eligible household member.  </w:t>
      </w:r>
      <w:r w:rsidR="00AB5241" w:rsidRPr="00CD3508">
        <w:rPr>
          <w:sz w:val="20"/>
          <w:szCs w:val="20"/>
        </w:rPr>
        <w:t>When</w:t>
      </w:r>
      <w:r w:rsidRPr="00CD3508">
        <w:rPr>
          <w:sz w:val="20"/>
          <w:szCs w:val="20"/>
        </w:rPr>
        <w:t xml:space="preserve"> field representatives make </w:t>
      </w:r>
      <w:r w:rsidR="00AB5241" w:rsidRPr="00CD3508">
        <w:rPr>
          <w:sz w:val="20"/>
          <w:szCs w:val="20"/>
        </w:rPr>
        <w:t>multiple visit</w:t>
      </w:r>
      <w:r w:rsidRPr="00CD3508">
        <w:rPr>
          <w:sz w:val="20"/>
          <w:szCs w:val="20"/>
        </w:rPr>
        <w:t xml:space="preserve">s and are still unable to find anyone home, they may obtain information from neighbors to verify the </w:t>
      </w:r>
      <w:r w:rsidR="00057CEE">
        <w:rPr>
          <w:sz w:val="20"/>
          <w:szCs w:val="20"/>
        </w:rPr>
        <w:t xml:space="preserve">eligibility </w:t>
      </w:r>
      <w:r w:rsidRPr="00CD3508">
        <w:rPr>
          <w:sz w:val="20"/>
          <w:szCs w:val="20"/>
        </w:rPr>
        <w:t xml:space="preserve">status of the </w:t>
      </w:r>
      <w:r w:rsidR="00104BCF">
        <w:rPr>
          <w:sz w:val="20"/>
          <w:szCs w:val="20"/>
        </w:rPr>
        <w:t xml:space="preserve">sampled </w:t>
      </w:r>
      <w:r w:rsidRPr="00CD3508">
        <w:rPr>
          <w:sz w:val="20"/>
          <w:szCs w:val="20"/>
        </w:rPr>
        <w:t xml:space="preserve">housing unit.  A </w:t>
      </w:r>
      <w:r w:rsidR="007854AE" w:rsidRPr="00CD3508">
        <w:rPr>
          <w:sz w:val="20"/>
          <w:szCs w:val="20"/>
        </w:rPr>
        <w:t>separa</w:t>
      </w:r>
      <w:r w:rsidRPr="00CD3508">
        <w:rPr>
          <w:sz w:val="20"/>
          <w:szCs w:val="20"/>
        </w:rPr>
        <w:t xml:space="preserve">te outcome code is assigned each quarter for sample households in </w:t>
      </w:r>
      <w:r w:rsidR="00B2765B" w:rsidRPr="00CD3508">
        <w:rPr>
          <w:sz w:val="20"/>
          <w:szCs w:val="20"/>
        </w:rPr>
        <w:t xml:space="preserve">the </w:t>
      </w:r>
      <w:r w:rsidR="004108A4" w:rsidRPr="00CD3508">
        <w:rPr>
          <w:sz w:val="20"/>
          <w:szCs w:val="20"/>
        </w:rPr>
        <w:t>Interview</w:t>
      </w:r>
      <w:r w:rsidR="00BE485A" w:rsidRPr="00CD3508">
        <w:rPr>
          <w:sz w:val="20"/>
          <w:szCs w:val="20"/>
        </w:rPr>
        <w:t xml:space="preserve"> Survey</w:t>
      </w:r>
      <w:r w:rsidRPr="00CD3508">
        <w:rPr>
          <w:sz w:val="20"/>
          <w:szCs w:val="20"/>
        </w:rPr>
        <w:t xml:space="preserve"> and each week for sample households in the </w:t>
      </w:r>
      <w:r w:rsidR="00BE485A" w:rsidRPr="00CD3508">
        <w:rPr>
          <w:sz w:val="20"/>
          <w:szCs w:val="20"/>
        </w:rPr>
        <w:t>Diary Survey</w:t>
      </w:r>
      <w:r w:rsidRPr="00CD3508">
        <w:rPr>
          <w:sz w:val="20"/>
          <w:szCs w:val="20"/>
        </w:rPr>
        <w:t xml:space="preserve">.  Although field representatives assign </w:t>
      </w:r>
      <w:r w:rsidR="00FE2204">
        <w:rPr>
          <w:sz w:val="20"/>
          <w:szCs w:val="20"/>
        </w:rPr>
        <w:t>an</w:t>
      </w:r>
      <w:r w:rsidRPr="00CD3508">
        <w:rPr>
          <w:sz w:val="20"/>
          <w:szCs w:val="20"/>
        </w:rPr>
        <w:t xml:space="preserve"> outcome code</w:t>
      </w:r>
      <w:r w:rsidR="00057CEE">
        <w:rPr>
          <w:sz w:val="20"/>
          <w:szCs w:val="20"/>
        </w:rPr>
        <w:t xml:space="preserve"> to every household in the sample</w:t>
      </w:r>
      <w:r w:rsidRPr="00CD3508">
        <w:rPr>
          <w:sz w:val="20"/>
          <w:szCs w:val="20"/>
        </w:rPr>
        <w:t xml:space="preserve">, </w:t>
      </w:r>
      <w:r w:rsidR="00A73529" w:rsidRPr="00CD3508">
        <w:rPr>
          <w:sz w:val="20"/>
          <w:szCs w:val="20"/>
        </w:rPr>
        <w:t xml:space="preserve">the BLS </w:t>
      </w:r>
      <w:r w:rsidR="00057CEE">
        <w:rPr>
          <w:sz w:val="20"/>
          <w:szCs w:val="20"/>
        </w:rPr>
        <w:t xml:space="preserve">occasionally changes it </w:t>
      </w:r>
      <w:r w:rsidR="00A73529" w:rsidRPr="00CD3508">
        <w:rPr>
          <w:sz w:val="20"/>
          <w:szCs w:val="20"/>
        </w:rPr>
        <w:t xml:space="preserve">later </w:t>
      </w:r>
      <w:r w:rsidR="00C10E34" w:rsidRPr="00CD3508">
        <w:rPr>
          <w:sz w:val="20"/>
          <w:szCs w:val="20"/>
        </w:rPr>
        <w:t xml:space="preserve">based on </w:t>
      </w:r>
      <w:r w:rsidR="00A73529" w:rsidRPr="00CD3508">
        <w:rPr>
          <w:sz w:val="20"/>
          <w:szCs w:val="20"/>
        </w:rPr>
        <w:t xml:space="preserve">criteria which measure the completeness of respondents’ </w:t>
      </w:r>
      <w:r w:rsidR="00FB5D2C" w:rsidRPr="00CD3508">
        <w:rPr>
          <w:sz w:val="20"/>
          <w:szCs w:val="20"/>
        </w:rPr>
        <w:t>reporting of household income and expenses</w:t>
      </w:r>
      <w:r w:rsidR="00A73529" w:rsidRPr="00CD3508">
        <w:rPr>
          <w:sz w:val="20"/>
          <w:szCs w:val="20"/>
        </w:rPr>
        <w:t>.</w:t>
      </w:r>
    </w:p>
    <w:p w:rsidR="008719AC" w:rsidRPr="00CD3508" w:rsidRDefault="008719AC" w:rsidP="000966F7">
      <w:pPr>
        <w:jc w:val="both"/>
        <w:rPr>
          <w:sz w:val="20"/>
          <w:szCs w:val="20"/>
        </w:rPr>
      </w:pPr>
    </w:p>
    <w:p w:rsidR="00DE405B" w:rsidRPr="00CD3508" w:rsidRDefault="004C297A" w:rsidP="00DE405B">
      <w:pPr>
        <w:jc w:val="both"/>
        <w:rPr>
          <w:sz w:val="20"/>
          <w:szCs w:val="20"/>
        </w:rPr>
      </w:pPr>
      <w:r w:rsidRPr="00CD3508">
        <w:rPr>
          <w:sz w:val="20"/>
          <w:szCs w:val="20"/>
        </w:rPr>
        <w:t xml:space="preserve">There are more than 30 different outcome codes from which field representatives select </w:t>
      </w:r>
      <w:r w:rsidR="00EE146A" w:rsidRPr="00CD3508">
        <w:rPr>
          <w:sz w:val="20"/>
          <w:szCs w:val="20"/>
        </w:rPr>
        <w:t xml:space="preserve">to </w:t>
      </w:r>
      <w:r w:rsidRPr="00CD3508">
        <w:rPr>
          <w:sz w:val="20"/>
          <w:szCs w:val="20"/>
        </w:rPr>
        <w:t xml:space="preserve">describe the </w:t>
      </w:r>
      <w:r w:rsidR="00EE146A" w:rsidRPr="00CD3508">
        <w:rPr>
          <w:sz w:val="20"/>
          <w:szCs w:val="20"/>
        </w:rPr>
        <w:t xml:space="preserve">nonresponse </w:t>
      </w:r>
      <w:r w:rsidRPr="00CD3508">
        <w:rPr>
          <w:sz w:val="20"/>
          <w:szCs w:val="20"/>
        </w:rPr>
        <w:t xml:space="preserve">situation they find at an address.  </w:t>
      </w:r>
      <w:r w:rsidR="00093C83" w:rsidRPr="00CD3508">
        <w:rPr>
          <w:sz w:val="20"/>
          <w:szCs w:val="20"/>
        </w:rPr>
        <w:t>These outcome codes</w:t>
      </w:r>
      <w:r w:rsidR="00FB5D2C" w:rsidRPr="00CD3508">
        <w:rPr>
          <w:sz w:val="20"/>
          <w:szCs w:val="20"/>
        </w:rPr>
        <w:t xml:space="preserve"> are </w:t>
      </w:r>
      <w:r w:rsidR="00BE485A" w:rsidRPr="00CD3508">
        <w:rPr>
          <w:sz w:val="20"/>
          <w:szCs w:val="20"/>
        </w:rPr>
        <w:t>categorized as Types A, B, and</w:t>
      </w:r>
      <w:r w:rsidR="0025712F" w:rsidRPr="00CD3508">
        <w:rPr>
          <w:sz w:val="20"/>
          <w:szCs w:val="20"/>
        </w:rPr>
        <w:t xml:space="preserve"> C</w:t>
      </w:r>
      <w:r w:rsidR="00A73529" w:rsidRPr="00CD3508">
        <w:rPr>
          <w:sz w:val="20"/>
          <w:szCs w:val="20"/>
        </w:rPr>
        <w:t xml:space="preserve"> nonresponses</w:t>
      </w:r>
      <w:r w:rsidR="00DE405B" w:rsidRPr="00CD3508">
        <w:rPr>
          <w:sz w:val="20"/>
          <w:szCs w:val="20"/>
        </w:rPr>
        <w:t xml:space="preserve">.  </w:t>
      </w:r>
      <w:r w:rsidR="008232DD" w:rsidRPr="00CD3508">
        <w:rPr>
          <w:sz w:val="20"/>
          <w:szCs w:val="20"/>
        </w:rPr>
        <w:t>Some</w:t>
      </w:r>
      <w:r w:rsidR="00DE405B" w:rsidRPr="00CD3508">
        <w:rPr>
          <w:sz w:val="20"/>
          <w:szCs w:val="20"/>
        </w:rPr>
        <w:t xml:space="preserve"> </w:t>
      </w:r>
      <w:r w:rsidR="00EE146A" w:rsidRPr="00CD3508">
        <w:rPr>
          <w:sz w:val="20"/>
          <w:szCs w:val="20"/>
        </w:rPr>
        <w:t xml:space="preserve">common </w:t>
      </w:r>
      <w:r w:rsidR="00DE405B" w:rsidRPr="00CD3508">
        <w:rPr>
          <w:sz w:val="20"/>
          <w:szCs w:val="20"/>
        </w:rPr>
        <w:t xml:space="preserve">outcome codes for Type A </w:t>
      </w:r>
      <w:r w:rsidR="0025712F" w:rsidRPr="00CD3508">
        <w:rPr>
          <w:sz w:val="20"/>
          <w:szCs w:val="20"/>
        </w:rPr>
        <w:t xml:space="preserve">nonresponses </w:t>
      </w:r>
      <w:r w:rsidR="00AB5241" w:rsidRPr="00CD3508">
        <w:rPr>
          <w:sz w:val="20"/>
          <w:szCs w:val="20"/>
        </w:rPr>
        <w:t>ar</w:t>
      </w:r>
      <w:r w:rsidR="00DE405B" w:rsidRPr="00CD3508">
        <w:rPr>
          <w:sz w:val="20"/>
          <w:szCs w:val="20"/>
        </w:rPr>
        <w:t>e:  No one home (unable to contact)</w:t>
      </w:r>
      <w:r w:rsidR="007814ED" w:rsidRPr="00CD3508">
        <w:rPr>
          <w:sz w:val="20"/>
          <w:szCs w:val="20"/>
        </w:rPr>
        <w:t>;</w:t>
      </w:r>
      <w:r w:rsidR="00DE405B" w:rsidRPr="00CD3508">
        <w:rPr>
          <w:sz w:val="20"/>
          <w:szCs w:val="20"/>
        </w:rPr>
        <w:t xml:space="preserve"> Refused—hostile respondent</w:t>
      </w:r>
      <w:r w:rsidR="007814ED" w:rsidRPr="00CD3508">
        <w:rPr>
          <w:sz w:val="20"/>
          <w:szCs w:val="20"/>
        </w:rPr>
        <w:t>;</w:t>
      </w:r>
      <w:r w:rsidR="00DE405B" w:rsidRPr="00CD3508">
        <w:rPr>
          <w:sz w:val="20"/>
          <w:szCs w:val="20"/>
        </w:rPr>
        <w:t xml:space="preserve"> Refused—time-related excuses</w:t>
      </w:r>
      <w:r w:rsidR="007814ED" w:rsidRPr="00CD3508">
        <w:rPr>
          <w:sz w:val="20"/>
          <w:szCs w:val="20"/>
        </w:rPr>
        <w:t>;</w:t>
      </w:r>
      <w:r w:rsidR="00DE405B" w:rsidRPr="00CD3508">
        <w:rPr>
          <w:sz w:val="20"/>
          <w:szCs w:val="20"/>
        </w:rPr>
        <w:t xml:space="preserve"> </w:t>
      </w:r>
      <w:r w:rsidR="00F75EAC" w:rsidRPr="00CD3508">
        <w:rPr>
          <w:sz w:val="20"/>
          <w:szCs w:val="20"/>
        </w:rPr>
        <w:t xml:space="preserve">and </w:t>
      </w:r>
      <w:r w:rsidR="00DE405B" w:rsidRPr="00CD3508">
        <w:rPr>
          <w:sz w:val="20"/>
          <w:szCs w:val="20"/>
        </w:rPr>
        <w:t xml:space="preserve">Refused—language problems.  </w:t>
      </w:r>
      <w:r w:rsidR="008232DD" w:rsidRPr="00CD3508">
        <w:rPr>
          <w:sz w:val="20"/>
          <w:szCs w:val="20"/>
        </w:rPr>
        <w:t xml:space="preserve">Some </w:t>
      </w:r>
      <w:r w:rsidR="00EE146A" w:rsidRPr="00CD3508">
        <w:rPr>
          <w:sz w:val="20"/>
          <w:szCs w:val="20"/>
        </w:rPr>
        <w:t xml:space="preserve">common </w:t>
      </w:r>
      <w:r w:rsidR="00E27576" w:rsidRPr="00CD3508">
        <w:rPr>
          <w:sz w:val="20"/>
          <w:szCs w:val="20"/>
        </w:rPr>
        <w:t>o</w:t>
      </w:r>
      <w:r w:rsidR="00DE405B" w:rsidRPr="00CD3508">
        <w:rPr>
          <w:sz w:val="20"/>
          <w:szCs w:val="20"/>
        </w:rPr>
        <w:t xml:space="preserve">utcome codes for Type B nonresponses </w:t>
      </w:r>
      <w:r w:rsidR="00AB5241" w:rsidRPr="00CD3508">
        <w:rPr>
          <w:sz w:val="20"/>
          <w:szCs w:val="20"/>
        </w:rPr>
        <w:t>are</w:t>
      </w:r>
      <w:r w:rsidR="00DE405B" w:rsidRPr="00CD3508">
        <w:rPr>
          <w:sz w:val="20"/>
          <w:szCs w:val="20"/>
        </w:rPr>
        <w:t>:  Occupied by persons w</w:t>
      </w:r>
      <w:r w:rsidR="00104BCF">
        <w:rPr>
          <w:sz w:val="20"/>
          <w:szCs w:val="20"/>
        </w:rPr>
        <w:t>hose</w:t>
      </w:r>
      <w:r w:rsidR="00DE405B" w:rsidRPr="00CD3508">
        <w:rPr>
          <w:sz w:val="20"/>
          <w:szCs w:val="20"/>
        </w:rPr>
        <w:t xml:space="preserve"> usual residenc</w:t>
      </w:r>
      <w:r w:rsidR="00104BCF">
        <w:rPr>
          <w:sz w:val="20"/>
          <w:szCs w:val="20"/>
        </w:rPr>
        <w:t>e is</w:t>
      </w:r>
      <w:r w:rsidR="00DE405B" w:rsidRPr="00CD3508">
        <w:rPr>
          <w:sz w:val="20"/>
          <w:szCs w:val="20"/>
        </w:rPr>
        <w:t xml:space="preserve"> elsewhere</w:t>
      </w:r>
      <w:r w:rsidR="00F75EAC" w:rsidRPr="00CD3508">
        <w:rPr>
          <w:sz w:val="20"/>
          <w:szCs w:val="20"/>
        </w:rPr>
        <w:t xml:space="preserve">; </w:t>
      </w:r>
      <w:r w:rsidR="00DE405B" w:rsidRPr="00CD3508">
        <w:rPr>
          <w:sz w:val="20"/>
          <w:szCs w:val="20"/>
        </w:rPr>
        <w:t>Vacant for rent</w:t>
      </w:r>
      <w:r w:rsidR="00F75EAC" w:rsidRPr="00CD3508">
        <w:rPr>
          <w:sz w:val="20"/>
          <w:szCs w:val="20"/>
        </w:rPr>
        <w:t xml:space="preserve">; </w:t>
      </w:r>
      <w:r w:rsidR="00DE405B" w:rsidRPr="00CD3508">
        <w:rPr>
          <w:sz w:val="20"/>
          <w:szCs w:val="20"/>
        </w:rPr>
        <w:t>Vacant for sale</w:t>
      </w:r>
      <w:r w:rsidR="00F75EAC" w:rsidRPr="00CD3508">
        <w:rPr>
          <w:sz w:val="20"/>
          <w:szCs w:val="20"/>
        </w:rPr>
        <w:t xml:space="preserve">; </w:t>
      </w:r>
      <w:r w:rsidR="00BE485A" w:rsidRPr="00CD3508">
        <w:rPr>
          <w:sz w:val="20"/>
          <w:szCs w:val="20"/>
        </w:rPr>
        <w:t xml:space="preserve">and </w:t>
      </w:r>
      <w:r w:rsidR="00DE405B" w:rsidRPr="00CD3508">
        <w:rPr>
          <w:sz w:val="20"/>
          <w:szCs w:val="20"/>
        </w:rPr>
        <w:t xml:space="preserve">Unit under construction.  </w:t>
      </w:r>
      <w:r w:rsidR="008232DD" w:rsidRPr="00CD3508">
        <w:rPr>
          <w:sz w:val="20"/>
          <w:szCs w:val="20"/>
        </w:rPr>
        <w:t>Some</w:t>
      </w:r>
      <w:r w:rsidR="00EE146A" w:rsidRPr="00CD3508">
        <w:rPr>
          <w:sz w:val="20"/>
          <w:szCs w:val="20"/>
        </w:rPr>
        <w:t xml:space="preserve"> common</w:t>
      </w:r>
      <w:r w:rsidR="008232DD" w:rsidRPr="00CD3508">
        <w:rPr>
          <w:sz w:val="20"/>
          <w:szCs w:val="20"/>
        </w:rPr>
        <w:t xml:space="preserve"> </w:t>
      </w:r>
      <w:r w:rsidR="00E27576" w:rsidRPr="00CD3508">
        <w:rPr>
          <w:sz w:val="20"/>
          <w:szCs w:val="20"/>
        </w:rPr>
        <w:t>o</w:t>
      </w:r>
      <w:r w:rsidR="00DE405B" w:rsidRPr="00CD3508">
        <w:rPr>
          <w:sz w:val="20"/>
          <w:szCs w:val="20"/>
        </w:rPr>
        <w:t xml:space="preserve">utcome codes for Type C nonresponses </w:t>
      </w:r>
      <w:r w:rsidR="00AB5241" w:rsidRPr="00CD3508">
        <w:rPr>
          <w:sz w:val="20"/>
          <w:szCs w:val="20"/>
        </w:rPr>
        <w:t>are</w:t>
      </w:r>
      <w:r w:rsidR="00DE405B" w:rsidRPr="00CD3508">
        <w:rPr>
          <w:sz w:val="20"/>
          <w:szCs w:val="20"/>
        </w:rPr>
        <w:t>:  Dwelling demolished</w:t>
      </w:r>
      <w:r w:rsidR="007814ED" w:rsidRPr="00CD3508">
        <w:rPr>
          <w:sz w:val="20"/>
          <w:szCs w:val="20"/>
        </w:rPr>
        <w:t>;</w:t>
      </w:r>
      <w:r w:rsidR="00DE405B" w:rsidRPr="00CD3508">
        <w:rPr>
          <w:sz w:val="20"/>
          <w:szCs w:val="20"/>
        </w:rPr>
        <w:t xml:space="preserve"> </w:t>
      </w:r>
      <w:r w:rsidR="00104BCF">
        <w:rPr>
          <w:sz w:val="20"/>
          <w:szCs w:val="20"/>
        </w:rPr>
        <w:t xml:space="preserve">Dwelling condemned; </w:t>
      </w:r>
      <w:r w:rsidR="00DE405B" w:rsidRPr="00CD3508">
        <w:rPr>
          <w:sz w:val="20"/>
          <w:szCs w:val="20"/>
        </w:rPr>
        <w:t>House or trailer moved</w:t>
      </w:r>
      <w:r w:rsidR="007814ED" w:rsidRPr="00CD3508">
        <w:rPr>
          <w:sz w:val="20"/>
          <w:szCs w:val="20"/>
        </w:rPr>
        <w:t>;</w:t>
      </w:r>
      <w:r w:rsidR="00DE405B" w:rsidRPr="00CD3508">
        <w:rPr>
          <w:sz w:val="20"/>
          <w:szCs w:val="20"/>
        </w:rPr>
        <w:t xml:space="preserve"> </w:t>
      </w:r>
      <w:r w:rsidR="00F75EAC" w:rsidRPr="00CD3508">
        <w:rPr>
          <w:sz w:val="20"/>
          <w:szCs w:val="20"/>
        </w:rPr>
        <w:t xml:space="preserve">and </w:t>
      </w:r>
      <w:r w:rsidR="00DE405B" w:rsidRPr="00CD3508">
        <w:rPr>
          <w:sz w:val="20"/>
          <w:szCs w:val="20"/>
        </w:rPr>
        <w:t>Lo</w:t>
      </w:r>
      <w:r w:rsidR="00BE485A" w:rsidRPr="00CD3508">
        <w:rPr>
          <w:sz w:val="20"/>
          <w:szCs w:val="20"/>
        </w:rPr>
        <w:t>cated on military base or post</w:t>
      </w:r>
      <w:r w:rsidR="00DE405B" w:rsidRPr="00CD3508">
        <w:rPr>
          <w:sz w:val="20"/>
          <w:szCs w:val="20"/>
        </w:rPr>
        <w:t>.</w:t>
      </w:r>
    </w:p>
    <w:p w:rsidR="00DE405B" w:rsidRPr="00CD3508" w:rsidRDefault="00DE405B" w:rsidP="00DE405B">
      <w:pPr>
        <w:jc w:val="both"/>
        <w:rPr>
          <w:sz w:val="20"/>
          <w:szCs w:val="20"/>
        </w:rPr>
      </w:pPr>
    </w:p>
    <w:p w:rsidR="007854AE" w:rsidRPr="00CD3508" w:rsidRDefault="000645C7" w:rsidP="000966F7">
      <w:pPr>
        <w:tabs>
          <w:tab w:val="left" w:pos="5295"/>
        </w:tabs>
        <w:jc w:val="both"/>
        <w:rPr>
          <w:sz w:val="20"/>
          <w:szCs w:val="20"/>
        </w:rPr>
      </w:pPr>
      <w:r w:rsidRPr="00CD3508">
        <w:rPr>
          <w:sz w:val="20"/>
          <w:szCs w:val="20"/>
        </w:rPr>
        <w:t xml:space="preserve">Two </w:t>
      </w:r>
      <w:r w:rsidR="0073116D" w:rsidRPr="00CD3508">
        <w:rPr>
          <w:sz w:val="20"/>
          <w:szCs w:val="20"/>
        </w:rPr>
        <w:t xml:space="preserve">important </w:t>
      </w:r>
      <w:r w:rsidRPr="00CD3508">
        <w:rPr>
          <w:sz w:val="20"/>
          <w:szCs w:val="20"/>
        </w:rPr>
        <w:t xml:space="preserve">concepts in classifying </w:t>
      </w:r>
      <w:r w:rsidR="00EE146A" w:rsidRPr="00CD3508">
        <w:rPr>
          <w:sz w:val="20"/>
          <w:szCs w:val="20"/>
        </w:rPr>
        <w:t>sample addresses in terms of response and nonresponse</w:t>
      </w:r>
      <w:r w:rsidRPr="00CD3508">
        <w:rPr>
          <w:sz w:val="20"/>
          <w:szCs w:val="20"/>
        </w:rPr>
        <w:t xml:space="preserve"> are </w:t>
      </w:r>
      <w:r w:rsidR="004A4EBE" w:rsidRPr="00CD3508">
        <w:rPr>
          <w:sz w:val="20"/>
          <w:szCs w:val="20"/>
        </w:rPr>
        <w:t>“in-scope”</w:t>
      </w:r>
      <w:r w:rsidR="0062014F">
        <w:rPr>
          <w:sz w:val="20"/>
          <w:szCs w:val="20"/>
        </w:rPr>
        <w:t xml:space="preserve"> and “eligible</w:t>
      </w:r>
      <w:r w:rsidR="0062014F" w:rsidRPr="00F23C7C">
        <w:rPr>
          <w:sz w:val="20"/>
          <w:szCs w:val="20"/>
        </w:rPr>
        <w:t>.”</w:t>
      </w:r>
      <w:r w:rsidR="0073116D" w:rsidRPr="00F23C7C">
        <w:rPr>
          <w:sz w:val="20"/>
          <w:szCs w:val="20"/>
        </w:rPr>
        <w:t xml:space="preserve">  </w:t>
      </w:r>
      <w:r w:rsidR="00F23C7C" w:rsidRPr="00F23C7C">
        <w:rPr>
          <w:sz w:val="20"/>
          <w:szCs w:val="20"/>
        </w:rPr>
        <w:t>“</w:t>
      </w:r>
      <w:r w:rsidR="00F270A6" w:rsidRPr="00F23C7C">
        <w:rPr>
          <w:sz w:val="20"/>
          <w:szCs w:val="20"/>
        </w:rPr>
        <w:t>In</w:t>
      </w:r>
      <w:r w:rsidR="00F270A6" w:rsidRPr="00CD3508">
        <w:rPr>
          <w:sz w:val="20"/>
          <w:szCs w:val="20"/>
        </w:rPr>
        <w:t>-scope</w:t>
      </w:r>
      <w:r w:rsidR="00F23C7C">
        <w:rPr>
          <w:sz w:val="20"/>
          <w:szCs w:val="20"/>
        </w:rPr>
        <w:t>”</w:t>
      </w:r>
      <w:r w:rsidR="00F270A6" w:rsidRPr="00CD3508">
        <w:rPr>
          <w:sz w:val="20"/>
          <w:szCs w:val="20"/>
        </w:rPr>
        <w:t xml:space="preserve"> </w:t>
      </w:r>
      <w:r w:rsidR="00690F55" w:rsidRPr="00CD3508">
        <w:rPr>
          <w:sz w:val="20"/>
          <w:szCs w:val="20"/>
        </w:rPr>
        <w:t xml:space="preserve">refers to </w:t>
      </w:r>
      <w:r w:rsidR="0032739E" w:rsidRPr="00CD3508">
        <w:rPr>
          <w:sz w:val="20"/>
          <w:szCs w:val="20"/>
        </w:rPr>
        <w:t xml:space="preserve">addresses </w:t>
      </w:r>
      <w:r w:rsidR="00AB5241" w:rsidRPr="00CD3508">
        <w:rPr>
          <w:sz w:val="20"/>
          <w:szCs w:val="20"/>
        </w:rPr>
        <w:t>that have</w:t>
      </w:r>
      <w:r w:rsidR="0032739E" w:rsidRPr="00CD3508">
        <w:rPr>
          <w:sz w:val="20"/>
          <w:szCs w:val="20"/>
        </w:rPr>
        <w:t xml:space="preserve"> </w:t>
      </w:r>
      <w:r w:rsidR="00771B6C" w:rsidRPr="00CD3508">
        <w:rPr>
          <w:sz w:val="20"/>
          <w:szCs w:val="20"/>
        </w:rPr>
        <w:t xml:space="preserve">residential </w:t>
      </w:r>
      <w:r w:rsidR="00690F55" w:rsidRPr="00CD3508">
        <w:rPr>
          <w:sz w:val="20"/>
          <w:szCs w:val="20"/>
        </w:rPr>
        <w:t>housing units</w:t>
      </w:r>
      <w:r w:rsidR="00104BCF">
        <w:rPr>
          <w:sz w:val="20"/>
          <w:szCs w:val="20"/>
        </w:rPr>
        <w:t>, and “o</w:t>
      </w:r>
      <w:r w:rsidR="00F270A6" w:rsidRPr="00CD3508">
        <w:rPr>
          <w:sz w:val="20"/>
          <w:szCs w:val="20"/>
        </w:rPr>
        <w:t>ut-of-scope</w:t>
      </w:r>
      <w:r w:rsidR="00104BCF">
        <w:rPr>
          <w:sz w:val="20"/>
          <w:szCs w:val="20"/>
        </w:rPr>
        <w:t>”</w:t>
      </w:r>
      <w:r w:rsidR="00F270A6" w:rsidRPr="00CD3508">
        <w:rPr>
          <w:sz w:val="20"/>
          <w:szCs w:val="20"/>
        </w:rPr>
        <w:t xml:space="preserve"> </w:t>
      </w:r>
      <w:r w:rsidR="00104BCF">
        <w:rPr>
          <w:sz w:val="20"/>
          <w:szCs w:val="20"/>
        </w:rPr>
        <w:t xml:space="preserve">refers to </w:t>
      </w:r>
      <w:r w:rsidR="00F270A6" w:rsidRPr="00CD3508">
        <w:rPr>
          <w:sz w:val="20"/>
          <w:szCs w:val="20"/>
        </w:rPr>
        <w:t xml:space="preserve">addresses </w:t>
      </w:r>
      <w:r w:rsidR="00104BCF">
        <w:rPr>
          <w:sz w:val="20"/>
          <w:szCs w:val="20"/>
        </w:rPr>
        <w:t xml:space="preserve">that </w:t>
      </w:r>
      <w:r w:rsidR="009C3C60" w:rsidRPr="00CD3508">
        <w:rPr>
          <w:sz w:val="20"/>
          <w:szCs w:val="20"/>
        </w:rPr>
        <w:t xml:space="preserve">are </w:t>
      </w:r>
      <w:r w:rsidR="00F270A6" w:rsidRPr="00CD3508">
        <w:rPr>
          <w:sz w:val="20"/>
          <w:szCs w:val="20"/>
        </w:rPr>
        <w:t>non-residential</w:t>
      </w:r>
      <w:r w:rsidR="0062014F">
        <w:rPr>
          <w:sz w:val="20"/>
          <w:szCs w:val="20"/>
        </w:rPr>
        <w:t xml:space="preserve"> or non-existent</w:t>
      </w:r>
      <w:r w:rsidR="00104BCF">
        <w:rPr>
          <w:sz w:val="20"/>
          <w:szCs w:val="20"/>
        </w:rPr>
        <w:t>.  Out-of-scope addresses</w:t>
      </w:r>
      <w:r w:rsidR="00F23C7C">
        <w:rPr>
          <w:sz w:val="20"/>
          <w:szCs w:val="20"/>
        </w:rPr>
        <w:t xml:space="preserve"> </w:t>
      </w:r>
      <w:r w:rsidR="0062014F">
        <w:rPr>
          <w:sz w:val="20"/>
          <w:szCs w:val="20"/>
        </w:rPr>
        <w:t>are</w:t>
      </w:r>
      <w:r w:rsidR="00973EC6" w:rsidRPr="00CD3508">
        <w:rPr>
          <w:sz w:val="20"/>
          <w:szCs w:val="20"/>
        </w:rPr>
        <w:t xml:space="preserve"> </w:t>
      </w:r>
      <w:r w:rsidR="00104BCF">
        <w:rPr>
          <w:sz w:val="20"/>
          <w:szCs w:val="20"/>
        </w:rPr>
        <w:t xml:space="preserve">generally </w:t>
      </w:r>
      <w:r w:rsidR="0009100E" w:rsidRPr="00CD3508">
        <w:rPr>
          <w:sz w:val="20"/>
          <w:szCs w:val="20"/>
        </w:rPr>
        <w:t>the result of</w:t>
      </w:r>
      <w:r w:rsidR="00973EC6" w:rsidRPr="00CD3508">
        <w:rPr>
          <w:sz w:val="20"/>
          <w:szCs w:val="20"/>
        </w:rPr>
        <w:t xml:space="preserve"> </w:t>
      </w:r>
      <w:r w:rsidR="009C3C60" w:rsidRPr="00CD3508">
        <w:rPr>
          <w:sz w:val="20"/>
          <w:szCs w:val="20"/>
        </w:rPr>
        <w:t>i</w:t>
      </w:r>
      <w:r w:rsidR="001761DE">
        <w:rPr>
          <w:sz w:val="20"/>
          <w:szCs w:val="20"/>
        </w:rPr>
        <w:t>mperfect</w:t>
      </w:r>
      <w:r w:rsidR="009C3C60" w:rsidRPr="00CD3508">
        <w:rPr>
          <w:sz w:val="20"/>
          <w:szCs w:val="20"/>
        </w:rPr>
        <w:t xml:space="preserve"> </w:t>
      </w:r>
      <w:r w:rsidR="003B7B94">
        <w:rPr>
          <w:sz w:val="20"/>
          <w:szCs w:val="20"/>
        </w:rPr>
        <w:t>information on</w:t>
      </w:r>
      <w:r w:rsidR="005714DA" w:rsidRPr="00CD3508">
        <w:rPr>
          <w:sz w:val="20"/>
          <w:szCs w:val="20"/>
        </w:rPr>
        <w:t xml:space="preserve"> the sampling frame.</w:t>
      </w:r>
      <w:r w:rsidR="0062014F">
        <w:rPr>
          <w:sz w:val="20"/>
          <w:szCs w:val="20"/>
        </w:rPr>
        <w:t xml:space="preserve"> </w:t>
      </w:r>
      <w:r w:rsidR="0062014F" w:rsidRPr="0062014F">
        <w:rPr>
          <w:sz w:val="20"/>
          <w:szCs w:val="20"/>
        </w:rPr>
        <w:t xml:space="preserve"> </w:t>
      </w:r>
      <w:r w:rsidR="0062014F" w:rsidRPr="00CD3508">
        <w:rPr>
          <w:sz w:val="20"/>
          <w:szCs w:val="20"/>
        </w:rPr>
        <w:t xml:space="preserve">Completed interviews and Type A and </w:t>
      </w:r>
      <w:r w:rsidR="00255580">
        <w:rPr>
          <w:sz w:val="20"/>
          <w:szCs w:val="20"/>
        </w:rPr>
        <w:t xml:space="preserve">Type </w:t>
      </w:r>
      <w:r w:rsidR="0062014F" w:rsidRPr="00CD3508">
        <w:rPr>
          <w:sz w:val="20"/>
          <w:szCs w:val="20"/>
        </w:rPr>
        <w:t>B nonresponders are all “in-scope” while Type C nonresponders are “</w:t>
      </w:r>
      <w:r w:rsidR="0062014F">
        <w:rPr>
          <w:sz w:val="20"/>
          <w:szCs w:val="20"/>
        </w:rPr>
        <w:t>out-of-scope” for the CE.</w:t>
      </w:r>
      <w:r w:rsidR="003B7B94">
        <w:rPr>
          <w:sz w:val="20"/>
          <w:szCs w:val="20"/>
        </w:rPr>
        <w:t xml:space="preserve">  “Eligible” refers to residential addresses </w:t>
      </w:r>
      <w:r w:rsidR="00FE2204">
        <w:rPr>
          <w:sz w:val="20"/>
          <w:szCs w:val="20"/>
        </w:rPr>
        <w:t xml:space="preserve">that are </w:t>
      </w:r>
      <w:r w:rsidR="003B7B94">
        <w:rPr>
          <w:sz w:val="20"/>
          <w:szCs w:val="20"/>
        </w:rPr>
        <w:t>occupied</w:t>
      </w:r>
      <w:r w:rsidR="00894BAB">
        <w:rPr>
          <w:sz w:val="20"/>
          <w:szCs w:val="20"/>
        </w:rPr>
        <w:t xml:space="preserve"> by people who use </w:t>
      </w:r>
      <w:r w:rsidR="001761DE">
        <w:rPr>
          <w:sz w:val="20"/>
          <w:szCs w:val="20"/>
        </w:rPr>
        <w:t>the housing unit</w:t>
      </w:r>
      <w:r w:rsidR="00894BAB">
        <w:rPr>
          <w:sz w:val="20"/>
          <w:szCs w:val="20"/>
        </w:rPr>
        <w:t xml:space="preserve"> as their primary </w:t>
      </w:r>
      <w:r w:rsidR="00255580">
        <w:rPr>
          <w:sz w:val="20"/>
          <w:szCs w:val="20"/>
        </w:rPr>
        <w:t>residence</w:t>
      </w:r>
      <w:r w:rsidR="00894BAB">
        <w:rPr>
          <w:sz w:val="20"/>
          <w:szCs w:val="20"/>
        </w:rPr>
        <w:t>.  Ineligible addresses are nonresidential</w:t>
      </w:r>
      <w:r w:rsidR="00F23C7C">
        <w:rPr>
          <w:sz w:val="20"/>
          <w:szCs w:val="20"/>
        </w:rPr>
        <w:t xml:space="preserve">, vacant, or occupied by people whose usual residence is elsewhere.  </w:t>
      </w:r>
      <w:r w:rsidR="0009100E" w:rsidRPr="00CD3508">
        <w:rPr>
          <w:sz w:val="20"/>
          <w:szCs w:val="20"/>
        </w:rPr>
        <w:t xml:space="preserve">Completed interviews and Type A nonresponders are eligible, but Type </w:t>
      </w:r>
      <w:r w:rsidR="0009100E" w:rsidRPr="00CD3508">
        <w:rPr>
          <w:sz w:val="20"/>
          <w:szCs w:val="20"/>
        </w:rPr>
        <w:lastRenderedPageBreak/>
        <w:t xml:space="preserve">B and </w:t>
      </w:r>
      <w:r w:rsidR="00255580">
        <w:rPr>
          <w:sz w:val="20"/>
          <w:szCs w:val="20"/>
        </w:rPr>
        <w:t xml:space="preserve">Type </w:t>
      </w:r>
      <w:r w:rsidR="0009100E" w:rsidRPr="00CD3508">
        <w:rPr>
          <w:sz w:val="20"/>
          <w:szCs w:val="20"/>
        </w:rPr>
        <w:t xml:space="preserve">C nonresponders are </w:t>
      </w:r>
      <w:r w:rsidR="00F92CE3">
        <w:rPr>
          <w:sz w:val="20"/>
          <w:szCs w:val="20"/>
        </w:rPr>
        <w:t>in</w:t>
      </w:r>
      <w:r w:rsidR="0009100E" w:rsidRPr="00CD3508">
        <w:rPr>
          <w:sz w:val="20"/>
          <w:szCs w:val="20"/>
        </w:rPr>
        <w:t xml:space="preserve">eligible.  Only addresses </w:t>
      </w:r>
      <w:r w:rsidR="00F92CE3">
        <w:rPr>
          <w:sz w:val="20"/>
          <w:szCs w:val="20"/>
        </w:rPr>
        <w:t xml:space="preserve">that are both in-scope and eligible </w:t>
      </w:r>
      <w:r w:rsidR="0009100E" w:rsidRPr="00CD3508">
        <w:rPr>
          <w:sz w:val="20"/>
          <w:szCs w:val="20"/>
        </w:rPr>
        <w:t>are used in t</w:t>
      </w:r>
      <w:r w:rsidR="007854AE" w:rsidRPr="00CD3508">
        <w:rPr>
          <w:sz w:val="20"/>
          <w:szCs w:val="20"/>
        </w:rPr>
        <w:t>he response rate calculations.</w:t>
      </w:r>
    </w:p>
    <w:p w:rsidR="007854AE" w:rsidRPr="00CD3508" w:rsidRDefault="007854AE" w:rsidP="000966F7">
      <w:pPr>
        <w:tabs>
          <w:tab w:val="left" w:pos="5295"/>
        </w:tabs>
        <w:jc w:val="both"/>
        <w:rPr>
          <w:sz w:val="20"/>
          <w:szCs w:val="20"/>
        </w:rPr>
      </w:pPr>
    </w:p>
    <w:p w:rsidR="00AB5241" w:rsidRPr="00CD3508" w:rsidRDefault="00AB5241" w:rsidP="00AB5241">
      <w:pPr>
        <w:tabs>
          <w:tab w:val="left" w:pos="5295"/>
        </w:tabs>
        <w:jc w:val="both"/>
        <w:rPr>
          <w:sz w:val="20"/>
          <w:szCs w:val="20"/>
        </w:rPr>
      </w:pPr>
      <w:r w:rsidRPr="00CD3508">
        <w:rPr>
          <w:sz w:val="20"/>
          <w:szCs w:val="20"/>
        </w:rPr>
        <w:t>In summary, results of visits to the sample addresses are divided into four main groups:</w:t>
      </w:r>
    </w:p>
    <w:p w:rsidR="00AB5241" w:rsidRPr="00CD3508" w:rsidRDefault="004916CD" w:rsidP="004916CD">
      <w:pPr>
        <w:ind w:left="288"/>
        <w:jc w:val="both"/>
        <w:rPr>
          <w:sz w:val="20"/>
          <w:szCs w:val="20"/>
        </w:rPr>
      </w:pPr>
      <w:r w:rsidRPr="004916CD">
        <w:rPr>
          <w:sz w:val="20"/>
          <w:szCs w:val="20"/>
        </w:rPr>
        <w:sym w:font="Symbol" w:char="F0B7"/>
      </w:r>
      <w:r>
        <w:rPr>
          <w:sz w:val="20"/>
          <w:szCs w:val="20"/>
        </w:rPr>
        <w:t xml:space="preserve"> </w:t>
      </w:r>
      <w:r w:rsidR="00AB5241" w:rsidRPr="00CD3508">
        <w:rPr>
          <w:sz w:val="20"/>
          <w:szCs w:val="20"/>
        </w:rPr>
        <w:t>Completed Interviews (eligible</w:t>
      </w:r>
      <w:r>
        <w:rPr>
          <w:sz w:val="20"/>
          <w:szCs w:val="20"/>
        </w:rPr>
        <w:t>, in-scope</w:t>
      </w:r>
      <w:r w:rsidR="00AB5241" w:rsidRPr="00CD3508">
        <w:rPr>
          <w:sz w:val="20"/>
          <w:szCs w:val="20"/>
        </w:rPr>
        <w:t xml:space="preserve"> cases that are interviewed)</w:t>
      </w:r>
    </w:p>
    <w:p w:rsidR="00AB5241" w:rsidRPr="00CD3508" w:rsidRDefault="004916CD" w:rsidP="004916CD">
      <w:pPr>
        <w:ind w:left="288"/>
        <w:jc w:val="both"/>
        <w:rPr>
          <w:sz w:val="20"/>
          <w:szCs w:val="20"/>
        </w:rPr>
      </w:pPr>
      <w:r w:rsidRPr="004916CD">
        <w:rPr>
          <w:sz w:val="20"/>
          <w:szCs w:val="20"/>
        </w:rPr>
        <w:sym w:font="Symbol" w:char="F0B7"/>
      </w:r>
      <w:r>
        <w:rPr>
          <w:sz w:val="20"/>
          <w:szCs w:val="20"/>
        </w:rPr>
        <w:t xml:space="preserve"> </w:t>
      </w:r>
      <w:r w:rsidR="00AB5241" w:rsidRPr="00CD3508">
        <w:rPr>
          <w:sz w:val="20"/>
          <w:szCs w:val="20"/>
        </w:rPr>
        <w:t>Type A nonresponses (eligible</w:t>
      </w:r>
      <w:r>
        <w:rPr>
          <w:sz w:val="20"/>
          <w:szCs w:val="20"/>
        </w:rPr>
        <w:t>, in-scope</w:t>
      </w:r>
      <w:r w:rsidR="00AB5241" w:rsidRPr="00CD3508">
        <w:rPr>
          <w:sz w:val="20"/>
          <w:szCs w:val="20"/>
        </w:rPr>
        <w:t xml:space="preserve"> cases that are not interviewed)</w:t>
      </w:r>
    </w:p>
    <w:p w:rsidR="00AB5241" w:rsidRPr="00CD3508" w:rsidRDefault="004916CD" w:rsidP="004916CD">
      <w:pPr>
        <w:ind w:left="288"/>
        <w:jc w:val="both"/>
        <w:rPr>
          <w:sz w:val="20"/>
          <w:szCs w:val="20"/>
        </w:rPr>
      </w:pPr>
      <w:r w:rsidRPr="004916CD">
        <w:rPr>
          <w:sz w:val="20"/>
          <w:szCs w:val="20"/>
        </w:rPr>
        <w:sym w:font="Symbol" w:char="F0B7"/>
      </w:r>
      <w:r>
        <w:rPr>
          <w:sz w:val="20"/>
          <w:szCs w:val="20"/>
        </w:rPr>
        <w:t xml:space="preserve"> </w:t>
      </w:r>
      <w:r w:rsidR="00AB5241" w:rsidRPr="00CD3508">
        <w:rPr>
          <w:sz w:val="20"/>
          <w:szCs w:val="20"/>
        </w:rPr>
        <w:t>Type B nonresponses</w:t>
      </w:r>
      <w:r w:rsidR="00D014C0" w:rsidRPr="00CD3508">
        <w:rPr>
          <w:sz w:val="20"/>
          <w:szCs w:val="20"/>
        </w:rPr>
        <w:t xml:space="preserve"> </w:t>
      </w:r>
      <w:r w:rsidR="00AB5241" w:rsidRPr="00CD3508">
        <w:rPr>
          <w:sz w:val="20"/>
          <w:szCs w:val="20"/>
        </w:rPr>
        <w:t>(</w:t>
      </w:r>
      <w:r>
        <w:rPr>
          <w:sz w:val="20"/>
          <w:szCs w:val="20"/>
        </w:rPr>
        <w:t xml:space="preserve">ineligible, in-scope </w:t>
      </w:r>
      <w:r w:rsidR="00AB5241" w:rsidRPr="00CD3508">
        <w:rPr>
          <w:sz w:val="20"/>
          <w:szCs w:val="20"/>
        </w:rPr>
        <w:t>cases that are not interview</w:t>
      </w:r>
      <w:r>
        <w:rPr>
          <w:sz w:val="20"/>
          <w:szCs w:val="20"/>
        </w:rPr>
        <w:t>ed</w:t>
      </w:r>
      <w:r w:rsidR="00AB5241" w:rsidRPr="00CD3508">
        <w:rPr>
          <w:sz w:val="20"/>
          <w:szCs w:val="20"/>
        </w:rPr>
        <w:t>)</w:t>
      </w:r>
    </w:p>
    <w:p w:rsidR="00AB5241" w:rsidRPr="00CD3508" w:rsidRDefault="004916CD" w:rsidP="004916CD">
      <w:pPr>
        <w:ind w:left="288"/>
        <w:jc w:val="both"/>
        <w:rPr>
          <w:sz w:val="20"/>
          <w:szCs w:val="20"/>
        </w:rPr>
      </w:pPr>
      <w:r w:rsidRPr="004916CD">
        <w:rPr>
          <w:sz w:val="20"/>
          <w:szCs w:val="20"/>
        </w:rPr>
        <w:sym w:font="Symbol" w:char="F0B7"/>
      </w:r>
      <w:r>
        <w:rPr>
          <w:sz w:val="20"/>
          <w:szCs w:val="20"/>
        </w:rPr>
        <w:t xml:space="preserve"> </w:t>
      </w:r>
      <w:r w:rsidR="00AB5241" w:rsidRPr="00CD3508">
        <w:rPr>
          <w:sz w:val="20"/>
          <w:szCs w:val="20"/>
        </w:rPr>
        <w:t>Type C nonresponses (</w:t>
      </w:r>
      <w:r>
        <w:rPr>
          <w:sz w:val="20"/>
          <w:szCs w:val="20"/>
        </w:rPr>
        <w:t xml:space="preserve">ineligible, out-of-scope </w:t>
      </w:r>
      <w:r w:rsidR="00AB5241" w:rsidRPr="00CD3508">
        <w:rPr>
          <w:sz w:val="20"/>
          <w:szCs w:val="20"/>
        </w:rPr>
        <w:t>cases that are not interview</w:t>
      </w:r>
      <w:r>
        <w:rPr>
          <w:sz w:val="20"/>
          <w:szCs w:val="20"/>
        </w:rPr>
        <w:t>ed</w:t>
      </w:r>
      <w:r w:rsidR="00AB5241" w:rsidRPr="00CD3508">
        <w:rPr>
          <w:sz w:val="20"/>
          <w:szCs w:val="20"/>
        </w:rPr>
        <w:t>)</w:t>
      </w:r>
    </w:p>
    <w:p w:rsidR="006034C6" w:rsidRPr="00CD3508" w:rsidRDefault="006034C6" w:rsidP="000966F7">
      <w:pPr>
        <w:tabs>
          <w:tab w:val="left" w:pos="5295"/>
        </w:tabs>
        <w:jc w:val="both"/>
        <w:rPr>
          <w:sz w:val="20"/>
          <w:szCs w:val="20"/>
        </w:rPr>
      </w:pPr>
    </w:p>
    <w:p w:rsidR="00072BF7" w:rsidRPr="00CD3508" w:rsidRDefault="00764BC7" w:rsidP="000966F7">
      <w:pPr>
        <w:tabs>
          <w:tab w:val="left" w:pos="5295"/>
        </w:tabs>
        <w:jc w:val="both"/>
        <w:rPr>
          <w:b/>
          <w:sz w:val="20"/>
          <w:szCs w:val="20"/>
        </w:rPr>
      </w:pPr>
      <w:r w:rsidRPr="00CD3508">
        <w:rPr>
          <w:b/>
          <w:sz w:val="20"/>
          <w:szCs w:val="20"/>
        </w:rPr>
        <w:t xml:space="preserve">Response </w:t>
      </w:r>
      <w:r w:rsidR="001E4A52" w:rsidRPr="00CD3508">
        <w:rPr>
          <w:b/>
          <w:sz w:val="20"/>
          <w:szCs w:val="20"/>
        </w:rPr>
        <w:t>r</w:t>
      </w:r>
      <w:r w:rsidRPr="00CD3508">
        <w:rPr>
          <w:b/>
          <w:sz w:val="20"/>
          <w:szCs w:val="20"/>
        </w:rPr>
        <w:t>ates</w:t>
      </w:r>
    </w:p>
    <w:p w:rsidR="00243EF5" w:rsidRPr="00CD3508" w:rsidRDefault="00560BF6" w:rsidP="000966F7">
      <w:pPr>
        <w:jc w:val="both"/>
        <w:rPr>
          <w:sz w:val="20"/>
          <w:szCs w:val="20"/>
        </w:rPr>
      </w:pPr>
      <w:r w:rsidRPr="00CD3508">
        <w:rPr>
          <w:sz w:val="20"/>
          <w:szCs w:val="20"/>
        </w:rPr>
        <w:t xml:space="preserve">The CE program defines </w:t>
      </w:r>
      <w:r w:rsidR="001761DE">
        <w:rPr>
          <w:sz w:val="20"/>
          <w:szCs w:val="20"/>
        </w:rPr>
        <w:t>its</w:t>
      </w:r>
      <w:r w:rsidR="00720D1A" w:rsidRPr="00CD3508">
        <w:rPr>
          <w:sz w:val="20"/>
          <w:szCs w:val="20"/>
        </w:rPr>
        <w:t xml:space="preserve"> </w:t>
      </w:r>
      <w:r w:rsidRPr="00CD3508">
        <w:rPr>
          <w:sz w:val="20"/>
          <w:szCs w:val="20"/>
        </w:rPr>
        <w:t xml:space="preserve">response rate as the percent of </w:t>
      </w:r>
      <w:r w:rsidR="00F92CE3">
        <w:rPr>
          <w:sz w:val="20"/>
          <w:szCs w:val="20"/>
        </w:rPr>
        <w:t xml:space="preserve">in-scope </w:t>
      </w:r>
      <w:r w:rsidRPr="00CD3508">
        <w:rPr>
          <w:sz w:val="20"/>
          <w:szCs w:val="20"/>
        </w:rPr>
        <w:t xml:space="preserve">eligible housing units that participate in </w:t>
      </w:r>
      <w:r w:rsidR="00F92CE3">
        <w:rPr>
          <w:sz w:val="20"/>
          <w:szCs w:val="20"/>
        </w:rPr>
        <w:t>the</w:t>
      </w:r>
      <w:r w:rsidRPr="00CD3508">
        <w:rPr>
          <w:sz w:val="20"/>
          <w:szCs w:val="20"/>
        </w:rPr>
        <w:t xml:space="preserve"> survey.  </w:t>
      </w:r>
      <w:r w:rsidR="001E3F24">
        <w:rPr>
          <w:sz w:val="20"/>
          <w:szCs w:val="20"/>
        </w:rPr>
        <w:t>In other words, it is the number of completed interviews divided by the number of completed interviews plus Type A nonresponders</w:t>
      </w:r>
      <w:r w:rsidR="006E37F5">
        <w:rPr>
          <w:sz w:val="20"/>
          <w:szCs w:val="20"/>
        </w:rPr>
        <w:t>, and it is expressed as a percent</w:t>
      </w:r>
      <w:r w:rsidR="001E3F24">
        <w:rPr>
          <w:sz w:val="20"/>
          <w:szCs w:val="20"/>
        </w:rPr>
        <w:t xml:space="preserve">.  </w:t>
      </w:r>
      <w:r w:rsidR="00597701" w:rsidRPr="00CD3508">
        <w:rPr>
          <w:sz w:val="20"/>
          <w:szCs w:val="20"/>
        </w:rPr>
        <w:t>T</w:t>
      </w:r>
      <w:r w:rsidRPr="00CD3508">
        <w:rPr>
          <w:sz w:val="20"/>
          <w:szCs w:val="20"/>
        </w:rPr>
        <w:t xml:space="preserve">he Type B and </w:t>
      </w:r>
      <w:r w:rsidR="001E3F24">
        <w:rPr>
          <w:sz w:val="20"/>
          <w:szCs w:val="20"/>
        </w:rPr>
        <w:t xml:space="preserve">Type </w:t>
      </w:r>
      <w:r w:rsidRPr="00CD3508">
        <w:rPr>
          <w:sz w:val="20"/>
          <w:szCs w:val="20"/>
        </w:rPr>
        <w:t>C nonrespon</w:t>
      </w:r>
      <w:r w:rsidR="00F31EBA" w:rsidRPr="00CD3508">
        <w:rPr>
          <w:sz w:val="20"/>
          <w:szCs w:val="20"/>
        </w:rPr>
        <w:t>ders</w:t>
      </w:r>
      <w:r w:rsidRPr="00CD3508">
        <w:rPr>
          <w:sz w:val="20"/>
          <w:szCs w:val="20"/>
        </w:rPr>
        <w:t xml:space="preserve"> are not included</w:t>
      </w:r>
      <w:r w:rsidR="00597701" w:rsidRPr="00CD3508">
        <w:rPr>
          <w:sz w:val="20"/>
          <w:szCs w:val="20"/>
        </w:rPr>
        <w:t xml:space="preserve"> in the calculation </w:t>
      </w:r>
      <w:r w:rsidR="006E37F5">
        <w:rPr>
          <w:sz w:val="20"/>
          <w:szCs w:val="20"/>
        </w:rPr>
        <w:t>because</w:t>
      </w:r>
      <w:r w:rsidR="00597701" w:rsidRPr="00CD3508">
        <w:rPr>
          <w:sz w:val="20"/>
          <w:szCs w:val="20"/>
        </w:rPr>
        <w:t xml:space="preserve"> the</w:t>
      </w:r>
      <w:r w:rsidR="00F92CE3">
        <w:rPr>
          <w:sz w:val="20"/>
          <w:szCs w:val="20"/>
        </w:rPr>
        <w:t>y</w:t>
      </w:r>
      <w:r w:rsidR="00597701" w:rsidRPr="00CD3508">
        <w:rPr>
          <w:sz w:val="20"/>
          <w:szCs w:val="20"/>
        </w:rPr>
        <w:t xml:space="preserve"> </w:t>
      </w:r>
      <w:r w:rsidRPr="00CD3508">
        <w:rPr>
          <w:sz w:val="20"/>
          <w:szCs w:val="20"/>
        </w:rPr>
        <w:t xml:space="preserve">are </w:t>
      </w:r>
      <w:r w:rsidR="00CD0078">
        <w:rPr>
          <w:sz w:val="20"/>
          <w:szCs w:val="20"/>
        </w:rPr>
        <w:t xml:space="preserve">not </w:t>
      </w:r>
      <w:r w:rsidRPr="00CD3508">
        <w:rPr>
          <w:sz w:val="20"/>
          <w:szCs w:val="20"/>
        </w:rPr>
        <w:t>eligible for the survey.</w:t>
      </w:r>
    </w:p>
    <w:p w:rsidR="00620D83" w:rsidRPr="00CD3508" w:rsidRDefault="00620D83" w:rsidP="000966F7">
      <w:pPr>
        <w:jc w:val="both"/>
        <w:rPr>
          <w:sz w:val="20"/>
          <w:szCs w:val="20"/>
        </w:rPr>
      </w:pPr>
    </w:p>
    <w:p w:rsidR="006C4EC5" w:rsidRDefault="00597701" w:rsidP="000966F7">
      <w:pPr>
        <w:jc w:val="both"/>
        <w:rPr>
          <w:sz w:val="20"/>
          <w:szCs w:val="20"/>
        </w:rPr>
      </w:pPr>
      <w:r w:rsidRPr="00CD3508">
        <w:rPr>
          <w:sz w:val="20"/>
          <w:szCs w:val="20"/>
        </w:rPr>
        <w:t>Response rates are reported</w:t>
      </w:r>
      <w:r w:rsidR="00720D1A" w:rsidRPr="00CD3508">
        <w:rPr>
          <w:sz w:val="20"/>
          <w:szCs w:val="20"/>
        </w:rPr>
        <w:t xml:space="preserve"> independently for </w:t>
      </w:r>
      <w:r w:rsidR="00B2765B" w:rsidRPr="00CD3508">
        <w:rPr>
          <w:sz w:val="20"/>
          <w:szCs w:val="20"/>
        </w:rPr>
        <w:t xml:space="preserve">the </w:t>
      </w:r>
      <w:r w:rsidR="004108A4" w:rsidRPr="00CD3508">
        <w:rPr>
          <w:sz w:val="20"/>
          <w:szCs w:val="20"/>
        </w:rPr>
        <w:t>Interview</w:t>
      </w:r>
      <w:r w:rsidR="00BE485A" w:rsidRPr="00CD3508">
        <w:rPr>
          <w:sz w:val="20"/>
          <w:szCs w:val="20"/>
        </w:rPr>
        <w:t xml:space="preserve"> </w:t>
      </w:r>
      <w:r w:rsidR="00720D1A" w:rsidRPr="00CD3508">
        <w:rPr>
          <w:sz w:val="20"/>
          <w:szCs w:val="20"/>
        </w:rPr>
        <w:t xml:space="preserve">and </w:t>
      </w:r>
      <w:r w:rsidR="00BE485A" w:rsidRPr="00CD3508">
        <w:rPr>
          <w:sz w:val="20"/>
          <w:szCs w:val="20"/>
        </w:rPr>
        <w:t xml:space="preserve">Diary </w:t>
      </w:r>
      <w:r w:rsidR="00720D1A" w:rsidRPr="00CD3508">
        <w:rPr>
          <w:sz w:val="20"/>
          <w:szCs w:val="20"/>
        </w:rPr>
        <w:t>components of the CE.</w:t>
      </w:r>
      <w:r w:rsidR="00D93A75" w:rsidRPr="00CD3508">
        <w:rPr>
          <w:sz w:val="20"/>
          <w:szCs w:val="20"/>
        </w:rPr>
        <w:t xml:space="preserve">  </w:t>
      </w:r>
      <w:r w:rsidR="006E37F5" w:rsidRPr="00CD3508">
        <w:rPr>
          <w:sz w:val="20"/>
          <w:szCs w:val="20"/>
        </w:rPr>
        <w:t>When calculating a response rate for the Diary Survey, the BLS uses outcome information f</w:t>
      </w:r>
      <w:r w:rsidR="006E37F5">
        <w:rPr>
          <w:sz w:val="20"/>
          <w:szCs w:val="20"/>
        </w:rPr>
        <w:t>rom</w:t>
      </w:r>
      <w:r w:rsidR="006E37F5" w:rsidRPr="00CD3508">
        <w:rPr>
          <w:sz w:val="20"/>
          <w:szCs w:val="20"/>
        </w:rPr>
        <w:t xml:space="preserve"> the two diary weeks </w:t>
      </w:r>
      <w:r w:rsidR="006E37F5" w:rsidRPr="006E37F5">
        <w:rPr>
          <w:sz w:val="20"/>
          <w:szCs w:val="20"/>
        </w:rPr>
        <w:t xml:space="preserve">independently.  </w:t>
      </w:r>
      <w:r w:rsidR="00D93A75" w:rsidRPr="006E37F5">
        <w:rPr>
          <w:sz w:val="20"/>
          <w:szCs w:val="20"/>
        </w:rPr>
        <w:t xml:space="preserve">When calculating a response rate for </w:t>
      </w:r>
      <w:r w:rsidR="00B2765B" w:rsidRPr="006E37F5">
        <w:rPr>
          <w:sz w:val="20"/>
          <w:szCs w:val="20"/>
        </w:rPr>
        <w:t xml:space="preserve">the </w:t>
      </w:r>
      <w:r w:rsidR="004108A4" w:rsidRPr="006E37F5">
        <w:rPr>
          <w:sz w:val="20"/>
          <w:szCs w:val="20"/>
        </w:rPr>
        <w:t>Interview</w:t>
      </w:r>
      <w:r w:rsidR="00BE485A" w:rsidRPr="006E37F5">
        <w:rPr>
          <w:sz w:val="20"/>
          <w:szCs w:val="20"/>
        </w:rPr>
        <w:t xml:space="preserve"> Survey</w:t>
      </w:r>
      <w:r w:rsidR="00D93A75" w:rsidRPr="006E37F5">
        <w:rPr>
          <w:sz w:val="20"/>
          <w:szCs w:val="20"/>
        </w:rPr>
        <w:t xml:space="preserve">, the BLS uses outcome information from </w:t>
      </w:r>
      <w:r w:rsidR="004916CD" w:rsidRPr="006E37F5">
        <w:rPr>
          <w:sz w:val="20"/>
          <w:szCs w:val="20"/>
        </w:rPr>
        <w:t>all four interviews</w:t>
      </w:r>
      <w:r w:rsidR="006C4EC5">
        <w:rPr>
          <w:sz w:val="20"/>
          <w:szCs w:val="20"/>
        </w:rPr>
        <w:t xml:space="preserve"> independently</w:t>
      </w:r>
      <w:r w:rsidR="004916CD" w:rsidRPr="006E37F5">
        <w:rPr>
          <w:sz w:val="20"/>
          <w:szCs w:val="20"/>
        </w:rPr>
        <w:t>.</w:t>
      </w:r>
    </w:p>
    <w:p w:rsidR="006C4EC5" w:rsidRDefault="006C4EC5" w:rsidP="000966F7">
      <w:pPr>
        <w:jc w:val="both"/>
        <w:rPr>
          <w:sz w:val="20"/>
          <w:szCs w:val="20"/>
        </w:rPr>
      </w:pPr>
    </w:p>
    <w:p w:rsidR="00560BF6" w:rsidRPr="006E37F5" w:rsidRDefault="006E37F5" w:rsidP="000966F7">
      <w:pPr>
        <w:jc w:val="both"/>
        <w:rPr>
          <w:i/>
          <w:sz w:val="20"/>
          <w:szCs w:val="20"/>
        </w:rPr>
      </w:pPr>
      <w:r w:rsidRPr="006E37F5">
        <w:rPr>
          <w:sz w:val="20"/>
          <w:szCs w:val="20"/>
        </w:rPr>
        <w:t>Prior to 2015 the Interview Survey had five interviews, and response rates were calculated based on the second through fifth interviews only.  Information from the first interview was excluded because it was used only for “bounding” purposes, which address</w:t>
      </w:r>
      <w:r w:rsidR="000F145D">
        <w:rPr>
          <w:sz w:val="20"/>
          <w:szCs w:val="20"/>
        </w:rPr>
        <w:t>ed</w:t>
      </w:r>
      <w:r w:rsidRPr="006E37F5">
        <w:rPr>
          <w:sz w:val="20"/>
          <w:szCs w:val="20"/>
        </w:rPr>
        <w:t xml:space="preserve"> a problem in which survey </w:t>
      </w:r>
      <w:r w:rsidR="00195406" w:rsidRPr="006E37F5">
        <w:rPr>
          <w:sz w:val="20"/>
          <w:szCs w:val="20"/>
        </w:rPr>
        <w:t>respondents</w:t>
      </w:r>
      <w:r w:rsidRPr="006E37F5">
        <w:rPr>
          <w:sz w:val="20"/>
          <w:szCs w:val="20"/>
        </w:rPr>
        <w:t xml:space="preserve"> tended to report expenditures more recently than they were actually made.  Recent research showed that such “telescoping” of expenditures by respondents is no longer a problem, so the bounding interview was removed from the CE survey in 2015</w:t>
      </w:r>
      <w:r>
        <w:rPr>
          <w:sz w:val="20"/>
          <w:szCs w:val="20"/>
        </w:rPr>
        <w:t>.</w:t>
      </w:r>
      <w:r w:rsidR="00A04906">
        <w:rPr>
          <w:sz w:val="20"/>
          <w:szCs w:val="20"/>
        </w:rPr>
        <w:t xml:space="preserve">  Thus before 2015 the Interview Survey had five interviews and response rates were generally reported </w:t>
      </w:r>
      <w:r w:rsidR="006C4EC5">
        <w:rPr>
          <w:sz w:val="20"/>
          <w:szCs w:val="20"/>
        </w:rPr>
        <w:t xml:space="preserve">only </w:t>
      </w:r>
      <w:r w:rsidR="000F145D">
        <w:rPr>
          <w:sz w:val="20"/>
          <w:szCs w:val="20"/>
        </w:rPr>
        <w:t xml:space="preserve">for </w:t>
      </w:r>
      <w:r w:rsidR="00A04906">
        <w:rPr>
          <w:sz w:val="20"/>
          <w:szCs w:val="20"/>
        </w:rPr>
        <w:t>the four non-bounding interviews, but starting in 2015 the Interview Survey has only four interviews and response rates are reported for all four interviews.</w:t>
      </w:r>
      <w:r w:rsidR="006C4EC5">
        <w:rPr>
          <w:sz w:val="20"/>
          <w:szCs w:val="20"/>
        </w:rPr>
        <w:t xml:space="preserve">  The table below shows results for 2013 and 2014, </w:t>
      </w:r>
      <w:r w:rsidR="00195406">
        <w:rPr>
          <w:sz w:val="20"/>
          <w:szCs w:val="20"/>
        </w:rPr>
        <w:t>and</w:t>
      </w:r>
      <w:r w:rsidR="006C4EC5">
        <w:rPr>
          <w:sz w:val="20"/>
          <w:szCs w:val="20"/>
        </w:rPr>
        <w:t xml:space="preserve"> </w:t>
      </w:r>
      <w:r w:rsidR="00CD0078">
        <w:rPr>
          <w:sz w:val="20"/>
          <w:szCs w:val="20"/>
        </w:rPr>
        <w:t xml:space="preserve">since that is before 2015 </w:t>
      </w:r>
      <w:r w:rsidR="006C4EC5">
        <w:rPr>
          <w:sz w:val="20"/>
          <w:szCs w:val="20"/>
        </w:rPr>
        <w:t>it uses information only from the four non-bounding interviews.</w:t>
      </w:r>
    </w:p>
    <w:p w:rsidR="00560BF6" w:rsidRPr="006E37F5" w:rsidRDefault="00560BF6" w:rsidP="000966F7">
      <w:pPr>
        <w:jc w:val="both"/>
        <w:rPr>
          <w:sz w:val="20"/>
          <w:szCs w:val="20"/>
        </w:rPr>
      </w:pPr>
    </w:p>
    <w:p w:rsidR="00243EF5" w:rsidRPr="00CD3508" w:rsidRDefault="00F31EBA" w:rsidP="000966F7">
      <w:pPr>
        <w:jc w:val="both"/>
        <w:rPr>
          <w:sz w:val="20"/>
          <w:szCs w:val="20"/>
        </w:rPr>
      </w:pPr>
      <w:r w:rsidRPr="00CD3508">
        <w:rPr>
          <w:sz w:val="20"/>
          <w:szCs w:val="20"/>
        </w:rPr>
        <w:t>T</w:t>
      </w:r>
      <w:r w:rsidR="00560BF6" w:rsidRPr="00CD3508">
        <w:rPr>
          <w:sz w:val="20"/>
          <w:szCs w:val="20"/>
        </w:rPr>
        <w:t xml:space="preserve">he sample size and response status for housing units </w:t>
      </w:r>
      <w:r w:rsidR="00953EB5" w:rsidRPr="00CD3508">
        <w:rPr>
          <w:sz w:val="20"/>
          <w:szCs w:val="20"/>
        </w:rPr>
        <w:t>“</w:t>
      </w:r>
      <w:r w:rsidR="00560BF6" w:rsidRPr="00CD3508">
        <w:rPr>
          <w:sz w:val="20"/>
          <w:szCs w:val="20"/>
        </w:rPr>
        <w:t>designated</w:t>
      </w:r>
      <w:r w:rsidR="004163EC" w:rsidRPr="00CD3508">
        <w:rPr>
          <w:sz w:val="20"/>
          <w:szCs w:val="20"/>
        </w:rPr>
        <w:t>”</w:t>
      </w:r>
      <w:r w:rsidR="00560BF6" w:rsidRPr="00CD3508">
        <w:rPr>
          <w:sz w:val="20"/>
          <w:szCs w:val="20"/>
        </w:rPr>
        <w:t xml:space="preserve"> for </w:t>
      </w:r>
      <w:r w:rsidR="00B2765B" w:rsidRPr="00CD3508">
        <w:rPr>
          <w:sz w:val="20"/>
          <w:szCs w:val="20"/>
        </w:rPr>
        <w:t xml:space="preserve">the </w:t>
      </w:r>
      <w:r w:rsidR="004108A4" w:rsidRPr="00CD3508">
        <w:rPr>
          <w:sz w:val="20"/>
          <w:szCs w:val="20"/>
        </w:rPr>
        <w:t>Interview</w:t>
      </w:r>
      <w:r w:rsidR="00BE485A" w:rsidRPr="00CD3508">
        <w:rPr>
          <w:sz w:val="20"/>
          <w:szCs w:val="20"/>
        </w:rPr>
        <w:t xml:space="preserve"> Survey</w:t>
      </w:r>
      <w:r w:rsidR="00560BF6" w:rsidRPr="00CD3508">
        <w:rPr>
          <w:sz w:val="20"/>
          <w:szCs w:val="20"/>
        </w:rPr>
        <w:t xml:space="preserve"> in 20</w:t>
      </w:r>
      <w:r w:rsidR="001E3F24">
        <w:rPr>
          <w:sz w:val="20"/>
          <w:szCs w:val="20"/>
        </w:rPr>
        <w:t>13</w:t>
      </w:r>
      <w:r w:rsidR="00560BF6" w:rsidRPr="00CD3508">
        <w:rPr>
          <w:sz w:val="20"/>
          <w:szCs w:val="20"/>
        </w:rPr>
        <w:t xml:space="preserve"> and 20</w:t>
      </w:r>
      <w:r w:rsidR="001E3F24">
        <w:rPr>
          <w:sz w:val="20"/>
          <w:szCs w:val="20"/>
        </w:rPr>
        <w:t>14</w:t>
      </w:r>
      <w:r w:rsidRPr="00CD3508">
        <w:rPr>
          <w:sz w:val="20"/>
          <w:szCs w:val="20"/>
        </w:rPr>
        <w:t xml:space="preserve"> are shown in Table 1.</w:t>
      </w:r>
      <w:r w:rsidR="00560BF6" w:rsidRPr="00CD3508">
        <w:rPr>
          <w:sz w:val="20"/>
          <w:szCs w:val="20"/>
        </w:rPr>
        <w:t xml:space="preserve">  </w:t>
      </w:r>
      <w:r w:rsidR="004163EC" w:rsidRPr="00CD3508">
        <w:rPr>
          <w:sz w:val="20"/>
          <w:szCs w:val="20"/>
        </w:rPr>
        <w:t>In 20</w:t>
      </w:r>
      <w:r w:rsidR="001E3F24">
        <w:rPr>
          <w:sz w:val="20"/>
          <w:szCs w:val="20"/>
        </w:rPr>
        <w:t>14</w:t>
      </w:r>
      <w:r w:rsidR="004163EC" w:rsidRPr="00CD3508">
        <w:rPr>
          <w:sz w:val="20"/>
          <w:szCs w:val="20"/>
        </w:rPr>
        <w:t xml:space="preserve"> there were 4</w:t>
      </w:r>
      <w:r w:rsidR="001E3F24">
        <w:rPr>
          <w:sz w:val="20"/>
          <w:szCs w:val="20"/>
        </w:rPr>
        <w:t>7,529</w:t>
      </w:r>
      <w:r w:rsidR="004163EC" w:rsidRPr="00CD3508">
        <w:rPr>
          <w:sz w:val="20"/>
          <w:szCs w:val="20"/>
        </w:rPr>
        <w:t xml:space="preserve"> housing units designated for </w:t>
      </w:r>
      <w:r w:rsidR="00B2765B" w:rsidRPr="00CD3508">
        <w:rPr>
          <w:sz w:val="20"/>
          <w:szCs w:val="20"/>
        </w:rPr>
        <w:t xml:space="preserve">the </w:t>
      </w:r>
      <w:r w:rsidR="00A04906">
        <w:rPr>
          <w:sz w:val="20"/>
          <w:szCs w:val="20"/>
        </w:rPr>
        <w:t xml:space="preserve">four non-bounding </w:t>
      </w:r>
      <w:r w:rsidR="001E3F24">
        <w:rPr>
          <w:sz w:val="20"/>
          <w:szCs w:val="20"/>
        </w:rPr>
        <w:t>interviews</w:t>
      </w:r>
      <w:r w:rsidR="000F145D">
        <w:rPr>
          <w:sz w:val="20"/>
          <w:szCs w:val="20"/>
        </w:rPr>
        <w:t xml:space="preserve"> in the survey</w:t>
      </w:r>
      <w:r w:rsidR="004163EC" w:rsidRPr="00CD3508">
        <w:rPr>
          <w:sz w:val="20"/>
          <w:szCs w:val="20"/>
        </w:rPr>
        <w:t xml:space="preserve">.  </w:t>
      </w:r>
      <w:r w:rsidR="002B06FD" w:rsidRPr="00CD3508">
        <w:rPr>
          <w:sz w:val="20"/>
          <w:szCs w:val="20"/>
        </w:rPr>
        <w:t xml:space="preserve">Field representatives occasionally find more than one housing unit at the addresses they visit, so the number of housing units designated is slightly more than the number of addresses selected for the sample.  </w:t>
      </w:r>
      <w:r w:rsidR="00B2765B" w:rsidRPr="00CD3508">
        <w:rPr>
          <w:sz w:val="20"/>
          <w:szCs w:val="20"/>
        </w:rPr>
        <w:t>Th</w:t>
      </w:r>
      <w:r w:rsidR="00A217E8" w:rsidRPr="00CD3508">
        <w:rPr>
          <w:sz w:val="20"/>
          <w:szCs w:val="20"/>
        </w:rPr>
        <w:t>ose 4</w:t>
      </w:r>
      <w:r w:rsidR="001E3F24">
        <w:rPr>
          <w:sz w:val="20"/>
          <w:szCs w:val="20"/>
        </w:rPr>
        <w:t>7,529</w:t>
      </w:r>
      <w:r w:rsidR="00A217E8" w:rsidRPr="00CD3508">
        <w:rPr>
          <w:sz w:val="20"/>
          <w:szCs w:val="20"/>
        </w:rPr>
        <w:t xml:space="preserve"> housing units designated for the survey contained</w:t>
      </w:r>
      <w:r w:rsidR="00560BF6" w:rsidRPr="00CD3508">
        <w:rPr>
          <w:sz w:val="20"/>
          <w:szCs w:val="20"/>
        </w:rPr>
        <w:t xml:space="preserve"> </w:t>
      </w:r>
      <w:r w:rsidR="00A217E8" w:rsidRPr="00CD3508">
        <w:rPr>
          <w:sz w:val="20"/>
          <w:szCs w:val="20"/>
        </w:rPr>
        <w:t>39,</w:t>
      </w:r>
      <w:r w:rsidR="001E3F24">
        <w:rPr>
          <w:sz w:val="20"/>
          <w:szCs w:val="20"/>
        </w:rPr>
        <w:t>003</w:t>
      </w:r>
      <w:r w:rsidR="00A217E8" w:rsidRPr="00CD3508">
        <w:rPr>
          <w:sz w:val="20"/>
          <w:szCs w:val="20"/>
        </w:rPr>
        <w:t xml:space="preserve"> eligible units from which </w:t>
      </w:r>
      <w:r w:rsidR="00560BF6" w:rsidRPr="00CD3508">
        <w:rPr>
          <w:sz w:val="20"/>
          <w:szCs w:val="20"/>
        </w:rPr>
        <w:t>2</w:t>
      </w:r>
      <w:r w:rsidR="001E3F24">
        <w:rPr>
          <w:sz w:val="20"/>
          <w:szCs w:val="20"/>
        </w:rPr>
        <w:t>5,908</w:t>
      </w:r>
      <w:r w:rsidR="00560BF6" w:rsidRPr="00CD3508">
        <w:rPr>
          <w:sz w:val="20"/>
          <w:szCs w:val="20"/>
        </w:rPr>
        <w:t xml:space="preserve"> completed interviews </w:t>
      </w:r>
      <w:r w:rsidR="00A217E8" w:rsidRPr="00CD3508">
        <w:rPr>
          <w:sz w:val="20"/>
          <w:szCs w:val="20"/>
        </w:rPr>
        <w:t>were collected</w:t>
      </w:r>
      <w:r w:rsidR="004163EC" w:rsidRPr="00CD3508">
        <w:rPr>
          <w:sz w:val="20"/>
          <w:szCs w:val="20"/>
        </w:rPr>
        <w:t xml:space="preserve">, </w:t>
      </w:r>
      <w:r w:rsidR="00A217E8" w:rsidRPr="00CD3508">
        <w:rPr>
          <w:sz w:val="20"/>
          <w:szCs w:val="20"/>
        </w:rPr>
        <w:t>yielding</w:t>
      </w:r>
      <w:r w:rsidR="00CD1F73" w:rsidRPr="00CD3508">
        <w:rPr>
          <w:sz w:val="20"/>
          <w:szCs w:val="20"/>
        </w:rPr>
        <w:t xml:space="preserve"> a</w:t>
      </w:r>
      <w:r w:rsidR="004163EC" w:rsidRPr="00CD3508">
        <w:rPr>
          <w:sz w:val="20"/>
          <w:szCs w:val="20"/>
        </w:rPr>
        <w:t xml:space="preserve"> response rate </w:t>
      </w:r>
      <w:r w:rsidR="00CD1F73" w:rsidRPr="00CD3508">
        <w:rPr>
          <w:sz w:val="20"/>
          <w:szCs w:val="20"/>
        </w:rPr>
        <w:t>of</w:t>
      </w:r>
      <w:r w:rsidR="004163EC" w:rsidRPr="00CD3508">
        <w:rPr>
          <w:sz w:val="20"/>
          <w:szCs w:val="20"/>
        </w:rPr>
        <w:t xml:space="preserve"> </w:t>
      </w:r>
      <w:r w:rsidR="000F145D">
        <w:rPr>
          <w:sz w:val="20"/>
          <w:szCs w:val="20"/>
        </w:rPr>
        <w:t>6</w:t>
      </w:r>
      <w:r w:rsidR="001E3F24">
        <w:rPr>
          <w:sz w:val="20"/>
          <w:szCs w:val="20"/>
        </w:rPr>
        <w:t>6.4</w:t>
      </w:r>
      <w:r w:rsidR="004163EC" w:rsidRPr="00CD3508">
        <w:rPr>
          <w:sz w:val="20"/>
          <w:szCs w:val="20"/>
        </w:rPr>
        <w:t xml:space="preserve"> percent</w:t>
      </w:r>
      <w:r w:rsidR="0080696B" w:rsidRPr="00CD3508">
        <w:rPr>
          <w:sz w:val="20"/>
          <w:szCs w:val="20"/>
        </w:rPr>
        <w:t xml:space="preserve"> (2</w:t>
      </w:r>
      <w:r w:rsidR="001E3F24">
        <w:rPr>
          <w:sz w:val="20"/>
          <w:szCs w:val="20"/>
        </w:rPr>
        <w:t>5,908</w:t>
      </w:r>
      <w:r w:rsidR="0080696B" w:rsidRPr="00CD3508">
        <w:rPr>
          <w:sz w:val="20"/>
          <w:szCs w:val="20"/>
        </w:rPr>
        <w:t xml:space="preserve"> / 39,</w:t>
      </w:r>
      <w:r w:rsidR="001E3F24">
        <w:rPr>
          <w:sz w:val="20"/>
          <w:szCs w:val="20"/>
        </w:rPr>
        <w:t>003</w:t>
      </w:r>
      <w:r w:rsidR="0080696B" w:rsidRPr="00CD3508">
        <w:rPr>
          <w:sz w:val="20"/>
          <w:szCs w:val="20"/>
        </w:rPr>
        <w:t xml:space="preserve"> = </w:t>
      </w:r>
      <w:r w:rsidR="007854AE" w:rsidRPr="00CD3508">
        <w:rPr>
          <w:sz w:val="20"/>
          <w:szCs w:val="20"/>
        </w:rPr>
        <w:t>0</w:t>
      </w:r>
      <w:r w:rsidR="0080696B" w:rsidRPr="00CD3508">
        <w:rPr>
          <w:sz w:val="20"/>
          <w:szCs w:val="20"/>
        </w:rPr>
        <w:t>.</w:t>
      </w:r>
      <w:r w:rsidR="001E3F24">
        <w:rPr>
          <w:sz w:val="20"/>
          <w:szCs w:val="20"/>
        </w:rPr>
        <w:t>664</w:t>
      </w:r>
      <w:r w:rsidR="0080696B" w:rsidRPr="00CD3508">
        <w:rPr>
          <w:sz w:val="20"/>
          <w:szCs w:val="20"/>
        </w:rPr>
        <w:t>)</w:t>
      </w:r>
      <w:r w:rsidR="00972505" w:rsidRPr="00CD3508">
        <w:rPr>
          <w:sz w:val="20"/>
          <w:szCs w:val="20"/>
        </w:rPr>
        <w:t>.</w:t>
      </w:r>
      <w:r w:rsidR="00560BF6" w:rsidRPr="00CD3508">
        <w:rPr>
          <w:sz w:val="20"/>
          <w:szCs w:val="20"/>
        </w:rPr>
        <w:t xml:space="preserve">  </w:t>
      </w:r>
      <w:r w:rsidR="00BA1A74" w:rsidRPr="00CD3508">
        <w:rPr>
          <w:sz w:val="20"/>
          <w:szCs w:val="20"/>
        </w:rPr>
        <w:t>F</w:t>
      </w:r>
      <w:r w:rsidR="00560BF6" w:rsidRPr="00CD3508">
        <w:rPr>
          <w:sz w:val="20"/>
          <w:szCs w:val="20"/>
        </w:rPr>
        <w:t xml:space="preserve">ield representatives </w:t>
      </w:r>
      <w:r w:rsidR="00BA1A74" w:rsidRPr="00CD3508">
        <w:rPr>
          <w:sz w:val="20"/>
          <w:szCs w:val="20"/>
        </w:rPr>
        <w:t>visited</w:t>
      </w:r>
      <w:r w:rsidR="00560BF6" w:rsidRPr="00CD3508">
        <w:rPr>
          <w:sz w:val="20"/>
          <w:szCs w:val="20"/>
        </w:rPr>
        <w:t xml:space="preserve"> </w:t>
      </w:r>
      <w:r w:rsidR="00427166">
        <w:rPr>
          <w:sz w:val="20"/>
          <w:szCs w:val="20"/>
        </w:rPr>
        <w:t>8,526</w:t>
      </w:r>
      <w:r w:rsidR="005710E7" w:rsidRPr="00CD3508">
        <w:rPr>
          <w:sz w:val="20"/>
          <w:szCs w:val="20"/>
        </w:rPr>
        <w:t xml:space="preserve"> ineligible </w:t>
      </w:r>
      <w:r w:rsidR="00BA1A74" w:rsidRPr="00CD3508">
        <w:rPr>
          <w:sz w:val="20"/>
          <w:szCs w:val="20"/>
        </w:rPr>
        <w:t xml:space="preserve">addresses which were </w:t>
      </w:r>
      <w:r w:rsidR="0044070A" w:rsidRPr="00CD3508">
        <w:rPr>
          <w:sz w:val="20"/>
          <w:szCs w:val="20"/>
        </w:rPr>
        <w:t xml:space="preserve">categorized as </w:t>
      </w:r>
      <w:r w:rsidR="00560BF6" w:rsidRPr="00CD3508">
        <w:rPr>
          <w:sz w:val="20"/>
          <w:szCs w:val="20"/>
        </w:rPr>
        <w:t xml:space="preserve">Type B or </w:t>
      </w:r>
      <w:r w:rsidR="00427166">
        <w:rPr>
          <w:sz w:val="20"/>
          <w:szCs w:val="20"/>
        </w:rPr>
        <w:t xml:space="preserve">Type </w:t>
      </w:r>
      <w:r w:rsidR="00560BF6" w:rsidRPr="00CD3508">
        <w:rPr>
          <w:sz w:val="20"/>
          <w:szCs w:val="20"/>
        </w:rPr>
        <w:t>C nonrespon</w:t>
      </w:r>
      <w:r w:rsidR="0044070A" w:rsidRPr="00CD3508">
        <w:rPr>
          <w:sz w:val="20"/>
          <w:szCs w:val="20"/>
        </w:rPr>
        <w:t>ders</w:t>
      </w:r>
      <w:r w:rsidR="00560BF6" w:rsidRPr="00CD3508">
        <w:rPr>
          <w:sz w:val="20"/>
          <w:szCs w:val="20"/>
        </w:rPr>
        <w:t>.</w:t>
      </w:r>
    </w:p>
    <w:p w:rsidR="006E1612" w:rsidRPr="00CD3508" w:rsidRDefault="006E1612" w:rsidP="005841D9">
      <w:pPr>
        <w:tabs>
          <w:tab w:val="left" w:pos="5295"/>
        </w:tabs>
        <w:jc w:val="both"/>
        <w:rPr>
          <w:sz w:val="20"/>
          <w:szCs w:val="20"/>
        </w:rPr>
      </w:pPr>
    </w:p>
    <w:p w:rsidR="00764BC7" w:rsidRPr="00CD3508" w:rsidRDefault="00764BC7" w:rsidP="00F9396C">
      <w:pPr>
        <w:jc w:val="center"/>
        <w:rPr>
          <w:sz w:val="20"/>
          <w:szCs w:val="20"/>
        </w:rPr>
      </w:pPr>
      <w:r w:rsidRPr="00CD3508">
        <w:rPr>
          <w:sz w:val="20"/>
          <w:szCs w:val="20"/>
        </w:rPr>
        <w:t xml:space="preserve">Table 1.  Analysis of response in the CE </w:t>
      </w:r>
      <w:r w:rsidR="004108A4" w:rsidRPr="00CD3508">
        <w:rPr>
          <w:sz w:val="20"/>
          <w:szCs w:val="20"/>
        </w:rPr>
        <w:t>Interview</w:t>
      </w:r>
      <w:r w:rsidRPr="00CD3508">
        <w:rPr>
          <w:sz w:val="20"/>
          <w:szCs w:val="20"/>
        </w:rPr>
        <w:t xml:space="preserve"> Survey, 20</w:t>
      </w:r>
      <w:r w:rsidR="008558E4">
        <w:rPr>
          <w:sz w:val="20"/>
          <w:szCs w:val="20"/>
        </w:rPr>
        <w:t>13</w:t>
      </w:r>
      <w:r w:rsidRPr="00CD3508">
        <w:rPr>
          <w:sz w:val="20"/>
          <w:szCs w:val="20"/>
        </w:rPr>
        <w:t xml:space="preserve"> and 20</w:t>
      </w:r>
      <w:r w:rsidR="008558E4">
        <w:rPr>
          <w:sz w:val="20"/>
          <w:szCs w:val="20"/>
        </w:rPr>
        <w:t>14</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55"/>
        <w:gridCol w:w="1485"/>
        <w:gridCol w:w="1485"/>
      </w:tblGrid>
      <w:tr w:rsidR="00764BC7" w:rsidRPr="00CD3508" w:rsidTr="00F9396C">
        <w:trPr>
          <w:trHeight w:val="432"/>
          <w:jc w:val="center"/>
        </w:trPr>
        <w:tc>
          <w:tcPr>
            <w:tcW w:w="3955" w:type="dxa"/>
            <w:tcBorders>
              <w:top w:val="single" w:sz="4" w:space="0" w:color="auto"/>
              <w:bottom w:val="single" w:sz="4" w:space="0" w:color="auto"/>
              <w:right w:val="single" w:sz="4" w:space="0" w:color="auto"/>
            </w:tcBorders>
            <w:vAlign w:val="center"/>
          </w:tcPr>
          <w:p w:rsidR="00764BC7" w:rsidRPr="00CD3508" w:rsidRDefault="00764BC7" w:rsidP="005841D9">
            <w:pPr>
              <w:jc w:val="center"/>
              <w:rPr>
                <w:sz w:val="20"/>
                <w:szCs w:val="20"/>
              </w:rPr>
            </w:pPr>
            <w:r w:rsidRPr="00CD3508">
              <w:rPr>
                <w:sz w:val="20"/>
                <w:szCs w:val="20"/>
              </w:rPr>
              <w:t>Sample unit</w:t>
            </w:r>
          </w:p>
        </w:tc>
        <w:tc>
          <w:tcPr>
            <w:tcW w:w="1485" w:type="dxa"/>
            <w:tcBorders>
              <w:top w:val="single" w:sz="4" w:space="0" w:color="auto"/>
              <w:left w:val="single" w:sz="4" w:space="0" w:color="auto"/>
              <w:bottom w:val="single" w:sz="4" w:space="0" w:color="auto"/>
              <w:right w:val="single" w:sz="4" w:space="0" w:color="auto"/>
            </w:tcBorders>
            <w:vAlign w:val="center"/>
          </w:tcPr>
          <w:p w:rsidR="00764BC7" w:rsidRPr="00CD3508" w:rsidRDefault="00764BC7" w:rsidP="008558E4">
            <w:pPr>
              <w:jc w:val="center"/>
              <w:rPr>
                <w:sz w:val="20"/>
                <w:szCs w:val="20"/>
              </w:rPr>
            </w:pPr>
            <w:r w:rsidRPr="00CD3508">
              <w:rPr>
                <w:sz w:val="20"/>
                <w:szCs w:val="20"/>
              </w:rPr>
              <w:t>20</w:t>
            </w:r>
            <w:r w:rsidR="008558E4">
              <w:rPr>
                <w:sz w:val="20"/>
                <w:szCs w:val="20"/>
              </w:rPr>
              <w:t>13</w:t>
            </w:r>
          </w:p>
        </w:tc>
        <w:tc>
          <w:tcPr>
            <w:tcW w:w="1485" w:type="dxa"/>
            <w:tcBorders>
              <w:top w:val="single" w:sz="4" w:space="0" w:color="auto"/>
              <w:left w:val="single" w:sz="4" w:space="0" w:color="auto"/>
              <w:bottom w:val="single" w:sz="4" w:space="0" w:color="auto"/>
            </w:tcBorders>
            <w:vAlign w:val="center"/>
          </w:tcPr>
          <w:p w:rsidR="00764BC7" w:rsidRPr="00CD3508" w:rsidRDefault="00764BC7" w:rsidP="008558E4">
            <w:pPr>
              <w:jc w:val="center"/>
              <w:rPr>
                <w:sz w:val="20"/>
                <w:szCs w:val="20"/>
              </w:rPr>
            </w:pPr>
            <w:r w:rsidRPr="00CD3508">
              <w:rPr>
                <w:sz w:val="20"/>
                <w:szCs w:val="20"/>
              </w:rPr>
              <w:t>20</w:t>
            </w:r>
            <w:r w:rsidR="008558E4">
              <w:rPr>
                <w:sz w:val="20"/>
                <w:szCs w:val="20"/>
              </w:rPr>
              <w:t>14</w:t>
            </w:r>
          </w:p>
        </w:tc>
      </w:tr>
      <w:tr w:rsidR="00764BC7" w:rsidRPr="00CD3508" w:rsidTr="00F9396C">
        <w:trPr>
          <w:jc w:val="center"/>
        </w:trPr>
        <w:tc>
          <w:tcPr>
            <w:tcW w:w="3955" w:type="dxa"/>
            <w:tcBorders>
              <w:top w:val="single" w:sz="4" w:space="0" w:color="auto"/>
              <w:right w:val="single" w:sz="4" w:space="0" w:color="auto"/>
            </w:tcBorders>
          </w:tcPr>
          <w:p w:rsidR="00764BC7" w:rsidRPr="00CD3508" w:rsidRDefault="00764BC7" w:rsidP="005841D9">
            <w:pPr>
              <w:rPr>
                <w:sz w:val="20"/>
                <w:szCs w:val="20"/>
              </w:rPr>
            </w:pPr>
          </w:p>
        </w:tc>
        <w:tc>
          <w:tcPr>
            <w:tcW w:w="1485" w:type="dxa"/>
            <w:tcBorders>
              <w:top w:val="single" w:sz="4" w:space="0" w:color="auto"/>
              <w:left w:val="single" w:sz="4" w:space="0" w:color="auto"/>
              <w:bottom w:val="nil"/>
              <w:right w:val="single" w:sz="4" w:space="0" w:color="auto"/>
            </w:tcBorders>
          </w:tcPr>
          <w:p w:rsidR="00764BC7" w:rsidRPr="00CD3508" w:rsidRDefault="00764BC7" w:rsidP="005841D9">
            <w:pPr>
              <w:rPr>
                <w:sz w:val="20"/>
                <w:szCs w:val="20"/>
              </w:rPr>
            </w:pPr>
          </w:p>
        </w:tc>
        <w:tc>
          <w:tcPr>
            <w:tcW w:w="1485" w:type="dxa"/>
            <w:tcBorders>
              <w:top w:val="single" w:sz="4" w:space="0" w:color="auto"/>
              <w:left w:val="single" w:sz="4" w:space="0" w:color="auto"/>
            </w:tcBorders>
          </w:tcPr>
          <w:p w:rsidR="00764BC7" w:rsidRPr="00CD3508" w:rsidRDefault="00764BC7" w:rsidP="005841D9">
            <w:pPr>
              <w:rPr>
                <w:sz w:val="20"/>
                <w:szCs w:val="20"/>
              </w:rPr>
            </w:pPr>
          </w:p>
        </w:tc>
      </w:tr>
      <w:tr w:rsidR="00764BC7" w:rsidRPr="00CD3508" w:rsidTr="00F9396C">
        <w:trPr>
          <w:jc w:val="center"/>
        </w:trPr>
        <w:tc>
          <w:tcPr>
            <w:tcW w:w="3955" w:type="dxa"/>
            <w:tcBorders>
              <w:right w:val="single" w:sz="4" w:space="0" w:color="auto"/>
            </w:tcBorders>
          </w:tcPr>
          <w:p w:rsidR="00764BC7" w:rsidRPr="00CD3508" w:rsidRDefault="00764BC7" w:rsidP="005841D9">
            <w:pPr>
              <w:rPr>
                <w:sz w:val="20"/>
                <w:szCs w:val="20"/>
              </w:rPr>
            </w:pPr>
            <w:r w:rsidRPr="00CD3508">
              <w:rPr>
                <w:sz w:val="20"/>
                <w:szCs w:val="20"/>
              </w:rPr>
              <w:t>Housing units designated for the survey</w:t>
            </w:r>
          </w:p>
        </w:tc>
        <w:tc>
          <w:tcPr>
            <w:tcW w:w="1485" w:type="dxa"/>
            <w:tcBorders>
              <w:top w:val="nil"/>
              <w:left w:val="single" w:sz="4" w:space="0" w:color="auto"/>
              <w:bottom w:val="nil"/>
              <w:right w:val="single" w:sz="4" w:space="0" w:color="auto"/>
            </w:tcBorders>
            <w:vAlign w:val="center"/>
          </w:tcPr>
          <w:p w:rsidR="00764BC7" w:rsidRPr="00CD3508" w:rsidRDefault="008558E4" w:rsidP="005841D9">
            <w:pPr>
              <w:tabs>
                <w:tab w:val="left" w:pos="737"/>
              </w:tabs>
              <w:ind w:right="360"/>
              <w:jc w:val="right"/>
              <w:rPr>
                <w:sz w:val="20"/>
                <w:szCs w:val="20"/>
              </w:rPr>
            </w:pPr>
            <w:r>
              <w:rPr>
                <w:sz w:val="20"/>
                <w:szCs w:val="20"/>
              </w:rPr>
              <w:t>47,524</w:t>
            </w:r>
          </w:p>
        </w:tc>
        <w:tc>
          <w:tcPr>
            <w:tcW w:w="1485" w:type="dxa"/>
            <w:tcBorders>
              <w:left w:val="single" w:sz="4" w:space="0" w:color="auto"/>
            </w:tcBorders>
            <w:vAlign w:val="center"/>
          </w:tcPr>
          <w:p w:rsidR="00764BC7" w:rsidRPr="00CD3508" w:rsidRDefault="008558E4" w:rsidP="005841D9">
            <w:pPr>
              <w:ind w:right="391"/>
              <w:jc w:val="right"/>
              <w:rPr>
                <w:sz w:val="20"/>
                <w:szCs w:val="20"/>
              </w:rPr>
            </w:pPr>
            <w:r>
              <w:rPr>
                <w:sz w:val="20"/>
                <w:szCs w:val="20"/>
              </w:rPr>
              <w:t>47,529</w:t>
            </w:r>
          </w:p>
        </w:tc>
      </w:tr>
      <w:tr w:rsidR="00764BC7" w:rsidRPr="00CD3508" w:rsidTr="00F9396C">
        <w:trPr>
          <w:jc w:val="center"/>
        </w:trPr>
        <w:tc>
          <w:tcPr>
            <w:tcW w:w="3955" w:type="dxa"/>
            <w:tcBorders>
              <w:right w:val="single" w:sz="4" w:space="0" w:color="auto"/>
            </w:tcBorders>
          </w:tcPr>
          <w:p w:rsidR="00764BC7" w:rsidRPr="00CD3508" w:rsidRDefault="00764BC7" w:rsidP="005841D9">
            <w:pPr>
              <w:rPr>
                <w:sz w:val="20"/>
                <w:szCs w:val="20"/>
              </w:rPr>
            </w:pPr>
            <w:r w:rsidRPr="00CD3508">
              <w:rPr>
                <w:sz w:val="20"/>
                <w:szCs w:val="20"/>
              </w:rPr>
              <w:t xml:space="preserve">    Less:  Type B or C nonresponses</w:t>
            </w:r>
          </w:p>
        </w:tc>
        <w:tc>
          <w:tcPr>
            <w:tcW w:w="1485" w:type="dxa"/>
            <w:tcBorders>
              <w:top w:val="nil"/>
              <w:left w:val="single" w:sz="4" w:space="0" w:color="auto"/>
              <w:bottom w:val="nil"/>
              <w:right w:val="single" w:sz="4" w:space="0" w:color="auto"/>
            </w:tcBorders>
            <w:vAlign w:val="center"/>
          </w:tcPr>
          <w:p w:rsidR="00764BC7" w:rsidRPr="00CD3508" w:rsidRDefault="008558E4" w:rsidP="005841D9">
            <w:pPr>
              <w:tabs>
                <w:tab w:val="left" w:pos="737"/>
              </w:tabs>
              <w:ind w:right="360"/>
              <w:jc w:val="right"/>
              <w:rPr>
                <w:sz w:val="20"/>
                <w:szCs w:val="20"/>
              </w:rPr>
            </w:pPr>
            <w:r>
              <w:rPr>
                <w:sz w:val="20"/>
                <w:szCs w:val="20"/>
              </w:rPr>
              <w:t>8,382</w:t>
            </w:r>
          </w:p>
        </w:tc>
        <w:tc>
          <w:tcPr>
            <w:tcW w:w="1485" w:type="dxa"/>
            <w:tcBorders>
              <w:left w:val="single" w:sz="4" w:space="0" w:color="auto"/>
            </w:tcBorders>
            <w:vAlign w:val="center"/>
          </w:tcPr>
          <w:p w:rsidR="00764BC7" w:rsidRPr="00CD3508" w:rsidRDefault="008558E4" w:rsidP="005841D9">
            <w:pPr>
              <w:ind w:right="391"/>
              <w:jc w:val="right"/>
              <w:rPr>
                <w:sz w:val="20"/>
                <w:szCs w:val="20"/>
              </w:rPr>
            </w:pPr>
            <w:r>
              <w:rPr>
                <w:sz w:val="20"/>
                <w:szCs w:val="20"/>
              </w:rPr>
              <w:t>8,526</w:t>
            </w:r>
          </w:p>
        </w:tc>
      </w:tr>
      <w:tr w:rsidR="00764BC7" w:rsidRPr="00CD3508" w:rsidTr="00F9396C">
        <w:trPr>
          <w:jc w:val="center"/>
        </w:trPr>
        <w:tc>
          <w:tcPr>
            <w:tcW w:w="3955" w:type="dxa"/>
            <w:tcBorders>
              <w:right w:val="single" w:sz="4" w:space="0" w:color="auto"/>
            </w:tcBorders>
          </w:tcPr>
          <w:p w:rsidR="00764BC7" w:rsidRPr="00CD3508" w:rsidRDefault="00764BC7" w:rsidP="005841D9">
            <w:pPr>
              <w:rPr>
                <w:sz w:val="20"/>
                <w:szCs w:val="20"/>
              </w:rPr>
            </w:pPr>
            <w:r w:rsidRPr="00CD3508">
              <w:rPr>
                <w:sz w:val="20"/>
                <w:szCs w:val="20"/>
              </w:rPr>
              <w:t>Equals:  Eligible units</w:t>
            </w:r>
          </w:p>
        </w:tc>
        <w:tc>
          <w:tcPr>
            <w:tcW w:w="1485" w:type="dxa"/>
            <w:tcBorders>
              <w:top w:val="nil"/>
              <w:left w:val="single" w:sz="4" w:space="0" w:color="auto"/>
              <w:bottom w:val="nil"/>
              <w:right w:val="single" w:sz="4" w:space="0" w:color="auto"/>
            </w:tcBorders>
            <w:vAlign w:val="center"/>
          </w:tcPr>
          <w:p w:rsidR="00764BC7" w:rsidRPr="00CD3508" w:rsidRDefault="008558E4" w:rsidP="005841D9">
            <w:pPr>
              <w:tabs>
                <w:tab w:val="left" w:pos="737"/>
              </w:tabs>
              <w:ind w:right="360"/>
              <w:jc w:val="right"/>
              <w:rPr>
                <w:sz w:val="20"/>
                <w:szCs w:val="20"/>
              </w:rPr>
            </w:pPr>
            <w:r>
              <w:rPr>
                <w:sz w:val="20"/>
                <w:szCs w:val="20"/>
              </w:rPr>
              <w:t>39,142</w:t>
            </w:r>
          </w:p>
        </w:tc>
        <w:tc>
          <w:tcPr>
            <w:tcW w:w="1485" w:type="dxa"/>
            <w:tcBorders>
              <w:left w:val="single" w:sz="4" w:space="0" w:color="auto"/>
            </w:tcBorders>
            <w:vAlign w:val="center"/>
          </w:tcPr>
          <w:p w:rsidR="00764BC7" w:rsidRPr="00CD3508" w:rsidRDefault="008558E4" w:rsidP="005841D9">
            <w:pPr>
              <w:ind w:right="391"/>
              <w:jc w:val="right"/>
              <w:rPr>
                <w:sz w:val="20"/>
                <w:szCs w:val="20"/>
              </w:rPr>
            </w:pPr>
            <w:r>
              <w:rPr>
                <w:sz w:val="20"/>
                <w:szCs w:val="20"/>
              </w:rPr>
              <w:t>39,003</w:t>
            </w:r>
          </w:p>
        </w:tc>
      </w:tr>
      <w:tr w:rsidR="00764BC7" w:rsidRPr="00CD3508" w:rsidTr="00F9396C">
        <w:trPr>
          <w:jc w:val="center"/>
        </w:trPr>
        <w:tc>
          <w:tcPr>
            <w:tcW w:w="3955" w:type="dxa"/>
            <w:tcBorders>
              <w:right w:val="single" w:sz="4" w:space="0" w:color="auto"/>
            </w:tcBorders>
          </w:tcPr>
          <w:p w:rsidR="00764BC7" w:rsidRPr="00CD3508" w:rsidRDefault="00764BC7" w:rsidP="005841D9">
            <w:pPr>
              <w:rPr>
                <w:sz w:val="20"/>
                <w:szCs w:val="20"/>
              </w:rPr>
            </w:pPr>
            <w:r w:rsidRPr="00CD3508">
              <w:rPr>
                <w:sz w:val="20"/>
                <w:szCs w:val="20"/>
              </w:rPr>
              <w:t xml:space="preserve">    Less:  Type A nonresponses</w:t>
            </w:r>
          </w:p>
        </w:tc>
        <w:tc>
          <w:tcPr>
            <w:tcW w:w="1485" w:type="dxa"/>
            <w:tcBorders>
              <w:top w:val="nil"/>
              <w:left w:val="single" w:sz="4" w:space="0" w:color="auto"/>
              <w:bottom w:val="nil"/>
              <w:right w:val="single" w:sz="4" w:space="0" w:color="auto"/>
            </w:tcBorders>
            <w:vAlign w:val="center"/>
          </w:tcPr>
          <w:p w:rsidR="00764BC7" w:rsidRPr="00CD3508" w:rsidRDefault="008558E4" w:rsidP="005841D9">
            <w:pPr>
              <w:tabs>
                <w:tab w:val="left" w:pos="737"/>
              </w:tabs>
              <w:ind w:right="360"/>
              <w:jc w:val="right"/>
              <w:rPr>
                <w:sz w:val="20"/>
                <w:szCs w:val="20"/>
              </w:rPr>
            </w:pPr>
            <w:r>
              <w:rPr>
                <w:sz w:val="20"/>
                <w:szCs w:val="20"/>
              </w:rPr>
              <w:t>13,034</w:t>
            </w:r>
          </w:p>
        </w:tc>
        <w:tc>
          <w:tcPr>
            <w:tcW w:w="1485" w:type="dxa"/>
            <w:tcBorders>
              <w:left w:val="single" w:sz="4" w:space="0" w:color="auto"/>
            </w:tcBorders>
            <w:vAlign w:val="center"/>
          </w:tcPr>
          <w:p w:rsidR="00764BC7" w:rsidRPr="00CD3508" w:rsidRDefault="008558E4" w:rsidP="005841D9">
            <w:pPr>
              <w:ind w:right="391"/>
              <w:jc w:val="right"/>
              <w:rPr>
                <w:sz w:val="20"/>
                <w:szCs w:val="20"/>
              </w:rPr>
            </w:pPr>
            <w:r>
              <w:rPr>
                <w:sz w:val="20"/>
                <w:szCs w:val="20"/>
              </w:rPr>
              <w:t>13,095</w:t>
            </w:r>
          </w:p>
        </w:tc>
      </w:tr>
      <w:tr w:rsidR="00764BC7" w:rsidRPr="00CD3508" w:rsidTr="00F9396C">
        <w:trPr>
          <w:jc w:val="center"/>
        </w:trPr>
        <w:tc>
          <w:tcPr>
            <w:tcW w:w="3955" w:type="dxa"/>
            <w:tcBorders>
              <w:bottom w:val="nil"/>
              <w:right w:val="single" w:sz="4" w:space="0" w:color="auto"/>
            </w:tcBorders>
          </w:tcPr>
          <w:p w:rsidR="00764BC7" w:rsidRPr="00CD3508" w:rsidRDefault="00764BC7" w:rsidP="005841D9">
            <w:pPr>
              <w:rPr>
                <w:sz w:val="20"/>
                <w:szCs w:val="20"/>
              </w:rPr>
            </w:pPr>
            <w:r w:rsidRPr="00CD3508">
              <w:rPr>
                <w:sz w:val="20"/>
                <w:szCs w:val="20"/>
              </w:rPr>
              <w:t>Equals:  Interview units</w:t>
            </w:r>
          </w:p>
        </w:tc>
        <w:tc>
          <w:tcPr>
            <w:tcW w:w="1485" w:type="dxa"/>
            <w:tcBorders>
              <w:top w:val="nil"/>
              <w:left w:val="single" w:sz="4" w:space="0" w:color="auto"/>
              <w:bottom w:val="nil"/>
              <w:right w:val="single" w:sz="4" w:space="0" w:color="auto"/>
            </w:tcBorders>
            <w:vAlign w:val="center"/>
          </w:tcPr>
          <w:p w:rsidR="00764BC7" w:rsidRPr="00CD3508" w:rsidRDefault="008558E4" w:rsidP="005841D9">
            <w:pPr>
              <w:tabs>
                <w:tab w:val="left" w:pos="737"/>
              </w:tabs>
              <w:ind w:right="360"/>
              <w:jc w:val="right"/>
              <w:rPr>
                <w:sz w:val="20"/>
                <w:szCs w:val="20"/>
              </w:rPr>
            </w:pPr>
            <w:r>
              <w:rPr>
                <w:sz w:val="20"/>
                <w:szCs w:val="20"/>
              </w:rPr>
              <w:t>26,108</w:t>
            </w:r>
          </w:p>
        </w:tc>
        <w:tc>
          <w:tcPr>
            <w:tcW w:w="1485" w:type="dxa"/>
            <w:tcBorders>
              <w:left w:val="single" w:sz="4" w:space="0" w:color="auto"/>
              <w:bottom w:val="nil"/>
            </w:tcBorders>
            <w:vAlign w:val="center"/>
          </w:tcPr>
          <w:p w:rsidR="00764BC7" w:rsidRPr="00CD3508" w:rsidRDefault="008558E4" w:rsidP="005841D9">
            <w:pPr>
              <w:ind w:right="391"/>
              <w:jc w:val="right"/>
              <w:rPr>
                <w:sz w:val="20"/>
                <w:szCs w:val="20"/>
              </w:rPr>
            </w:pPr>
            <w:r>
              <w:rPr>
                <w:sz w:val="20"/>
                <w:szCs w:val="20"/>
              </w:rPr>
              <w:t>25,908</w:t>
            </w:r>
          </w:p>
        </w:tc>
      </w:tr>
      <w:tr w:rsidR="00764BC7" w:rsidRPr="00CD3508" w:rsidTr="00F9396C">
        <w:trPr>
          <w:jc w:val="center"/>
        </w:trPr>
        <w:tc>
          <w:tcPr>
            <w:tcW w:w="3955" w:type="dxa"/>
            <w:tcBorders>
              <w:top w:val="nil"/>
              <w:bottom w:val="single" w:sz="4" w:space="0" w:color="auto"/>
              <w:right w:val="single" w:sz="4" w:space="0" w:color="auto"/>
            </w:tcBorders>
            <w:shd w:val="clear" w:color="auto" w:fill="D9D9D9"/>
          </w:tcPr>
          <w:p w:rsidR="00764BC7" w:rsidRPr="00CD3508" w:rsidRDefault="00764BC7" w:rsidP="005841D9">
            <w:pPr>
              <w:rPr>
                <w:sz w:val="20"/>
                <w:szCs w:val="20"/>
              </w:rPr>
            </w:pPr>
            <w:r w:rsidRPr="00CD3508">
              <w:rPr>
                <w:sz w:val="20"/>
                <w:szCs w:val="20"/>
              </w:rPr>
              <w:t>Percent of eligible units interviewed</w:t>
            </w:r>
          </w:p>
        </w:tc>
        <w:tc>
          <w:tcPr>
            <w:tcW w:w="1485" w:type="dxa"/>
            <w:tcBorders>
              <w:top w:val="nil"/>
              <w:left w:val="single" w:sz="4" w:space="0" w:color="auto"/>
              <w:bottom w:val="single" w:sz="4" w:space="0" w:color="auto"/>
              <w:right w:val="single" w:sz="4" w:space="0" w:color="auto"/>
            </w:tcBorders>
            <w:shd w:val="clear" w:color="auto" w:fill="D9D9D9"/>
          </w:tcPr>
          <w:p w:rsidR="00764BC7" w:rsidRPr="00CD3508" w:rsidRDefault="008558E4" w:rsidP="005841D9">
            <w:pPr>
              <w:tabs>
                <w:tab w:val="left" w:pos="737"/>
              </w:tabs>
              <w:ind w:left="531"/>
              <w:rPr>
                <w:sz w:val="20"/>
                <w:szCs w:val="20"/>
              </w:rPr>
            </w:pPr>
            <w:r>
              <w:rPr>
                <w:sz w:val="20"/>
                <w:szCs w:val="20"/>
              </w:rPr>
              <w:t>66.7</w:t>
            </w:r>
          </w:p>
        </w:tc>
        <w:tc>
          <w:tcPr>
            <w:tcW w:w="1485" w:type="dxa"/>
            <w:tcBorders>
              <w:top w:val="nil"/>
              <w:left w:val="single" w:sz="4" w:space="0" w:color="auto"/>
              <w:bottom w:val="single" w:sz="4" w:space="0" w:color="auto"/>
            </w:tcBorders>
            <w:shd w:val="clear" w:color="auto" w:fill="D9D9D9"/>
            <w:vAlign w:val="center"/>
          </w:tcPr>
          <w:p w:rsidR="00764BC7" w:rsidRPr="00CD3508" w:rsidRDefault="008558E4" w:rsidP="005841D9">
            <w:pPr>
              <w:jc w:val="center"/>
              <w:rPr>
                <w:sz w:val="20"/>
                <w:szCs w:val="20"/>
              </w:rPr>
            </w:pPr>
            <w:r>
              <w:rPr>
                <w:sz w:val="20"/>
                <w:szCs w:val="20"/>
              </w:rPr>
              <w:t>66.4</w:t>
            </w:r>
          </w:p>
        </w:tc>
      </w:tr>
    </w:tbl>
    <w:p w:rsidR="00427166" w:rsidRPr="00CD3508" w:rsidRDefault="00427166" w:rsidP="00427166">
      <w:pPr>
        <w:jc w:val="both"/>
        <w:rPr>
          <w:sz w:val="20"/>
          <w:szCs w:val="20"/>
        </w:rPr>
      </w:pPr>
    </w:p>
    <w:p w:rsidR="00B02BA1" w:rsidRPr="00CD3508" w:rsidRDefault="00B02BA1" w:rsidP="00B02BA1">
      <w:pPr>
        <w:jc w:val="both"/>
        <w:rPr>
          <w:sz w:val="20"/>
          <w:szCs w:val="20"/>
        </w:rPr>
      </w:pPr>
      <w:r w:rsidRPr="00CD3508">
        <w:rPr>
          <w:sz w:val="20"/>
          <w:szCs w:val="20"/>
        </w:rPr>
        <w:t xml:space="preserve">The sample size and response status for housing units designated for the </w:t>
      </w:r>
      <w:r w:rsidR="00BE485A" w:rsidRPr="00CD3508">
        <w:rPr>
          <w:sz w:val="20"/>
          <w:szCs w:val="20"/>
        </w:rPr>
        <w:t>Diary Survey</w:t>
      </w:r>
      <w:r w:rsidRPr="00CD3508">
        <w:rPr>
          <w:sz w:val="20"/>
          <w:szCs w:val="20"/>
        </w:rPr>
        <w:t xml:space="preserve"> in 20</w:t>
      </w:r>
      <w:r w:rsidR="000F145D">
        <w:rPr>
          <w:sz w:val="20"/>
          <w:szCs w:val="20"/>
        </w:rPr>
        <w:t>13</w:t>
      </w:r>
      <w:r w:rsidRPr="00CD3508">
        <w:rPr>
          <w:sz w:val="20"/>
          <w:szCs w:val="20"/>
        </w:rPr>
        <w:t xml:space="preserve"> and 20</w:t>
      </w:r>
      <w:r w:rsidR="000F145D">
        <w:rPr>
          <w:sz w:val="20"/>
          <w:szCs w:val="20"/>
        </w:rPr>
        <w:t>14</w:t>
      </w:r>
      <w:r w:rsidRPr="00CD3508">
        <w:rPr>
          <w:sz w:val="20"/>
          <w:szCs w:val="20"/>
        </w:rPr>
        <w:t xml:space="preserve"> are </w:t>
      </w:r>
      <w:r w:rsidR="00CD1F73" w:rsidRPr="00CD3508">
        <w:rPr>
          <w:sz w:val="20"/>
          <w:szCs w:val="20"/>
        </w:rPr>
        <w:t>shown</w:t>
      </w:r>
      <w:r w:rsidRPr="00CD3508">
        <w:rPr>
          <w:sz w:val="20"/>
          <w:szCs w:val="20"/>
        </w:rPr>
        <w:t xml:space="preserve"> in Table 2.  In 20</w:t>
      </w:r>
      <w:r w:rsidR="000F145D">
        <w:rPr>
          <w:sz w:val="20"/>
          <w:szCs w:val="20"/>
        </w:rPr>
        <w:t>14</w:t>
      </w:r>
      <w:r w:rsidRPr="00CD3508">
        <w:rPr>
          <w:sz w:val="20"/>
          <w:szCs w:val="20"/>
        </w:rPr>
        <w:t xml:space="preserve"> there were 2</w:t>
      </w:r>
      <w:r w:rsidR="000F145D">
        <w:rPr>
          <w:sz w:val="20"/>
          <w:szCs w:val="20"/>
        </w:rPr>
        <w:t>5,606</w:t>
      </w:r>
      <w:r w:rsidRPr="00CD3508">
        <w:rPr>
          <w:sz w:val="20"/>
          <w:szCs w:val="20"/>
        </w:rPr>
        <w:t xml:space="preserve"> housing units designated for the </w:t>
      </w:r>
      <w:r w:rsidR="00BE485A" w:rsidRPr="00CD3508">
        <w:rPr>
          <w:sz w:val="20"/>
          <w:szCs w:val="20"/>
        </w:rPr>
        <w:t>Diary Survey</w:t>
      </w:r>
      <w:r w:rsidRPr="00CD3508">
        <w:rPr>
          <w:sz w:val="20"/>
          <w:szCs w:val="20"/>
        </w:rPr>
        <w:t xml:space="preserve"> (both diary</w:t>
      </w:r>
      <w:r w:rsidR="00D01C6A" w:rsidRPr="00CD3508">
        <w:rPr>
          <w:sz w:val="20"/>
          <w:szCs w:val="20"/>
        </w:rPr>
        <w:t xml:space="preserve"> weeks treated independently).  </w:t>
      </w:r>
      <w:r w:rsidR="00CD0078" w:rsidRPr="00CD3508">
        <w:rPr>
          <w:sz w:val="20"/>
          <w:szCs w:val="20"/>
        </w:rPr>
        <w:t>Again, the number of housing units “designated” is slightly more than the number of addresses selected for the sampl</w:t>
      </w:r>
      <w:r w:rsidR="00CD0078">
        <w:rPr>
          <w:sz w:val="20"/>
          <w:szCs w:val="20"/>
        </w:rPr>
        <w:t xml:space="preserve">e due to multi-unit addresses.  </w:t>
      </w:r>
      <w:r w:rsidR="00D01C6A" w:rsidRPr="00CD3508">
        <w:rPr>
          <w:sz w:val="20"/>
          <w:szCs w:val="20"/>
        </w:rPr>
        <w:t>From these designated units, 2</w:t>
      </w:r>
      <w:r w:rsidR="000F145D">
        <w:rPr>
          <w:sz w:val="20"/>
          <w:szCs w:val="20"/>
        </w:rPr>
        <w:t>0,476</w:t>
      </w:r>
      <w:r w:rsidR="00D01C6A" w:rsidRPr="00CD3508">
        <w:rPr>
          <w:sz w:val="20"/>
          <w:szCs w:val="20"/>
        </w:rPr>
        <w:t xml:space="preserve"> housing units were found to be eligible to participate in the survey.  Subsequently, </w:t>
      </w:r>
      <w:r w:rsidRPr="00CD3508">
        <w:rPr>
          <w:sz w:val="20"/>
          <w:szCs w:val="20"/>
        </w:rPr>
        <w:t>1</w:t>
      </w:r>
      <w:r w:rsidR="000F145D">
        <w:rPr>
          <w:sz w:val="20"/>
          <w:szCs w:val="20"/>
        </w:rPr>
        <w:t>3,306</w:t>
      </w:r>
      <w:r w:rsidRPr="00CD3508">
        <w:rPr>
          <w:sz w:val="20"/>
          <w:szCs w:val="20"/>
        </w:rPr>
        <w:t xml:space="preserve"> completed interviews </w:t>
      </w:r>
      <w:r w:rsidR="00D01C6A" w:rsidRPr="00CD3508">
        <w:rPr>
          <w:sz w:val="20"/>
          <w:szCs w:val="20"/>
        </w:rPr>
        <w:t xml:space="preserve">were </w:t>
      </w:r>
      <w:r w:rsidR="0061563E" w:rsidRPr="00CD3508">
        <w:rPr>
          <w:sz w:val="20"/>
          <w:szCs w:val="20"/>
        </w:rPr>
        <w:t>collected from</w:t>
      </w:r>
      <w:r w:rsidR="00D01C6A" w:rsidRPr="00CD3508">
        <w:rPr>
          <w:sz w:val="20"/>
          <w:szCs w:val="20"/>
        </w:rPr>
        <w:t xml:space="preserve"> these households, yielding a </w:t>
      </w:r>
      <w:r w:rsidRPr="00CD3508">
        <w:rPr>
          <w:sz w:val="20"/>
          <w:szCs w:val="20"/>
        </w:rPr>
        <w:t xml:space="preserve">response rate </w:t>
      </w:r>
      <w:r w:rsidR="00D01C6A" w:rsidRPr="00CD3508">
        <w:rPr>
          <w:sz w:val="20"/>
          <w:szCs w:val="20"/>
        </w:rPr>
        <w:t xml:space="preserve">of </w:t>
      </w:r>
      <w:r w:rsidR="000F145D">
        <w:rPr>
          <w:sz w:val="20"/>
          <w:szCs w:val="20"/>
        </w:rPr>
        <w:t>65.0</w:t>
      </w:r>
      <w:r w:rsidRPr="00CD3508">
        <w:rPr>
          <w:sz w:val="20"/>
          <w:szCs w:val="20"/>
        </w:rPr>
        <w:t xml:space="preserve"> percent</w:t>
      </w:r>
      <w:r w:rsidR="00D01C6A" w:rsidRPr="00CD3508">
        <w:rPr>
          <w:sz w:val="20"/>
          <w:szCs w:val="20"/>
        </w:rPr>
        <w:t xml:space="preserve"> (1</w:t>
      </w:r>
      <w:r w:rsidR="000F145D">
        <w:rPr>
          <w:sz w:val="20"/>
          <w:szCs w:val="20"/>
        </w:rPr>
        <w:t>3,306</w:t>
      </w:r>
      <w:r w:rsidR="00D01C6A" w:rsidRPr="00CD3508">
        <w:rPr>
          <w:sz w:val="20"/>
          <w:szCs w:val="20"/>
        </w:rPr>
        <w:t xml:space="preserve"> / 2</w:t>
      </w:r>
      <w:r w:rsidR="000F145D">
        <w:rPr>
          <w:sz w:val="20"/>
          <w:szCs w:val="20"/>
        </w:rPr>
        <w:t>0,476</w:t>
      </w:r>
      <w:r w:rsidR="00D01C6A" w:rsidRPr="00CD3508">
        <w:rPr>
          <w:sz w:val="20"/>
          <w:szCs w:val="20"/>
        </w:rPr>
        <w:t xml:space="preserve"> = </w:t>
      </w:r>
      <w:r w:rsidR="007854AE" w:rsidRPr="00CD3508">
        <w:rPr>
          <w:sz w:val="20"/>
          <w:szCs w:val="20"/>
        </w:rPr>
        <w:t>0</w:t>
      </w:r>
      <w:r w:rsidR="00D01C6A" w:rsidRPr="00CD3508">
        <w:rPr>
          <w:sz w:val="20"/>
          <w:szCs w:val="20"/>
        </w:rPr>
        <w:t>.</w:t>
      </w:r>
      <w:r w:rsidR="000F145D">
        <w:rPr>
          <w:sz w:val="20"/>
          <w:szCs w:val="20"/>
        </w:rPr>
        <w:t>65</w:t>
      </w:r>
      <w:r w:rsidR="0083627C" w:rsidRPr="00CD3508">
        <w:rPr>
          <w:sz w:val="20"/>
          <w:szCs w:val="20"/>
        </w:rPr>
        <w:t>0</w:t>
      </w:r>
      <w:r w:rsidR="00D01C6A" w:rsidRPr="00CD3508">
        <w:rPr>
          <w:sz w:val="20"/>
          <w:szCs w:val="20"/>
        </w:rPr>
        <w:t>)</w:t>
      </w:r>
      <w:r w:rsidR="001A48F2" w:rsidRPr="00CD3508">
        <w:rPr>
          <w:sz w:val="20"/>
          <w:szCs w:val="20"/>
        </w:rPr>
        <w:t>.</w:t>
      </w:r>
      <w:r w:rsidRPr="00CD3508">
        <w:rPr>
          <w:sz w:val="20"/>
          <w:szCs w:val="20"/>
        </w:rPr>
        <w:t xml:space="preserve">  Field representatives visited </w:t>
      </w:r>
      <w:r w:rsidR="000F145D">
        <w:rPr>
          <w:sz w:val="20"/>
          <w:szCs w:val="20"/>
        </w:rPr>
        <w:t>5,130</w:t>
      </w:r>
      <w:r w:rsidRPr="00CD3508">
        <w:rPr>
          <w:sz w:val="20"/>
          <w:szCs w:val="20"/>
        </w:rPr>
        <w:t xml:space="preserve"> </w:t>
      </w:r>
      <w:r w:rsidR="005710E7" w:rsidRPr="00CD3508">
        <w:rPr>
          <w:sz w:val="20"/>
          <w:szCs w:val="20"/>
        </w:rPr>
        <w:t xml:space="preserve">ineligible </w:t>
      </w:r>
      <w:r w:rsidRPr="00CD3508">
        <w:rPr>
          <w:sz w:val="20"/>
          <w:szCs w:val="20"/>
        </w:rPr>
        <w:t xml:space="preserve">addresses which were </w:t>
      </w:r>
      <w:r w:rsidR="009365BC" w:rsidRPr="00CD3508">
        <w:rPr>
          <w:sz w:val="20"/>
          <w:szCs w:val="20"/>
        </w:rPr>
        <w:t>categorized as</w:t>
      </w:r>
      <w:r w:rsidRPr="00CD3508">
        <w:rPr>
          <w:sz w:val="20"/>
          <w:szCs w:val="20"/>
        </w:rPr>
        <w:t xml:space="preserve"> Type B or </w:t>
      </w:r>
      <w:r w:rsidR="000F145D">
        <w:rPr>
          <w:sz w:val="20"/>
          <w:szCs w:val="20"/>
        </w:rPr>
        <w:t xml:space="preserve">Type </w:t>
      </w:r>
      <w:r w:rsidRPr="00CD3508">
        <w:rPr>
          <w:sz w:val="20"/>
          <w:szCs w:val="20"/>
        </w:rPr>
        <w:t>C nonrespon</w:t>
      </w:r>
      <w:r w:rsidR="00D01C6A" w:rsidRPr="00CD3508">
        <w:rPr>
          <w:sz w:val="20"/>
          <w:szCs w:val="20"/>
        </w:rPr>
        <w:t>ders</w:t>
      </w:r>
      <w:r w:rsidRPr="00CD3508">
        <w:rPr>
          <w:sz w:val="20"/>
          <w:szCs w:val="20"/>
        </w:rPr>
        <w:t>.</w:t>
      </w:r>
    </w:p>
    <w:p w:rsidR="00B02BA1" w:rsidRPr="00CD3508" w:rsidRDefault="00B02BA1" w:rsidP="005841D9">
      <w:pPr>
        <w:rPr>
          <w:sz w:val="20"/>
          <w:szCs w:val="20"/>
        </w:rPr>
      </w:pPr>
    </w:p>
    <w:p w:rsidR="00764BC7" w:rsidRPr="00CD3508" w:rsidRDefault="00764BC7" w:rsidP="00F9396C">
      <w:pPr>
        <w:jc w:val="center"/>
        <w:rPr>
          <w:sz w:val="20"/>
          <w:szCs w:val="20"/>
        </w:rPr>
      </w:pPr>
      <w:r w:rsidRPr="00CD3508">
        <w:rPr>
          <w:sz w:val="20"/>
          <w:szCs w:val="20"/>
        </w:rPr>
        <w:t>Table 2.  Analysis of response in the CE Diary Survey, 20</w:t>
      </w:r>
      <w:r w:rsidR="008558E4">
        <w:rPr>
          <w:sz w:val="20"/>
          <w:szCs w:val="20"/>
        </w:rPr>
        <w:t>13</w:t>
      </w:r>
      <w:r w:rsidRPr="00CD3508">
        <w:rPr>
          <w:sz w:val="20"/>
          <w:szCs w:val="20"/>
        </w:rPr>
        <w:t xml:space="preserve"> and 20</w:t>
      </w:r>
      <w:r w:rsidR="008558E4">
        <w:rPr>
          <w:sz w:val="20"/>
          <w:szCs w:val="20"/>
        </w:rPr>
        <w:t>14</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55"/>
        <w:gridCol w:w="1485"/>
        <w:gridCol w:w="1485"/>
      </w:tblGrid>
      <w:tr w:rsidR="00764BC7" w:rsidRPr="00CD3508" w:rsidTr="00F9396C">
        <w:trPr>
          <w:trHeight w:val="432"/>
          <w:jc w:val="center"/>
        </w:trPr>
        <w:tc>
          <w:tcPr>
            <w:tcW w:w="3955" w:type="dxa"/>
            <w:tcBorders>
              <w:top w:val="single" w:sz="4" w:space="0" w:color="auto"/>
              <w:bottom w:val="single" w:sz="4" w:space="0" w:color="auto"/>
              <w:right w:val="single" w:sz="4" w:space="0" w:color="auto"/>
            </w:tcBorders>
            <w:vAlign w:val="center"/>
          </w:tcPr>
          <w:p w:rsidR="00764BC7" w:rsidRPr="00CD3508" w:rsidRDefault="00764BC7" w:rsidP="005841D9">
            <w:pPr>
              <w:jc w:val="center"/>
              <w:rPr>
                <w:sz w:val="20"/>
                <w:szCs w:val="20"/>
              </w:rPr>
            </w:pPr>
            <w:r w:rsidRPr="00CD3508">
              <w:rPr>
                <w:sz w:val="20"/>
                <w:szCs w:val="20"/>
              </w:rPr>
              <w:t>Sample unit</w:t>
            </w:r>
          </w:p>
        </w:tc>
        <w:tc>
          <w:tcPr>
            <w:tcW w:w="1485" w:type="dxa"/>
            <w:tcBorders>
              <w:top w:val="single" w:sz="4" w:space="0" w:color="auto"/>
              <w:left w:val="single" w:sz="4" w:space="0" w:color="auto"/>
              <w:bottom w:val="single" w:sz="4" w:space="0" w:color="auto"/>
              <w:right w:val="single" w:sz="4" w:space="0" w:color="auto"/>
            </w:tcBorders>
            <w:vAlign w:val="center"/>
          </w:tcPr>
          <w:p w:rsidR="00764BC7" w:rsidRPr="00CD3508" w:rsidRDefault="00764BC7" w:rsidP="008558E4">
            <w:pPr>
              <w:jc w:val="center"/>
              <w:rPr>
                <w:sz w:val="20"/>
                <w:szCs w:val="20"/>
              </w:rPr>
            </w:pPr>
            <w:r w:rsidRPr="00CD3508">
              <w:rPr>
                <w:sz w:val="20"/>
                <w:szCs w:val="20"/>
              </w:rPr>
              <w:t>20</w:t>
            </w:r>
            <w:r w:rsidR="008558E4">
              <w:rPr>
                <w:sz w:val="20"/>
                <w:szCs w:val="20"/>
              </w:rPr>
              <w:t>13</w:t>
            </w:r>
          </w:p>
        </w:tc>
        <w:tc>
          <w:tcPr>
            <w:tcW w:w="1485" w:type="dxa"/>
            <w:tcBorders>
              <w:top w:val="single" w:sz="4" w:space="0" w:color="auto"/>
              <w:left w:val="single" w:sz="4" w:space="0" w:color="auto"/>
              <w:bottom w:val="single" w:sz="4" w:space="0" w:color="auto"/>
            </w:tcBorders>
            <w:vAlign w:val="center"/>
          </w:tcPr>
          <w:p w:rsidR="00764BC7" w:rsidRPr="00CD3508" w:rsidRDefault="00764BC7" w:rsidP="008558E4">
            <w:pPr>
              <w:jc w:val="center"/>
              <w:rPr>
                <w:sz w:val="20"/>
                <w:szCs w:val="20"/>
              </w:rPr>
            </w:pPr>
            <w:r w:rsidRPr="00CD3508">
              <w:rPr>
                <w:sz w:val="20"/>
                <w:szCs w:val="20"/>
              </w:rPr>
              <w:t>20</w:t>
            </w:r>
            <w:r w:rsidR="008558E4">
              <w:rPr>
                <w:sz w:val="20"/>
                <w:szCs w:val="20"/>
              </w:rPr>
              <w:t>14</w:t>
            </w:r>
          </w:p>
        </w:tc>
      </w:tr>
      <w:tr w:rsidR="00764BC7" w:rsidRPr="00CD3508" w:rsidTr="00F9396C">
        <w:trPr>
          <w:jc w:val="center"/>
        </w:trPr>
        <w:tc>
          <w:tcPr>
            <w:tcW w:w="3955" w:type="dxa"/>
            <w:tcBorders>
              <w:top w:val="single" w:sz="4" w:space="0" w:color="auto"/>
              <w:right w:val="single" w:sz="4" w:space="0" w:color="auto"/>
            </w:tcBorders>
          </w:tcPr>
          <w:p w:rsidR="00764BC7" w:rsidRPr="00CD3508" w:rsidRDefault="00764BC7" w:rsidP="005841D9">
            <w:pPr>
              <w:rPr>
                <w:sz w:val="20"/>
                <w:szCs w:val="20"/>
              </w:rPr>
            </w:pPr>
          </w:p>
        </w:tc>
        <w:tc>
          <w:tcPr>
            <w:tcW w:w="1485" w:type="dxa"/>
            <w:tcBorders>
              <w:top w:val="single" w:sz="4" w:space="0" w:color="auto"/>
              <w:left w:val="single" w:sz="4" w:space="0" w:color="auto"/>
              <w:bottom w:val="nil"/>
              <w:right w:val="single" w:sz="4" w:space="0" w:color="auto"/>
            </w:tcBorders>
          </w:tcPr>
          <w:p w:rsidR="00764BC7" w:rsidRPr="00CD3508" w:rsidRDefault="00764BC7" w:rsidP="005841D9">
            <w:pPr>
              <w:rPr>
                <w:sz w:val="20"/>
                <w:szCs w:val="20"/>
              </w:rPr>
            </w:pPr>
          </w:p>
        </w:tc>
        <w:tc>
          <w:tcPr>
            <w:tcW w:w="1485" w:type="dxa"/>
            <w:tcBorders>
              <w:top w:val="single" w:sz="4" w:space="0" w:color="auto"/>
              <w:left w:val="single" w:sz="4" w:space="0" w:color="auto"/>
            </w:tcBorders>
          </w:tcPr>
          <w:p w:rsidR="00764BC7" w:rsidRPr="00CD3508" w:rsidRDefault="00764BC7" w:rsidP="005841D9">
            <w:pPr>
              <w:rPr>
                <w:sz w:val="20"/>
                <w:szCs w:val="20"/>
              </w:rPr>
            </w:pPr>
          </w:p>
        </w:tc>
      </w:tr>
      <w:tr w:rsidR="00764BC7" w:rsidRPr="00CD3508" w:rsidTr="00F9396C">
        <w:trPr>
          <w:jc w:val="center"/>
        </w:trPr>
        <w:tc>
          <w:tcPr>
            <w:tcW w:w="3955" w:type="dxa"/>
            <w:tcBorders>
              <w:right w:val="single" w:sz="4" w:space="0" w:color="auto"/>
            </w:tcBorders>
          </w:tcPr>
          <w:p w:rsidR="00764BC7" w:rsidRPr="00CD3508" w:rsidRDefault="00764BC7" w:rsidP="005841D9">
            <w:pPr>
              <w:rPr>
                <w:sz w:val="20"/>
                <w:szCs w:val="20"/>
              </w:rPr>
            </w:pPr>
            <w:r w:rsidRPr="00CD3508">
              <w:rPr>
                <w:sz w:val="20"/>
                <w:szCs w:val="20"/>
              </w:rPr>
              <w:t>Housing units designated for the survey</w:t>
            </w:r>
          </w:p>
        </w:tc>
        <w:tc>
          <w:tcPr>
            <w:tcW w:w="1485" w:type="dxa"/>
            <w:tcBorders>
              <w:top w:val="nil"/>
              <w:left w:val="single" w:sz="4" w:space="0" w:color="auto"/>
              <w:bottom w:val="nil"/>
              <w:right w:val="single" w:sz="4" w:space="0" w:color="auto"/>
            </w:tcBorders>
            <w:vAlign w:val="center"/>
          </w:tcPr>
          <w:p w:rsidR="00764BC7" w:rsidRPr="00CD3508" w:rsidRDefault="008558E4" w:rsidP="005841D9">
            <w:pPr>
              <w:tabs>
                <w:tab w:val="left" w:pos="737"/>
              </w:tabs>
              <w:ind w:right="360"/>
              <w:jc w:val="right"/>
              <w:rPr>
                <w:sz w:val="20"/>
                <w:szCs w:val="20"/>
              </w:rPr>
            </w:pPr>
            <w:r>
              <w:rPr>
                <w:sz w:val="20"/>
                <w:szCs w:val="20"/>
              </w:rPr>
              <w:t>25,362</w:t>
            </w:r>
          </w:p>
        </w:tc>
        <w:tc>
          <w:tcPr>
            <w:tcW w:w="1485" w:type="dxa"/>
            <w:tcBorders>
              <w:left w:val="single" w:sz="4" w:space="0" w:color="auto"/>
            </w:tcBorders>
            <w:vAlign w:val="center"/>
          </w:tcPr>
          <w:p w:rsidR="00764BC7" w:rsidRPr="00CD3508" w:rsidRDefault="008558E4" w:rsidP="005841D9">
            <w:pPr>
              <w:ind w:right="391"/>
              <w:jc w:val="right"/>
              <w:rPr>
                <w:sz w:val="20"/>
                <w:szCs w:val="20"/>
              </w:rPr>
            </w:pPr>
            <w:r>
              <w:rPr>
                <w:sz w:val="20"/>
                <w:szCs w:val="20"/>
              </w:rPr>
              <w:t>25,606</w:t>
            </w:r>
          </w:p>
        </w:tc>
      </w:tr>
      <w:tr w:rsidR="00764BC7" w:rsidRPr="00CD3508" w:rsidTr="00F9396C">
        <w:trPr>
          <w:jc w:val="center"/>
        </w:trPr>
        <w:tc>
          <w:tcPr>
            <w:tcW w:w="3955" w:type="dxa"/>
            <w:tcBorders>
              <w:right w:val="single" w:sz="4" w:space="0" w:color="auto"/>
            </w:tcBorders>
          </w:tcPr>
          <w:p w:rsidR="00764BC7" w:rsidRPr="00CD3508" w:rsidRDefault="00764BC7" w:rsidP="005841D9">
            <w:pPr>
              <w:rPr>
                <w:sz w:val="20"/>
                <w:szCs w:val="20"/>
              </w:rPr>
            </w:pPr>
            <w:r w:rsidRPr="00CD3508">
              <w:rPr>
                <w:sz w:val="20"/>
                <w:szCs w:val="20"/>
              </w:rPr>
              <w:t xml:space="preserve">    Less:  Type B or C nonresponses</w:t>
            </w:r>
          </w:p>
        </w:tc>
        <w:tc>
          <w:tcPr>
            <w:tcW w:w="1485" w:type="dxa"/>
            <w:tcBorders>
              <w:top w:val="nil"/>
              <w:left w:val="single" w:sz="4" w:space="0" w:color="auto"/>
              <w:bottom w:val="nil"/>
              <w:right w:val="single" w:sz="4" w:space="0" w:color="auto"/>
            </w:tcBorders>
            <w:vAlign w:val="center"/>
          </w:tcPr>
          <w:p w:rsidR="00764BC7" w:rsidRPr="00CD3508" w:rsidRDefault="008558E4" w:rsidP="005841D9">
            <w:pPr>
              <w:tabs>
                <w:tab w:val="left" w:pos="737"/>
              </w:tabs>
              <w:ind w:right="360"/>
              <w:jc w:val="right"/>
              <w:rPr>
                <w:sz w:val="20"/>
                <w:szCs w:val="20"/>
              </w:rPr>
            </w:pPr>
            <w:r>
              <w:rPr>
                <w:sz w:val="20"/>
                <w:szCs w:val="20"/>
              </w:rPr>
              <w:t>5,066</w:t>
            </w:r>
          </w:p>
        </w:tc>
        <w:tc>
          <w:tcPr>
            <w:tcW w:w="1485" w:type="dxa"/>
            <w:tcBorders>
              <w:left w:val="single" w:sz="4" w:space="0" w:color="auto"/>
            </w:tcBorders>
            <w:vAlign w:val="center"/>
          </w:tcPr>
          <w:p w:rsidR="00764BC7" w:rsidRPr="00CD3508" w:rsidRDefault="008558E4" w:rsidP="005841D9">
            <w:pPr>
              <w:ind w:right="391"/>
              <w:jc w:val="right"/>
              <w:rPr>
                <w:sz w:val="20"/>
                <w:szCs w:val="20"/>
              </w:rPr>
            </w:pPr>
            <w:r>
              <w:rPr>
                <w:sz w:val="20"/>
                <w:szCs w:val="20"/>
              </w:rPr>
              <w:t>5,130</w:t>
            </w:r>
          </w:p>
        </w:tc>
      </w:tr>
      <w:tr w:rsidR="00764BC7" w:rsidRPr="00CD3508" w:rsidTr="00F9396C">
        <w:trPr>
          <w:jc w:val="center"/>
        </w:trPr>
        <w:tc>
          <w:tcPr>
            <w:tcW w:w="3955" w:type="dxa"/>
            <w:tcBorders>
              <w:right w:val="single" w:sz="4" w:space="0" w:color="auto"/>
            </w:tcBorders>
          </w:tcPr>
          <w:p w:rsidR="00764BC7" w:rsidRPr="00CD3508" w:rsidRDefault="00764BC7" w:rsidP="005841D9">
            <w:pPr>
              <w:rPr>
                <w:sz w:val="20"/>
                <w:szCs w:val="20"/>
              </w:rPr>
            </w:pPr>
            <w:r w:rsidRPr="00CD3508">
              <w:rPr>
                <w:sz w:val="20"/>
                <w:szCs w:val="20"/>
              </w:rPr>
              <w:t>Equals:  Eligible units</w:t>
            </w:r>
          </w:p>
        </w:tc>
        <w:tc>
          <w:tcPr>
            <w:tcW w:w="1485" w:type="dxa"/>
            <w:tcBorders>
              <w:top w:val="nil"/>
              <w:left w:val="single" w:sz="4" w:space="0" w:color="auto"/>
              <w:bottom w:val="nil"/>
              <w:right w:val="single" w:sz="4" w:space="0" w:color="auto"/>
            </w:tcBorders>
            <w:vAlign w:val="center"/>
          </w:tcPr>
          <w:p w:rsidR="00764BC7" w:rsidRPr="00CD3508" w:rsidRDefault="008558E4" w:rsidP="005841D9">
            <w:pPr>
              <w:tabs>
                <w:tab w:val="left" w:pos="737"/>
              </w:tabs>
              <w:ind w:right="360"/>
              <w:jc w:val="right"/>
              <w:rPr>
                <w:sz w:val="20"/>
                <w:szCs w:val="20"/>
              </w:rPr>
            </w:pPr>
            <w:r>
              <w:rPr>
                <w:sz w:val="20"/>
                <w:szCs w:val="20"/>
              </w:rPr>
              <w:t>20,296</w:t>
            </w:r>
          </w:p>
        </w:tc>
        <w:tc>
          <w:tcPr>
            <w:tcW w:w="1485" w:type="dxa"/>
            <w:tcBorders>
              <w:left w:val="single" w:sz="4" w:space="0" w:color="auto"/>
            </w:tcBorders>
            <w:vAlign w:val="center"/>
          </w:tcPr>
          <w:p w:rsidR="00764BC7" w:rsidRPr="00CD3508" w:rsidRDefault="008558E4" w:rsidP="005841D9">
            <w:pPr>
              <w:ind w:right="391"/>
              <w:jc w:val="right"/>
              <w:rPr>
                <w:sz w:val="20"/>
                <w:szCs w:val="20"/>
              </w:rPr>
            </w:pPr>
            <w:r>
              <w:rPr>
                <w:sz w:val="20"/>
                <w:szCs w:val="20"/>
              </w:rPr>
              <w:t>20,476</w:t>
            </w:r>
          </w:p>
        </w:tc>
      </w:tr>
      <w:tr w:rsidR="00764BC7" w:rsidRPr="00CD3508" w:rsidTr="00F9396C">
        <w:trPr>
          <w:jc w:val="center"/>
        </w:trPr>
        <w:tc>
          <w:tcPr>
            <w:tcW w:w="3955" w:type="dxa"/>
            <w:tcBorders>
              <w:right w:val="single" w:sz="4" w:space="0" w:color="auto"/>
            </w:tcBorders>
          </w:tcPr>
          <w:p w:rsidR="00764BC7" w:rsidRPr="00CD3508" w:rsidRDefault="00764BC7" w:rsidP="005841D9">
            <w:pPr>
              <w:rPr>
                <w:sz w:val="20"/>
                <w:szCs w:val="20"/>
              </w:rPr>
            </w:pPr>
            <w:r w:rsidRPr="00CD3508">
              <w:rPr>
                <w:sz w:val="20"/>
                <w:szCs w:val="20"/>
              </w:rPr>
              <w:t xml:space="preserve">    Less:  Type A nonresponses</w:t>
            </w:r>
          </w:p>
        </w:tc>
        <w:tc>
          <w:tcPr>
            <w:tcW w:w="1485" w:type="dxa"/>
            <w:tcBorders>
              <w:top w:val="nil"/>
              <w:left w:val="single" w:sz="4" w:space="0" w:color="auto"/>
              <w:bottom w:val="nil"/>
              <w:right w:val="single" w:sz="4" w:space="0" w:color="auto"/>
            </w:tcBorders>
            <w:vAlign w:val="center"/>
          </w:tcPr>
          <w:p w:rsidR="00764BC7" w:rsidRPr="00CD3508" w:rsidRDefault="008558E4" w:rsidP="005841D9">
            <w:pPr>
              <w:tabs>
                <w:tab w:val="left" w:pos="737"/>
              </w:tabs>
              <w:ind w:right="360"/>
              <w:jc w:val="right"/>
              <w:rPr>
                <w:sz w:val="20"/>
                <w:szCs w:val="20"/>
              </w:rPr>
            </w:pPr>
            <w:r>
              <w:rPr>
                <w:sz w:val="20"/>
                <w:szCs w:val="20"/>
              </w:rPr>
              <w:t>7,961</w:t>
            </w:r>
          </w:p>
        </w:tc>
        <w:tc>
          <w:tcPr>
            <w:tcW w:w="1485" w:type="dxa"/>
            <w:tcBorders>
              <w:left w:val="single" w:sz="4" w:space="0" w:color="auto"/>
            </w:tcBorders>
            <w:vAlign w:val="center"/>
          </w:tcPr>
          <w:p w:rsidR="00764BC7" w:rsidRPr="00CD3508" w:rsidRDefault="008558E4" w:rsidP="005841D9">
            <w:pPr>
              <w:ind w:right="391"/>
              <w:jc w:val="right"/>
              <w:rPr>
                <w:sz w:val="20"/>
                <w:szCs w:val="20"/>
              </w:rPr>
            </w:pPr>
            <w:r>
              <w:rPr>
                <w:sz w:val="20"/>
                <w:szCs w:val="20"/>
              </w:rPr>
              <w:t>7,170</w:t>
            </w:r>
          </w:p>
        </w:tc>
      </w:tr>
      <w:tr w:rsidR="00764BC7" w:rsidRPr="00CD3508" w:rsidTr="00F9396C">
        <w:trPr>
          <w:jc w:val="center"/>
        </w:trPr>
        <w:tc>
          <w:tcPr>
            <w:tcW w:w="3955" w:type="dxa"/>
            <w:tcBorders>
              <w:bottom w:val="nil"/>
              <w:right w:val="single" w:sz="4" w:space="0" w:color="auto"/>
            </w:tcBorders>
          </w:tcPr>
          <w:p w:rsidR="00764BC7" w:rsidRPr="00CD3508" w:rsidRDefault="00764BC7" w:rsidP="005841D9">
            <w:pPr>
              <w:rPr>
                <w:sz w:val="20"/>
                <w:szCs w:val="20"/>
              </w:rPr>
            </w:pPr>
            <w:r w:rsidRPr="00CD3508">
              <w:rPr>
                <w:sz w:val="20"/>
                <w:szCs w:val="20"/>
              </w:rPr>
              <w:t>Equals:  Interview units</w:t>
            </w:r>
          </w:p>
        </w:tc>
        <w:tc>
          <w:tcPr>
            <w:tcW w:w="1485" w:type="dxa"/>
            <w:tcBorders>
              <w:top w:val="nil"/>
              <w:left w:val="single" w:sz="4" w:space="0" w:color="auto"/>
              <w:bottom w:val="nil"/>
              <w:right w:val="single" w:sz="4" w:space="0" w:color="auto"/>
            </w:tcBorders>
            <w:vAlign w:val="center"/>
          </w:tcPr>
          <w:p w:rsidR="00764BC7" w:rsidRPr="00CD3508" w:rsidRDefault="008558E4" w:rsidP="005841D9">
            <w:pPr>
              <w:tabs>
                <w:tab w:val="left" w:pos="737"/>
              </w:tabs>
              <w:ind w:right="360"/>
              <w:jc w:val="right"/>
              <w:rPr>
                <w:sz w:val="20"/>
                <w:szCs w:val="20"/>
              </w:rPr>
            </w:pPr>
            <w:r>
              <w:rPr>
                <w:sz w:val="20"/>
                <w:szCs w:val="20"/>
              </w:rPr>
              <w:t>12,335</w:t>
            </w:r>
          </w:p>
        </w:tc>
        <w:tc>
          <w:tcPr>
            <w:tcW w:w="1485" w:type="dxa"/>
            <w:tcBorders>
              <w:left w:val="single" w:sz="4" w:space="0" w:color="auto"/>
              <w:bottom w:val="nil"/>
            </w:tcBorders>
            <w:vAlign w:val="center"/>
          </w:tcPr>
          <w:p w:rsidR="00764BC7" w:rsidRPr="00CD3508" w:rsidRDefault="008558E4" w:rsidP="005841D9">
            <w:pPr>
              <w:ind w:right="391"/>
              <w:jc w:val="right"/>
              <w:rPr>
                <w:sz w:val="20"/>
                <w:szCs w:val="20"/>
              </w:rPr>
            </w:pPr>
            <w:r>
              <w:rPr>
                <w:sz w:val="20"/>
                <w:szCs w:val="20"/>
              </w:rPr>
              <w:t>13,306</w:t>
            </w:r>
          </w:p>
        </w:tc>
      </w:tr>
      <w:tr w:rsidR="00764BC7" w:rsidRPr="00CD3508" w:rsidTr="00F9396C">
        <w:trPr>
          <w:jc w:val="center"/>
        </w:trPr>
        <w:tc>
          <w:tcPr>
            <w:tcW w:w="3955" w:type="dxa"/>
            <w:tcBorders>
              <w:top w:val="nil"/>
              <w:bottom w:val="single" w:sz="4" w:space="0" w:color="auto"/>
              <w:right w:val="single" w:sz="4" w:space="0" w:color="auto"/>
            </w:tcBorders>
            <w:shd w:val="clear" w:color="auto" w:fill="D9D9D9"/>
          </w:tcPr>
          <w:p w:rsidR="00764BC7" w:rsidRPr="00CD3508" w:rsidRDefault="00764BC7" w:rsidP="005841D9">
            <w:pPr>
              <w:rPr>
                <w:sz w:val="20"/>
                <w:szCs w:val="20"/>
              </w:rPr>
            </w:pPr>
            <w:r w:rsidRPr="00CD3508">
              <w:rPr>
                <w:sz w:val="20"/>
                <w:szCs w:val="20"/>
              </w:rPr>
              <w:t>Percent of eligible units interviewed</w:t>
            </w:r>
          </w:p>
        </w:tc>
        <w:tc>
          <w:tcPr>
            <w:tcW w:w="1485" w:type="dxa"/>
            <w:tcBorders>
              <w:top w:val="nil"/>
              <w:left w:val="single" w:sz="4" w:space="0" w:color="auto"/>
              <w:bottom w:val="single" w:sz="4" w:space="0" w:color="auto"/>
              <w:right w:val="single" w:sz="4" w:space="0" w:color="auto"/>
            </w:tcBorders>
            <w:shd w:val="clear" w:color="auto" w:fill="D9D9D9"/>
          </w:tcPr>
          <w:p w:rsidR="00764BC7" w:rsidRPr="00CD3508" w:rsidRDefault="008558E4" w:rsidP="005841D9">
            <w:pPr>
              <w:tabs>
                <w:tab w:val="left" w:pos="737"/>
              </w:tabs>
              <w:ind w:left="531"/>
              <w:rPr>
                <w:sz w:val="20"/>
                <w:szCs w:val="20"/>
              </w:rPr>
            </w:pPr>
            <w:r>
              <w:rPr>
                <w:sz w:val="20"/>
                <w:szCs w:val="20"/>
              </w:rPr>
              <w:t>60.8</w:t>
            </w:r>
          </w:p>
        </w:tc>
        <w:tc>
          <w:tcPr>
            <w:tcW w:w="1485" w:type="dxa"/>
            <w:tcBorders>
              <w:top w:val="nil"/>
              <w:left w:val="single" w:sz="4" w:space="0" w:color="auto"/>
              <w:bottom w:val="single" w:sz="4" w:space="0" w:color="auto"/>
            </w:tcBorders>
            <w:shd w:val="clear" w:color="auto" w:fill="D9D9D9"/>
            <w:vAlign w:val="center"/>
          </w:tcPr>
          <w:p w:rsidR="00764BC7" w:rsidRPr="00CD3508" w:rsidRDefault="008558E4" w:rsidP="005841D9">
            <w:pPr>
              <w:jc w:val="center"/>
              <w:rPr>
                <w:sz w:val="20"/>
                <w:szCs w:val="20"/>
              </w:rPr>
            </w:pPr>
            <w:r>
              <w:rPr>
                <w:sz w:val="20"/>
                <w:szCs w:val="20"/>
              </w:rPr>
              <w:t>65.0</w:t>
            </w:r>
          </w:p>
        </w:tc>
      </w:tr>
    </w:tbl>
    <w:p w:rsidR="00764BC7" w:rsidRPr="00CD3508" w:rsidRDefault="00764BC7" w:rsidP="005841D9">
      <w:pPr>
        <w:jc w:val="both"/>
        <w:rPr>
          <w:b/>
          <w:sz w:val="20"/>
          <w:szCs w:val="20"/>
        </w:rPr>
      </w:pPr>
    </w:p>
    <w:p w:rsidR="002A4344" w:rsidRPr="00CD3508" w:rsidRDefault="002A4344" w:rsidP="005841D9">
      <w:pPr>
        <w:jc w:val="both"/>
        <w:rPr>
          <w:b/>
          <w:sz w:val="20"/>
          <w:szCs w:val="20"/>
        </w:rPr>
      </w:pPr>
    </w:p>
    <w:p w:rsidR="002A4344" w:rsidRPr="00CD3508" w:rsidRDefault="00F57787" w:rsidP="00581CB4">
      <w:pPr>
        <w:jc w:val="both"/>
        <w:rPr>
          <w:b/>
          <w:sz w:val="20"/>
          <w:szCs w:val="20"/>
        </w:rPr>
      </w:pPr>
      <w:r w:rsidRPr="00CD3508">
        <w:rPr>
          <w:b/>
          <w:sz w:val="20"/>
          <w:szCs w:val="20"/>
        </w:rPr>
        <w:t>Conclusion</w:t>
      </w:r>
    </w:p>
    <w:p w:rsidR="00E37BC5" w:rsidRPr="00CD3508" w:rsidRDefault="00CC46FD" w:rsidP="009D6D93">
      <w:pPr>
        <w:jc w:val="both"/>
      </w:pPr>
      <w:r w:rsidRPr="00CD3508">
        <w:rPr>
          <w:sz w:val="20"/>
          <w:szCs w:val="20"/>
        </w:rPr>
        <w:t xml:space="preserve">The CE collects expenditure data from a representative sample of American households.  Like any survey, the CE does not get responses from every household it visits.  </w:t>
      </w:r>
      <w:r w:rsidR="00C07A93">
        <w:rPr>
          <w:sz w:val="20"/>
          <w:szCs w:val="20"/>
        </w:rPr>
        <w:t xml:space="preserve">In this article we described how the CE categorizes the outcomes of visits to survey households, and how it calculates response rates for the survey.  </w:t>
      </w:r>
      <w:r w:rsidR="009D6D93" w:rsidRPr="00CD3508">
        <w:rPr>
          <w:sz w:val="20"/>
          <w:szCs w:val="20"/>
        </w:rPr>
        <w:t xml:space="preserve">It is important to </w:t>
      </w:r>
      <w:r w:rsidR="004C4C65" w:rsidRPr="00CD3508">
        <w:rPr>
          <w:sz w:val="20"/>
          <w:szCs w:val="20"/>
        </w:rPr>
        <w:t xml:space="preserve">monitor response rates and </w:t>
      </w:r>
      <w:r w:rsidR="00243EF5" w:rsidRPr="00CD3508">
        <w:rPr>
          <w:sz w:val="20"/>
          <w:szCs w:val="20"/>
        </w:rPr>
        <w:t xml:space="preserve">to </w:t>
      </w:r>
      <w:r w:rsidR="009D6D93" w:rsidRPr="00CD3508">
        <w:rPr>
          <w:sz w:val="20"/>
          <w:szCs w:val="20"/>
        </w:rPr>
        <w:t xml:space="preserve">keep </w:t>
      </w:r>
      <w:r w:rsidR="004C4C65" w:rsidRPr="00CD3508">
        <w:rPr>
          <w:sz w:val="20"/>
          <w:szCs w:val="20"/>
        </w:rPr>
        <w:t>them</w:t>
      </w:r>
      <w:r w:rsidR="009D6D93" w:rsidRPr="00CD3508">
        <w:rPr>
          <w:sz w:val="20"/>
          <w:szCs w:val="20"/>
        </w:rPr>
        <w:t xml:space="preserve"> as high as possible</w:t>
      </w:r>
      <w:r w:rsidR="004C4C65" w:rsidRPr="00CD3508">
        <w:rPr>
          <w:sz w:val="20"/>
          <w:szCs w:val="20"/>
        </w:rPr>
        <w:t xml:space="preserve"> in order to minimize the amount of bias that can be introduced into the survey estimates</w:t>
      </w:r>
      <w:r w:rsidR="00915A00" w:rsidRPr="00CD3508">
        <w:rPr>
          <w:sz w:val="20"/>
          <w:szCs w:val="20"/>
        </w:rPr>
        <w:t>.</w:t>
      </w:r>
    </w:p>
    <w:sectPr w:rsidR="00E37BC5" w:rsidRPr="00CD3508" w:rsidSect="00C921E6">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197" w:rsidRDefault="00DE6197">
      <w:r>
        <w:separator/>
      </w:r>
    </w:p>
  </w:endnote>
  <w:endnote w:type="continuationSeparator" w:id="0">
    <w:p w:rsidR="00DE6197" w:rsidRDefault="00D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214" w:rsidRDefault="00042214" w:rsidP="002E37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2214" w:rsidRDefault="00042214" w:rsidP="002E37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214" w:rsidRPr="003A63A4" w:rsidRDefault="00042214" w:rsidP="002E3780">
    <w:pPr>
      <w:pStyle w:val="Footer"/>
      <w:framePr w:wrap="around" w:vAnchor="text" w:hAnchor="margin" w:xAlign="right" w:y="1"/>
      <w:rPr>
        <w:rStyle w:val="PageNumber"/>
        <w:rFonts w:ascii="Garamond" w:hAnsi="Garamond"/>
        <w:sz w:val="22"/>
        <w:szCs w:val="22"/>
      </w:rPr>
    </w:pPr>
    <w:r w:rsidRPr="003A63A4">
      <w:rPr>
        <w:rStyle w:val="PageNumber"/>
        <w:rFonts w:ascii="Garamond" w:hAnsi="Garamond"/>
        <w:sz w:val="22"/>
        <w:szCs w:val="22"/>
      </w:rPr>
      <w:fldChar w:fldCharType="begin"/>
    </w:r>
    <w:r w:rsidRPr="003A63A4">
      <w:rPr>
        <w:rStyle w:val="PageNumber"/>
        <w:rFonts w:ascii="Garamond" w:hAnsi="Garamond"/>
        <w:sz w:val="22"/>
        <w:szCs w:val="22"/>
      </w:rPr>
      <w:instrText xml:space="preserve">PAGE  </w:instrText>
    </w:r>
    <w:r w:rsidRPr="003A63A4">
      <w:rPr>
        <w:rStyle w:val="PageNumber"/>
        <w:rFonts w:ascii="Garamond" w:hAnsi="Garamond"/>
        <w:sz w:val="22"/>
        <w:szCs w:val="22"/>
      </w:rPr>
      <w:fldChar w:fldCharType="separate"/>
    </w:r>
    <w:r w:rsidR="00C07A93">
      <w:rPr>
        <w:rStyle w:val="PageNumber"/>
        <w:rFonts w:ascii="Garamond" w:hAnsi="Garamond"/>
        <w:noProof/>
        <w:sz w:val="22"/>
        <w:szCs w:val="22"/>
      </w:rPr>
      <w:t>3</w:t>
    </w:r>
    <w:r w:rsidRPr="003A63A4">
      <w:rPr>
        <w:rStyle w:val="PageNumber"/>
        <w:rFonts w:ascii="Garamond" w:hAnsi="Garamond"/>
        <w:sz w:val="22"/>
        <w:szCs w:val="22"/>
      </w:rPr>
      <w:fldChar w:fldCharType="end"/>
    </w:r>
  </w:p>
  <w:p w:rsidR="00042214" w:rsidRDefault="00042214" w:rsidP="002E37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197" w:rsidRDefault="00DE6197">
      <w:r>
        <w:separator/>
      </w:r>
    </w:p>
  </w:footnote>
  <w:footnote w:type="continuationSeparator" w:id="0">
    <w:p w:rsidR="00DE6197" w:rsidRDefault="00DE6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42113"/>
    <w:multiLevelType w:val="hybridMultilevel"/>
    <w:tmpl w:val="FB72080A"/>
    <w:lvl w:ilvl="0" w:tplc="1A14D22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3155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534425B"/>
    <w:multiLevelType w:val="hybridMultilevel"/>
    <w:tmpl w:val="D83C36D4"/>
    <w:lvl w:ilvl="0" w:tplc="1A14D22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24B"/>
    <w:rsid w:val="0000021D"/>
    <w:rsid w:val="0000318C"/>
    <w:rsid w:val="000033C4"/>
    <w:rsid w:val="00004917"/>
    <w:rsid w:val="00013274"/>
    <w:rsid w:val="000153A5"/>
    <w:rsid w:val="00020E63"/>
    <w:rsid w:val="00022CC0"/>
    <w:rsid w:val="00024DE9"/>
    <w:rsid w:val="0002741E"/>
    <w:rsid w:val="0003275F"/>
    <w:rsid w:val="000378A9"/>
    <w:rsid w:val="000402DA"/>
    <w:rsid w:val="00042214"/>
    <w:rsid w:val="00046F50"/>
    <w:rsid w:val="00047AEA"/>
    <w:rsid w:val="00053545"/>
    <w:rsid w:val="00055C8A"/>
    <w:rsid w:val="0005644C"/>
    <w:rsid w:val="00057CEE"/>
    <w:rsid w:val="00060578"/>
    <w:rsid w:val="0006239B"/>
    <w:rsid w:val="000630FE"/>
    <w:rsid w:val="000645C7"/>
    <w:rsid w:val="00066DE2"/>
    <w:rsid w:val="00072BF7"/>
    <w:rsid w:val="00072C41"/>
    <w:rsid w:val="00080CB5"/>
    <w:rsid w:val="00087DD4"/>
    <w:rsid w:val="0009100E"/>
    <w:rsid w:val="00091986"/>
    <w:rsid w:val="00093C83"/>
    <w:rsid w:val="000966F7"/>
    <w:rsid w:val="00097117"/>
    <w:rsid w:val="00097B85"/>
    <w:rsid w:val="000A0F0B"/>
    <w:rsid w:val="000A2724"/>
    <w:rsid w:val="000A28C4"/>
    <w:rsid w:val="000A358F"/>
    <w:rsid w:val="000A39F3"/>
    <w:rsid w:val="000A3B6A"/>
    <w:rsid w:val="000A74CB"/>
    <w:rsid w:val="000B1339"/>
    <w:rsid w:val="000B1E01"/>
    <w:rsid w:val="000C3BB6"/>
    <w:rsid w:val="000C51B1"/>
    <w:rsid w:val="000E088C"/>
    <w:rsid w:val="000E0D22"/>
    <w:rsid w:val="000E1398"/>
    <w:rsid w:val="000E2F0A"/>
    <w:rsid w:val="000F145D"/>
    <w:rsid w:val="000F4124"/>
    <w:rsid w:val="000F5B11"/>
    <w:rsid w:val="000F6B8E"/>
    <w:rsid w:val="00104BCF"/>
    <w:rsid w:val="00105B73"/>
    <w:rsid w:val="001205E9"/>
    <w:rsid w:val="00124127"/>
    <w:rsid w:val="00125264"/>
    <w:rsid w:val="00131404"/>
    <w:rsid w:val="00135231"/>
    <w:rsid w:val="0013632A"/>
    <w:rsid w:val="00137FD2"/>
    <w:rsid w:val="0014709A"/>
    <w:rsid w:val="00153905"/>
    <w:rsid w:val="00155BF6"/>
    <w:rsid w:val="0016513B"/>
    <w:rsid w:val="0016523B"/>
    <w:rsid w:val="00170B87"/>
    <w:rsid w:val="00174571"/>
    <w:rsid w:val="00174A6C"/>
    <w:rsid w:val="001761DE"/>
    <w:rsid w:val="001830F7"/>
    <w:rsid w:val="001840BB"/>
    <w:rsid w:val="00190B71"/>
    <w:rsid w:val="0019429D"/>
    <w:rsid w:val="00195406"/>
    <w:rsid w:val="001A48F2"/>
    <w:rsid w:val="001A6727"/>
    <w:rsid w:val="001B16E8"/>
    <w:rsid w:val="001B457C"/>
    <w:rsid w:val="001B6074"/>
    <w:rsid w:val="001B7178"/>
    <w:rsid w:val="001B796F"/>
    <w:rsid w:val="001C1188"/>
    <w:rsid w:val="001C7199"/>
    <w:rsid w:val="001D18FB"/>
    <w:rsid w:val="001E05B4"/>
    <w:rsid w:val="001E3F24"/>
    <w:rsid w:val="001E4A52"/>
    <w:rsid w:val="001E6F77"/>
    <w:rsid w:val="001E7D52"/>
    <w:rsid w:val="001F1686"/>
    <w:rsid w:val="001F276F"/>
    <w:rsid w:val="001F5CA9"/>
    <w:rsid w:val="001F5FDD"/>
    <w:rsid w:val="001F726E"/>
    <w:rsid w:val="00200BD1"/>
    <w:rsid w:val="00201C26"/>
    <w:rsid w:val="00202898"/>
    <w:rsid w:val="00205036"/>
    <w:rsid w:val="00207140"/>
    <w:rsid w:val="00212F6B"/>
    <w:rsid w:val="002142FB"/>
    <w:rsid w:val="00217C3E"/>
    <w:rsid w:val="00222808"/>
    <w:rsid w:val="00223BB2"/>
    <w:rsid w:val="00224388"/>
    <w:rsid w:val="0022611E"/>
    <w:rsid w:val="00226278"/>
    <w:rsid w:val="002317A8"/>
    <w:rsid w:val="00232F4C"/>
    <w:rsid w:val="002331DF"/>
    <w:rsid w:val="0023353B"/>
    <w:rsid w:val="00236E63"/>
    <w:rsid w:val="00237294"/>
    <w:rsid w:val="002400E7"/>
    <w:rsid w:val="00240C7A"/>
    <w:rsid w:val="002419F1"/>
    <w:rsid w:val="00243EF5"/>
    <w:rsid w:val="00244297"/>
    <w:rsid w:val="002450EB"/>
    <w:rsid w:val="00245E07"/>
    <w:rsid w:val="002476A6"/>
    <w:rsid w:val="00252B16"/>
    <w:rsid w:val="00254731"/>
    <w:rsid w:val="0025499D"/>
    <w:rsid w:val="00255580"/>
    <w:rsid w:val="00256E80"/>
    <w:rsid w:val="0025712F"/>
    <w:rsid w:val="002575FC"/>
    <w:rsid w:val="00261AC1"/>
    <w:rsid w:val="00262FFE"/>
    <w:rsid w:val="00265CB8"/>
    <w:rsid w:val="00266619"/>
    <w:rsid w:val="0026724B"/>
    <w:rsid w:val="00274C0A"/>
    <w:rsid w:val="00276BA0"/>
    <w:rsid w:val="00276DD3"/>
    <w:rsid w:val="00277DA5"/>
    <w:rsid w:val="00281E3E"/>
    <w:rsid w:val="002842B2"/>
    <w:rsid w:val="00284731"/>
    <w:rsid w:val="002848E6"/>
    <w:rsid w:val="002865C5"/>
    <w:rsid w:val="00291141"/>
    <w:rsid w:val="00295894"/>
    <w:rsid w:val="00295F22"/>
    <w:rsid w:val="00297320"/>
    <w:rsid w:val="0029737C"/>
    <w:rsid w:val="002A23BE"/>
    <w:rsid w:val="002A2882"/>
    <w:rsid w:val="002A4344"/>
    <w:rsid w:val="002A51E9"/>
    <w:rsid w:val="002A67F6"/>
    <w:rsid w:val="002A7B10"/>
    <w:rsid w:val="002B06FD"/>
    <w:rsid w:val="002B7BD2"/>
    <w:rsid w:val="002C254C"/>
    <w:rsid w:val="002C64AC"/>
    <w:rsid w:val="002C6CED"/>
    <w:rsid w:val="002D042A"/>
    <w:rsid w:val="002D0B20"/>
    <w:rsid w:val="002E20E9"/>
    <w:rsid w:val="002E3780"/>
    <w:rsid w:val="002E3B31"/>
    <w:rsid w:val="002E4913"/>
    <w:rsid w:val="002F2632"/>
    <w:rsid w:val="002F54E8"/>
    <w:rsid w:val="002F67B6"/>
    <w:rsid w:val="00301138"/>
    <w:rsid w:val="00301EF7"/>
    <w:rsid w:val="003109AB"/>
    <w:rsid w:val="0031546D"/>
    <w:rsid w:val="003203D1"/>
    <w:rsid w:val="0032042C"/>
    <w:rsid w:val="00326529"/>
    <w:rsid w:val="0032739E"/>
    <w:rsid w:val="003274A3"/>
    <w:rsid w:val="0033071C"/>
    <w:rsid w:val="0033206F"/>
    <w:rsid w:val="00343458"/>
    <w:rsid w:val="00345997"/>
    <w:rsid w:val="00356B76"/>
    <w:rsid w:val="00357665"/>
    <w:rsid w:val="00382DDF"/>
    <w:rsid w:val="003840AB"/>
    <w:rsid w:val="0038547C"/>
    <w:rsid w:val="00393EE5"/>
    <w:rsid w:val="00396EF6"/>
    <w:rsid w:val="00397A50"/>
    <w:rsid w:val="003A0B6F"/>
    <w:rsid w:val="003A2780"/>
    <w:rsid w:val="003A3EED"/>
    <w:rsid w:val="003A63A4"/>
    <w:rsid w:val="003A7381"/>
    <w:rsid w:val="003B3160"/>
    <w:rsid w:val="003B4AE3"/>
    <w:rsid w:val="003B5568"/>
    <w:rsid w:val="003B5D5F"/>
    <w:rsid w:val="003B7005"/>
    <w:rsid w:val="003B7B94"/>
    <w:rsid w:val="003C1ABE"/>
    <w:rsid w:val="003C248F"/>
    <w:rsid w:val="003C424D"/>
    <w:rsid w:val="003C46C7"/>
    <w:rsid w:val="003C7633"/>
    <w:rsid w:val="003C773B"/>
    <w:rsid w:val="003D139F"/>
    <w:rsid w:val="003D14D6"/>
    <w:rsid w:val="003D15A9"/>
    <w:rsid w:val="003D568A"/>
    <w:rsid w:val="003D5B56"/>
    <w:rsid w:val="003E2068"/>
    <w:rsid w:val="003E4017"/>
    <w:rsid w:val="003E54B1"/>
    <w:rsid w:val="003F633B"/>
    <w:rsid w:val="004012B1"/>
    <w:rsid w:val="00401383"/>
    <w:rsid w:val="004108A4"/>
    <w:rsid w:val="00414D83"/>
    <w:rsid w:val="004163EC"/>
    <w:rsid w:val="004175F3"/>
    <w:rsid w:val="00417AFC"/>
    <w:rsid w:val="00417C43"/>
    <w:rsid w:val="00427166"/>
    <w:rsid w:val="00427AF5"/>
    <w:rsid w:val="004306CB"/>
    <w:rsid w:val="00430AEB"/>
    <w:rsid w:val="0043111A"/>
    <w:rsid w:val="00431E33"/>
    <w:rsid w:val="00435D84"/>
    <w:rsid w:val="00436DB5"/>
    <w:rsid w:val="0044070A"/>
    <w:rsid w:val="00444C10"/>
    <w:rsid w:val="004465A9"/>
    <w:rsid w:val="004468F1"/>
    <w:rsid w:val="00446A48"/>
    <w:rsid w:val="0044725E"/>
    <w:rsid w:val="00453C8E"/>
    <w:rsid w:val="0045467E"/>
    <w:rsid w:val="00464824"/>
    <w:rsid w:val="00464C42"/>
    <w:rsid w:val="0046664D"/>
    <w:rsid w:val="00472AB6"/>
    <w:rsid w:val="00475D7D"/>
    <w:rsid w:val="00482C69"/>
    <w:rsid w:val="00487737"/>
    <w:rsid w:val="0049091F"/>
    <w:rsid w:val="004916CD"/>
    <w:rsid w:val="004916E2"/>
    <w:rsid w:val="00497416"/>
    <w:rsid w:val="004A2A49"/>
    <w:rsid w:val="004A4434"/>
    <w:rsid w:val="004A4EBE"/>
    <w:rsid w:val="004A57C7"/>
    <w:rsid w:val="004B321E"/>
    <w:rsid w:val="004B524E"/>
    <w:rsid w:val="004B584A"/>
    <w:rsid w:val="004B6255"/>
    <w:rsid w:val="004C1A44"/>
    <w:rsid w:val="004C1BF1"/>
    <w:rsid w:val="004C22BC"/>
    <w:rsid w:val="004C2516"/>
    <w:rsid w:val="004C297A"/>
    <w:rsid w:val="004C486C"/>
    <w:rsid w:val="004C4C65"/>
    <w:rsid w:val="004D120A"/>
    <w:rsid w:val="004D2A18"/>
    <w:rsid w:val="004D6CE0"/>
    <w:rsid w:val="004E40B5"/>
    <w:rsid w:val="004E531B"/>
    <w:rsid w:val="004F1176"/>
    <w:rsid w:val="004F1AD0"/>
    <w:rsid w:val="004F241D"/>
    <w:rsid w:val="004F3285"/>
    <w:rsid w:val="004F3441"/>
    <w:rsid w:val="004F4883"/>
    <w:rsid w:val="004F4BB9"/>
    <w:rsid w:val="00502904"/>
    <w:rsid w:val="00504516"/>
    <w:rsid w:val="0050458F"/>
    <w:rsid w:val="00513470"/>
    <w:rsid w:val="00514284"/>
    <w:rsid w:val="00516DB4"/>
    <w:rsid w:val="0052088E"/>
    <w:rsid w:val="00522131"/>
    <w:rsid w:val="005232DF"/>
    <w:rsid w:val="00525BBE"/>
    <w:rsid w:val="00525E99"/>
    <w:rsid w:val="00551BFE"/>
    <w:rsid w:val="00560BF6"/>
    <w:rsid w:val="00562BEB"/>
    <w:rsid w:val="00564587"/>
    <w:rsid w:val="00566FA7"/>
    <w:rsid w:val="0056707E"/>
    <w:rsid w:val="005710E7"/>
    <w:rsid w:val="005714DA"/>
    <w:rsid w:val="00581CB4"/>
    <w:rsid w:val="00582DC8"/>
    <w:rsid w:val="005841D9"/>
    <w:rsid w:val="0058475B"/>
    <w:rsid w:val="0059114F"/>
    <w:rsid w:val="005956CB"/>
    <w:rsid w:val="00597701"/>
    <w:rsid w:val="005A1FF2"/>
    <w:rsid w:val="005A25C7"/>
    <w:rsid w:val="005A5C60"/>
    <w:rsid w:val="005B05D8"/>
    <w:rsid w:val="005B224A"/>
    <w:rsid w:val="005B3D91"/>
    <w:rsid w:val="005C06B1"/>
    <w:rsid w:val="005C60B1"/>
    <w:rsid w:val="005D325E"/>
    <w:rsid w:val="005D48F5"/>
    <w:rsid w:val="005E1018"/>
    <w:rsid w:val="005E1858"/>
    <w:rsid w:val="005E7F9A"/>
    <w:rsid w:val="005F26DB"/>
    <w:rsid w:val="005F4B7A"/>
    <w:rsid w:val="006034C6"/>
    <w:rsid w:val="0061563E"/>
    <w:rsid w:val="006170CB"/>
    <w:rsid w:val="00617C5D"/>
    <w:rsid w:val="0062014F"/>
    <w:rsid w:val="00620296"/>
    <w:rsid w:val="00620D83"/>
    <w:rsid w:val="00624E20"/>
    <w:rsid w:val="006308D7"/>
    <w:rsid w:val="00634BF3"/>
    <w:rsid w:val="00641E44"/>
    <w:rsid w:val="00642100"/>
    <w:rsid w:val="006475D4"/>
    <w:rsid w:val="00652C0C"/>
    <w:rsid w:val="0066223F"/>
    <w:rsid w:val="00671218"/>
    <w:rsid w:val="00672FB7"/>
    <w:rsid w:val="0067442E"/>
    <w:rsid w:val="006801EF"/>
    <w:rsid w:val="00680A06"/>
    <w:rsid w:val="00680E14"/>
    <w:rsid w:val="00684827"/>
    <w:rsid w:val="0068543C"/>
    <w:rsid w:val="00687D19"/>
    <w:rsid w:val="00690F55"/>
    <w:rsid w:val="00694088"/>
    <w:rsid w:val="00694DB1"/>
    <w:rsid w:val="00695785"/>
    <w:rsid w:val="006A125F"/>
    <w:rsid w:val="006A74E7"/>
    <w:rsid w:val="006B4702"/>
    <w:rsid w:val="006B56C1"/>
    <w:rsid w:val="006B6662"/>
    <w:rsid w:val="006C0B98"/>
    <w:rsid w:val="006C2DD0"/>
    <w:rsid w:val="006C3326"/>
    <w:rsid w:val="006C39B5"/>
    <w:rsid w:val="006C3C87"/>
    <w:rsid w:val="006C4EC5"/>
    <w:rsid w:val="006C7DE8"/>
    <w:rsid w:val="006D0582"/>
    <w:rsid w:val="006D073F"/>
    <w:rsid w:val="006D319A"/>
    <w:rsid w:val="006D4F4F"/>
    <w:rsid w:val="006E06B0"/>
    <w:rsid w:val="006E1612"/>
    <w:rsid w:val="006E2405"/>
    <w:rsid w:val="006E2504"/>
    <w:rsid w:val="006E37F5"/>
    <w:rsid w:val="006E4F06"/>
    <w:rsid w:val="006E72F2"/>
    <w:rsid w:val="006E73B3"/>
    <w:rsid w:val="006E7A16"/>
    <w:rsid w:val="00705659"/>
    <w:rsid w:val="007066A1"/>
    <w:rsid w:val="00712A17"/>
    <w:rsid w:val="00720901"/>
    <w:rsid w:val="007209CF"/>
    <w:rsid w:val="00720D1A"/>
    <w:rsid w:val="00722727"/>
    <w:rsid w:val="00723278"/>
    <w:rsid w:val="00723EFD"/>
    <w:rsid w:val="0073116D"/>
    <w:rsid w:val="007407CB"/>
    <w:rsid w:val="00742C3D"/>
    <w:rsid w:val="007439A5"/>
    <w:rsid w:val="00750990"/>
    <w:rsid w:val="007612A2"/>
    <w:rsid w:val="00764BC7"/>
    <w:rsid w:val="00767258"/>
    <w:rsid w:val="00770C3F"/>
    <w:rsid w:val="00771B6C"/>
    <w:rsid w:val="0077279B"/>
    <w:rsid w:val="00773CF4"/>
    <w:rsid w:val="007814ED"/>
    <w:rsid w:val="00781A90"/>
    <w:rsid w:val="00785001"/>
    <w:rsid w:val="007854AE"/>
    <w:rsid w:val="00785673"/>
    <w:rsid w:val="00786C38"/>
    <w:rsid w:val="00790B17"/>
    <w:rsid w:val="00792F9A"/>
    <w:rsid w:val="00794913"/>
    <w:rsid w:val="00794F00"/>
    <w:rsid w:val="00797362"/>
    <w:rsid w:val="007A116B"/>
    <w:rsid w:val="007A1F61"/>
    <w:rsid w:val="007A6301"/>
    <w:rsid w:val="007A6930"/>
    <w:rsid w:val="007A74CB"/>
    <w:rsid w:val="007B0238"/>
    <w:rsid w:val="007B0280"/>
    <w:rsid w:val="007B3ED3"/>
    <w:rsid w:val="007C2765"/>
    <w:rsid w:val="007C2AC5"/>
    <w:rsid w:val="007C2B52"/>
    <w:rsid w:val="007C3F81"/>
    <w:rsid w:val="007D237C"/>
    <w:rsid w:val="007D5ADB"/>
    <w:rsid w:val="007D60B3"/>
    <w:rsid w:val="007D738B"/>
    <w:rsid w:val="007E0072"/>
    <w:rsid w:val="007E68A4"/>
    <w:rsid w:val="007E6A5E"/>
    <w:rsid w:val="007E6BC6"/>
    <w:rsid w:val="007F0873"/>
    <w:rsid w:val="007F0B9B"/>
    <w:rsid w:val="007F28ED"/>
    <w:rsid w:val="007F2A0F"/>
    <w:rsid w:val="007F7B69"/>
    <w:rsid w:val="0080696B"/>
    <w:rsid w:val="008232DD"/>
    <w:rsid w:val="00835C0A"/>
    <w:rsid w:val="0083627C"/>
    <w:rsid w:val="00840FA1"/>
    <w:rsid w:val="00844484"/>
    <w:rsid w:val="0084725E"/>
    <w:rsid w:val="00850158"/>
    <w:rsid w:val="00850776"/>
    <w:rsid w:val="00850CFB"/>
    <w:rsid w:val="0085403A"/>
    <w:rsid w:val="008558E4"/>
    <w:rsid w:val="00856D06"/>
    <w:rsid w:val="00870AA5"/>
    <w:rsid w:val="008719AC"/>
    <w:rsid w:val="00871CB5"/>
    <w:rsid w:val="00880FD4"/>
    <w:rsid w:val="00882C19"/>
    <w:rsid w:val="00882DFA"/>
    <w:rsid w:val="00883B35"/>
    <w:rsid w:val="00887B7D"/>
    <w:rsid w:val="008925C7"/>
    <w:rsid w:val="00894BAB"/>
    <w:rsid w:val="00896652"/>
    <w:rsid w:val="008A4689"/>
    <w:rsid w:val="008A5462"/>
    <w:rsid w:val="008B0134"/>
    <w:rsid w:val="008B4AC7"/>
    <w:rsid w:val="008B4C21"/>
    <w:rsid w:val="008B4D24"/>
    <w:rsid w:val="008B5FE3"/>
    <w:rsid w:val="008B7830"/>
    <w:rsid w:val="008C59C5"/>
    <w:rsid w:val="008C6CFD"/>
    <w:rsid w:val="008D204F"/>
    <w:rsid w:val="008D20F2"/>
    <w:rsid w:val="008D50FF"/>
    <w:rsid w:val="008D5623"/>
    <w:rsid w:val="008D5816"/>
    <w:rsid w:val="008E14ED"/>
    <w:rsid w:val="008E2A78"/>
    <w:rsid w:val="008E36D7"/>
    <w:rsid w:val="008E3D05"/>
    <w:rsid w:val="008E7AA7"/>
    <w:rsid w:val="008F2265"/>
    <w:rsid w:val="008F36D6"/>
    <w:rsid w:val="008F6A6F"/>
    <w:rsid w:val="00901889"/>
    <w:rsid w:val="009028DD"/>
    <w:rsid w:val="00907522"/>
    <w:rsid w:val="00915A00"/>
    <w:rsid w:val="009171A1"/>
    <w:rsid w:val="00922AE9"/>
    <w:rsid w:val="009271ED"/>
    <w:rsid w:val="009365BC"/>
    <w:rsid w:val="009369DB"/>
    <w:rsid w:val="00937CA5"/>
    <w:rsid w:val="00937FB5"/>
    <w:rsid w:val="00940F3A"/>
    <w:rsid w:val="009431C6"/>
    <w:rsid w:val="0095276E"/>
    <w:rsid w:val="00953EB5"/>
    <w:rsid w:val="00957236"/>
    <w:rsid w:val="00960E8D"/>
    <w:rsid w:val="00961AF4"/>
    <w:rsid w:val="00961D25"/>
    <w:rsid w:val="009629CB"/>
    <w:rsid w:val="009666E9"/>
    <w:rsid w:val="009709BE"/>
    <w:rsid w:val="00972505"/>
    <w:rsid w:val="00973EC6"/>
    <w:rsid w:val="00982411"/>
    <w:rsid w:val="00992F4E"/>
    <w:rsid w:val="009A10ED"/>
    <w:rsid w:val="009A1B21"/>
    <w:rsid w:val="009A3B33"/>
    <w:rsid w:val="009A4291"/>
    <w:rsid w:val="009B18B7"/>
    <w:rsid w:val="009B33C5"/>
    <w:rsid w:val="009B51B5"/>
    <w:rsid w:val="009B63F7"/>
    <w:rsid w:val="009C145D"/>
    <w:rsid w:val="009C3C60"/>
    <w:rsid w:val="009C5DEA"/>
    <w:rsid w:val="009C6650"/>
    <w:rsid w:val="009D02A2"/>
    <w:rsid w:val="009D5C72"/>
    <w:rsid w:val="009D6D93"/>
    <w:rsid w:val="009E6241"/>
    <w:rsid w:val="009F172E"/>
    <w:rsid w:val="009F3CCD"/>
    <w:rsid w:val="009F3ED6"/>
    <w:rsid w:val="009F7FCD"/>
    <w:rsid w:val="00A01314"/>
    <w:rsid w:val="00A02142"/>
    <w:rsid w:val="00A04906"/>
    <w:rsid w:val="00A05B2C"/>
    <w:rsid w:val="00A060FA"/>
    <w:rsid w:val="00A104A7"/>
    <w:rsid w:val="00A1092F"/>
    <w:rsid w:val="00A11D9F"/>
    <w:rsid w:val="00A15B7E"/>
    <w:rsid w:val="00A168CB"/>
    <w:rsid w:val="00A17959"/>
    <w:rsid w:val="00A217E8"/>
    <w:rsid w:val="00A2445D"/>
    <w:rsid w:val="00A244E6"/>
    <w:rsid w:val="00A246E6"/>
    <w:rsid w:val="00A30BD4"/>
    <w:rsid w:val="00A30FB0"/>
    <w:rsid w:val="00A33ADE"/>
    <w:rsid w:val="00A33BCD"/>
    <w:rsid w:val="00A46992"/>
    <w:rsid w:val="00A46D7C"/>
    <w:rsid w:val="00A47170"/>
    <w:rsid w:val="00A47B80"/>
    <w:rsid w:val="00A54265"/>
    <w:rsid w:val="00A548D9"/>
    <w:rsid w:val="00A5611B"/>
    <w:rsid w:val="00A60446"/>
    <w:rsid w:val="00A60524"/>
    <w:rsid w:val="00A61E81"/>
    <w:rsid w:val="00A627B2"/>
    <w:rsid w:val="00A64D24"/>
    <w:rsid w:val="00A65C75"/>
    <w:rsid w:val="00A67D9D"/>
    <w:rsid w:val="00A73529"/>
    <w:rsid w:val="00A73886"/>
    <w:rsid w:val="00A740E6"/>
    <w:rsid w:val="00A76809"/>
    <w:rsid w:val="00A8089E"/>
    <w:rsid w:val="00A83A43"/>
    <w:rsid w:val="00A84D24"/>
    <w:rsid w:val="00A87A54"/>
    <w:rsid w:val="00A90B2E"/>
    <w:rsid w:val="00A93C02"/>
    <w:rsid w:val="00A93D4C"/>
    <w:rsid w:val="00A947C1"/>
    <w:rsid w:val="00AA3927"/>
    <w:rsid w:val="00AA5AB4"/>
    <w:rsid w:val="00AA743F"/>
    <w:rsid w:val="00AB0FFC"/>
    <w:rsid w:val="00AB145A"/>
    <w:rsid w:val="00AB2E73"/>
    <w:rsid w:val="00AB30A1"/>
    <w:rsid w:val="00AB4434"/>
    <w:rsid w:val="00AB4847"/>
    <w:rsid w:val="00AB5099"/>
    <w:rsid w:val="00AB5241"/>
    <w:rsid w:val="00AC569C"/>
    <w:rsid w:val="00AC60BD"/>
    <w:rsid w:val="00AD4067"/>
    <w:rsid w:val="00AD7A76"/>
    <w:rsid w:val="00AE0506"/>
    <w:rsid w:val="00AE1D52"/>
    <w:rsid w:val="00AE2F79"/>
    <w:rsid w:val="00AE68A8"/>
    <w:rsid w:val="00AE707C"/>
    <w:rsid w:val="00AE7EF6"/>
    <w:rsid w:val="00AF618D"/>
    <w:rsid w:val="00AF7D96"/>
    <w:rsid w:val="00B02BA1"/>
    <w:rsid w:val="00B05A7E"/>
    <w:rsid w:val="00B06A61"/>
    <w:rsid w:val="00B0733D"/>
    <w:rsid w:val="00B076FC"/>
    <w:rsid w:val="00B117B7"/>
    <w:rsid w:val="00B15AB1"/>
    <w:rsid w:val="00B16C4E"/>
    <w:rsid w:val="00B17BD9"/>
    <w:rsid w:val="00B24ED6"/>
    <w:rsid w:val="00B2765B"/>
    <w:rsid w:val="00B27E2F"/>
    <w:rsid w:val="00B34845"/>
    <w:rsid w:val="00B54B1B"/>
    <w:rsid w:val="00B55306"/>
    <w:rsid w:val="00B55658"/>
    <w:rsid w:val="00B5641C"/>
    <w:rsid w:val="00B73759"/>
    <w:rsid w:val="00B73F8B"/>
    <w:rsid w:val="00B75FAD"/>
    <w:rsid w:val="00B778AB"/>
    <w:rsid w:val="00B8032C"/>
    <w:rsid w:val="00B82CAB"/>
    <w:rsid w:val="00B83B5B"/>
    <w:rsid w:val="00B905AE"/>
    <w:rsid w:val="00B92FC1"/>
    <w:rsid w:val="00B93FAA"/>
    <w:rsid w:val="00B946D2"/>
    <w:rsid w:val="00B95D1B"/>
    <w:rsid w:val="00BA1A74"/>
    <w:rsid w:val="00BB26AD"/>
    <w:rsid w:val="00BC620E"/>
    <w:rsid w:val="00BC7EE9"/>
    <w:rsid w:val="00BD5ACF"/>
    <w:rsid w:val="00BE17E2"/>
    <w:rsid w:val="00BE2952"/>
    <w:rsid w:val="00BE485A"/>
    <w:rsid w:val="00BE5974"/>
    <w:rsid w:val="00BE5AB7"/>
    <w:rsid w:val="00C07A93"/>
    <w:rsid w:val="00C10E34"/>
    <w:rsid w:val="00C1341D"/>
    <w:rsid w:val="00C13BA8"/>
    <w:rsid w:val="00C1568C"/>
    <w:rsid w:val="00C16A9D"/>
    <w:rsid w:val="00C17570"/>
    <w:rsid w:val="00C22219"/>
    <w:rsid w:val="00C252DE"/>
    <w:rsid w:val="00C25507"/>
    <w:rsid w:val="00C309AD"/>
    <w:rsid w:val="00C3135D"/>
    <w:rsid w:val="00C31467"/>
    <w:rsid w:val="00C32554"/>
    <w:rsid w:val="00C32CB3"/>
    <w:rsid w:val="00C36435"/>
    <w:rsid w:val="00C3711B"/>
    <w:rsid w:val="00C42EB5"/>
    <w:rsid w:val="00C459D1"/>
    <w:rsid w:val="00C50843"/>
    <w:rsid w:val="00C5428E"/>
    <w:rsid w:val="00C63D40"/>
    <w:rsid w:val="00C643CC"/>
    <w:rsid w:val="00C67BCE"/>
    <w:rsid w:val="00C7551C"/>
    <w:rsid w:val="00C85A68"/>
    <w:rsid w:val="00C921E6"/>
    <w:rsid w:val="00C94AFC"/>
    <w:rsid w:val="00C94EDF"/>
    <w:rsid w:val="00C97B8A"/>
    <w:rsid w:val="00CB3795"/>
    <w:rsid w:val="00CB72D5"/>
    <w:rsid w:val="00CC306B"/>
    <w:rsid w:val="00CC46FD"/>
    <w:rsid w:val="00CC472F"/>
    <w:rsid w:val="00CC701C"/>
    <w:rsid w:val="00CC70FB"/>
    <w:rsid w:val="00CD0078"/>
    <w:rsid w:val="00CD0E5E"/>
    <w:rsid w:val="00CD1CCD"/>
    <w:rsid w:val="00CD1F73"/>
    <w:rsid w:val="00CD3177"/>
    <w:rsid w:val="00CD3508"/>
    <w:rsid w:val="00CD462E"/>
    <w:rsid w:val="00CD7F05"/>
    <w:rsid w:val="00CE10DE"/>
    <w:rsid w:val="00CE4C6F"/>
    <w:rsid w:val="00CE76D7"/>
    <w:rsid w:val="00CF24B9"/>
    <w:rsid w:val="00CF2789"/>
    <w:rsid w:val="00CF3BF0"/>
    <w:rsid w:val="00CF50AB"/>
    <w:rsid w:val="00CF5AFE"/>
    <w:rsid w:val="00D014C0"/>
    <w:rsid w:val="00D01C6A"/>
    <w:rsid w:val="00D0747C"/>
    <w:rsid w:val="00D07843"/>
    <w:rsid w:val="00D1023F"/>
    <w:rsid w:val="00D142E6"/>
    <w:rsid w:val="00D22E6D"/>
    <w:rsid w:val="00D23782"/>
    <w:rsid w:val="00D24E55"/>
    <w:rsid w:val="00D271C7"/>
    <w:rsid w:val="00D33252"/>
    <w:rsid w:val="00D3520E"/>
    <w:rsid w:val="00D3627D"/>
    <w:rsid w:val="00D41CBF"/>
    <w:rsid w:val="00D474FD"/>
    <w:rsid w:val="00D50DC6"/>
    <w:rsid w:val="00D5285E"/>
    <w:rsid w:val="00D5492A"/>
    <w:rsid w:val="00D56F3B"/>
    <w:rsid w:val="00D62D64"/>
    <w:rsid w:val="00D63C95"/>
    <w:rsid w:val="00D74C93"/>
    <w:rsid w:val="00D75B94"/>
    <w:rsid w:val="00D77945"/>
    <w:rsid w:val="00D80B7A"/>
    <w:rsid w:val="00D84CB7"/>
    <w:rsid w:val="00D86634"/>
    <w:rsid w:val="00D909BD"/>
    <w:rsid w:val="00D915F7"/>
    <w:rsid w:val="00D92829"/>
    <w:rsid w:val="00D93A75"/>
    <w:rsid w:val="00D95C03"/>
    <w:rsid w:val="00D95FA9"/>
    <w:rsid w:val="00DA346A"/>
    <w:rsid w:val="00DA7EFA"/>
    <w:rsid w:val="00DB204C"/>
    <w:rsid w:val="00DB7BD8"/>
    <w:rsid w:val="00DC2603"/>
    <w:rsid w:val="00DD0E6C"/>
    <w:rsid w:val="00DD43F4"/>
    <w:rsid w:val="00DE405B"/>
    <w:rsid w:val="00DE6197"/>
    <w:rsid w:val="00DF5942"/>
    <w:rsid w:val="00DF62FF"/>
    <w:rsid w:val="00E022E7"/>
    <w:rsid w:val="00E03DA1"/>
    <w:rsid w:val="00E066F4"/>
    <w:rsid w:val="00E07914"/>
    <w:rsid w:val="00E165CA"/>
    <w:rsid w:val="00E2070A"/>
    <w:rsid w:val="00E21A73"/>
    <w:rsid w:val="00E25688"/>
    <w:rsid w:val="00E26064"/>
    <w:rsid w:val="00E27576"/>
    <w:rsid w:val="00E30D54"/>
    <w:rsid w:val="00E31463"/>
    <w:rsid w:val="00E315DB"/>
    <w:rsid w:val="00E323E6"/>
    <w:rsid w:val="00E3572D"/>
    <w:rsid w:val="00E35B25"/>
    <w:rsid w:val="00E370F1"/>
    <w:rsid w:val="00E37BC5"/>
    <w:rsid w:val="00E4287B"/>
    <w:rsid w:val="00E43DE3"/>
    <w:rsid w:val="00E50896"/>
    <w:rsid w:val="00E53D5E"/>
    <w:rsid w:val="00E549A5"/>
    <w:rsid w:val="00E557B5"/>
    <w:rsid w:val="00E5585A"/>
    <w:rsid w:val="00E60019"/>
    <w:rsid w:val="00E60B63"/>
    <w:rsid w:val="00E641E3"/>
    <w:rsid w:val="00E66022"/>
    <w:rsid w:val="00E71231"/>
    <w:rsid w:val="00E7136B"/>
    <w:rsid w:val="00E72CFC"/>
    <w:rsid w:val="00E73887"/>
    <w:rsid w:val="00E73B47"/>
    <w:rsid w:val="00E807A6"/>
    <w:rsid w:val="00E815F9"/>
    <w:rsid w:val="00E85EE8"/>
    <w:rsid w:val="00E919EF"/>
    <w:rsid w:val="00E930A8"/>
    <w:rsid w:val="00E951AF"/>
    <w:rsid w:val="00E95AA3"/>
    <w:rsid w:val="00E9622E"/>
    <w:rsid w:val="00E975FA"/>
    <w:rsid w:val="00EA3928"/>
    <w:rsid w:val="00EA7AB0"/>
    <w:rsid w:val="00EB2AFE"/>
    <w:rsid w:val="00EB3070"/>
    <w:rsid w:val="00EB3410"/>
    <w:rsid w:val="00EB3B92"/>
    <w:rsid w:val="00EC59F2"/>
    <w:rsid w:val="00ED1877"/>
    <w:rsid w:val="00ED20F7"/>
    <w:rsid w:val="00ED513E"/>
    <w:rsid w:val="00EE146A"/>
    <w:rsid w:val="00EE3620"/>
    <w:rsid w:val="00EE5340"/>
    <w:rsid w:val="00EE53FD"/>
    <w:rsid w:val="00EE754E"/>
    <w:rsid w:val="00EF186E"/>
    <w:rsid w:val="00EF2E08"/>
    <w:rsid w:val="00EF3587"/>
    <w:rsid w:val="00EF473D"/>
    <w:rsid w:val="00EF6648"/>
    <w:rsid w:val="00F0541B"/>
    <w:rsid w:val="00F06B06"/>
    <w:rsid w:val="00F07993"/>
    <w:rsid w:val="00F13378"/>
    <w:rsid w:val="00F1440D"/>
    <w:rsid w:val="00F212A0"/>
    <w:rsid w:val="00F23C7C"/>
    <w:rsid w:val="00F270A6"/>
    <w:rsid w:val="00F27C77"/>
    <w:rsid w:val="00F31EBA"/>
    <w:rsid w:val="00F34B84"/>
    <w:rsid w:val="00F351B5"/>
    <w:rsid w:val="00F35DBF"/>
    <w:rsid w:val="00F35EA4"/>
    <w:rsid w:val="00F407B2"/>
    <w:rsid w:val="00F41E38"/>
    <w:rsid w:val="00F42C0A"/>
    <w:rsid w:val="00F50868"/>
    <w:rsid w:val="00F5373B"/>
    <w:rsid w:val="00F57073"/>
    <w:rsid w:val="00F57787"/>
    <w:rsid w:val="00F63A30"/>
    <w:rsid w:val="00F64091"/>
    <w:rsid w:val="00F6448F"/>
    <w:rsid w:val="00F649A5"/>
    <w:rsid w:val="00F73606"/>
    <w:rsid w:val="00F7379F"/>
    <w:rsid w:val="00F741ED"/>
    <w:rsid w:val="00F75EAC"/>
    <w:rsid w:val="00F7743A"/>
    <w:rsid w:val="00F812A7"/>
    <w:rsid w:val="00F84657"/>
    <w:rsid w:val="00F85583"/>
    <w:rsid w:val="00F858CE"/>
    <w:rsid w:val="00F862E1"/>
    <w:rsid w:val="00F92CE3"/>
    <w:rsid w:val="00F9396C"/>
    <w:rsid w:val="00FA1ADD"/>
    <w:rsid w:val="00FB424D"/>
    <w:rsid w:val="00FB5D2C"/>
    <w:rsid w:val="00FB63B6"/>
    <w:rsid w:val="00FB7434"/>
    <w:rsid w:val="00FC2A9D"/>
    <w:rsid w:val="00FC4563"/>
    <w:rsid w:val="00FC540F"/>
    <w:rsid w:val="00FE0582"/>
    <w:rsid w:val="00FE2204"/>
    <w:rsid w:val="00FE78D6"/>
    <w:rsid w:val="00FF3594"/>
    <w:rsid w:val="00FF3AB6"/>
    <w:rsid w:val="00FF6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15FCA7-0864-42CB-89E1-0BAA5DF3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0B98"/>
    <w:rPr>
      <w:rFonts w:ascii="Tahoma" w:hAnsi="Tahoma" w:cs="Tahoma"/>
      <w:sz w:val="16"/>
      <w:szCs w:val="16"/>
    </w:rPr>
  </w:style>
  <w:style w:type="paragraph" w:styleId="FootnoteText">
    <w:name w:val="footnote text"/>
    <w:basedOn w:val="Normal"/>
    <w:semiHidden/>
    <w:rsid w:val="00D142E6"/>
    <w:rPr>
      <w:sz w:val="20"/>
      <w:szCs w:val="20"/>
    </w:rPr>
  </w:style>
  <w:style w:type="character" w:styleId="FootnoteReference">
    <w:name w:val="footnote reference"/>
    <w:basedOn w:val="DefaultParagraphFont"/>
    <w:semiHidden/>
    <w:rsid w:val="00D142E6"/>
    <w:rPr>
      <w:vertAlign w:val="superscript"/>
    </w:rPr>
  </w:style>
  <w:style w:type="paragraph" w:styleId="Header">
    <w:name w:val="header"/>
    <w:basedOn w:val="Normal"/>
    <w:rsid w:val="007B0280"/>
    <w:pPr>
      <w:tabs>
        <w:tab w:val="center" w:pos="4320"/>
        <w:tab w:val="right" w:pos="8640"/>
      </w:tabs>
    </w:pPr>
  </w:style>
  <w:style w:type="paragraph" w:styleId="Footer">
    <w:name w:val="footer"/>
    <w:basedOn w:val="Normal"/>
    <w:rsid w:val="007B0280"/>
    <w:pPr>
      <w:tabs>
        <w:tab w:val="center" w:pos="4320"/>
        <w:tab w:val="right" w:pos="8640"/>
      </w:tabs>
    </w:pPr>
  </w:style>
  <w:style w:type="paragraph" w:styleId="BodyTextIndent3">
    <w:name w:val="Body Text Indent 3"/>
    <w:basedOn w:val="Normal"/>
    <w:rsid w:val="008E14ED"/>
    <w:pPr>
      <w:widowControl w:val="0"/>
      <w:tabs>
        <w:tab w:val="center" w:pos="4680"/>
      </w:tabs>
      <w:ind w:left="360"/>
    </w:pPr>
    <w:rPr>
      <w:b/>
      <w:snapToGrid w:val="0"/>
      <w:szCs w:val="20"/>
    </w:rPr>
  </w:style>
  <w:style w:type="character" w:styleId="PageNumber">
    <w:name w:val="page number"/>
    <w:basedOn w:val="DefaultParagraphFont"/>
    <w:rsid w:val="002E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53E90-B378-4737-812E-BB4A2AF00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3</Pages>
  <Words>1484</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The Consumer Expenditure Surveys, including the Quarterly Interview Survey and the Diary Survey, are designed to gather inform</vt:lpstr>
    </vt:vector>
  </TitlesOfParts>
  <Company>Bureau of Labor Statistics</Company>
  <LinksUpToDate>false</LinksUpToDate>
  <CharactersWithSpaces>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Consumer Expenditure Surveys, including the Quarterly Interview Survey and the Diary Survey, are designed to gather inform</dc:title>
  <dc:subject/>
  <dc:creator>krieger_s</dc:creator>
  <cp:keywords/>
  <dc:description/>
  <cp:lastModifiedBy>Swanson, David - BLS</cp:lastModifiedBy>
  <cp:revision>15</cp:revision>
  <cp:lastPrinted>2015-11-02T13:14:00Z</cp:lastPrinted>
  <dcterms:created xsi:type="dcterms:W3CDTF">2015-10-26T12:03:00Z</dcterms:created>
  <dcterms:modified xsi:type="dcterms:W3CDTF">2015-11-02T13:14:00Z</dcterms:modified>
</cp:coreProperties>
</file>