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9423E" w14:textId="77777777" w:rsidR="00533D2D" w:rsidRDefault="00533D2D" w:rsidP="00E01404">
      <w:pPr>
        <w:widowControl/>
        <w:jc w:val="center"/>
        <w:rPr>
          <w:b/>
          <w:sz w:val="22"/>
          <w:szCs w:val="22"/>
        </w:rPr>
      </w:pPr>
      <w:bookmarkStart w:id="0" w:name="_GoBack"/>
      <w:bookmarkEnd w:id="0"/>
      <w:r w:rsidRPr="00B743A7">
        <w:rPr>
          <w:b/>
          <w:sz w:val="22"/>
          <w:szCs w:val="22"/>
        </w:rPr>
        <w:t>DEPARTMENT OF THE TREASURY</w:t>
      </w:r>
      <w:r w:rsidR="0025133D">
        <w:rPr>
          <w:b/>
          <w:sz w:val="22"/>
          <w:szCs w:val="22"/>
        </w:rPr>
        <w:t xml:space="preserve"> </w:t>
      </w:r>
    </w:p>
    <w:p w14:paraId="712F15F8" w14:textId="77777777" w:rsidR="0025133D" w:rsidRDefault="0025133D" w:rsidP="00E01404">
      <w:pPr>
        <w:widowControl/>
        <w:jc w:val="center"/>
        <w:rPr>
          <w:b/>
          <w:sz w:val="22"/>
          <w:szCs w:val="22"/>
        </w:rPr>
      </w:pPr>
    </w:p>
    <w:p w14:paraId="366AB5F1" w14:textId="77777777" w:rsidR="00533D2D" w:rsidRPr="00B743A7" w:rsidRDefault="00533D2D" w:rsidP="00E01404">
      <w:pPr>
        <w:widowControl/>
        <w:jc w:val="center"/>
        <w:rPr>
          <w:b/>
          <w:sz w:val="22"/>
          <w:szCs w:val="22"/>
        </w:rPr>
      </w:pPr>
      <w:r w:rsidRPr="00B743A7">
        <w:rPr>
          <w:b/>
          <w:sz w:val="22"/>
          <w:szCs w:val="22"/>
        </w:rPr>
        <w:t>ALCOHOL AND TOBACCO TAX AND TRADE BUREAU</w:t>
      </w:r>
      <w:r w:rsidR="0025133D">
        <w:rPr>
          <w:b/>
          <w:sz w:val="22"/>
          <w:szCs w:val="22"/>
        </w:rPr>
        <w:t xml:space="preserve"> </w:t>
      </w:r>
    </w:p>
    <w:p w14:paraId="36D2B94A" w14:textId="77777777" w:rsidR="00533D2D" w:rsidRPr="00B743A7" w:rsidRDefault="00533D2D" w:rsidP="00E01404">
      <w:pPr>
        <w:widowControl/>
        <w:jc w:val="center"/>
        <w:rPr>
          <w:b/>
          <w:sz w:val="22"/>
          <w:szCs w:val="22"/>
        </w:rPr>
      </w:pPr>
    </w:p>
    <w:p w14:paraId="4D1B2473" w14:textId="77777777" w:rsidR="00533D2D" w:rsidRDefault="0025133D" w:rsidP="00E01404">
      <w:pPr>
        <w:widowControl/>
        <w:jc w:val="center"/>
        <w:rPr>
          <w:b/>
          <w:sz w:val="22"/>
          <w:szCs w:val="22"/>
        </w:rPr>
      </w:pPr>
      <w:r>
        <w:rPr>
          <w:b/>
          <w:sz w:val="22"/>
          <w:szCs w:val="22"/>
        </w:rPr>
        <w:t>Supporting Statement —</w:t>
      </w:r>
      <w:r w:rsidR="00533D2D" w:rsidRPr="00B743A7">
        <w:rPr>
          <w:b/>
          <w:sz w:val="22"/>
          <w:szCs w:val="22"/>
        </w:rPr>
        <w:t xml:space="preserve"> Information Collection </w:t>
      </w:r>
      <w:r w:rsidR="00B743A7">
        <w:rPr>
          <w:b/>
          <w:sz w:val="22"/>
          <w:szCs w:val="22"/>
        </w:rPr>
        <w:t>Request</w:t>
      </w:r>
      <w:r>
        <w:rPr>
          <w:b/>
          <w:sz w:val="22"/>
          <w:szCs w:val="22"/>
        </w:rPr>
        <w:t xml:space="preserve"> </w:t>
      </w:r>
    </w:p>
    <w:p w14:paraId="25521E14" w14:textId="77777777" w:rsidR="00B743A7" w:rsidRPr="00B743A7" w:rsidRDefault="00B743A7" w:rsidP="00E01404">
      <w:pPr>
        <w:widowControl/>
        <w:jc w:val="center"/>
        <w:rPr>
          <w:b/>
          <w:sz w:val="22"/>
          <w:szCs w:val="22"/>
        </w:rPr>
      </w:pPr>
    </w:p>
    <w:p w14:paraId="5A58B7FC" w14:textId="77777777" w:rsidR="00533D2D" w:rsidRPr="00B743A7" w:rsidRDefault="00533D2D" w:rsidP="00E01404">
      <w:pPr>
        <w:widowControl/>
        <w:jc w:val="center"/>
        <w:rPr>
          <w:b/>
          <w:sz w:val="22"/>
          <w:szCs w:val="22"/>
        </w:rPr>
      </w:pPr>
      <w:r w:rsidRPr="00B743A7">
        <w:rPr>
          <w:b/>
          <w:sz w:val="22"/>
          <w:szCs w:val="22"/>
        </w:rPr>
        <w:t xml:space="preserve">OMB Control Number </w:t>
      </w:r>
      <w:r w:rsidR="0025133D">
        <w:rPr>
          <w:b/>
          <w:sz w:val="22"/>
          <w:szCs w:val="22"/>
        </w:rPr>
        <w:t>1513–</w:t>
      </w:r>
      <w:r w:rsidRPr="00B743A7">
        <w:rPr>
          <w:b/>
          <w:sz w:val="22"/>
          <w:szCs w:val="22"/>
        </w:rPr>
        <w:t>00</w:t>
      </w:r>
      <w:r w:rsidR="002A10C5">
        <w:rPr>
          <w:b/>
          <w:sz w:val="22"/>
          <w:szCs w:val="22"/>
        </w:rPr>
        <w:t>83</w:t>
      </w:r>
      <w:r w:rsidR="0025133D">
        <w:rPr>
          <w:b/>
          <w:sz w:val="22"/>
          <w:szCs w:val="22"/>
        </w:rPr>
        <w:t xml:space="preserve"> </w:t>
      </w:r>
    </w:p>
    <w:p w14:paraId="634AE0C0" w14:textId="77777777" w:rsidR="003A6614" w:rsidRDefault="003A6614" w:rsidP="00E01404">
      <w:pPr>
        <w:widowControl/>
        <w:suppressAutoHyphens/>
        <w:rPr>
          <w:sz w:val="22"/>
          <w:szCs w:val="22"/>
          <w:u w:val="single"/>
        </w:rPr>
      </w:pPr>
    </w:p>
    <w:p w14:paraId="4A9D1E16" w14:textId="77777777" w:rsidR="003A6614" w:rsidRDefault="003A6614" w:rsidP="00E01404">
      <w:pPr>
        <w:widowControl/>
        <w:suppressAutoHyphens/>
        <w:rPr>
          <w:sz w:val="22"/>
          <w:szCs w:val="22"/>
          <w:u w:val="single"/>
        </w:rPr>
      </w:pPr>
    </w:p>
    <w:p w14:paraId="7A9D3C75" w14:textId="77777777" w:rsidR="007434C4" w:rsidRPr="00560EB5" w:rsidRDefault="007434C4" w:rsidP="00E01404">
      <w:pPr>
        <w:widowControl/>
        <w:suppressAutoHyphens/>
        <w:rPr>
          <w:sz w:val="22"/>
          <w:szCs w:val="22"/>
          <w:u w:val="single"/>
        </w:rPr>
      </w:pPr>
      <w:r w:rsidRPr="00560EB5">
        <w:rPr>
          <w:sz w:val="22"/>
          <w:szCs w:val="22"/>
          <w:u w:val="single"/>
        </w:rPr>
        <w:t>Inform</w:t>
      </w:r>
      <w:r w:rsidR="002A10C5">
        <w:rPr>
          <w:sz w:val="22"/>
          <w:szCs w:val="22"/>
          <w:u w:val="single"/>
        </w:rPr>
        <w:t>ation Collection Request Title:</w:t>
      </w:r>
      <w:r w:rsidR="00650FF1">
        <w:rPr>
          <w:sz w:val="22"/>
          <w:szCs w:val="22"/>
          <w:u w:val="single"/>
        </w:rPr>
        <w:t xml:space="preserve"> </w:t>
      </w:r>
    </w:p>
    <w:p w14:paraId="7D254BDC" w14:textId="77777777" w:rsidR="007434C4" w:rsidRDefault="007434C4" w:rsidP="00E01404">
      <w:pPr>
        <w:widowControl/>
        <w:suppressAutoHyphens/>
        <w:rPr>
          <w:sz w:val="22"/>
          <w:szCs w:val="22"/>
        </w:rPr>
      </w:pPr>
    </w:p>
    <w:p w14:paraId="1ADC44C4" w14:textId="77777777" w:rsidR="002107F9" w:rsidRDefault="002A10C5" w:rsidP="00E01404">
      <w:pPr>
        <w:widowControl/>
        <w:suppressAutoHyphens/>
        <w:ind w:left="360"/>
        <w:rPr>
          <w:sz w:val="22"/>
          <w:szCs w:val="22"/>
        </w:rPr>
      </w:pPr>
      <w:r>
        <w:rPr>
          <w:sz w:val="22"/>
          <w:szCs w:val="22"/>
        </w:rPr>
        <w:t xml:space="preserve">Excise Tax Return </w:t>
      </w:r>
    </w:p>
    <w:p w14:paraId="0F46C0D6" w14:textId="77777777" w:rsidR="007434C4" w:rsidRPr="00560EB5" w:rsidRDefault="007434C4" w:rsidP="00E01404">
      <w:pPr>
        <w:widowControl/>
        <w:rPr>
          <w:sz w:val="22"/>
          <w:szCs w:val="22"/>
        </w:rPr>
      </w:pPr>
    </w:p>
    <w:p w14:paraId="28609CF9" w14:textId="77777777" w:rsidR="007434C4" w:rsidRPr="00560EB5" w:rsidRDefault="007434C4" w:rsidP="00E01404">
      <w:pPr>
        <w:widowControl/>
        <w:rPr>
          <w:sz w:val="22"/>
          <w:szCs w:val="22"/>
          <w:u w:val="single"/>
        </w:rPr>
      </w:pPr>
      <w:r w:rsidRPr="00560EB5">
        <w:rPr>
          <w:sz w:val="22"/>
          <w:szCs w:val="22"/>
          <w:u w:val="single"/>
        </w:rPr>
        <w:t xml:space="preserve">Information Collections Issued under this Title: </w:t>
      </w:r>
    </w:p>
    <w:p w14:paraId="1D72BE06" w14:textId="77777777" w:rsidR="007434C4" w:rsidRPr="002107F9" w:rsidRDefault="007434C4" w:rsidP="00E01404">
      <w:pPr>
        <w:widowControl/>
        <w:rPr>
          <w:sz w:val="22"/>
          <w:szCs w:val="22"/>
        </w:rPr>
      </w:pPr>
    </w:p>
    <w:p w14:paraId="55F09D2F" w14:textId="77777777" w:rsidR="00533D2D" w:rsidRDefault="002A10C5" w:rsidP="00E01404">
      <w:pPr>
        <w:widowControl/>
        <w:numPr>
          <w:ilvl w:val="0"/>
          <w:numId w:val="4"/>
        </w:numPr>
        <w:rPr>
          <w:sz w:val="22"/>
          <w:szCs w:val="22"/>
        </w:rPr>
      </w:pPr>
      <w:r>
        <w:rPr>
          <w:sz w:val="22"/>
          <w:szCs w:val="22"/>
        </w:rPr>
        <w:t xml:space="preserve">TTB F 5000.24, Excise Tax Return. </w:t>
      </w:r>
    </w:p>
    <w:p w14:paraId="089800E5" w14:textId="77777777" w:rsidR="003A6614" w:rsidRDefault="003A6614" w:rsidP="00E01404">
      <w:pPr>
        <w:widowControl/>
        <w:rPr>
          <w:sz w:val="22"/>
          <w:szCs w:val="22"/>
        </w:rPr>
      </w:pPr>
    </w:p>
    <w:p w14:paraId="4A670EEF" w14:textId="77777777" w:rsidR="003A6614" w:rsidRDefault="003A6614" w:rsidP="00E01404">
      <w:pPr>
        <w:widowControl/>
        <w:rPr>
          <w:sz w:val="22"/>
          <w:szCs w:val="22"/>
        </w:rPr>
      </w:pPr>
    </w:p>
    <w:p w14:paraId="24E54964" w14:textId="77777777" w:rsidR="00533D2D" w:rsidRPr="00B743A7" w:rsidRDefault="00533D2D" w:rsidP="00E01404">
      <w:pPr>
        <w:widowControl/>
        <w:numPr>
          <w:ilvl w:val="0"/>
          <w:numId w:val="1"/>
        </w:numPr>
        <w:tabs>
          <w:tab w:val="left" w:pos="540"/>
        </w:tabs>
        <w:ind w:left="540" w:hanging="540"/>
        <w:rPr>
          <w:b/>
          <w:sz w:val="22"/>
          <w:szCs w:val="22"/>
          <w:u w:val="single"/>
        </w:rPr>
      </w:pPr>
      <w:r w:rsidRPr="00B743A7">
        <w:rPr>
          <w:b/>
          <w:sz w:val="22"/>
          <w:szCs w:val="22"/>
          <w:u w:val="single"/>
        </w:rPr>
        <w:t xml:space="preserve">Justification </w:t>
      </w:r>
    </w:p>
    <w:p w14:paraId="0B3D4332" w14:textId="77777777" w:rsidR="00533D2D" w:rsidRPr="005949DD" w:rsidRDefault="00533D2D" w:rsidP="00E01404">
      <w:pPr>
        <w:widowControl/>
        <w:tabs>
          <w:tab w:val="left" w:pos="540"/>
        </w:tabs>
        <w:ind w:left="540" w:hanging="540"/>
        <w:rPr>
          <w:sz w:val="36"/>
          <w:szCs w:val="36"/>
          <w:u w:val="single"/>
        </w:rPr>
      </w:pPr>
    </w:p>
    <w:p w14:paraId="48477BAD" w14:textId="77777777" w:rsidR="00B743A7" w:rsidRPr="007A5D4B" w:rsidRDefault="00B743A7" w:rsidP="00E01404">
      <w:pPr>
        <w:widowControl/>
        <w:tabs>
          <w:tab w:val="left" w:pos="360"/>
        </w:tabs>
        <w:suppressAutoHyphens/>
        <w:rPr>
          <w:i/>
          <w:sz w:val="22"/>
          <w:szCs w:val="22"/>
        </w:rPr>
      </w:pPr>
      <w:r w:rsidRPr="007A5D4B">
        <w:rPr>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14:paraId="7960839F" w14:textId="77777777" w:rsidR="00533D2D" w:rsidRDefault="00533D2D" w:rsidP="00E01404">
      <w:pPr>
        <w:widowControl/>
        <w:ind w:left="360"/>
        <w:rPr>
          <w:sz w:val="22"/>
          <w:szCs w:val="22"/>
        </w:rPr>
      </w:pPr>
    </w:p>
    <w:p w14:paraId="06A65A8F" w14:textId="50782B83" w:rsidR="002A10C5" w:rsidRPr="002A10C5" w:rsidRDefault="002A10C5" w:rsidP="00E01404">
      <w:pPr>
        <w:widowControl/>
        <w:ind w:left="360"/>
        <w:rPr>
          <w:sz w:val="22"/>
          <w:szCs w:val="22"/>
        </w:rPr>
      </w:pPr>
      <w:r w:rsidRPr="002A10C5">
        <w:rPr>
          <w:sz w:val="22"/>
          <w:szCs w:val="22"/>
        </w:rPr>
        <w:t>The Alcohol and Tobacco Tax and Trade Bureau (TTB) administers chapter 51 (distilled spirits, wine and beer), chapter 52 (tobacco products and cigarette papers and tubes), and sections 4181–4182 (firearms and ammunition excise taxes) of the Internal Revenue Code of 1986, as amended, (IRC, 26 U.S.C.) pursuant to section 1111(d) of the Homeland Securit</w:t>
      </w:r>
      <w:r w:rsidR="00325AB0">
        <w:rPr>
          <w:sz w:val="22"/>
          <w:szCs w:val="22"/>
        </w:rPr>
        <w:t>y Act of 2002, as codified at 6 </w:t>
      </w:r>
      <w:r w:rsidRPr="002A10C5">
        <w:rPr>
          <w:sz w:val="22"/>
          <w:szCs w:val="22"/>
        </w:rPr>
        <w:t xml:space="preserve">U.S.C. 531(d).  In addition, the Secretary of the Treasury has delegated certain IRC administrative and enforcement authorities to TTB through Treasury Department Order 120–01. </w:t>
      </w:r>
    </w:p>
    <w:p w14:paraId="36ECD3BA" w14:textId="77777777" w:rsidR="00A81C18" w:rsidRPr="002A10C5" w:rsidRDefault="00A81C18" w:rsidP="00E01404">
      <w:pPr>
        <w:widowControl/>
        <w:ind w:left="360"/>
        <w:rPr>
          <w:sz w:val="22"/>
          <w:szCs w:val="22"/>
        </w:rPr>
      </w:pPr>
    </w:p>
    <w:p w14:paraId="15BB4C53" w14:textId="6767E732" w:rsidR="002B5317" w:rsidRDefault="004748B2" w:rsidP="00E01404">
      <w:pPr>
        <w:widowControl/>
        <w:ind w:left="360"/>
        <w:rPr>
          <w:sz w:val="22"/>
          <w:szCs w:val="22"/>
        </w:rPr>
      </w:pPr>
      <w:r>
        <w:rPr>
          <w:sz w:val="22"/>
          <w:szCs w:val="22"/>
        </w:rPr>
        <w:t xml:space="preserve">Chapter 51 and 52 of the IRC, at 26 U.S.C. </w:t>
      </w:r>
      <w:r w:rsidR="002A10C5">
        <w:rPr>
          <w:sz w:val="22"/>
          <w:szCs w:val="22"/>
        </w:rPr>
        <w:t xml:space="preserve">5061(a) and 5703(b), </w:t>
      </w:r>
      <w:r>
        <w:rPr>
          <w:sz w:val="22"/>
          <w:szCs w:val="22"/>
        </w:rPr>
        <w:t xml:space="preserve">respectively, </w:t>
      </w:r>
      <w:r w:rsidR="00EE505C">
        <w:rPr>
          <w:sz w:val="22"/>
          <w:szCs w:val="22"/>
        </w:rPr>
        <w:t xml:space="preserve">require the Secretary to collect the </w:t>
      </w:r>
      <w:r w:rsidR="002E00FC">
        <w:rPr>
          <w:sz w:val="22"/>
          <w:szCs w:val="22"/>
        </w:rPr>
        <w:t xml:space="preserve">Federal </w:t>
      </w:r>
      <w:r w:rsidR="00325AB0">
        <w:rPr>
          <w:sz w:val="22"/>
          <w:szCs w:val="22"/>
        </w:rPr>
        <w:t xml:space="preserve">alcohol and tobacco excise </w:t>
      </w:r>
      <w:r w:rsidR="00EE505C">
        <w:rPr>
          <w:sz w:val="22"/>
          <w:szCs w:val="22"/>
        </w:rPr>
        <w:t xml:space="preserve">taxes </w:t>
      </w:r>
      <w:r w:rsidR="002E00FC">
        <w:rPr>
          <w:sz w:val="22"/>
          <w:szCs w:val="22"/>
        </w:rPr>
        <w:t xml:space="preserve">imposed by those chapters </w:t>
      </w:r>
      <w:r w:rsidR="001B787D">
        <w:rPr>
          <w:sz w:val="22"/>
          <w:szCs w:val="22"/>
        </w:rPr>
        <w:t>“</w:t>
      </w:r>
      <w:r w:rsidR="00EE505C">
        <w:rPr>
          <w:sz w:val="22"/>
          <w:szCs w:val="22"/>
        </w:rPr>
        <w:t>on the basis of a return</w:t>
      </w:r>
      <w:r w:rsidR="00E01404">
        <w:rPr>
          <w:sz w:val="22"/>
          <w:szCs w:val="22"/>
        </w:rPr>
        <w:t>,</w:t>
      </w:r>
      <w:r w:rsidR="002B5317">
        <w:rPr>
          <w:sz w:val="22"/>
          <w:szCs w:val="22"/>
        </w:rPr>
        <w:t xml:space="preserve">” </w:t>
      </w:r>
      <w:r w:rsidR="00E01404">
        <w:rPr>
          <w:sz w:val="22"/>
          <w:szCs w:val="22"/>
        </w:rPr>
        <w:t>and</w:t>
      </w:r>
      <w:r w:rsidR="002B5317">
        <w:rPr>
          <w:sz w:val="22"/>
          <w:szCs w:val="22"/>
        </w:rPr>
        <w:t xml:space="preserve"> </w:t>
      </w:r>
      <w:r w:rsidR="00E01404">
        <w:rPr>
          <w:sz w:val="22"/>
          <w:szCs w:val="22"/>
        </w:rPr>
        <w:t xml:space="preserve">these IRC sections </w:t>
      </w:r>
      <w:r w:rsidR="00E01404" w:rsidRPr="00E01404">
        <w:rPr>
          <w:sz w:val="22"/>
          <w:szCs w:val="22"/>
        </w:rPr>
        <w:t>also require the Secretary to issue regulations concerning the filing of, and the information required on, such returns.</w:t>
      </w:r>
      <w:r w:rsidR="00E01404">
        <w:rPr>
          <w:sz w:val="22"/>
          <w:szCs w:val="22"/>
        </w:rPr>
        <w:t xml:space="preserve">  In addition, </w:t>
      </w:r>
      <w:r w:rsidR="002B5317">
        <w:rPr>
          <w:sz w:val="22"/>
          <w:szCs w:val="22"/>
        </w:rPr>
        <w:t>sections 5061(d)(1)</w:t>
      </w:r>
      <w:r w:rsidR="00EE505C">
        <w:rPr>
          <w:sz w:val="22"/>
          <w:szCs w:val="22"/>
        </w:rPr>
        <w:t xml:space="preserve"> </w:t>
      </w:r>
      <w:r w:rsidR="002B5317">
        <w:rPr>
          <w:sz w:val="22"/>
          <w:szCs w:val="22"/>
        </w:rPr>
        <w:t>and 5703(b)(2)</w:t>
      </w:r>
      <w:r w:rsidR="00E01404">
        <w:rPr>
          <w:sz w:val="22"/>
          <w:szCs w:val="22"/>
        </w:rPr>
        <w:t xml:space="preserve"> require all entities liable for these excise taxes to file returns and pay taxes on </w:t>
      </w:r>
      <w:r w:rsidR="002B5317">
        <w:rPr>
          <w:sz w:val="22"/>
          <w:szCs w:val="22"/>
        </w:rPr>
        <w:t>a semi-monthly basis</w:t>
      </w:r>
      <w:r w:rsidR="00E01404">
        <w:rPr>
          <w:sz w:val="22"/>
          <w:szCs w:val="22"/>
        </w:rPr>
        <w:t xml:space="preserve">, </w:t>
      </w:r>
      <w:r w:rsidR="002B5317" w:rsidRPr="002E00FC">
        <w:rPr>
          <w:sz w:val="22"/>
          <w:szCs w:val="22"/>
        </w:rPr>
        <w:t xml:space="preserve">unless otherwise exempted.  </w:t>
      </w:r>
      <w:r w:rsidR="002B5317">
        <w:rPr>
          <w:sz w:val="22"/>
          <w:szCs w:val="22"/>
        </w:rPr>
        <w:t>U</w:t>
      </w:r>
      <w:r w:rsidR="002B5317" w:rsidRPr="002E00FC">
        <w:rPr>
          <w:sz w:val="22"/>
          <w:szCs w:val="22"/>
        </w:rPr>
        <w:t>nder 26 U.S.C. 5061(d)(4), certain small alcohol excise taxpayers may pay tax and file returns on a quarterly basis</w:t>
      </w:r>
      <w:r w:rsidR="002B5317">
        <w:rPr>
          <w:sz w:val="22"/>
          <w:szCs w:val="22"/>
        </w:rPr>
        <w:t>, or, as a result of a recent statutory amendment, on an annual basis.</w:t>
      </w:r>
      <w:r w:rsidR="002B5317">
        <w:rPr>
          <w:rStyle w:val="FootnoteReference"/>
          <w:sz w:val="22"/>
          <w:szCs w:val="22"/>
        </w:rPr>
        <w:footnoteReference w:id="1"/>
      </w:r>
      <w:r w:rsidR="002B5317">
        <w:rPr>
          <w:sz w:val="22"/>
          <w:szCs w:val="22"/>
        </w:rPr>
        <w:t xml:space="preserve">  </w:t>
      </w:r>
      <w:r w:rsidR="00AC7775">
        <w:rPr>
          <w:sz w:val="22"/>
          <w:szCs w:val="22"/>
        </w:rPr>
        <w:t>Under that amended section, t</w:t>
      </w:r>
      <w:r w:rsidR="002B5317" w:rsidRPr="003B7C65">
        <w:rPr>
          <w:sz w:val="22"/>
          <w:szCs w:val="22"/>
        </w:rPr>
        <w:t xml:space="preserve">o pay </w:t>
      </w:r>
      <w:r w:rsidR="00AC7775">
        <w:rPr>
          <w:sz w:val="22"/>
          <w:szCs w:val="22"/>
        </w:rPr>
        <w:t xml:space="preserve">alcohol excise </w:t>
      </w:r>
      <w:r w:rsidR="002B5317" w:rsidRPr="003B7C65">
        <w:rPr>
          <w:sz w:val="22"/>
          <w:szCs w:val="22"/>
        </w:rPr>
        <w:t>tax</w:t>
      </w:r>
      <w:r w:rsidR="00AC7775">
        <w:rPr>
          <w:sz w:val="22"/>
          <w:szCs w:val="22"/>
        </w:rPr>
        <w:t>es</w:t>
      </w:r>
      <w:r w:rsidR="002B5317" w:rsidRPr="003B7C65">
        <w:rPr>
          <w:sz w:val="22"/>
          <w:szCs w:val="22"/>
        </w:rPr>
        <w:t xml:space="preserve"> and file returns quarterly, a taxpayer must reasonably expect to be liable for not more than $50,000 in </w:t>
      </w:r>
      <w:r w:rsidR="00AC7775">
        <w:rPr>
          <w:sz w:val="22"/>
          <w:szCs w:val="22"/>
        </w:rPr>
        <w:t xml:space="preserve">such </w:t>
      </w:r>
      <w:r w:rsidR="002B5317" w:rsidRPr="003B7C65">
        <w:rPr>
          <w:sz w:val="22"/>
          <w:szCs w:val="22"/>
        </w:rPr>
        <w:t xml:space="preserve">taxes for the calendar year and must be liable for not more than $50,000 in such taxes in the preceding year.  To pay tax and file returns annually, a taxpayer must reasonably expect to be liable </w:t>
      </w:r>
      <w:r w:rsidR="002B5317" w:rsidRPr="003B7C65">
        <w:rPr>
          <w:sz w:val="22"/>
          <w:szCs w:val="22"/>
        </w:rPr>
        <w:lastRenderedPageBreak/>
        <w:t>for not more than $1,000 in such taxes for the calendar year and must be liable for not more than $1,000 in such taxes i</w:t>
      </w:r>
      <w:r w:rsidR="002B5317">
        <w:rPr>
          <w:sz w:val="22"/>
          <w:szCs w:val="22"/>
        </w:rPr>
        <w:t xml:space="preserve">n the preceding year. </w:t>
      </w:r>
    </w:p>
    <w:p w14:paraId="3C62A451" w14:textId="77777777" w:rsidR="002B5317" w:rsidRDefault="002B5317" w:rsidP="00E01404">
      <w:pPr>
        <w:widowControl/>
        <w:ind w:left="360"/>
        <w:rPr>
          <w:sz w:val="22"/>
          <w:szCs w:val="22"/>
        </w:rPr>
      </w:pPr>
    </w:p>
    <w:p w14:paraId="47C21769" w14:textId="4A93C748" w:rsidR="002E00FC" w:rsidRDefault="002E00FC" w:rsidP="00E01404">
      <w:pPr>
        <w:widowControl/>
        <w:ind w:left="360"/>
        <w:rPr>
          <w:sz w:val="22"/>
          <w:szCs w:val="22"/>
        </w:rPr>
      </w:pPr>
      <w:r>
        <w:rPr>
          <w:sz w:val="22"/>
          <w:szCs w:val="22"/>
        </w:rPr>
        <w:t>Under th</w:t>
      </w:r>
      <w:r w:rsidR="00AC7775">
        <w:rPr>
          <w:sz w:val="22"/>
          <w:szCs w:val="22"/>
        </w:rPr>
        <w:t xml:space="preserve">e IRC </w:t>
      </w:r>
      <w:r>
        <w:rPr>
          <w:sz w:val="22"/>
          <w:szCs w:val="22"/>
        </w:rPr>
        <w:t>authorities</w:t>
      </w:r>
      <w:r w:rsidR="00AC7775">
        <w:rPr>
          <w:sz w:val="22"/>
          <w:szCs w:val="22"/>
        </w:rPr>
        <w:t xml:space="preserve"> noted above</w:t>
      </w:r>
      <w:r>
        <w:rPr>
          <w:sz w:val="22"/>
          <w:szCs w:val="22"/>
        </w:rPr>
        <w:t xml:space="preserve">, TTB </w:t>
      </w:r>
      <w:r w:rsidR="005949DD">
        <w:rPr>
          <w:sz w:val="22"/>
          <w:szCs w:val="22"/>
        </w:rPr>
        <w:t xml:space="preserve">has issued regulations requiring </w:t>
      </w:r>
      <w:r w:rsidR="003B7C65">
        <w:rPr>
          <w:sz w:val="22"/>
          <w:szCs w:val="22"/>
        </w:rPr>
        <w:t>all entities</w:t>
      </w:r>
      <w:r w:rsidR="005949DD">
        <w:rPr>
          <w:sz w:val="22"/>
          <w:szCs w:val="22"/>
        </w:rPr>
        <w:t xml:space="preserve">, </w:t>
      </w:r>
      <w:r w:rsidR="00B470D0">
        <w:rPr>
          <w:sz w:val="22"/>
          <w:szCs w:val="22"/>
        </w:rPr>
        <w:t>o</w:t>
      </w:r>
      <w:r w:rsidR="00B470D0" w:rsidRPr="005949DD">
        <w:rPr>
          <w:sz w:val="22"/>
          <w:szCs w:val="22"/>
        </w:rPr>
        <w:t>ther</w:t>
      </w:r>
      <w:r w:rsidR="005949DD" w:rsidRPr="005949DD">
        <w:rPr>
          <w:sz w:val="22"/>
          <w:szCs w:val="22"/>
        </w:rPr>
        <w:t xml:space="preserve"> than those in Puerto Rico, </w:t>
      </w:r>
      <w:r w:rsidR="005949DD">
        <w:rPr>
          <w:sz w:val="22"/>
          <w:szCs w:val="22"/>
        </w:rPr>
        <w:t xml:space="preserve">to </w:t>
      </w:r>
      <w:r w:rsidR="005949DD" w:rsidRPr="005949DD">
        <w:rPr>
          <w:sz w:val="22"/>
          <w:szCs w:val="22"/>
        </w:rPr>
        <w:t xml:space="preserve">report their </w:t>
      </w:r>
      <w:r>
        <w:rPr>
          <w:sz w:val="22"/>
          <w:szCs w:val="22"/>
        </w:rPr>
        <w:t xml:space="preserve">alcohol and tobacco </w:t>
      </w:r>
      <w:r w:rsidR="005949DD" w:rsidRPr="005949DD">
        <w:rPr>
          <w:sz w:val="22"/>
          <w:szCs w:val="22"/>
        </w:rPr>
        <w:t xml:space="preserve">excise tax liability on </w:t>
      </w:r>
      <w:r>
        <w:rPr>
          <w:sz w:val="22"/>
          <w:szCs w:val="22"/>
        </w:rPr>
        <w:t xml:space="preserve">form </w:t>
      </w:r>
      <w:r w:rsidR="005949DD" w:rsidRPr="005949DD">
        <w:rPr>
          <w:sz w:val="22"/>
          <w:szCs w:val="22"/>
        </w:rPr>
        <w:t>TTB F</w:t>
      </w:r>
      <w:r w:rsidR="005949DD">
        <w:rPr>
          <w:sz w:val="22"/>
          <w:szCs w:val="22"/>
        </w:rPr>
        <w:t> </w:t>
      </w:r>
      <w:r w:rsidR="005949DD" w:rsidRPr="005949DD">
        <w:rPr>
          <w:sz w:val="22"/>
          <w:szCs w:val="22"/>
        </w:rPr>
        <w:t>5000.24, Excise Tax Return.  TTB uses the information provided on the return form to establish the taxpayer's identity, the amount and type of taxes due, and the amount of payments made.  This information is necessary for the collection of the revenue</w:t>
      </w:r>
      <w:r w:rsidR="005949DD">
        <w:rPr>
          <w:sz w:val="22"/>
          <w:szCs w:val="22"/>
        </w:rPr>
        <w:t>.</w:t>
      </w:r>
      <w:r w:rsidR="00A0703F">
        <w:rPr>
          <w:sz w:val="22"/>
          <w:szCs w:val="22"/>
        </w:rPr>
        <w:t xml:space="preserve"> </w:t>
      </w:r>
    </w:p>
    <w:p w14:paraId="3297D295" w14:textId="77777777" w:rsidR="002B5317" w:rsidRDefault="002B5317" w:rsidP="00E01404">
      <w:pPr>
        <w:widowControl/>
        <w:ind w:left="360"/>
        <w:rPr>
          <w:sz w:val="22"/>
          <w:szCs w:val="22"/>
        </w:rPr>
      </w:pPr>
    </w:p>
    <w:p w14:paraId="78119D0B" w14:textId="77777777" w:rsidR="002B5317" w:rsidRPr="00365E63" w:rsidRDefault="002B5317" w:rsidP="00E01404">
      <w:pPr>
        <w:widowControl/>
        <w:ind w:left="360"/>
        <w:rPr>
          <w:sz w:val="22"/>
          <w:szCs w:val="22"/>
        </w:rPr>
      </w:pPr>
      <w:r w:rsidRPr="00365E63">
        <w:rPr>
          <w:sz w:val="22"/>
          <w:szCs w:val="22"/>
        </w:rPr>
        <w:t xml:space="preserve">The following </w:t>
      </w:r>
      <w:r>
        <w:rPr>
          <w:sz w:val="22"/>
          <w:szCs w:val="22"/>
        </w:rPr>
        <w:t xml:space="preserve">TTB regulatory </w:t>
      </w:r>
      <w:r w:rsidRPr="00365E63">
        <w:rPr>
          <w:sz w:val="22"/>
          <w:szCs w:val="22"/>
        </w:rPr>
        <w:t>sections pre</w:t>
      </w:r>
      <w:r>
        <w:rPr>
          <w:sz w:val="22"/>
          <w:szCs w:val="22"/>
        </w:rPr>
        <w:t>scribe the use of TTB F 5000.24 by alcohol and tobacco excise tax payers</w:t>
      </w:r>
      <w:r w:rsidRPr="00365E63">
        <w:rPr>
          <w:sz w:val="22"/>
          <w:szCs w:val="22"/>
        </w:rPr>
        <w:t>:</w:t>
      </w:r>
      <w:r>
        <w:rPr>
          <w:sz w:val="22"/>
          <w:szCs w:val="22"/>
        </w:rPr>
        <w:t xml:space="preserve"> </w:t>
      </w:r>
    </w:p>
    <w:p w14:paraId="56C2A90E" w14:textId="77777777" w:rsidR="002B5317" w:rsidRPr="00365E63" w:rsidRDefault="002B5317" w:rsidP="00E01404">
      <w:pPr>
        <w:widowControl/>
        <w:autoSpaceDE/>
        <w:autoSpaceDN/>
        <w:adjustRightInd/>
        <w:ind w:left="360"/>
        <w:rPr>
          <w:sz w:val="22"/>
          <w:szCs w:val="22"/>
        </w:rPr>
      </w:pPr>
    </w:p>
    <w:p w14:paraId="04DC53E2" w14:textId="77777777" w:rsidR="002B5317" w:rsidRDefault="002B5317" w:rsidP="00E01404">
      <w:pPr>
        <w:widowControl/>
        <w:autoSpaceDE/>
        <w:autoSpaceDN/>
        <w:adjustRightInd/>
        <w:spacing w:line="300" w:lineRule="auto"/>
        <w:ind w:left="720" w:right="360"/>
        <w:rPr>
          <w:sz w:val="22"/>
          <w:szCs w:val="22"/>
        </w:rPr>
      </w:pPr>
      <w:r w:rsidRPr="00705135">
        <w:rPr>
          <w:sz w:val="22"/>
          <w:szCs w:val="22"/>
          <w:u w:val="single"/>
        </w:rPr>
        <w:t>For distilled spirits excise taxes:</w:t>
      </w:r>
      <w:r>
        <w:rPr>
          <w:sz w:val="22"/>
          <w:szCs w:val="22"/>
        </w:rPr>
        <w:t xml:space="preserve">  27 CFR </w:t>
      </w:r>
      <w:r w:rsidRPr="00365E63">
        <w:rPr>
          <w:sz w:val="22"/>
          <w:szCs w:val="22"/>
        </w:rPr>
        <w:t>19.230, 19.233</w:t>
      </w:r>
      <w:r>
        <w:rPr>
          <w:sz w:val="22"/>
          <w:szCs w:val="22"/>
        </w:rPr>
        <w:t xml:space="preserve"> </w:t>
      </w:r>
      <w:r w:rsidRPr="00365E63">
        <w:rPr>
          <w:sz w:val="22"/>
          <w:szCs w:val="22"/>
        </w:rPr>
        <w:t xml:space="preserve">through 19.240, 19.242, </w:t>
      </w:r>
    </w:p>
    <w:p w14:paraId="138AB7C2" w14:textId="77777777" w:rsidR="002B5317" w:rsidRDefault="002B5317" w:rsidP="00E01404">
      <w:pPr>
        <w:widowControl/>
        <w:autoSpaceDE/>
        <w:autoSpaceDN/>
        <w:adjustRightInd/>
        <w:spacing w:line="288" w:lineRule="auto"/>
        <w:ind w:left="720" w:right="360"/>
        <w:rPr>
          <w:sz w:val="22"/>
          <w:szCs w:val="22"/>
        </w:rPr>
      </w:pPr>
      <w:r w:rsidRPr="00365E63">
        <w:rPr>
          <w:sz w:val="22"/>
          <w:szCs w:val="22"/>
        </w:rPr>
        <w:t xml:space="preserve">19.436, </w:t>
      </w:r>
      <w:r>
        <w:rPr>
          <w:sz w:val="22"/>
          <w:szCs w:val="22"/>
        </w:rPr>
        <w:t xml:space="preserve">and </w:t>
      </w:r>
      <w:r w:rsidRPr="00365E63">
        <w:rPr>
          <w:sz w:val="22"/>
          <w:szCs w:val="22"/>
        </w:rPr>
        <w:t>19.465</w:t>
      </w:r>
      <w:r>
        <w:rPr>
          <w:sz w:val="22"/>
          <w:szCs w:val="22"/>
        </w:rPr>
        <w:t xml:space="preserve">. </w:t>
      </w:r>
    </w:p>
    <w:p w14:paraId="4BB838DC" w14:textId="77777777" w:rsidR="002B5317" w:rsidRDefault="002B5317" w:rsidP="00E01404">
      <w:pPr>
        <w:widowControl/>
        <w:autoSpaceDE/>
        <w:autoSpaceDN/>
        <w:adjustRightInd/>
        <w:ind w:left="720" w:right="360"/>
        <w:rPr>
          <w:sz w:val="22"/>
          <w:szCs w:val="22"/>
          <w:u w:val="single"/>
        </w:rPr>
      </w:pPr>
    </w:p>
    <w:p w14:paraId="756A3047" w14:textId="77777777" w:rsidR="002B5317" w:rsidRDefault="002B5317" w:rsidP="00E01404">
      <w:pPr>
        <w:widowControl/>
        <w:autoSpaceDE/>
        <w:autoSpaceDN/>
        <w:adjustRightInd/>
        <w:ind w:left="720" w:right="360"/>
        <w:rPr>
          <w:sz w:val="22"/>
          <w:szCs w:val="22"/>
        </w:rPr>
      </w:pPr>
      <w:r w:rsidRPr="00705135">
        <w:rPr>
          <w:sz w:val="22"/>
          <w:szCs w:val="22"/>
          <w:u w:val="single"/>
        </w:rPr>
        <w:t>For wine excise taxes:</w:t>
      </w:r>
      <w:r>
        <w:rPr>
          <w:sz w:val="22"/>
          <w:szCs w:val="22"/>
        </w:rPr>
        <w:t xml:space="preserve">  27 CFR </w:t>
      </w:r>
      <w:r w:rsidRPr="00365E63">
        <w:rPr>
          <w:sz w:val="22"/>
          <w:szCs w:val="22"/>
        </w:rPr>
        <w:t xml:space="preserve">24.271, 24.275, 24.277, 24.278, 24.279, </w:t>
      </w:r>
      <w:r>
        <w:rPr>
          <w:sz w:val="22"/>
          <w:szCs w:val="22"/>
        </w:rPr>
        <w:t xml:space="preserve">and 24.323. </w:t>
      </w:r>
    </w:p>
    <w:p w14:paraId="05CB0444" w14:textId="77777777" w:rsidR="002B5317" w:rsidRDefault="002B5317" w:rsidP="00E01404">
      <w:pPr>
        <w:widowControl/>
        <w:autoSpaceDE/>
        <w:autoSpaceDN/>
        <w:adjustRightInd/>
        <w:ind w:left="720" w:right="360"/>
        <w:rPr>
          <w:sz w:val="22"/>
          <w:szCs w:val="22"/>
        </w:rPr>
      </w:pPr>
    </w:p>
    <w:p w14:paraId="586F4A8A" w14:textId="77777777" w:rsidR="002B5317" w:rsidRDefault="002B5317" w:rsidP="00E01404">
      <w:pPr>
        <w:widowControl/>
        <w:autoSpaceDE/>
        <w:autoSpaceDN/>
        <w:adjustRightInd/>
        <w:spacing w:line="300" w:lineRule="auto"/>
        <w:ind w:left="720" w:right="360"/>
        <w:rPr>
          <w:sz w:val="22"/>
          <w:szCs w:val="22"/>
        </w:rPr>
      </w:pPr>
      <w:r w:rsidRPr="00705135">
        <w:rPr>
          <w:sz w:val="22"/>
          <w:szCs w:val="22"/>
          <w:u w:val="single"/>
        </w:rPr>
        <w:t>For beer excise taxes:</w:t>
      </w:r>
      <w:r>
        <w:rPr>
          <w:sz w:val="22"/>
          <w:szCs w:val="22"/>
        </w:rPr>
        <w:t xml:space="preserve">  27 CFR </w:t>
      </w:r>
      <w:r w:rsidRPr="00365E63">
        <w:rPr>
          <w:sz w:val="22"/>
          <w:szCs w:val="22"/>
        </w:rPr>
        <w:t xml:space="preserve">25.160, 25.163, 25.164, </w:t>
      </w:r>
      <w:r>
        <w:rPr>
          <w:sz w:val="22"/>
          <w:szCs w:val="22"/>
        </w:rPr>
        <w:t xml:space="preserve">25.164a, 25.165, 25.166, </w:t>
      </w:r>
    </w:p>
    <w:p w14:paraId="408B85EC" w14:textId="77777777" w:rsidR="002B5317" w:rsidRDefault="002B5317" w:rsidP="00E01404">
      <w:pPr>
        <w:widowControl/>
        <w:autoSpaceDE/>
        <w:autoSpaceDN/>
        <w:adjustRightInd/>
        <w:ind w:left="720" w:right="360"/>
        <w:rPr>
          <w:sz w:val="22"/>
          <w:szCs w:val="22"/>
        </w:rPr>
      </w:pPr>
      <w:r>
        <w:rPr>
          <w:sz w:val="22"/>
          <w:szCs w:val="22"/>
        </w:rPr>
        <w:t xml:space="preserve">25.168, </w:t>
      </w:r>
      <w:r w:rsidRPr="00365E63">
        <w:rPr>
          <w:sz w:val="22"/>
          <w:szCs w:val="22"/>
        </w:rPr>
        <w:t xml:space="preserve">25.175, 25.224, 25.284, </w:t>
      </w:r>
      <w:r>
        <w:rPr>
          <w:sz w:val="22"/>
          <w:szCs w:val="22"/>
        </w:rPr>
        <w:t xml:space="preserve">and 25.298. </w:t>
      </w:r>
    </w:p>
    <w:p w14:paraId="439D76E4" w14:textId="77777777" w:rsidR="002B5317" w:rsidRDefault="002B5317" w:rsidP="00E01404">
      <w:pPr>
        <w:widowControl/>
        <w:autoSpaceDE/>
        <w:autoSpaceDN/>
        <w:adjustRightInd/>
        <w:ind w:left="720" w:right="360"/>
        <w:rPr>
          <w:sz w:val="22"/>
          <w:szCs w:val="22"/>
        </w:rPr>
      </w:pPr>
    </w:p>
    <w:p w14:paraId="0AE6DF99" w14:textId="77777777" w:rsidR="002B5317" w:rsidRDefault="002B5317" w:rsidP="00E01404">
      <w:pPr>
        <w:widowControl/>
        <w:autoSpaceDE/>
        <w:autoSpaceDN/>
        <w:adjustRightInd/>
        <w:spacing w:line="300" w:lineRule="auto"/>
        <w:ind w:left="720" w:right="360"/>
        <w:rPr>
          <w:sz w:val="22"/>
          <w:szCs w:val="22"/>
        </w:rPr>
      </w:pPr>
      <w:r w:rsidRPr="00705135">
        <w:rPr>
          <w:sz w:val="22"/>
          <w:szCs w:val="22"/>
          <w:u w:val="single"/>
        </w:rPr>
        <w:t>For tobacco excise taxes:</w:t>
      </w:r>
      <w:r>
        <w:rPr>
          <w:sz w:val="22"/>
          <w:szCs w:val="22"/>
        </w:rPr>
        <w:t xml:space="preserve">  27 CFR </w:t>
      </w:r>
      <w:r w:rsidRPr="00365E63">
        <w:rPr>
          <w:sz w:val="22"/>
          <w:szCs w:val="22"/>
        </w:rPr>
        <w:t xml:space="preserve">40.162, 40.164, 40.165, 40.165a, 40.167, 40.169, </w:t>
      </w:r>
    </w:p>
    <w:p w14:paraId="561CB118" w14:textId="77777777" w:rsidR="002B5317" w:rsidRPr="00365E63" w:rsidRDefault="002B5317" w:rsidP="00E01404">
      <w:pPr>
        <w:widowControl/>
        <w:autoSpaceDE/>
        <w:autoSpaceDN/>
        <w:adjustRightInd/>
        <w:ind w:left="720" w:right="360"/>
        <w:rPr>
          <w:sz w:val="22"/>
          <w:szCs w:val="22"/>
        </w:rPr>
      </w:pPr>
      <w:r w:rsidRPr="00365E63">
        <w:rPr>
          <w:sz w:val="22"/>
          <w:szCs w:val="22"/>
        </w:rPr>
        <w:t xml:space="preserve">40.355, </w:t>
      </w:r>
      <w:r>
        <w:rPr>
          <w:sz w:val="22"/>
          <w:szCs w:val="22"/>
        </w:rPr>
        <w:t xml:space="preserve">40.356, </w:t>
      </w:r>
      <w:r w:rsidRPr="00365E63">
        <w:rPr>
          <w:sz w:val="22"/>
          <w:szCs w:val="22"/>
        </w:rPr>
        <w:t>40.357, 40.359, 41.140, 44.67, and 45.36.</w:t>
      </w:r>
      <w:r>
        <w:rPr>
          <w:sz w:val="22"/>
          <w:szCs w:val="22"/>
        </w:rPr>
        <w:t xml:space="preserve"> </w:t>
      </w:r>
    </w:p>
    <w:p w14:paraId="0AEBF6AD" w14:textId="77777777" w:rsidR="005949DD" w:rsidRDefault="005949DD" w:rsidP="00E01404">
      <w:pPr>
        <w:widowControl/>
        <w:autoSpaceDE/>
        <w:autoSpaceDN/>
        <w:adjustRightInd/>
        <w:ind w:left="360"/>
        <w:rPr>
          <w:sz w:val="22"/>
          <w:szCs w:val="22"/>
        </w:rPr>
      </w:pPr>
    </w:p>
    <w:p w14:paraId="485ADC0A" w14:textId="77777777" w:rsidR="007434C4" w:rsidRPr="00ED4A03" w:rsidRDefault="007434C4" w:rsidP="00E01404">
      <w:pPr>
        <w:widowControl/>
        <w:suppressAutoHyphens/>
        <w:ind w:left="360"/>
        <w:rPr>
          <w:sz w:val="22"/>
          <w:szCs w:val="22"/>
        </w:rPr>
      </w:pPr>
      <w:r w:rsidRPr="00ED4A03">
        <w:rPr>
          <w:sz w:val="22"/>
          <w:szCs w:val="22"/>
        </w:rPr>
        <w:t>Th</w:t>
      </w:r>
      <w:r>
        <w:rPr>
          <w:sz w:val="22"/>
          <w:szCs w:val="22"/>
        </w:rPr>
        <w:t>is</w:t>
      </w:r>
      <w:r w:rsidRPr="00ED4A03">
        <w:rPr>
          <w:sz w:val="22"/>
          <w:szCs w:val="22"/>
        </w:rPr>
        <w:t xml:space="preserve"> information collection is aligned with –– </w:t>
      </w:r>
    </w:p>
    <w:p w14:paraId="60B84B2A" w14:textId="77777777" w:rsidR="007434C4" w:rsidRPr="00ED4A03" w:rsidRDefault="007434C4" w:rsidP="00E01404">
      <w:pPr>
        <w:widowControl/>
        <w:numPr>
          <w:ilvl w:val="0"/>
          <w:numId w:val="3"/>
        </w:numPr>
        <w:suppressAutoHyphens/>
        <w:autoSpaceDE/>
        <w:autoSpaceDN/>
        <w:adjustRightInd/>
        <w:spacing w:before="80"/>
        <w:ind w:left="1080"/>
        <w:rPr>
          <w:sz w:val="22"/>
          <w:szCs w:val="22"/>
        </w:rPr>
      </w:pPr>
      <w:r w:rsidRPr="00325AB0">
        <w:rPr>
          <w:sz w:val="22"/>
          <w:szCs w:val="22"/>
          <w:u w:val="single"/>
        </w:rPr>
        <w:t>Line of Business/Sub-function:</w:t>
      </w:r>
      <w:r w:rsidRPr="00ED4A03">
        <w:rPr>
          <w:sz w:val="22"/>
          <w:szCs w:val="22"/>
        </w:rPr>
        <w:t xml:space="preserve">  </w:t>
      </w:r>
      <w:r w:rsidR="00545D85" w:rsidRPr="000211EC">
        <w:rPr>
          <w:sz w:val="22"/>
          <w:szCs w:val="22"/>
        </w:rPr>
        <w:t>General Government/Taxation Management</w:t>
      </w:r>
      <w:r w:rsidR="00F7115D">
        <w:rPr>
          <w:sz w:val="22"/>
          <w:szCs w:val="22"/>
        </w:rPr>
        <w:t>.</w:t>
      </w:r>
      <w:r>
        <w:rPr>
          <w:sz w:val="22"/>
          <w:szCs w:val="22"/>
        </w:rPr>
        <w:t xml:space="preserve"> </w:t>
      </w:r>
    </w:p>
    <w:p w14:paraId="19287ACE" w14:textId="7170C71F" w:rsidR="007434C4" w:rsidRPr="00ED4A03" w:rsidRDefault="007434C4" w:rsidP="00E01404">
      <w:pPr>
        <w:widowControl/>
        <w:numPr>
          <w:ilvl w:val="0"/>
          <w:numId w:val="3"/>
        </w:numPr>
        <w:suppressAutoHyphens/>
        <w:autoSpaceDE/>
        <w:autoSpaceDN/>
        <w:adjustRightInd/>
        <w:spacing w:before="80"/>
        <w:ind w:left="1080"/>
        <w:rPr>
          <w:sz w:val="22"/>
          <w:szCs w:val="22"/>
        </w:rPr>
      </w:pPr>
      <w:r w:rsidRPr="00325AB0">
        <w:rPr>
          <w:sz w:val="22"/>
          <w:szCs w:val="22"/>
          <w:u w:val="single"/>
        </w:rPr>
        <w:t>IT Investment:</w:t>
      </w:r>
      <w:r w:rsidRPr="00ED4A03">
        <w:rPr>
          <w:sz w:val="22"/>
          <w:szCs w:val="22"/>
        </w:rPr>
        <w:t xml:space="preserve">  </w:t>
      </w:r>
      <w:r w:rsidR="00F0454E">
        <w:rPr>
          <w:sz w:val="22"/>
          <w:szCs w:val="22"/>
        </w:rPr>
        <w:t>Tax Major Application s</w:t>
      </w:r>
      <w:r w:rsidR="00F7115D">
        <w:rPr>
          <w:sz w:val="22"/>
          <w:szCs w:val="22"/>
        </w:rPr>
        <w:t>ystems.</w:t>
      </w:r>
      <w:r>
        <w:rPr>
          <w:sz w:val="22"/>
          <w:szCs w:val="22"/>
        </w:rPr>
        <w:t xml:space="preserve"> </w:t>
      </w:r>
    </w:p>
    <w:p w14:paraId="40FBDD92" w14:textId="77777777" w:rsidR="007434C4" w:rsidRPr="007B6ADE" w:rsidRDefault="007434C4" w:rsidP="00E01404">
      <w:pPr>
        <w:widowControl/>
        <w:tabs>
          <w:tab w:val="left" w:pos="540"/>
        </w:tabs>
        <w:ind w:left="540" w:hanging="540"/>
        <w:rPr>
          <w:sz w:val="36"/>
          <w:szCs w:val="36"/>
        </w:rPr>
      </w:pPr>
    </w:p>
    <w:p w14:paraId="196FEE60" w14:textId="77777777" w:rsidR="00533D2D" w:rsidRPr="00B743A7" w:rsidRDefault="00B743A7" w:rsidP="00E01404">
      <w:pPr>
        <w:widowControl/>
        <w:tabs>
          <w:tab w:val="left" w:pos="540"/>
        </w:tabs>
        <w:ind w:left="540" w:hanging="540"/>
        <w:rPr>
          <w:i/>
          <w:sz w:val="22"/>
          <w:szCs w:val="22"/>
        </w:rPr>
      </w:pPr>
      <w:r w:rsidRPr="00A73002">
        <w:rPr>
          <w:i/>
          <w:sz w:val="22"/>
          <w:szCs w:val="22"/>
        </w:rPr>
        <w:t>2.  H</w:t>
      </w:r>
      <w:r w:rsidR="00533D2D" w:rsidRPr="00A73002">
        <w:rPr>
          <w:i/>
          <w:sz w:val="22"/>
          <w:szCs w:val="22"/>
        </w:rPr>
        <w:t>ow, by whom, and for what purpose is this information used?</w:t>
      </w:r>
      <w:r w:rsidR="00F7115D">
        <w:rPr>
          <w:i/>
          <w:sz w:val="22"/>
          <w:szCs w:val="22"/>
        </w:rPr>
        <w:t xml:space="preserve"> </w:t>
      </w:r>
    </w:p>
    <w:p w14:paraId="7618A586" w14:textId="77777777" w:rsidR="00533D2D" w:rsidRDefault="00533D2D" w:rsidP="00E01404">
      <w:pPr>
        <w:widowControl/>
        <w:ind w:left="360"/>
        <w:rPr>
          <w:sz w:val="22"/>
          <w:szCs w:val="22"/>
        </w:rPr>
      </w:pPr>
    </w:p>
    <w:p w14:paraId="4B4272DB" w14:textId="77777777" w:rsidR="005949DD" w:rsidRDefault="005949DD" w:rsidP="00E01404">
      <w:pPr>
        <w:widowControl/>
        <w:ind w:left="360"/>
        <w:rPr>
          <w:sz w:val="22"/>
          <w:szCs w:val="22"/>
        </w:rPr>
      </w:pPr>
      <w:r w:rsidRPr="005949DD">
        <w:rPr>
          <w:sz w:val="22"/>
          <w:szCs w:val="22"/>
        </w:rPr>
        <w:t xml:space="preserve">Under the IRC at 26 U.S.C. 5061(a) and 5703(b), the Federal alcohol and tobacco excise tax is collected on the basis of a return.  Businesses, other than those in Puerto Rico, report their Federal excise tax liability on those products on TTB F 5000.24, Excise Tax Return.  </w:t>
      </w:r>
    </w:p>
    <w:p w14:paraId="74064BC3" w14:textId="77777777" w:rsidR="005949DD" w:rsidRDefault="005949DD" w:rsidP="00E01404">
      <w:pPr>
        <w:widowControl/>
        <w:ind w:left="360"/>
        <w:rPr>
          <w:sz w:val="22"/>
          <w:szCs w:val="22"/>
        </w:rPr>
      </w:pPr>
    </w:p>
    <w:p w14:paraId="433D02C4" w14:textId="3A2C0825" w:rsidR="0028189F" w:rsidRDefault="005949DD" w:rsidP="00E01404">
      <w:pPr>
        <w:widowControl/>
        <w:ind w:left="360"/>
        <w:rPr>
          <w:sz w:val="22"/>
          <w:szCs w:val="22"/>
        </w:rPr>
      </w:pPr>
      <w:r w:rsidRPr="005949DD">
        <w:rPr>
          <w:sz w:val="22"/>
          <w:szCs w:val="22"/>
        </w:rPr>
        <w:t>TTB uses the information provided on the return form to establish the taxpayer's identity, the amount and type of taxes due, and the amount of payments made.  This information is necessary for the collection of the revenue.</w:t>
      </w:r>
      <w:r w:rsidR="00B470D0">
        <w:rPr>
          <w:sz w:val="22"/>
          <w:szCs w:val="22"/>
        </w:rPr>
        <w:t xml:space="preserve">  T</w:t>
      </w:r>
      <w:r w:rsidR="00C378F5" w:rsidRPr="00C378F5">
        <w:rPr>
          <w:sz w:val="22"/>
          <w:szCs w:val="22"/>
        </w:rPr>
        <w:t>TB uses th</w:t>
      </w:r>
      <w:r w:rsidR="00B470D0">
        <w:rPr>
          <w:sz w:val="22"/>
          <w:szCs w:val="22"/>
        </w:rPr>
        <w:t xml:space="preserve">e provided </w:t>
      </w:r>
      <w:r w:rsidR="00C378F5" w:rsidRPr="00C378F5">
        <w:rPr>
          <w:sz w:val="22"/>
          <w:szCs w:val="22"/>
        </w:rPr>
        <w:t xml:space="preserve">information to determine whether the taxpayer has paid the correct amount of tax and to verify </w:t>
      </w:r>
      <w:r w:rsidR="00C378F5">
        <w:rPr>
          <w:sz w:val="22"/>
          <w:szCs w:val="22"/>
        </w:rPr>
        <w:t>any n</w:t>
      </w:r>
      <w:r w:rsidR="00C378F5" w:rsidRPr="00C378F5">
        <w:rPr>
          <w:sz w:val="22"/>
          <w:szCs w:val="22"/>
        </w:rPr>
        <w:t xml:space="preserve">eed to take additional action, such as issuance of a refund or the collection of additional tax.  TTB examines each return at least once, and </w:t>
      </w:r>
      <w:r w:rsidR="00325AB0">
        <w:rPr>
          <w:sz w:val="22"/>
          <w:szCs w:val="22"/>
        </w:rPr>
        <w:t xml:space="preserve">TTB often performs </w:t>
      </w:r>
      <w:r w:rsidR="00C378F5" w:rsidRPr="00C378F5">
        <w:rPr>
          <w:sz w:val="22"/>
          <w:szCs w:val="22"/>
        </w:rPr>
        <w:t>additional examination</w:t>
      </w:r>
      <w:r w:rsidR="00325AB0">
        <w:rPr>
          <w:sz w:val="22"/>
          <w:szCs w:val="22"/>
        </w:rPr>
        <w:t>s</w:t>
      </w:r>
      <w:r w:rsidR="00C378F5" w:rsidRPr="00C378F5">
        <w:rPr>
          <w:sz w:val="22"/>
          <w:szCs w:val="22"/>
        </w:rPr>
        <w:t xml:space="preserve"> during audits of taxpayer</w:t>
      </w:r>
      <w:r w:rsidR="00325AB0">
        <w:rPr>
          <w:sz w:val="22"/>
          <w:szCs w:val="22"/>
        </w:rPr>
        <w:t>s</w:t>
      </w:r>
      <w:r w:rsidR="00C378F5" w:rsidRPr="00C378F5">
        <w:rPr>
          <w:sz w:val="22"/>
          <w:szCs w:val="22"/>
        </w:rPr>
        <w:t>.</w:t>
      </w:r>
      <w:r w:rsidR="00C378F5">
        <w:rPr>
          <w:sz w:val="22"/>
          <w:szCs w:val="22"/>
        </w:rPr>
        <w:t xml:space="preserve"> </w:t>
      </w:r>
    </w:p>
    <w:p w14:paraId="22BE99F1" w14:textId="77777777" w:rsidR="00545D85" w:rsidRPr="007B6ADE" w:rsidRDefault="00545D85" w:rsidP="00E01404">
      <w:pPr>
        <w:widowControl/>
        <w:rPr>
          <w:sz w:val="36"/>
          <w:szCs w:val="36"/>
        </w:rPr>
      </w:pPr>
    </w:p>
    <w:p w14:paraId="05246D4C" w14:textId="77777777" w:rsidR="008820FE" w:rsidRPr="007A5D4B" w:rsidRDefault="008820FE" w:rsidP="00E01404">
      <w:pPr>
        <w:widowControl/>
        <w:suppressAutoHyphens/>
        <w:rPr>
          <w:i/>
          <w:sz w:val="22"/>
          <w:szCs w:val="22"/>
        </w:rPr>
      </w:pPr>
      <w:r w:rsidRPr="007A5D4B">
        <w:rPr>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14:paraId="6181BFAB" w14:textId="77777777" w:rsidR="008820FE" w:rsidRPr="007A5D4B" w:rsidRDefault="008820FE" w:rsidP="00E01404">
      <w:pPr>
        <w:widowControl/>
        <w:suppressAutoHyphens/>
        <w:rPr>
          <w:sz w:val="22"/>
          <w:szCs w:val="22"/>
        </w:rPr>
      </w:pPr>
    </w:p>
    <w:p w14:paraId="49A2F2C4" w14:textId="2250E03D" w:rsidR="00A52A63" w:rsidRDefault="007B6ADE" w:rsidP="00E01404">
      <w:pPr>
        <w:widowControl/>
        <w:ind w:left="360"/>
        <w:rPr>
          <w:sz w:val="22"/>
          <w:szCs w:val="22"/>
        </w:rPr>
      </w:pPr>
      <w:r>
        <w:rPr>
          <w:sz w:val="22"/>
          <w:szCs w:val="22"/>
        </w:rPr>
        <w:t xml:space="preserve">TTB has </w:t>
      </w:r>
      <w:r w:rsidR="00533D2D" w:rsidRPr="00B743A7">
        <w:rPr>
          <w:sz w:val="22"/>
          <w:szCs w:val="22"/>
        </w:rPr>
        <w:t xml:space="preserve">approved and will continue to approve, on a case-by-case basis, the use of improved information technology for the collection and maintenance of required </w:t>
      </w:r>
      <w:r w:rsidR="00A73002">
        <w:rPr>
          <w:sz w:val="22"/>
          <w:szCs w:val="22"/>
        </w:rPr>
        <w:t xml:space="preserve">forms, </w:t>
      </w:r>
      <w:r w:rsidR="00533D2D" w:rsidRPr="00B743A7">
        <w:rPr>
          <w:sz w:val="22"/>
          <w:szCs w:val="22"/>
        </w:rPr>
        <w:t>records</w:t>
      </w:r>
      <w:r w:rsidR="00A73002">
        <w:rPr>
          <w:sz w:val="22"/>
          <w:szCs w:val="22"/>
        </w:rPr>
        <w:t>, and reports</w:t>
      </w:r>
      <w:r w:rsidR="00533D2D" w:rsidRPr="00B743A7">
        <w:rPr>
          <w:sz w:val="22"/>
          <w:szCs w:val="22"/>
        </w:rPr>
        <w:t xml:space="preserve">. </w:t>
      </w:r>
      <w:r w:rsidR="00A52A63">
        <w:rPr>
          <w:sz w:val="22"/>
          <w:szCs w:val="22"/>
        </w:rPr>
        <w:t xml:space="preserve"> </w:t>
      </w:r>
      <w:r w:rsidR="00CB2A70">
        <w:rPr>
          <w:sz w:val="22"/>
          <w:szCs w:val="22"/>
        </w:rPr>
        <w:t xml:space="preserve">Currently, </w:t>
      </w:r>
      <w:r w:rsidR="007E2915">
        <w:rPr>
          <w:sz w:val="22"/>
          <w:szCs w:val="22"/>
        </w:rPr>
        <w:t xml:space="preserve">respondents may electronically </w:t>
      </w:r>
      <w:r w:rsidR="00915B29">
        <w:rPr>
          <w:sz w:val="22"/>
          <w:szCs w:val="22"/>
        </w:rPr>
        <w:t>c</w:t>
      </w:r>
      <w:r w:rsidR="007E2915">
        <w:rPr>
          <w:sz w:val="22"/>
          <w:szCs w:val="22"/>
        </w:rPr>
        <w:t xml:space="preserve">omplete and submit </w:t>
      </w:r>
      <w:r w:rsidR="00AC7775">
        <w:rPr>
          <w:sz w:val="22"/>
          <w:szCs w:val="22"/>
        </w:rPr>
        <w:t xml:space="preserve">form </w:t>
      </w:r>
      <w:r w:rsidR="00A73002">
        <w:rPr>
          <w:sz w:val="22"/>
          <w:szCs w:val="22"/>
        </w:rPr>
        <w:lastRenderedPageBreak/>
        <w:t>TTB F 5000.24</w:t>
      </w:r>
      <w:r w:rsidR="007E2915">
        <w:rPr>
          <w:sz w:val="22"/>
          <w:szCs w:val="22"/>
        </w:rPr>
        <w:t xml:space="preserve">, </w:t>
      </w:r>
      <w:r w:rsidR="00915B29">
        <w:rPr>
          <w:sz w:val="22"/>
          <w:szCs w:val="22"/>
        </w:rPr>
        <w:t xml:space="preserve">Excise Tax Return, </w:t>
      </w:r>
      <w:r w:rsidR="007E2915">
        <w:rPr>
          <w:sz w:val="22"/>
          <w:szCs w:val="22"/>
        </w:rPr>
        <w:t>to TTB</w:t>
      </w:r>
      <w:r w:rsidR="00915B29">
        <w:rPr>
          <w:sz w:val="22"/>
          <w:szCs w:val="22"/>
        </w:rPr>
        <w:t>, and pay any excise tax due,</w:t>
      </w:r>
      <w:r w:rsidR="007E2915">
        <w:rPr>
          <w:sz w:val="22"/>
          <w:szCs w:val="22"/>
        </w:rPr>
        <w:t xml:space="preserve"> using the </w:t>
      </w:r>
      <w:r w:rsidR="007E2915" w:rsidRPr="00915B29">
        <w:rPr>
          <w:sz w:val="22"/>
          <w:szCs w:val="22"/>
        </w:rPr>
        <w:t>Pay</w:t>
      </w:r>
      <w:r w:rsidR="00A73002" w:rsidRPr="00915B29">
        <w:rPr>
          <w:sz w:val="22"/>
          <w:szCs w:val="22"/>
        </w:rPr>
        <w:t>.gov</w:t>
      </w:r>
      <w:r w:rsidR="00D81BDA">
        <w:rPr>
          <w:sz w:val="22"/>
          <w:szCs w:val="22"/>
        </w:rPr>
        <w:t xml:space="preserve"> </w:t>
      </w:r>
      <w:r w:rsidR="007E2915">
        <w:rPr>
          <w:sz w:val="22"/>
          <w:szCs w:val="22"/>
        </w:rPr>
        <w:t>system</w:t>
      </w:r>
      <w:r w:rsidR="00915B29">
        <w:rPr>
          <w:sz w:val="22"/>
          <w:szCs w:val="22"/>
        </w:rPr>
        <w:t xml:space="preserve"> (see </w:t>
      </w:r>
      <w:hyperlink r:id="rId9" w:history="1">
        <w:r w:rsidR="00915B29" w:rsidRPr="00AD145A">
          <w:rPr>
            <w:rStyle w:val="Hyperlink"/>
            <w:sz w:val="22"/>
            <w:szCs w:val="22"/>
          </w:rPr>
          <w:t>https://pay.gov</w:t>
        </w:r>
      </w:hyperlink>
      <w:r w:rsidR="00915B29">
        <w:rPr>
          <w:sz w:val="22"/>
          <w:szCs w:val="22"/>
        </w:rPr>
        <w:t xml:space="preserve"> and </w:t>
      </w:r>
      <w:hyperlink r:id="rId10" w:history="1">
        <w:r w:rsidR="00D81BDA" w:rsidRPr="004565D4">
          <w:rPr>
            <w:rStyle w:val="Hyperlink"/>
            <w:sz w:val="22"/>
            <w:szCs w:val="22"/>
          </w:rPr>
          <w:t>http://www.ttb.gov/epayment/epayment.shtml</w:t>
        </w:r>
      </w:hyperlink>
      <w:r w:rsidR="00915B29">
        <w:rPr>
          <w:sz w:val="22"/>
          <w:szCs w:val="22"/>
        </w:rPr>
        <w:t>)</w:t>
      </w:r>
      <w:r w:rsidR="00D81BDA" w:rsidRPr="001238E2">
        <w:rPr>
          <w:sz w:val="22"/>
          <w:szCs w:val="22"/>
        </w:rPr>
        <w:t>.</w:t>
      </w:r>
      <w:r w:rsidR="00915B29">
        <w:rPr>
          <w:rStyle w:val="FootnoteReference"/>
          <w:sz w:val="22"/>
          <w:szCs w:val="22"/>
        </w:rPr>
        <w:footnoteReference w:id="2"/>
      </w:r>
      <w:r w:rsidR="007E2915">
        <w:rPr>
          <w:sz w:val="22"/>
          <w:szCs w:val="22"/>
        </w:rPr>
        <w:t xml:space="preserve"> </w:t>
      </w:r>
    </w:p>
    <w:p w14:paraId="0B481569" w14:textId="77777777" w:rsidR="00A52A63" w:rsidRDefault="00A52A63" w:rsidP="00E01404">
      <w:pPr>
        <w:widowControl/>
        <w:ind w:left="360"/>
        <w:rPr>
          <w:sz w:val="22"/>
          <w:szCs w:val="22"/>
        </w:rPr>
      </w:pPr>
    </w:p>
    <w:p w14:paraId="0D049419" w14:textId="74556392" w:rsidR="008D401A" w:rsidRDefault="007E2915" w:rsidP="00E01404">
      <w:pPr>
        <w:widowControl/>
        <w:ind w:left="360"/>
        <w:rPr>
          <w:sz w:val="22"/>
          <w:szCs w:val="22"/>
        </w:rPr>
      </w:pPr>
      <w:r>
        <w:rPr>
          <w:sz w:val="22"/>
          <w:szCs w:val="22"/>
        </w:rPr>
        <w:t>In addition, two fillable-printable versions of the Excise Tax Return</w:t>
      </w:r>
      <w:r w:rsidR="00F71C4E">
        <w:rPr>
          <w:sz w:val="22"/>
          <w:szCs w:val="22"/>
        </w:rPr>
        <w:t>,</w:t>
      </w:r>
      <w:r>
        <w:rPr>
          <w:sz w:val="22"/>
          <w:szCs w:val="22"/>
        </w:rPr>
        <w:t xml:space="preserve"> are available on the </w:t>
      </w:r>
      <w:r w:rsidR="007B6ADE">
        <w:rPr>
          <w:sz w:val="22"/>
          <w:szCs w:val="22"/>
        </w:rPr>
        <w:t xml:space="preserve">TTB </w:t>
      </w:r>
      <w:r w:rsidRPr="007E2915">
        <w:rPr>
          <w:sz w:val="22"/>
          <w:szCs w:val="22"/>
        </w:rPr>
        <w:t>website at</w:t>
      </w:r>
      <w:r w:rsidR="008D401A">
        <w:rPr>
          <w:sz w:val="22"/>
          <w:szCs w:val="22"/>
        </w:rPr>
        <w:t xml:space="preserve"> </w:t>
      </w:r>
      <w:hyperlink r:id="rId11" w:history="1">
        <w:r w:rsidR="008D401A" w:rsidRPr="008D401A">
          <w:rPr>
            <w:rFonts w:eastAsia="Calibri"/>
            <w:color w:val="0070C0"/>
            <w:sz w:val="22"/>
            <w:szCs w:val="22"/>
            <w:u w:val="single"/>
          </w:rPr>
          <w:t>https://www.ttb.gov/forms/5000.shtml</w:t>
        </w:r>
      </w:hyperlink>
      <w:r w:rsidR="008D401A">
        <w:rPr>
          <w:rFonts w:eastAsia="Calibri"/>
          <w:color w:val="0000FF"/>
          <w:sz w:val="22"/>
          <w:szCs w:val="22"/>
          <w:u w:val="single"/>
        </w:rPr>
        <w:t xml:space="preserve">. </w:t>
      </w:r>
    </w:p>
    <w:p w14:paraId="3157E03A" w14:textId="77777777" w:rsidR="00704F05" w:rsidRDefault="00704F05" w:rsidP="00E01404">
      <w:pPr>
        <w:widowControl/>
        <w:ind w:left="360"/>
        <w:rPr>
          <w:sz w:val="22"/>
          <w:szCs w:val="22"/>
        </w:rPr>
      </w:pPr>
    </w:p>
    <w:p w14:paraId="77C67DE9" w14:textId="77777777" w:rsidR="00F71C4E" w:rsidRDefault="00F71C4E" w:rsidP="00E01404">
      <w:pPr>
        <w:widowControl/>
        <w:numPr>
          <w:ilvl w:val="0"/>
          <w:numId w:val="7"/>
        </w:numPr>
        <w:rPr>
          <w:sz w:val="22"/>
          <w:szCs w:val="22"/>
        </w:rPr>
      </w:pPr>
      <w:r>
        <w:rPr>
          <w:sz w:val="22"/>
          <w:szCs w:val="22"/>
        </w:rPr>
        <w:t xml:space="preserve">TTB F 5000.24, a traditional paper form requiring respondents to complete all required data fields and make all necessary mathematical calculations; and </w:t>
      </w:r>
    </w:p>
    <w:p w14:paraId="14D93A86" w14:textId="77777777" w:rsidR="00F71C4E" w:rsidRDefault="00F71C4E" w:rsidP="00E01404">
      <w:pPr>
        <w:widowControl/>
        <w:ind w:left="720"/>
        <w:rPr>
          <w:sz w:val="22"/>
          <w:szCs w:val="22"/>
        </w:rPr>
      </w:pPr>
    </w:p>
    <w:p w14:paraId="6CA6E94A" w14:textId="3AE48AF8" w:rsidR="00F71C4E" w:rsidRPr="00F71C4E" w:rsidRDefault="00F71C4E" w:rsidP="00E01404">
      <w:pPr>
        <w:widowControl/>
        <w:numPr>
          <w:ilvl w:val="0"/>
          <w:numId w:val="7"/>
        </w:numPr>
        <w:rPr>
          <w:sz w:val="22"/>
          <w:szCs w:val="22"/>
        </w:rPr>
      </w:pPr>
      <w:r>
        <w:rPr>
          <w:sz w:val="22"/>
          <w:szCs w:val="22"/>
        </w:rPr>
        <w:t xml:space="preserve">TTB F 5000.24sm, an interactive “smart form” </w:t>
      </w:r>
      <w:r w:rsidR="00A52A63" w:rsidRPr="00F71C4E">
        <w:rPr>
          <w:sz w:val="22"/>
          <w:szCs w:val="22"/>
        </w:rPr>
        <w:t xml:space="preserve">that has built-in logic and automation features designed to </w:t>
      </w:r>
      <w:r w:rsidRPr="00F71C4E">
        <w:rPr>
          <w:sz w:val="22"/>
          <w:szCs w:val="22"/>
        </w:rPr>
        <w:t xml:space="preserve">prevent common mistakes and </w:t>
      </w:r>
      <w:r w:rsidR="00A52A63" w:rsidRPr="00F71C4E">
        <w:rPr>
          <w:sz w:val="22"/>
          <w:szCs w:val="22"/>
        </w:rPr>
        <w:t>make completion of the form easier</w:t>
      </w:r>
      <w:r w:rsidRPr="00F71C4E">
        <w:rPr>
          <w:sz w:val="22"/>
          <w:szCs w:val="22"/>
        </w:rPr>
        <w:t xml:space="preserve"> for the respondent.  </w:t>
      </w:r>
      <w:r w:rsidR="00A52A63" w:rsidRPr="00F71C4E">
        <w:rPr>
          <w:sz w:val="22"/>
          <w:szCs w:val="22"/>
        </w:rPr>
        <w:t>For example, the smart form requires entries in certain data fields based on a response in another field, it automatically makes mathematical calculations and pre-populates certain entries</w:t>
      </w:r>
      <w:r w:rsidR="007E2915" w:rsidRPr="00F71C4E">
        <w:rPr>
          <w:sz w:val="22"/>
          <w:szCs w:val="22"/>
        </w:rPr>
        <w:t xml:space="preserve">, and it prevents printing of the form if any mandatory data field is incomplete.  </w:t>
      </w:r>
      <w:r>
        <w:rPr>
          <w:sz w:val="22"/>
          <w:szCs w:val="22"/>
        </w:rPr>
        <w:t xml:space="preserve">A User Guide for this smart form is available </w:t>
      </w:r>
      <w:r w:rsidR="00BD0054">
        <w:rPr>
          <w:sz w:val="22"/>
          <w:szCs w:val="22"/>
        </w:rPr>
        <w:t xml:space="preserve">to respondents </w:t>
      </w:r>
      <w:r>
        <w:rPr>
          <w:sz w:val="22"/>
          <w:szCs w:val="22"/>
        </w:rPr>
        <w:t xml:space="preserve">on the TTB website at </w:t>
      </w:r>
      <w:hyperlink r:id="rId12" w:history="1">
        <w:r w:rsidRPr="00AD145A">
          <w:rPr>
            <w:rStyle w:val="Hyperlink"/>
            <w:sz w:val="22"/>
            <w:szCs w:val="22"/>
          </w:rPr>
          <w:t>https://www.ttb.gov/forms/smartform-user-guide500024.pdf</w:t>
        </w:r>
      </w:hyperlink>
      <w:r w:rsidR="00B77F09">
        <w:rPr>
          <w:sz w:val="22"/>
          <w:szCs w:val="22"/>
        </w:rPr>
        <w:t xml:space="preserve">. </w:t>
      </w:r>
    </w:p>
    <w:p w14:paraId="5A50A814" w14:textId="77777777" w:rsidR="00533D2D" w:rsidRPr="00A72AE6" w:rsidRDefault="00533D2D" w:rsidP="00E01404">
      <w:pPr>
        <w:widowControl/>
        <w:tabs>
          <w:tab w:val="left" w:pos="540"/>
        </w:tabs>
        <w:ind w:left="540" w:hanging="540"/>
        <w:rPr>
          <w:sz w:val="36"/>
          <w:szCs w:val="36"/>
        </w:rPr>
      </w:pPr>
    </w:p>
    <w:p w14:paraId="634CEC31" w14:textId="77777777" w:rsidR="008820FE" w:rsidRPr="007A5D4B" w:rsidRDefault="008820FE" w:rsidP="00E01404">
      <w:pPr>
        <w:widowControl/>
        <w:suppressAutoHyphens/>
        <w:rPr>
          <w:i/>
          <w:sz w:val="22"/>
          <w:szCs w:val="22"/>
        </w:rPr>
      </w:pPr>
      <w:r w:rsidRPr="007A5D4B">
        <w:rPr>
          <w:i/>
          <w:sz w:val="22"/>
          <w:szCs w:val="22"/>
        </w:rPr>
        <w:t xml:space="preserve">4.  What efforts are used to identify duplication?  Can similar information already available be used or modified for use for the purposes described in Item 2 above? </w:t>
      </w:r>
    </w:p>
    <w:p w14:paraId="190E0758" w14:textId="77777777" w:rsidR="008820FE" w:rsidRPr="007A5D4B" w:rsidRDefault="008820FE" w:rsidP="00E01404">
      <w:pPr>
        <w:widowControl/>
        <w:suppressAutoHyphens/>
        <w:rPr>
          <w:sz w:val="22"/>
          <w:szCs w:val="22"/>
        </w:rPr>
      </w:pPr>
    </w:p>
    <w:p w14:paraId="4A3C71E4" w14:textId="77777777" w:rsidR="00D81BDA" w:rsidRDefault="00D81BDA" w:rsidP="00E01404">
      <w:pPr>
        <w:widowControl/>
        <w:suppressAutoHyphens/>
        <w:spacing w:line="240" w:lineRule="atLeast"/>
        <w:ind w:left="360"/>
        <w:rPr>
          <w:sz w:val="22"/>
          <w:szCs w:val="22"/>
        </w:rPr>
      </w:pPr>
      <w:r w:rsidRPr="001C71B3">
        <w:rPr>
          <w:sz w:val="22"/>
          <w:szCs w:val="22"/>
        </w:rPr>
        <w:t>Th</w:t>
      </w:r>
      <w:r>
        <w:rPr>
          <w:sz w:val="22"/>
          <w:szCs w:val="22"/>
        </w:rPr>
        <w:t>e information required on TTB F </w:t>
      </w:r>
      <w:r w:rsidRPr="001C71B3">
        <w:rPr>
          <w:sz w:val="22"/>
          <w:szCs w:val="22"/>
        </w:rPr>
        <w:t xml:space="preserve">5000.24 is minimal and is unique to a particular period of time for each taxpayer.  </w:t>
      </w:r>
      <w:r w:rsidRPr="00FE61CE">
        <w:rPr>
          <w:sz w:val="22"/>
          <w:szCs w:val="22"/>
        </w:rPr>
        <w:t xml:space="preserve">The Federal excise tax on alcohol and tobacco </w:t>
      </w:r>
      <w:r>
        <w:rPr>
          <w:sz w:val="22"/>
          <w:szCs w:val="22"/>
        </w:rPr>
        <w:t xml:space="preserve">products </w:t>
      </w:r>
      <w:r w:rsidRPr="00FE61CE">
        <w:rPr>
          <w:sz w:val="22"/>
          <w:szCs w:val="22"/>
        </w:rPr>
        <w:t xml:space="preserve">is collected only by </w:t>
      </w:r>
      <w:r w:rsidRPr="00761006">
        <w:rPr>
          <w:sz w:val="22"/>
          <w:szCs w:val="22"/>
        </w:rPr>
        <w:t>TTB, and this information is not available from other sources.</w:t>
      </w:r>
      <w:r>
        <w:rPr>
          <w:sz w:val="22"/>
          <w:szCs w:val="22"/>
        </w:rPr>
        <w:t xml:space="preserve"> </w:t>
      </w:r>
    </w:p>
    <w:p w14:paraId="0BEA1724" w14:textId="77777777" w:rsidR="00533D2D" w:rsidRPr="00A72AE6" w:rsidRDefault="00533D2D" w:rsidP="00E01404">
      <w:pPr>
        <w:widowControl/>
        <w:rPr>
          <w:sz w:val="36"/>
          <w:szCs w:val="36"/>
        </w:rPr>
      </w:pPr>
    </w:p>
    <w:p w14:paraId="2E86755B" w14:textId="77777777" w:rsidR="008820FE" w:rsidRPr="007A5D4B" w:rsidRDefault="008820FE" w:rsidP="00E01404">
      <w:pPr>
        <w:widowControl/>
        <w:suppressAutoHyphens/>
        <w:rPr>
          <w:i/>
          <w:sz w:val="22"/>
          <w:szCs w:val="22"/>
        </w:rPr>
      </w:pPr>
      <w:r w:rsidRPr="00280433">
        <w:rPr>
          <w:i/>
          <w:sz w:val="22"/>
          <w:szCs w:val="22"/>
        </w:rPr>
        <w:t>5.  If this collection of information impacts small businesses or other small entities, what methods are used to minimize burden?</w:t>
      </w:r>
      <w:r w:rsidRPr="007A5D4B">
        <w:rPr>
          <w:i/>
          <w:sz w:val="22"/>
          <w:szCs w:val="22"/>
        </w:rPr>
        <w:t xml:space="preserve"> </w:t>
      </w:r>
    </w:p>
    <w:p w14:paraId="7750DD27" w14:textId="77777777" w:rsidR="008820FE" w:rsidRPr="007A5D4B" w:rsidRDefault="008820FE" w:rsidP="00E01404">
      <w:pPr>
        <w:widowControl/>
        <w:suppressAutoHyphens/>
        <w:ind w:left="480" w:hanging="480"/>
        <w:rPr>
          <w:sz w:val="22"/>
          <w:szCs w:val="22"/>
        </w:rPr>
      </w:pPr>
    </w:p>
    <w:p w14:paraId="08455B7F" w14:textId="77777777" w:rsidR="0037759F" w:rsidRDefault="003A6614" w:rsidP="0037759F">
      <w:pPr>
        <w:widowControl/>
        <w:ind w:left="360"/>
        <w:rPr>
          <w:sz w:val="22"/>
          <w:szCs w:val="22"/>
        </w:rPr>
      </w:pPr>
      <w:r>
        <w:rPr>
          <w:sz w:val="22"/>
          <w:szCs w:val="22"/>
        </w:rPr>
        <w:t>In general, a</w:t>
      </w:r>
      <w:r w:rsidR="009C7F85">
        <w:rPr>
          <w:sz w:val="22"/>
          <w:szCs w:val="22"/>
        </w:rPr>
        <w:t xml:space="preserve">ll </w:t>
      </w:r>
      <w:r w:rsidR="00B77F09">
        <w:rPr>
          <w:sz w:val="22"/>
          <w:szCs w:val="22"/>
        </w:rPr>
        <w:t xml:space="preserve">individuals and entities </w:t>
      </w:r>
      <w:r w:rsidR="00AF4112">
        <w:rPr>
          <w:sz w:val="22"/>
          <w:szCs w:val="22"/>
        </w:rPr>
        <w:t xml:space="preserve">liable for </w:t>
      </w:r>
      <w:r w:rsidR="009C7F85">
        <w:rPr>
          <w:sz w:val="22"/>
          <w:szCs w:val="22"/>
        </w:rPr>
        <w:t xml:space="preserve">Federal alcohol </w:t>
      </w:r>
      <w:r w:rsidR="00897AF0">
        <w:rPr>
          <w:sz w:val="22"/>
          <w:szCs w:val="22"/>
        </w:rPr>
        <w:t xml:space="preserve">and tobacco </w:t>
      </w:r>
      <w:r w:rsidR="00AF4112">
        <w:rPr>
          <w:sz w:val="22"/>
          <w:szCs w:val="22"/>
        </w:rPr>
        <w:t xml:space="preserve">excise tax, </w:t>
      </w:r>
      <w:r w:rsidR="009C7F85">
        <w:rPr>
          <w:sz w:val="22"/>
          <w:szCs w:val="22"/>
        </w:rPr>
        <w:t xml:space="preserve">regardless of size, are required by </w:t>
      </w:r>
      <w:r w:rsidR="00B470D0">
        <w:rPr>
          <w:sz w:val="22"/>
          <w:szCs w:val="22"/>
        </w:rPr>
        <w:t xml:space="preserve">statute </w:t>
      </w:r>
      <w:r w:rsidR="000E4F00" w:rsidRPr="000E4F00">
        <w:rPr>
          <w:sz w:val="22"/>
          <w:szCs w:val="22"/>
        </w:rPr>
        <w:t>at 26 U.S.C. 5061(</w:t>
      </w:r>
      <w:r w:rsidR="00CC0F97">
        <w:rPr>
          <w:sz w:val="22"/>
          <w:szCs w:val="22"/>
        </w:rPr>
        <w:t>d)(1)</w:t>
      </w:r>
      <w:r w:rsidR="000E4F00" w:rsidRPr="000E4F00">
        <w:rPr>
          <w:sz w:val="22"/>
          <w:szCs w:val="22"/>
        </w:rPr>
        <w:t xml:space="preserve"> </w:t>
      </w:r>
      <w:r w:rsidR="00897AF0" w:rsidRPr="00897AF0">
        <w:rPr>
          <w:sz w:val="22"/>
          <w:szCs w:val="22"/>
        </w:rPr>
        <w:t>and 5703(b)(2)</w:t>
      </w:r>
      <w:r w:rsidR="00AC7775">
        <w:rPr>
          <w:sz w:val="22"/>
          <w:szCs w:val="22"/>
        </w:rPr>
        <w:t xml:space="preserve"> </w:t>
      </w:r>
      <w:r w:rsidR="009C7F85">
        <w:rPr>
          <w:sz w:val="22"/>
          <w:szCs w:val="22"/>
        </w:rPr>
        <w:t xml:space="preserve">to </w:t>
      </w:r>
      <w:r w:rsidR="00AF4112">
        <w:rPr>
          <w:sz w:val="22"/>
          <w:szCs w:val="22"/>
        </w:rPr>
        <w:t>pay tax</w:t>
      </w:r>
      <w:r w:rsidR="00280433">
        <w:rPr>
          <w:sz w:val="22"/>
          <w:szCs w:val="22"/>
        </w:rPr>
        <w:t xml:space="preserve"> and file tax returns</w:t>
      </w:r>
      <w:r w:rsidR="00AF4112">
        <w:rPr>
          <w:sz w:val="22"/>
          <w:szCs w:val="22"/>
        </w:rPr>
        <w:t xml:space="preserve"> </w:t>
      </w:r>
      <w:r w:rsidR="006D3CD1">
        <w:rPr>
          <w:sz w:val="22"/>
          <w:szCs w:val="22"/>
        </w:rPr>
        <w:t>on a semi-monthly basis</w:t>
      </w:r>
      <w:r w:rsidR="00AC7775">
        <w:rPr>
          <w:sz w:val="22"/>
          <w:szCs w:val="22"/>
        </w:rPr>
        <w:t xml:space="preserve">.  </w:t>
      </w:r>
      <w:r w:rsidR="0037759F" w:rsidRPr="00F45B41">
        <w:rPr>
          <w:sz w:val="22"/>
          <w:szCs w:val="22"/>
        </w:rPr>
        <w:t xml:space="preserve">(Under some circumstances, in accordance with 27 CFR 19.233, TTB may require </w:t>
      </w:r>
      <w:r w:rsidR="0037759F">
        <w:rPr>
          <w:sz w:val="22"/>
          <w:szCs w:val="22"/>
        </w:rPr>
        <w:t xml:space="preserve">certain distilled spirits </w:t>
      </w:r>
      <w:r w:rsidR="0037759F" w:rsidRPr="00F45B41">
        <w:rPr>
          <w:sz w:val="22"/>
          <w:szCs w:val="22"/>
        </w:rPr>
        <w:t>taxpayers to make prepayments in lieu of semi-monthly payments.)</w:t>
      </w:r>
      <w:r w:rsidR="0037759F">
        <w:rPr>
          <w:sz w:val="22"/>
          <w:szCs w:val="22"/>
        </w:rPr>
        <w:t xml:space="preserve"> </w:t>
      </w:r>
    </w:p>
    <w:p w14:paraId="67D3BCAC" w14:textId="77777777" w:rsidR="0037759F" w:rsidRDefault="0037759F" w:rsidP="0037759F">
      <w:pPr>
        <w:widowControl/>
        <w:ind w:left="360"/>
        <w:rPr>
          <w:sz w:val="22"/>
          <w:szCs w:val="22"/>
        </w:rPr>
      </w:pPr>
    </w:p>
    <w:p w14:paraId="48FB5433" w14:textId="77777777" w:rsidR="0037759F" w:rsidRPr="0037759F" w:rsidRDefault="00AC7775" w:rsidP="0037759F">
      <w:pPr>
        <w:widowControl/>
        <w:ind w:left="360"/>
        <w:rPr>
          <w:sz w:val="22"/>
          <w:szCs w:val="22"/>
        </w:rPr>
      </w:pPr>
      <w:r>
        <w:rPr>
          <w:sz w:val="22"/>
          <w:szCs w:val="22"/>
        </w:rPr>
        <w:t xml:space="preserve">However, under 26 U.S.C. 5061(d)(4), certain small alcohol excise taxpayers may qualify to pay tax and file returns on a quarterly or annual basis.  </w:t>
      </w:r>
      <w:r w:rsidR="0037759F" w:rsidRPr="0037759F">
        <w:rPr>
          <w:sz w:val="22"/>
          <w:szCs w:val="22"/>
        </w:rPr>
        <w:t xml:space="preserve">Under that paragraph, to pay tax and file returns quarterly, a taxpayer must reasonably expect to be liable for not more than $50,000 in such taxes for the calendar year and must be liable for not more than $50,000 in such taxes in the preceding calendar year.  To pay tax and file returns annually, a taxpayer must reasonably expect to be liable for not more than $1,000 in such taxes for the calendar year and must be liable for not more than $1,000 in such taxes in the preceding calendar year.  Given these less burdensome filing options for small alcohol taxpayers, TTB believes that this information collection does not have a significant impact on a substantial number of small alcohol industry businesses or entities. </w:t>
      </w:r>
    </w:p>
    <w:p w14:paraId="6CDA091C" w14:textId="77777777" w:rsidR="0037759F" w:rsidRPr="0037759F" w:rsidRDefault="0037759F" w:rsidP="0037759F">
      <w:pPr>
        <w:widowControl/>
        <w:ind w:left="360"/>
        <w:rPr>
          <w:sz w:val="22"/>
          <w:szCs w:val="22"/>
        </w:rPr>
      </w:pPr>
    </w:p>
    <w:p w14:paraId="625F0C6A" w14:textId="039C562F" w:rsidR="0037759F" w:rsidRDefault="0037759F" w:rsidP="0037759F">
      <w:pPr>
        <w:widowControl/>
        <w:ind w:left="360"/>
        <w:rPr>
          <w:sz w:val="22"/>
          <w:szCs w:val="22"/>
        </w:rPr>
      </w:pPr>
      <w:r w:rsidRPr="0037759F">
        <w:rPr>
          <w:sz w:val="22"/>
          <w:szCs w:val="22"/>
        </w:rPr>
        <w:t>While there are no exemptions to the semi-monthly tax payment requirement for tobacco excise taxpayers, the information required on TTB F 5000.24 is minimal.  Therefore, TTB believes that this information collection does not have a significant impact on a substantial number of small tobacco industry businesses or other small entities.</w:t>
      </w:r>
    </w:p>
    <w:p w14:paraId="617C50A4" w14:textId="77777777" w:rsidR="002B5ED1" w:rsidRPr="00A72AE6" w:rsidRDefault="002B5ED1" w:rsidP="00E01404">
      <w:pPr>
        <w:widowControl/>
        <w:tabs>
          <w:tab w:val="left" w:pos="540"/>
        </w:tabs>
        <w:ind w:left="540" w:hanging="540"/>
        <w:rPr>
          <w:sz w:val="36"/>
          <w:szCs w:val="36"/>
        </w:rPr>
      </w:pPr>
    </w:p>
    <w:p w14:paraId="792E99A9" w14:textId="0DF84A53" w:rsidR="008820FE" w:rsidRPr="007A5D4B" w:rsidRDefault="008820FE" w:rsidP="00E01404">
      <w:pPr>
        <w:widowControl/>
        <w:suppressAutoHyphens/>
        <w:rPr>
          <w:i/>
          <w:sz w:val="22"/>
          <w:szCs w:val="22"/>
        </w:rPr>
      </w:pPr>
      <w:r w:rsidRPr="007F4517">
        <w:rPr>
          <w:i/>
          <w:sz w:val="22"/>
          <w:szCs w:val="22"/>
        </w:rPr>
        <w:t>6.  What consequences to Federal program or policy activities and what, if any, technical or legal obstacles to reducing burden will occur if this collection is not conducted or is conducted less frequently?</w:t>
      </w:r>
      <w:r w:rsidRPr="007A5D4B">
        <w:rPr>
          <w:i/>
          <w:sz w:val="22"/>
          <w:szCs w:val="22"/>
        </w:rPr>
        <w:t xml:space="preserve"> </w:t>
      </w:r>
    </w:p>
    <w:p w14:paraId="0BC9F2CA" w14:textId="77777777" w:rsidR="008820FE" w:rsidRPr="007A5D4B" w:rsidRDefault="008820FE" w:rsidP="00E01404">
      <w:pPr>
        <w:widowControl/>
        <w:suppressAutoHyphens/>
        <w:ind w:left="480" w:hanging="480"/>
        <w:rPr>
          <w:sz w:val="22"/>
          <w:szCs w:val="22"/>
        </w:rPr>
      </w:pPr>
    </w:p>
    <w:p w14:paraId="5D73F5BD" w14:textId="29833C9F" w:rsidR="007C1D76" w:rsidRPr="007C1D76" w:rsidRDefault="007C1D76" w:rsidP="00E01404">
      <w:pPr>
        <w:widowControl/>
        <w:ind w:left="360"/>
        <w:rPr>
          <w:sz w:val="22"/>
          <w:szCs w:val="22"/>
        </w:rPr>
      </w:pPr>
      <w:r w:rsidRPr="007C1D76">
        <w:rPr>
          <w:sz w:val="22"/>
          <w:szCs w:val="22"/>
        </w:rPr>
        <w:t xml:space="preserve">The </w:t>
      </w:r>
      <w:r>
        <w:rPr>
          <w:sz w:val="22"/>
          <w:szCs w:val="22"/>
        </w:rPr>
        <w:t xml:space="preserve">information provided by the taxpayer on the TTB F 5000.24 tax </w:t>
      </w:r>
      <w:r w:rsidRPr="007C1D76">
        <w:rPr>
          <w:sz w:val="22"/>
          <w:szCs w:val="22"/>
        </w:rPr>
        <w:t xml:space="preserve">return </w:t>
      </w:r>
      <w:r>
        <w:rPr>
          <w:sz w:val="22"/>
          <w:szCs w:val="22"/>
        </w:rPr>
        <w:t xml:space="preserve">form </w:t>
      </w:r>
      <w:r w:rsidRPr="007C1D76">
        <w:rPr>
          <w:sz w:val="22"/>
          <w:szCs w:val="22"/>
        </w:rPr>
        <w:t xml:space="preserve">is essential to TTB's </w:t>
      </w:r>
      <w:r>
        <w:rPr>
          <w:sz w:val="22"/>
          <w:szCs w:val="22"/>
        </w:rPr>
        <w:t xml:space="preserve">Federal alcohol and tobacco excise tax </w:t>
      </w:r>
      <w:r w:rsidRPr="007C1D76">
        <w:rPr>
          <w:sz w:val="22"/>
          <w:szCs w:val="22"/>
        </w:rPr>
        <w:t xml:space="preserve">collection responsibilities.  The absence of this information would seriously jeopardize TTB's </w:t>
      </w:r>
      <w:r>
        <w:rPr>
          <w:sz w:val="22"/>
          <w:szCs w:val="22"/>
        </w:rPr>
        <w:t>collection of such taxes, which amount to approximately</w:t>
      </w:r>
      <w:r w:rsidRPr="007C1D76">
        <w:rPr>
          <w:sz w:val="22"/>
          <w:szCs w:val="22"/>
        </w:rPr>
        <w:t xml:space="preserve"> $25 billion each year.  Furthermore, if </w:t>
      </w:r>
      <w:r>
        <w:rPr>
          <w:sz w:val="22"/>
          <w:szCs w:val="22"/>
        </w:rPr>
        <w:t xml:space="preserve">TTB did not </w:t>
      </w:r>
      <w:r w:rsidR="00A72AE6">
        <w:rPr>
          <w:sz w:val="22"/>
          <w:szCs w:val="22"/>
        </w:rPr>
        <w:t xml:space="preserve">require the </w:t>
      </w:r>
      <w:r>
        <w:rPr>
          <w:sz w:val="22"/>
          <w:szCs w:val="22"/>
        </w:rPr>
        <w:t xml:space="preserve">use </w:t>
      </w:r>
      <w:r w:rsidR="00A72AE6">
        <w:rPr>
          <w:sz w:val="22"/>
          <w:szCs w:val="22"/>
        </w:rPr>
        <w:t xml:space="preserve">of </w:t>
      </w:r>
      <w:r w:rsidRPr="007C1D76">
        <w:rPr>
          <w:sz w:val="22"/>
          <w:szCs w:val="22"/>
        </w:rPr>
        <w:t xml:space="preserve">this </w:t>
      </w:r>
      <w:r>
        <w:rPr>
          <w:sz w:val="22"/>
          <w:szCs w:val="22"/>
        </w:rPr>
        <w:t xml:space="preserve">tax return </w:t>
      </w:r>
      <w:r w:rsidRPr="007C1D76">
        <w:rPr>
          <w:sz w:val="22"/>
          <w:szCs w:val="22"/>
        </w:rPr>
        <w:t xml:space="preserve">form or </w:t>
      </w:r>
      <w:r w:rsidR="00A72AE6">
        <w:rPr>
          <w:sz w:val="22"/>
          <w:szCs w:val="22"/>
        </w:rPr>
        <w:t xml:space="preserve">required it </w:t>
      </w:r>
      <w:r w:rsidRPr="007C1D76">
        <w:rPr>
          <w:sz w:val="22"/>
          <w:szCs w:val="22"/>
        </w:rPr>
        <w:t xml:space="preserve">less frequently, TTB’s ability to identify and account for </w:t>
      </w:r>
      <w:r w:rsidR="008A45CF">
        <w:rPr>
          <w:sz w:val="22"/>
          <w:szCs w:val="22"/>
        </w:rPr>
        <w:t xml:space="preserve">such excise </w:t>
      </w:r>
      <w:r w:rsidRPr="007C1D76">
        <w:rPr>
          <w:sz w:val="22"/>
          <w:szCs w:val="22"/>
        </w:rPr>
        <w:t>tax payments would be significantly hindered</w:t>
      </w:r>
      <w:r w:rsidR="00A72AE6">
        <w:rPr>
          <w:sz w:val="22"/>
          <w:szCs w:val="22"/>
        </w:rPr>
        <w:t xml:space="preserve">.  In particular, </w:t>
      </w:r>
      <w:r w:rsidR="008A45CF">
        <w:rPr>
          <w:sz w:val="22"/>
          <w:szCs w:val="22"/>
        </w:rPr>
        <w:t>the use of t</w:t>
      </w:r>
      <w:r w:rsidRPr="007C1D76">
        <w:rPr>
          <w:sz w:val="22"/>
          <w:szCs w:val="22"/>
        </w:rPr>
        <w:t xml:space="preserve">his form eliminates the substantial costs </w:t>
      </w:r>
      <w:r w:rsidR="007F4517">
        <w:rPr>
          <w:sz w:val="22"/>
          <w:szCs w:val="22"/>
        </w:rPr>
        <w:t xml:space="preserve">that </w:t>
      </w:r>
      <w:r w:rsidRPr="007C1D76">
        <w:rPr>
          <w:sz w:val="22"/>
          <w:szCs w:val="22"/>
        </w:rPr>
        <w:t xml:space="preserve">would be incurred by both the taxpayer and TTB to resolve </w:t>
      </w:r>
      <w:r w:rsidR="00A72AE6">
        <w:rPr>
          <w:sz w:val="22"/>
          <w:szCs w:val="22"/>
        </w:rPr>
        <w:t xml:space="preserve">matters related to </w:t>
      </w:r>
      <w:r w:rsidRPr="007C1D76">
        <w:rPr>
          <w:sz w:val="22"/>
          <w:szCs w:val="22"/>
        </w:rPr>
        <w:t xml:space="preserve">unidentified </w:t>
      </w:r>
      <w:r w:rsidR="00A72AE6">
        <w:rPr>
          <w:sz w:val="22"/>
          <w:szCs w:val="22"/>
        </w:rPr>
        <w:t xml:space="preserve">tax </w:t>
      </w:r>
      <w:r w:rsidRPr="007C1D76">
        <w:rPr>
          <w:sz w:val="22"/>
          <w:szCs w:val="22"/>
        </w:rPr>
        <w:t>payments.</w:t>
      </w:r>
      <w:r>
        <w:rPr>
          <w:sz w:val="22"/>
          <w:szCs w:val="22"/>
        </w:rPr>
        <w:t xml:space="preserve"> </w:t>
      </w:r>
    </w:p>
    <w:p w14:paraId="44A74301" w14:textId="77777777" w:rsidR="00533D2D" w:rsidRPr="00A72AE6" w:rsidRDefault="00533D2D" w:rsidP="00E01404">
      <w:pPr>
        <w:widowControl/>
        <w:tabs>
          <w:tab w:val="left" w:pos="540"/>
        </w:tabs>
        <w:ind w:left="540" w:hanging="540"/>
        <w:rPr>
          <w:sz w:val="36"/>
          <w:szCs w:val="36"/>
        </w:rPr>
      </w:pPr>
    </w:p>
    <w:p w14:paraId="5FC2540E" w14:textId="48243AC9" w:rsidR="008820FE" w:rsidRPr="00035ABF" w:rsidRDefault="008820FE" w:rsidP="00E01404">
      <w:pPr>
        <w:widowControl/>
        <w:suppressAutoHyphens/>
        <w:rPr>
          <w:i/>
          <w:sz w:val="22"/>
          <w:szCs w:val="22"/>
        </w:rPr>
      </w:pPr>
      <w:r w:rsidRPr="00035ABF">
        <w:rPr>
          <w:i/>
          <w:sz w:val="22"/>
          <w:szCs w:val="22"/>
        </w:rPr>
        <w:t xml:space="preserve">7.  Are there any special circumstances associated with this information collection that would require it to be conducted in a manner inconsistent with OMB guidelines? </w:t>
      </w:r>
    </w:p>
    <w:p w14:paraId="3D1F7CFF" w14:textId="77777777" w:rsidR="008820FE" w:rsidRPr="00035ABF" w:rsidRDefault="008820FE" w:rsidP="00E01404">
      <w:pPr>
        <w:widowControl/>
        <w:rPr>
          <w:sz w:val="22"/>
          <w:szCs w:val="22"/>
        </w:rPr>
      </w:pPr>
    </w:p>
    <w:p w14:paraId="58840A1C" w14:textId="2D4CA43E" w:rsidR="00035ABF" w:rsidRDefault="00035ABF" w:rsidP="00E01404">
      <w:pPr>
        <w:widowControl/>
        <w:ind w:left="360"/>
        <w:rPr>
          <w:sz w:val="22"/>
          <w:szCs w:val="22"/>
        </w:rPr>
      </w:pPr>
      <w:r>
        <w:rPr>
          <w:sz w:val="22"/>
          <w:szCs w:val="22"/>
        </w:rPr>
        <w:t xml:space="preserve">Under 5 CFR 1320.5(d)(2)(i), requiring </w:t>
      </w:r>
      <w:r w:rsidRPr="00035ABF">
        <w:rPr>
          <w:sz w:val="22"/>
          <w:szCs w:val="22"/>
        </w:rPr>
        <w:t xml:space="preserve">respondents to report information to </w:t>
      </w:r>
      <w:r>
        <w:rPr>
          <w:sz w:val="22"/>
          <w:szCs w:val="22"/>
        </w:rPr>
        <w:t xml:space="preserve">an </w:t>
      </w:r>
      <w:r w:rsidRPr="00035ABF">
        <w:rPr>
          <w:sz w:val="22"/>
          <w:szCs w:val="22"/>
        </w:rPr>
        <w:t>agency more often than quarterly</w:t>
      </w:r>
      <w:r w:rsidR="00A92468">
        <w:rPr>
          <w:sz w:val="22"/>
          <w:szCs w:val="22"/>
        </w:rPr>
        <w:t xml:space="preserve"> is a special circumstance.  In the case of TTB F 5000.24, Excise Tax Return, respondents are required by statute to pay tax and file returns on a semi-monthly basis, unless otherwise exempted. </w:t>
      </w:r>
    </w:p>
    <w:p w14:paraId="5C84B6B3" w14:textId="77777777" w:rsidR="00035ABF" w:rsidRDefault="00035ABF" w:rsidP="00E01404">
      <w:pPr>
        <w:widowControl/>
        <w:ind w:left="360"/>
        <w:rPr>
          <w:sz w:val="22"/>
          <w:szCs w:val="22"/>
        </w:rPr>
      </w:pPr>
    </w:p>
    <w:p w14:paraId="5D41A184" w14:textId="35AF0B0B" w:rsidR="00035ABF" w:rsidRDefault="00016AFD" w:rsidP="00E01404">
      <w:pPr>
        <w:widowControl/>
        <w:ind w:left="360"/>
        <w:rPr>
          <w:sz w:val="22"/>
          <w:szCs w:val="22"/>
        </w:rPr>
      </w:pPr>
      <w:r>
        <w:rPr>
          <w:sz w:val="22"/>
          <w:szCs w:val="22"/>
        </w:rPr>
        <w:t xml:space="preserve">The IRC at 26 U.S.C. 5061(d)(1) </w:t>
      </w:r>
      <w:r w:rsidR="00035ABF">
        <w:rPr>
          <w:sz w:val="22"/>
          <w:szCs w:val="22"/>
        </w:rPr>
        <w:t xml:space="preserve">requires alcohol excise taxpayers to pay tax, and </w:t>
      </w:r>
      <w:r w:rsidR="00285583" w:rsidRPr="00285583">
        <w:rPr>
          <w:sz w:val="22"/>
          <w:szCs w:val="22"/>
        </w:rPr>
        <w:t>thus file tax returns, on a semi-monthly basis</w:t>
      </w:r>
      <w:r w:rsidR="00A92468">
        <w:rPr>
          <w:sz w:val="22"/>
          <w:szCs w:val="22"/>
        </w:rPr>
        <w:t>, but u</w:t>
      </w:r>
      <w:r w:rsidR="00285583" w:rsidRPr="00285583">
        <w:rPr>
          <w:sz w:val="22"/>
          <w:szCs w:val="22"/>
        </w:rPr>
        <w:t xml:space="preserve">nder 26 U.S.C. 5061(d)(4), certain small alcohol excise taxpayers may pay tax and file returns on a quarterly or annual basis.  </w:t>
      </w:r>
      <w:r w:rsidR="00035ABF">
        <w:rPr>
          <w:sz w:val="22"/>
          <w:szCs w:val="22"/>
        </w:rPr>
        <w:t xml:space="preserve">The IRC at 26 U.S.C. </w:t>
      </w:r>
      <w:r w:rsidR="00035ABF" w:rsidRPr="00035ABF">
        <w:rPr>
          <w:sz w:val="22"/>
          <w:szCs w:val="22"/>
        </w:rPr>
        <w:t xml:space="preserve">5703(b)(2) requires all </w:t>
      </w:r>
      <w:r w:rsidR="00035ABF">
        <w:rPr>
          <w:sz w:val="22"/>
          <w:szCs w:val="22"/>
        </w:rPr>
        <w:t>tobacco excise taxpayers to pay tax, and thus file ret</w:t>
      </w:r>
      <w:r w:rsidR="00A92468">
        <w:rPr>
          <w:sz w:val="22"/>
          <w:szCs w:val="22"/>
        </w:rPr>
        <w:t xml:space="preserve">urns, on a semi-monthly basis. </w:t>
      </w:r>
    </w:p>
    <w:p w14:paraId="4E706719" w14:textId="77777777" w:rsidR="00533D2D" w:rsidRPr="00A72AE6" w:rsidRDefault="00533D2D" w:rsidP="00E01404">
      <w:pPr>
        <w:widowControl/>
        <w:tabs>
          <w:tab w:val="left" w:pos="540"/>
        </w:tabs>
        <w:ind w:left="540" w:hanging="540"/>
        <w:rPr>
          <w:sz w:val="36"/>
          <w:szCs w:val="36"/>
        </w:rPr>
      </w:pPr>
    </w:p>
    <w:p w14:paraId="493016CE" w14:textId="77777777" w:rsidR="008820FE" w:rsidRPr="007A5D4B" w:rsidRDefault="008820FE" w:rsidP="00E01404">
      <w:pPr>
        <w:widowControl/>
        <w:rPr>
          <w:i/>
          <w:sz w:val="22"/>
          <w:szCs w:val="22"/>
        </w:rPr>
      </w:pPr>
      <w:r w:rsidRPr="007A5D4B">
        <w:rPr>
          <w:i/>
          <w:sz w:val="22"/>
          <w:szCs w:val="22"/>
        </w:rPr>
        <w:t>8.  What effort was made to notify the general public about this collection of information?  Summarize the public comments that were received and describe the action taken by the agency in response to those comments.</w:t>
      </w:r>
      <w:r>
        <w:rPr>
          <w:i/>
          <w:sz w:val="22"/>
          <w:szCs w:val="22"/>
        </w:rPr>
        <w:t xml:space="preserve"> </w:t>
      </w:r>
    </w:p>
    <w:p w14:paraId="54E7A5D1" w14:textId="77777777" w:rsidR="008820FE" w:rsidRPr="007A5D4B" w:rsidRDefault="008820FE" w:rsidP="00E01404">
      <w:pPr>
        <w:widowControl/>
        <w:suppressAutoHyphens/>
        <w:ind w:left="360"/>
        <w:rPr>
          <w:sz w:val="22"/>
          <w:szCs w:val="22"/>
        </w:rPr>
      </w:pPr>
    </w:p>
    <w:p w14:paraId="5BA0734B" w14:textId="77777777" w:rsidR="00F0454E" w:rsidRDefault="007F4517" w:rsidP="00E01404">
      <w:pPr>
        <w:widowControl/>
        <w:ind w:left="360"/>
        <w:rPr>
          <w:sz w:val="22"/>
          <w:szCs w:val="22"/>
        </w:rPr>
      </w:pPr>
      <w:r w:rsidRPr="007F4517">
        <w:rPr>
          <w:sz w:val="22"/>
          <w:szCs w:val="22"/>
        </w:rPr>
        <w:t>To solicit comments from the general public, TTB published a “60-day” comment request notice for this information collection in the Federal Register on</w:t>
      </w:r>
      <w:r w:rsidR="00F0454E">
        <w:rPr>
          <w:sz w:val="22"/>
          <w:szCs w:val="22"/>
        </w:rPr>
        <w:t xml:space="preserve"> June 9, 2017, at 82 FR 26837. </w:t>
      </w:r>
    </w:p>
    <w:p w14:paraId="3C887C38" w14:textId="77777777" w:rsidR="00F0454E" w:rsidRDefault="00F0454E" w:rsidP="00E01404">
      <w:pPr>
        <w:widowControl/>
        <w:ind w:left="360"/>
        <w:rPr>
          <w:sz w:val="22"/>
          <w:szCs w:val="22"/>
        </w:rPr>
      </w:pPr>
    </w:p>
    <w:p w14:paraId="1B4C8C73" w14:textId="171DCFFD" w:rsidR="007F4517" w:rsidRDefault="007F4517" w:rsidP="00E01404">
      <w:pPr>
        <w:widowControl/>
        <w:ind w:left="360"/>
        <w:rPr>
          <w:sz w:val="22"/>
          <w:szCs w:val="22"/>
        </w:rPr>
      </w:pPr>
      <w:r w:rsidRPr="00F0454E">
        <w:rPr>
          <w:sz w:val="22"/>
          <w:szCs w:val="22"/>
        </w:rPr>
        <w:t xml:space="preserve">TTB received </w:t>
      </w:r>
      <w:r w:rsidR="00F0454E">
        <w:rPr>
          <w:sz w:val="22"/>
          <w:szCs w:val="22"/>
        </w:rPr>
        <w:t xml:space="preserve">one comment on this information collection and several others, submitted on behalf of an alcohol excise taxpayer, Phramco Products, Inc., of Brookfield, Connecticut.  The </w:t>
      </w:r>
      <w:r w:rsidR="0037759F">
        <w:rPr>
          <w:sz w:val="22"/>
          <w:szCs w:val="22"/>
        </w:rPr>
        <w:t xml:space="preserve">relevant portion of the </w:t>
      </w:r>
      <w:r w:rsidR="00F0454E">
        <w:rPr>
          <w:sz w:val="22"/>
          <w:szCs w:val="22"/>
        </w:rPr>
        <w:t xml:space="preserve">comment stated: </w:t>
      </w:r>
    </w:p>
    <w:p w14:paraId="6EC715B5" w14:textId="77777777" w:rsidR="003401A2" w:rsidRDefault="003401A2" w:rsidP="00E01404">
      <w:pPr>
        <w:widowControl/>
        <w:ind w:left="360"/>
        <w:rPr>
          <w:sz w:val="22"/>
          <w:szCs w:val="22"/>
        </w:rPr>
      </w:pPr>
    </w:p>
    <w:p w14:paraId="0C017669" w14:textId="336B4C43" w:rsidR="003401A2" w:rsidRPr="00F0454E" w:rsidRDefault="00F0454E" w:rsidP="00E01404">
      <w:pPr>
        <w:widowControl/>
        <w:ind w:left="720" w:right="806"/>
        <w:rPr>
          <w:sz w:val="22"/>
          <w:szCs w:val="22"/>
        </w:rPr>
      </w:pPr>
      <w:r w:rsidRPr="00F0454E">
        <w:rPr>
          <w:sz w:val="22"/>
          <w:szCs w:val="22"/>
        </w:rPr>
        <w:t>O</w:t>
      </w:r>
      <w:r>
        <w:rPr>
          <w:sz w:val="22"/>
          <w:szCs w:val="22"/>
        </w:rPr>
        <w:t>MB Number: 1513–</w:t>
      </w:r>
      <w:r w:rsidR="003401A2" w:rsidRPr="00F0454E">
        <w:rPr>
          <w:sz w:val="22"/>
          <w:szCs w:val="22"/>
        </w:rPr>
        <w:t>0083, Excise Tax Return:  Excise tax claims that are under a set dollar amount limit should qualify for automatic approval by simply having them filed as a decreasing adjustment on the current excise tax return, versus a full submission of a claim packet. This would save time and paperwork burden while still protecting TTB revenue from the risk associated with larger, significant dollar amounts. Most of these returns are for small quantities of material being returned from a tax paid shipment. There of course could and should be limitations on the use of this exception, depending on the reason for the claim, etc. The exact dollar amount limitation would of course depend on the historical data of all received claims - either looking at a lower end percentage or some other statistical method.</w:t>
      </w:r>
      <w:r w:rsidRPr="00F0454E">
        <w:rPr>
          <w:sz w:val="22"/>
          <w:szCs w:val="22"/>
        </w:rPr>
        <w:t xml:space="preserve"> </w:t>
      </w:r>
    </w:p>
    <w:p w14:paraId="2F283F76" w14:textId="77777777" w:rsidR="003401A2" w:rsidRDefault="003401A2" w:rsidP="00E01404">
      <w:pPr>
        <w:widowControl/>
        <w:ind w:left="360"/>
        <w:rPr>
          <w:sz w:val="22"/>
          <w:szCs w:val="22"/>
        </w:rPr>
      </w:pPr>
    </w:p>
    <w:p w14:paraId="361756E1" w14:textId="7AD96010" w:rsidR="003401A2" w:rsidRDefault="00F0454E" w:rsidP="00E01404">
      <w:pPr>
        <w:widowControl/>
        <w:ind w:left="360"/>
        <w:rPr>
          <w:sz w:val="22"/>
          <w:szCs w:val="22"/>
        </w:rPr>
      </w:pPr>
      <w:r w:rsidRPr="00F0454E">
        <w:rPr>
          <w:sz w:val="22"/>
          <w:szCs w:val="22"/>
          <w:u w:val="single"/>
        </w:rPr>
        <w:t>TTB response:</w:t>
      </w:r>
      <w:r>
        <w:rPr>
          <w:sz w:val="22"/>
          <w:szCs w:val="22"/>
        </w:rPr>
        <w:t xml:space="preserve">  TTB notes that u</w:t>
      </w:r>
      <w:r w:rsidRPr="00F0454E">
        <w:rPr>
          <w:sz w:val="22"/>
          <w:szCs w:val="22"/>
        </w:rPr>
        <w:t xml:space="preserve">nder </w:t>
      </w:r>
      <w:r>
        <w:rPr>
          <w:sz w:val="22"/>
          <w:szCs w:val="22"/>
        </w:rPr>
        <w:t>its distilled spirits regulations at 27 CFR 1</w:t>
      </w:r>
      <w:r w:rsidRPr="00F0454E">
        <w:rPr>
          <w:sz w:val="22"/>
          <w:szCs w:val="22"/>
        </w:rPr>
        <w:t>9.266</w:t>
      </w:r>
      <w:r>
        <w:rPr>
          <w:sz w:val="22"/>
          <w:szCs w:val="22"/>
        </w:rPr>
        <w:t xml:space="preserve">, </w:t>
      </w:r>
      <w:r w:rsidRPr="00F0454E">
        <w:rPr>
          <w:sz w:val="22"/>
          <w:szCs w:val="22"/>
        </w:rPr>
        <w:t xml:space="preserve">a proprietor may not anticipate allowance of a credit or make an adjusting entry in a tax return pending </w:t>
      </w:r>
      <w:r w:rsidR="00B470D0">
        <w:rPr>
          <w:sz w:val="22"/>
          <w:szCs w:val="22"/>
        </w:rPr>
        <w:t xml:space="preserve">TTB </w:t>
      </w:r>
      <w:r w:rsidRPr="00F0454E">
        <w:rPr>
          <w:sz w:val="22"/>
          <w:szCs w:val="22"/>
        </w:rPr>
        <w:t xml:space="preserve">action on </w:t>
      </w:r>
      <w:r>
        <w:rPr>
          <w:sz w:val="22"/>
          <w:szCs w:val="22"/>
        </w:rPr>
        <w:t xml:space="preserve">a claim for drawback of tax.  In order to protect the revenue, </w:t>
      </w:r>
      <w:r w:rsidRPr="00F0454E">
        <w:rPr>
          <w:sz w:val="22"/>
          <w:szCs w:val="22"/>
        </w:rPr>
        <w:t xml:space="preserve">TTB must review </w:t>
      </w:r>
      <w:r>
        <w:rPr>
          <w:sz w:val="22"/>
          <w:szCs w:val="22"/>
        </w:rPr>
        <w:t xml:space="preserve">all such </w:t>
      </w:r>
      <w:r w:rsidRPr="00F0454E">
        <w:rPr>
          <w:sz w:val="22"/>
          <w:szCs w:val="22"/>
        </w:rPr>
        <w:t xml:space="preserve">claims to ensure that they meet statutory </w:t>
      </w:r>
      <w:r>
        <w:rPr>
          <w:sz w:val="22"/>
          <w:szCs w:val="22"/>
        </w:rPr>
        <w:t xml:space="preserve">and regulatory </w:t>
      </w:r>
      <w:r w:rsidRPr="00F0454E">
        <w:rPr>
          <w:sz w:val="22"/>
          <w:szCs w:val="22"/>
        </w:rPr>
        <w:t xml:space="preserve">requirements for credits, abatement, remission, or refund of </w:t>
      </w:r>
      <w:r>
        <w:rPr>
          <w:sz w:val="22"/>
          <w:szCs w:val="22"/>
        </w:rPr>
        <w:t xml:space="preserve">excise </w:t>
      </w:r>
      <w:r w:rsidRPr="00F0454E">
        <w:rPr>
          <w:sz w:val="22"/>
          <w:szCs w:val="22"/>
        </w:rPr>
        <w:t>tax.</w:t>
      </w:r>
      <w:r>
        <w:rPr>
          <w:sz w:val="22"/>
          <w:szCs w:val="22"/>
        </w:rPr>
        <w:t xml:space="preserve"> </w:t>
      </w:r>
    </w:p>
    <w:p w14:paraId="51D0A24E" w14:textId="77777777" w:rsidR="008646E8" w:rsidRPr="00A72AE6" w:rsidRDefault="008646E8" w:rsidP="00E01404">
      <w:pPr>
        <w:widowControl/>
        <w:tabs>
          <w:tab w:val="left" w:pos="540"/>
        </w:tabs>
        <w:rPr>
          <w:sz w:val="36"/>
          <w:szCs w:val="36"/>
        </w:rPr>
      </w:pPr>
    </w:p>
    <w:p w14:paraId="4BEF775B" w14:textId="77777777" w:rsidR="008820FE" w:rsidRPr="00D656EA" w:rsidRDefault="008820FE" w:rsidP="00E01404">
      <w:pPr>
        <w:widowControl/>
        <w:suppressAutoHyphens/>
        <w:rPr>
          <w:i/>
          <w:sz w:val="22"/>
          <w:szCs w:val="22"/>
        </w:rPr>
      </w:pPr>
      <w:r w:rsidRPr="00D656EA">
        <w:rPr>
          <w:i/>
          <w:sz w:val="22"/>
          <w:szCs w:val="22"/>
        </w:rPr>
        <w:t xml:space="preserve">9.  </w:t>
      </w:r>
      <w:r>
        <w:rPr>
          <w:i/>
          <w:sz w:val="22"/>
          <w:szCs w:val="22"/>
        </w:rPr>
        <w:t xml:space="preserve">Was any payment or </w:t>
      </w:r>
      <w:r w:rsidRPr="00D656EA">
        <w:rPr>
          <w:i/>
          <w:sz w:val="22"/>
          <w:szCs w:val="22"/>
        </w:rPr>
        <w:t xml:space="preserve">gift </w:t>
      </w:r>
      <w:r>
        <w:rPr>
          <w:i/>
          <w:sz w:val="22"/>
          <w:szCs w:val="22"/>
        </w:rPr>
        <w:t xml:space="preserve">given </w:t>
      </w:r>
      <w:r w:rsidRPr="00D656EA">
        <w:rPr>
          <w:i/>
          <w:sz w:val="22"/>
          <w:szCs w:val="22"/>
        </w:rPr>
        <w:t>to respondents, other than remuneration of contractors or grantees?</w:t>
      </w:r>
      <w:r>
        <w:rPr>
          <w:i/>
          <w:sz w:val="22"/>
          <w:szCs w:val="22"/>
        </w:rPr>
        <w:t xml:space="preserve">  If so, why? </w:t>
      </w:r>
    </w:p>
    <w:p w14:paraId="3CC2C2EA" w14:textId="77777777" w:rsidR="008820FE" w:rsidRPr="007A5D4B" w:rsidRDefault="008820FE" w:rsidP="00E01404">
      <w:pPr>
        <w:widowControl/>
        <w:suppressAutoHyphens/>
        <w:ind w:left="360"/>
        <w:rPr>
          <w:sz w:val="22"/>
          <w:szCs w:val="22"/>
        </w:rPr>
      </w:pPr>
    </w:p>
    <w:p w14:paraId="16BC5138" w14:textId="77777777" w:rsidR="00533D2D" w:rsidRPr="00B743A7" w:rsidRDefault="00533D2D" w:rsidP="00E01404">
      <w:pPr>
        <w:widowControl/>
        <w:ind w:left="360"/>
        <w:rPr>
          <w:sz w:val="22"/>
          <w:szCs w:val="22"/>
        </w:rPr>
      </w:pPr>
      <w:r w:rsidRPr="00B743A7">
        <w:rPr>
          <w:sz w:val="22"/>
          <w:szCs w:val="22"/>
        </w:rPr>
        <w:t>No payment or gift is associated with this collection.</w:t>
      </w:r>
      <w:r w:rsidR="00CB2A70">
        <w:rPr>
          <w:sz w:val="22"/>
          <w:szCs w:val="22"/>
        </w:rPr>
        <w:t xml:space="preserve"> </w:t>
      </w:r>
    </w:p>
    <w:p w14:paraId="51848C63" w14:textId="77777777" w:rsidR="00533D2D" w:rsidRPr="00A72AE6" w:rsidRDefault="00533D2D" w:rsidP="00E01404">
      <w:pPr>
        <w:widowControl/>
        <w:tabs>
          <w:tab w:val="left" w:pos="540"/>
        </w:tabs>
        <w:rPr>
          <w:sz w:val="36"/>
          <w:szCs w:val="36"/>
        </w:rPr>
      </w:pPr>
    </w:p>
    <w:p w14:paraId="650A90E6" w14:textId="77777777" w:rsidR="008820FE" w:rsidRPr="00D656EA" w:rsidRDefault="008820FE" w:rsidP="00E01404">
      <w:pPr>
        <w:widowControl/>
        <w:suppressAutoHyphens/>
        <w:rPr>
          <w:i/>
          <w:sz w:val="22"/>
          <w:szCs w:val="22"/>
        </w:rPr>
      </w:pPr>
      <w:r w:rsidRPr="00D656EA">
        <w:rPr>
          <w:i/>
          <w:sz w:val="22"/>
          <w:szCs w:val="22"/>
        </w:rPr>
        <w:t>10.  What assurance of confidentiality was provided to respondents</w:t>
      </w:r>
      <w:r>
        <w:rPr>
          <w:i/>
          <w:sz w:val="22"/>
          <w:szCs w:val="22"/>
        </w:rPr>
        <w:t>,</w:t>
      </w:r>
      <w:r w:rsidRPr="00D656EA">
        <w:rPr>
          <w:i/>
          <w:sz w:val="22"/>
          <w:szCs w:val="22"/>
        </w:rPr>
        <w:t xml:space="preserve"> and what was the basis for the assurance in statute, regulations, or agency policy?</w:t>
      </w:r>
      <w:r>
        <w:rPr>
          <w:i/>
          <w:sz w:val="22"/>
          <w:szCs w:val="22"/>
        </w:rPr>
        <w:t xml:space="preserve"> </w:t>
      </w:r>
    </w:p>
    <w:p w14:paraId="6165A6B6" w14:textId="77777777" w:rsidR="008820FE" w:rsidRPr="0055605C" w:rsidRDefault="008820FE" w:rsidP="00E01404">
      <w:pPr>
        <w:widowControl/>
        <w:ind w:left="360"/>
        <w:rPr>
          <w:sz w:val="22"/>
          <w:szCs w:val="22"/>
        </w:rPr>
      </w:pPr>
    </w:p>
    <w:p w14:paraId="08C2ED25" w14:textId="6C91AE23" w:rsidR="003260F4" w:rsidRDefault="008A45CF" w:rsidP="00E01404">
      <w:pPr>
        <w:widowControl/>
        <w:ind w:left="360"/>
        <w:rPr>
          <w:sz w:val="22"/>
          <w:szCs w:val="22"/>
        </w:rPr>
      </w:pPr>
      <w:r w:rsidRPr="001C71B3">
        <w:rPr>
          <w:sz w:val="22"/>
          <w:szCs w:val="22"/>
        </w:rPr>
        <w:t>No specific assurance of confidentiality is provided on this form</w:t>
      </w:r>
      <w:r>
        <w:rPr>
          <w:sz w:val="22"/>
          <w:szCs w:val="22"/>
        </w:rPr>
        <w:t>.</w:t>
      </w:r>
      <w:r w:rsidR="00B81FFD">
        <w:rPr>
          <w:sz w:val="22"/>
          <w:szCs w:val="22"/>
        </w:rPr>
        <w:t xml:space="preserve"> </w:t>
      </w:r>
      <w:r w:rsidR="003A6614">
        <w:rPr>
          <w:sz w:val="22"/>
          <w:szCs w:val="22"/>
        </w:rPr>
        <w:t xml:space="preserve"> </w:t>
      </w:r>
      <w:r w:rsidR="003260F4">
        <w:rPr>
          <w:sz w:val="22"/>
          <w:szCs w:val="22"/>
        </w:rPr>
        <w:t xml:space="preserve">However, the IRC at </w:t>
      </w:r>
      <w:r w:rsidR="003260F4" w:rsidRPr="003260F4">
        <w:rPr>
          <w:sz w:val="22"/>
          <w:szCs w:val="22"/>
        </w:rPr>
        <w:t xml:space="preserve">26 U.S.C. 6103 prohibits disclosure of </w:t>
      </w:r>
      <w:r w:rsidR="003260F4">
        <w:rPr>
          <w:sz w:val="22"/>
          <w:szCs w:val="22"/>
        </w:rPr>
        <w:t xml:space="preserve">taxpayer and </w:t>
      </w:r>
      <w:r w:rsidR="003260F4" w:rsidRPr="003260F4">
        <w:rPr>
          <w:sz w:val="22"/>
          <w:szCs w:val="22"/>
        </w:rPr>
        <w:t xml:space="preserve">tax return information unless disclosure is specifically authorized by that section.  In addition, </w:t>
      </w:r>
      <w:r w:rsidR="003260F4">
        <w:rPr>
          <w:sz w:val="22"/>
          <w:szCs w:val="22"/>
        </w:rPr>
        <w:t xml:space="preserve">TTB F 5000.24 </w:t>
      </w:r>
      <w:r w:rsidR="003260F4" w:rsidRPr="003260F4">
        <w:rPr>
          <w:sz w:val="22"/>
          <w:szCs w:val="22"/>
        </w:rPr>
        <w:t xml:space="preserve">includes a </w:t>
      </w:r>
      <w:r w:rsidR="003260F4">
        <w:rPr>
          <w:sz w:val="22"/>
          <w:szCs w:val="22"/>
        </w:rPr>
        <w:t xml:space="preserve">general </w:t>
      </w:r>
      <w:r w:rsidR="003260F4" w:rsidRPr="003260F4">
        <w:rPr>
          <w:sz w:val="22"/>
          <w:szCs w:val="22"/>
        </w:rPr>
        <w:t>Privacy Act Statement explaining what TTB uses the requested information for and to whom and for what purposes the information may be disclosed</w:t>
      </w:r>
      <w:r w:rsidR="003260F4">
        <w:rPr>
          <w:sz w:val="22"/>
          <w:szCs w:val="22"/>
        </w:rPr>
        <w:t xml:space="preserve">, as well as a Privacy Act notice regarding TTB’s use of information provided on a taxpayer’s check.  </w:t>
      </w:r>
      <w:r w:rsidR="003260F4" w:rsidRPr="003260F4">
        <w:rPr>
          <w:sz w:val="22"/>
          <w:szCs w:val="22"/>
        </w:rPr>
        <w:t xml:space="preserve">TTB maintains these forms in secure file rooms </w:t>
      </w:r>
      <w:r w:rsidR="003260F4">
        <w:rPr>
          <w:sz w:val="22"/>
          <w:szCs w:val="22"/>
        </w:rPr>
        <w:t>with controlled access, and the provided information is maintained in password-protected c</w:t>
      </w:r>
      <w:r w:rsidR="003260F4" w:rsidRPr="003260F4">
        <w:rPr>
          <w:sz w:val="22"/>
          <w:szCs w:val="22"/>
        </w:rPr>
        <w:t>omputer systems.</w:t>
      </w:r>
      <w:r w:rsidR="003260F4">
        <w:rPr>
          <w:sz w:val="22"/>
          <w:szCs w:val="22"/>
        </w:rPr>
        <w:t xml:space="preserve"> </w:t>
      </w:r>
    </w:p>
    <w:p w14:paraId="3A1C2613" w14:textId="77777777" w:rsidR="00533D2D" w:rsidRPr="00A72AE6" w:rsidRDefault="00533D2D" w:rsidP="00E01404">
      <w:pPr>
        <w:widowControl/>
        <w:rPr>
          <w:sz w:val="36"/>
          <w:szCs w:val="36"/>
        </w:rPr>
      </w:pPr>
    </w:p>
    <w:p w14:paraId="64ED8B3B" w14:textId="77777777" w:rsidR="000112FC" w:rsidRPr="008F6EA7" w:rsidRDefault="000112FC" w:rsidP="00E01404">
      <w:pPr>
        <w:widowControl/>
        <w:rPr>
          <w:i/>
          <w:sz w:val="22"/>
          <w:szCs w:val="22"/>
        </w:rPr>
      </w:pPr>
      <w:r w:rsidRPr="008F6EA7">
        <w:rPr>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08033898" w14:textId="77777777" w:rsidR="000112FC" w:rsidRDefault="000112FC" w:rsidP="00E01404">
      <w:pPr>
        <w:widowControl/>
        <w:ind w:left="360"/>
        <w:rPr>
          <w:sz w:val="22"/>
          <w:szCs w:val="22"/>
        </w:rPr>
      </w:pPr>
    </w:p>
    <w:p w14:paraId="7BBCA379" w14:textId="4761AFB4" w:rsidR="00851251" w:rsidRPr="00437568" w:rsidRDefault="0098343D" w:rsidP="00E01404">
      <w:pPr>
        <w:widowControl/>
        <w:tabs>
          <w:tab w:val="left" w:pos="540"/>
        </w:tabs>
        <w:ind w:left="360"/>
        <w:rPr>
          <w:sz w:val="22"/>
          <w:szCs w:val="22"/>
        </w:rPr>
      </w:pPr>
      <w:r>
        <w:rPr>
          <w:sz w:val="22"/>
          <w:szCs w:val="22"/>
        </w:rPr>
        <w:t xml:space="preserve">This information collection contains no questions of a sensitive nature. </w:t>
      </w:r>
      <w:r w:rsidR="00A92468">
        <w:rPr>
          <w:sz w:val="22"/>
          <w:szCs w:val="22"/>
        </w:rPr>
        <w:t xml:space="preserve"> </w:t>
      </w:r>
      <w:r w:rsidR="00935A31">
        <w:rPr>
          <w:sz w:val="22"/>
          <w:szCs w:val="22"/>
        </w:rPr>
        <w:t>This collection contains personally identifiable information (PII) that is collected in an electronic system.  A</w:t>
      </w:r>
      <w:r w:rsidR="00851251" w:rsidRPr="00437568">
        <w:rPr>
          <w:sz w:val="22"/>
          <w:szCs w:val="22"/>
        </w:rPr>
        <w:t xml:space="preserve"> Privacy Impact Assessment (PIA) has been conducted for information collected under this request as part of the Tax Major Application </w:t>
      </w:r>
      <w:r w:rsidR="00F0454E">
        <w:rPr>
          <w:sz w:val="22"/>
          <w:szCs w:val="22"/>
        </w:rPr>
        <w:t>s</w:t>
      </w:r>
      <w:r w:rsidR="00851251" w:rsidRPr="00437568">
        <w:rPr>
          <w:sz w:val="22"/>
          <w:szCs w:val="22"/>
        </w:rPr>
        <w:t>ystem</w:t>
      </w:r>
      <w:r w:rsidR="00F0454E">
        <w:rPr>
          <w:sz w:val="22"/>
          <w:szCs w:val="22"/>
        </w:rPr>
        <w:t>s</w:t>
      </w:r>
      <w:r w:rsidR="00935A31">
        <w:rPr>
          <w:sz w:val="22"/>
          <w:szCs w:val="22"/>
        </w:rPr>
        <w:t>, and a</w:t>
      </w:r>
      <w:r w:rsidR="00851251" w:rsidRPr="00437568">
        <w:rPr>
          <w:sz w:val="22"/>
          <w:szCs w:val="22"/>
        </w:rPr>
        <w:t xml:space="preserve"> Privacy Act System of Records notice (SORN) has been issued for th</w:t>
      </w:r>
      <w:r w:rsidR="00935A31">
        <w:rPr>
          <w:sz w:val="22"/>
          <w:szCs w:val="22"/>
        </w:rPr>
        <w:t>at</w:t>
      </w:r>
      <w:r w:rsidR="00851251" w:rsidRPr="00437568">
        <w:rPr>
          <w:sz w:val="22"/>
          <w:szCs w:val="22"/>
        </w:rPr>
        <w:t xml:space="preserve"> system under TTB .001–Regulatory Enforcement Record System and published in the Federal Register on January 28, 2015, at 80 FR 4637.  TTB’s PIAs are available on the TTB website at </w:t>
      </w:r>
      <w:hyperlink r:id="rId13" w:history="1">
        <w:r w:rsidR="00935A31" w:rsidRPr="00381259">
          <w:rPr>
            <w:rStyle w:val="Hyperlink"/>
            <w:sz w:val="22"/>
            <w:szCs w:val="22"/>
          </w:rPr>
          <w:t>http://www.ttb.gov/foia/pia.shtml</w:t>
        </w:r>
      </w:hyperlink>
      <w:r w:rsidR="00851251" w:rsidRPr="00437568">
        <w:rPr>
          <w:sz w:val="22"/>
          <w:szCs w:val="22"/>
        </w:rPr>
        <w:t xml:space="preserve">. </w:t>
      </w:r>
    </w:p>
    <w:p w14:paraId="0ED843CF" w14:textId="77777777" w:rsidR="00837B67" w:rsidRPr="00A72AE6" w:rsidRDefault="00837B67" w:rsidP="00E01404">
      <w:pPr>
        <w:widowControl/>
        <w:rPr>
          <w:sz w:val="36"/>
          <w:szCs w:val="36"/>
        </w:rPr>
      </w:pPr>
    </w:p>
    <w:p w14:paraId="19AE1094" w14:textId="77777777" w:rsidR="00DB0428" w:rsidRPr="00AF060A" w:rsidRDefault="00DB0428" w:rsidP="00E01404">
      <w:pPr>
        <w:widowControl/>
        <w:suppressAutoHyphens/>
        <w:rPr>
          <w:i/>
          <w:sz w:val="22"/>
          <w:szCs w:val="22"/>
        </w:rPr>
      </w:pPr>
      <w:r w:rsidRPr="00AF060A">
        <w:rPr>
          <w:i/>
          <w:sz w:val="22"/>
          <w:szCs w:val="22"/>
        </w:rPr>
        <w:t xml:space="preserve">12.  What is the estimated hour burden of this collection of information? </w:t>
      </w:r>
    </w:p>
    <w:p w14:paraId="45BEAFF8" w14:textId="77777777" w:rsidR="00DB0428" w:rsidRPr="007A5D4B" w:rsidRDefault="00DB0428" w:rsidP="00E01404">
      <w:pPr>
        <w:widowControl/>
        <w:suppressAutoHyphens/>
        <w:rPr>
          <w:sz w:val="22"/>
          <w:szCs w:val="22"/>
        </w:rPr>
      </w:pPr>
    </w:p>
    <w:p w14:paraId="3F718B65" w14:textId="567DD85E" w:rsidR="00B470D0" w:rsidRDefault="004176FF" w:rsidP="00E01404">
      <w:pPr>
        <w:widowControl/>
        <w:ind w:left="540"/>
        <w:rPr>
          <w:sz w:val="22"/>
          <w:szCs w:val="22"/>
        </w:rPr>
      </w:pPr>
      <w:r>
        <w:rPr>
          <w:sz w:val="22"/>
          <w:szCs w:val="22"/>
        </w:rPr>
        <w:t xml:space="preserve">TTB estimates that </w:t>
      </w:r>
      <w:r w:rsidR="002F38E2">
        <w:rPr>
          <w:sz w:val="22"/>
          <w:szCs w:val="22"/>
        </w:rPr>
        <w:t>the excise tax return form, TTB F 5000.24, w</w:t>
      </w:r>
      <w:r>
        <w:rPr>
          <w:sz w:val="22"/>
          <w:szCs w:val="22"/>
        </w:rPr>
        <w:t>ill be</w:t>
      </w:r>
      <w:r w:rsidR="00CD40F1">
        <w:rPr>
          <w:sz w:val="22"/>
          <w:szCs w:val="22"/>
        </w:rPr>
        <w:t xml:space="preserve"> filed annually by 18,479 respondents and </w:t>
      </w:r>
      <w:r>
        <w:rPr>
          <w:sz w:val="22"/>
          <w:szCs w:val="22"/>
        </w:rPr>
        <w:t xml:space="preserve">that </w:t>
      </w:r>
      <w:r w:rsidR="00CD40F1">
        <w:rPr>
          <w:sz w:val="22"/>
          <w:szCs w:val="22"/>
        </w:rPr>
        <w:t>TTB</w:t>
      </w:r>
      <w:r>
        <w:rPr>
          <w:sz w:val="22"/>
          <w:szCs w:val="22"/>
        </w:rPr>
        <w:t xml:space="preserve"> will</w:t>
      </w:r>
      <w:r w:rsidR="00CD40F1">
        <w:rPr>
          <w:sz w:val="22"/>
          <w:szCs w:val="22"/>
        </w:rPr>
        <w:t xml:space="preserve"> receive a total of 1</w:t>
      </w:r>
      <w:r>
        <w:rPr>
          <w:sz w:val="22"/>
          <w:szCs w:val="22"/>
        </w:rPr>
        <w:t>14,517</w:t>
      </w:r>
      <w:r w:rsidR="00CD40F1">
        <w:rPr>
          <w:sz w:val="22"/>
          <w:szCs w:val="22"/>
        </w:rPr>
        <w:t xml:space="preserve"> returns.  With a</w:t>
      </w:r>
      <w:r w:rsidR="002F38E2">
        <w:rPr>
          <w:sz w:val="22"/>
          <w:szCs w:val="22"/>
        </w:rPr>
        <w:t xml:space="preserve"> </w:t>
      </w:r>
      <w:r w:rsidR="00CD40F1">
        <w:rPr>
          <w:sz w:val="22"/>
          <w:szCs w:val="22"/>
        </w:rPr>
        <w:t xml:space="preserve">burden of 0.75 hours per return, this results in </w:t>
      </w:r>
      <w:r w:rsidR="002F38E2">
        <w:rPr>
          <w:sz w:val="22"/>
          <w:szCs w:val="22"/>
        </w:rPr>
        <w:t xml:space="preserve">an estimated </w:t>
      </w:r>
      <w:r w:rsidR="00CD40F1">
        <w:rPr>
          <w:sz w:val="22"/>
          <w:szCs w:val="22"/>
        </w:rPr>
        <w:t xml:space="preserve">total </w:t>
      </w:r>
      <w:r w:rsidR="002F38E2">
        <w:rPr>
          <w:sz w:val="22"/>
          <w:szCs w:val="22"/>
        </w:rPr>
        <w:t>annual burden of</w:t>
      </w:r>
      <w:r w:rsidR="00CD40F1">
        <w:rPr>
          <w:sz w:val="22"/>
          <w:szCs w:val="22"/>
        </w:rPr>
        <w:t xml:space="preserve"> </w:t>
      </w:r>
      <w:r>
        <w:rPr>
          <w:sz w:val="22"/>
          <w:szCs w:val="22"/>
        </w:rPr>
        <w:t>85,888</w:t>
      </w:r>
      <w:r w:rsidR="00CD40F1">
        <w:rPr>
          <w:sz w:val="22"/>
          <w:szCs w:val="22"/>
        </w:rPr>
        <w:t xml:space="preserve"> hours.  Respondents file at different time intervals, depending on their individual circumstances</w:t>
      </w:r>
      <w:r w:rsidR="004829D3">
        <w:rPr>
          <w:sz w:val="22"/>
          <w:szCs w:val="22"/>
        </w:rPr>
        <w:t xml:space="preserve"> and the regulatory requirements that they meet</w:t>
      </w:r>
      <w:r w:rsidR="00CD40F1">
        <w:rPr>
          <w:sz w:val="22"/>
          <w:szCs w:val="22"/>
        </w:rPr>
        <w:t xml:space="preserve">.  The burden is summarized as follows: </w:t>
      </w:r>
    </w:p>
    <w:p w14:paraId="6E0924D6" w14:textId="77777777" w:rsidR="00B470D0" w:rsidRDefault="00B470D0" w:rsidP="00E01404">
      <w:pPr>
        <w:widowControl/>
        <w:ind w:left="54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1483"/>
        <w:gridCol w:w="1473"/>
        <w:gridCol w:w="1467"/>
        <w:gridCol w:w="1221"/>
        <w:gridCol w:w="1413"/>
        <w:gridCol w:w="1109"/>
      </w:tblGrid>
      <w:tr w:rsidR="00B470D0" w:rsidRPr="007F2786" w14:paraId="6AD889B8" w14:textId="15BD03E2" w:rsidTr="00B470D0">
        <w:trPr>
          <w:trHeight w:val="432"/>
          <w:jc w:val="center"/>
        </w:trPr>
        <w:tc>
          <w:tcPr>
            <w:tcW w:w="1410" w:type="dxa"/>
            <w:shd w:val="clear" w:color="auto" w:fill="auto"/>
            <w:vAlign w:val="center"/>
          </w:tcPr>
          <w:p w14:paraId="7367CE5C" w14:textId="01124D0D" w:rsidR="00B470D0" w:rsidRPr="00F2430A" w:rsidRDefault="00B470D0" w:rsidP="00E01404">
            <w:pPr>
              <w:widowControl/>
              <w:tabs>
                <w:tab w:val="right" w:pos="7920"/>
              </w:tabs>
              <w:jc w:val="center"/>
              <w:rPr>
                <w:b/>
              </w:rPr>
            </w:pPr>
            <w:r>
              <w:br w:type="page"/>
            </w:r>
            <w:r>
              <w:rPr>
                <w:sz w:val="22"/>
                <w:szCs w:val="22"/>
              </w:rPr>
              <w:br w:type="page"/>
            </w:r>
            <w:r w:rsidRPr="00F2430A">
              <w:rPr>
                <w:b/>
              </w:rPr>
              <w:t>Frequency</w:t>
            </w:r>
          </w:p>
        </w:tc>
        <w:tc>
          <w:tcPr>
            <w:tcW w:w="1483" w:type="dxa"/>
            <w:shd w:val="clear" w:color="auto" w:fill="auto"/>
            <w:vAlign w:val="center"/>
          </w:tcPr>
          <w:p w14:paraId="7064A70B" w14:textId="77777777" w:rsidR="00B470D0" w:rsidRPr="00F2430A" w:rsidRDefault="00B470D0" w:rsidP="00E01404">
            <w:pPr>
              <w:widowControl/>
              <w:tabs>
                <w:tab w:val="right" w:pos="7920"/>
              </w:tabs>
              <w:jc w:val="center"/>
              <w:rPr>
                <w:b/>
              </w:rPr>
            </w:pPr>
            <w:r w:rsidRPr="00F2430A">
              <w:rPr>
                <w:b/>
              </w:rPr>
              <w:t>No. of Respondents</w:t>
            </w:r>
          </w:p>
        </w:tc>
        <w:tc>
          <w:tcPr>
            <w:tcW w:w="1473" w:type="dxa"/>
            <w:shd w:val="clear" w:color="auto" w:fill="auto"/>
            <w:vAlign w:val="center"/>
          </w:tcPr>
          <w:p w14:paraId="60693912" w14:textId="77777777" w:rsidR="00B470D0" w:rsidRPr="00F2430A" w:rsidRDefault="00B470D0" w:rsidP="00E01404">
            <w:pPr>
              <w:widowControl/>
              <w:tabs>
                <w:tab w:val="right" w:pos="7920"/>
              </w:tabs>
              <w:jc w:val="center"/>
              <w:rPr>
                <w:b/>
              </w:rPr>
            </w:pPr>
            <w:r w:rsidRPr="00F2430A">
              <w:rPr>
                <w:b/>
              </w:rPr>
              <w:t>Responses per Respondent</w:t>
            </w:r>
          </w:p>
        </w:tc>
        <w:tc>
          <w:tcPr>
            <w:tcW w:w="1467" w:type="dxa"/>
            <w:shd w:val="clear" w:color="auto" w:fill="auto"/>
            <w:vAlign w:val="center"/>
          </w:tcPr>
          <w:p w14:paraId="3FBF4CEB" w14:textId="77777777" w:rsidR="00B470D0" w:rsidRPr="00F2430A" w:rsidRDefault="00B470D0" w:rsidP="00E01404">
            <w:pPr>
              <w:widowControl/>
              <w:tabs>
                <w:tab w:val="right" w:pos="7920"/>
              </w:tabs>
              <w:jc w:val="center"/>
              <w:rPr>
                <w:b/>
              </w:rPr>
            </w:pPr>
            <w:r w:rsidRPr="00F2430A">
              <w:rPr>
                <w:b/>
              </w:rPr>
              <w:t>No. of Responses</w:t>
            </w:r>
          </w:p>
        </w:tc>
        <w:tc>
          <w:tcPr>
            <w:tcW w:w="1221" w:type="dxa"/>
            <w:shd w:val="clear" w:color="auto" w:fill="auto"/>
            <w:vAlign w:val="center"/>
          </w:tcPr>
          <w:p w14:paraId="28F6A3FF" w14:textId="77777777" w:rsidR="00B470D0" w:rsidRPr="00F2430A" w:rsidRDefault="00B470D0" w:rsidP="00E01404">
            <w:pPr>
              <w:widowControl/>
              <w:tabs>
                <w:tab w:val="right" w:pos="7920"/>
              </w:tabs>
              <w:jc w:val="center"/>
              <w:rPr>
                <w:b/>
              </w:rPr>
            </w:pPr>
            <w:r w:rsidRPr="00F2430A">
              <w:rPr>
                <w:b/>
              </w:rPr>
              <w:t>Hours per Response</w:t>
            </w:r>
          </w:p>
        </w:tc>
        <w:tc>
          <w:tcPr>
            <w:tcW w:w="1413" w:type="dxa"/>
            <w:shd w:val="clear" w:color="auto" w:fill="auto"/>
            <w:vAlign w:val="center"/>
          </w:tcPr>
          <w:p w14:paraId="18FE3233" w14:textId="77777777" w:rsidR="00B470D0" w:rsidRPr="00F2430A" w:rsidRDefault="00B470D0" w:rsidP="00E01404">
            <w:pPr>
              <w:widowControl/>
              <w:tabs>
                <w:tab w:val="right" w:pos="7920"/>
              </w:tabs>
              <w:jc w:val="center"/>
              <w:rPr>
                <w:b/>
              </w:rPr>
            </w:pPr>
            <w:r w:rsidRPr="00F2430A">
              <w:rPr>
                <w:b/>
              </w:rPr>
              <w:t>Burden Hours</w:t>
            </w:r>
          </w:p>
        </w:tc>
        <w:tc>
          <w:tcPr>
            <w:tcW w:w="1109" w:type="dxa"/>
          </w:tcPr>
          <w:p w14:paraId="0F4ABACA" w14:textId="77777777" w:rsidR="00B470D0" w:rsidRPr="00F2430A" w:rsidRDefault="00B470D0" w:rsidP="00E01404">
            <w:pPr>
              <w:widowControl/>
              <w:tabs>
                <w:tab w:val="right" w:pos="7920"/>
              </w:tabs>
              <w:jc w:val="center"/>
              <w:rPr>
                <w:b/>
              </w:rPr>
            </w:pPr>
          </w:p>
        </w:tc>
      </w:tr>
      <w:tr w:rsidR="00B470D0" w:rsidRPr="007F2786" w14:paraId="1305FC7A" w14:textId="40EC8803" w:rsidTr="00B470D0">
        <w:trPr>
          <w:trHeight w:val="432"/>
          <w:jc w:val="center"/>
        </w:trPr>
        <w:tc>
          <w:tcPr>
            <w:tcW w:w="1410" w:type="dxa"/>
            <w:shd w:val="clear" w:color="auto" w:fill="auto"/>
            <w:vAlign w:val="center"/>
          </w:tcPr>
          <w:p w14:paraId="102844B8" w14:textId="77777777" w:rsidR="00B470D0" w:rsidRPr="00F2430A" w:rsidRDefault="00B470D0" w:rsidP="00E01404">
            <w:pPr>
              <w:widowControl/>
              <w:autoSpaceDE/>
              <w:autoSpaceDN/>
              <w:adjustRightInd/>
              <w:jc w:val="right"/>
              <w:rPr>
                <w:rFonts w:eastAsia="Calibri"/>
                <w:color w:val="000000"/>
              </w:rPr>
            </w:pPr>
            <w:r w:rsidRPr="00F2430A">
              <w:rPr>
                <w:rFonts w:eastAsia="Calibri"/>
                <w:color w:val="000000"/>
              </w:rPr>
              <w:t>Pre-Payment</w:t>
            </w:r>
          </w:p>
        </w:tc>
        <w:tc>
          <w:tcPr>
            <w:tcW w:w="1483" w:type="dxa"/>
            <w:shd w:val="clear" w:color="auto" w:fill="auto"/>
            <w:vAlign w:val="center"/>
          </w:tcPr>
          <w:p w14:paraId="73E0F778" w14:textId="77777777" w:rsidR="00B470D0" w:rsidRPr="00F2430A" w:rsidRDefault="00B470D0" w:rsidP="00E01404">
            <w:pPr>
              <w:widowControl/>
              <w:autoSpaceDE/>
              <w:autoSpaceDN/>
              <w:adjustRightInd/>
              <w:jc w:val="right"/>
              <w:rPr>
                <w:rFonts w:eastAsia="Calibri"/>
                <w:color w:val="000000"/>
                <w:sz w:val="22"/>
                <w:szCs w:val="22"/>
              </w:rPr>
            </w:pPr>
            <w:r w:rsidRPr="00F2430A">
              <w:rPr>
                <w:rFonts w:eastAsia="Calibri"/>
                <w:color w:val="000000"/>
                <w:sz w:val="22"/>
                <w:szCs w:val="22"/>
              </w:rPr>
              <w:t>22</w:t>
            </w:r>
          </w:p>
        </w:tc>
        <w:tc>
          <w:tcPr>
            <w:tcW w:w="1473" w:type="dxa"/>
            <w:shd w:val="clear" w:color="auto" w:fill="auto"/>
            <w:vAlign w:val="center"/>
          </w:tcPr>
          <w:p w14:paraId="1882B261" w14:textId="77777777" w:rsidR="00B470D0" w:rsidRPr="00F2430A" w:rsidRDefault="00B470D0" w:rsidP="00E01404">
            <w:pPr>
              <w:widowControl/>
              <w:autoSpaceDE/>
              <w:autoSpaceDN/>
              <w:adjustRightInd/>
              <w:jc w:val="right"/>
              <w:rPr>
                <w:rFonts w:eastAsia="Calibri"/>
                <w:color w:val="000000"/>
                <w:sz w:val="22"/>
                <w:szCs w:val="22"/>
              </w:rPr>
            </w:pPr>
            <w:r w:rsidRPr="00F2430A">
              <w:rPr>
                <w:rFonts w:eastAsia="Calibri"/>
                <w:color w:val="000000"/>
                <w:sz w:val="22"/>
                <w:szCs w:val="22"/>
              </w:rPr>
              <w:t>48</w:t>
            </w:r>
          </w:p>
        </w:tc>
        <w:tc>
          <w:tcPr>
            <w:tcW w:w="1467" w:type="dxa"/>
            <w:shd w:val="clear" w:color="auto" w:fill="auto"/>
            <w:vAlign w:val="center"/>
          </w:tcPr>
          <w:p w14:paraId="6901E969" w14:textId="77777777" w:rsidR="00B470D0" w:rsidRPr="00F2430A" w:rsidRDefault="00B470D0" w:rsidP="00E01404">
            <w:pPr>
              <w:widowControl/>
              <w:tabs>
                <w:tab w:val="right" w:pos="7920"/>
              </w:tabs>
              <w:jc w:val="right"/>
              <w:rPr>
                <w:sz w:val="22"/>
                <w:szCs w:val="22"/>
              </w:rPr>
            </w:pPr>
            <w:r w:rsidRPr="00F2430A">
              <w:rPr>
                <w:sz w:val="22"/>
                <w:szCs w:val="22"/>
              </w:rPr>
              <w:t>1,056</w:t>
            </w:r>
          </w:p>
        </w:tc>
        <w:tc>
          <w:tcPr>
            <w:tcW w:w="1221" w:type="dxa"/>
            <w:shd w:val="clear" w:color="auto" w:fill="auto"/>
            <w:vAlign w:val="center"/>
          </w:tcPr>
          <w:p w14:paraId="09644780" w14:textId="77777777" w:rsidR="00B470D0" w:rsidRPr="00F2430A" w:rsidRDefault="00B470D0" w:rsidP="00E01404">
            <w:pPr>
              <w:widowControl/>
              <w:tabs>
                <w:tab w:val="right" w:pos="7920"/>
              </w:tabs>
              <w:jc w:val="right"/>
              <w:rPr>
                <w:sz w:val="22"/>
                <w:szCs w:val="22"/>
              </w:rPr>
            </w:pPr>
            <w:r w:rsidRPr="00F2430A">
              <w:rPr>
                <w:sz w:val="22"/>
                <w:szCs w:val="22"/>
              </w:rPr>
              <w:t>0.75</w:t>
            </w:r>
          </w:p>
        </w:tc>
        <w:tc>
          <w:tcPr>
            <w:tcW w:w="1413" w:type="dxa"/>
            <w:shd w:val="clear" w:color="auto" w:fill="auto"/>
            <w:vAlign w:val="center"/>
          </w:tcPr>
          <w:p w14:paraId="6717B19F" w14:textId="77777777" w:rsidR="00B470D0" w:rsidRPr="00F2430A" w:rsidRDefault="00B470D0" w:rsidP="00E01404">
            <w:pPr>
              <w:widowControl/>
              <w:tabs>
                <w:tab w:val="right" w:pos="7920"/>
              </w:tabs>
              <w:jc w:val="right"/>
              <w:rPr>
                <w:sz w:val="22"/>
                <w:szCs w:val="22"/>
              </w:rPr>
            </w:pPr>
            <w:r w:rsidRPr="00F2430A">
              <w:rPr>
                <w:sz w:val="22"/>
                <w:szCs w:val="22"/>
              </w:rPr>
              <w:t>792</w:t>
            </w:r>
          </w:p>
        </w:tc>
        <w:tc>
          <w:tcPr>
            <w:tcW w:w="1109" w:type="dxa"/>
          </w:tcPr>
          <w:p w14:paraId="4D2AB082" w14:textId="77777777" w:rsidR="00B470D0" w:rsidRPr="00F2430A" w:rsidRDefault="00B470D0" w:rsidP="00E01404">
            <w:pPr>
              <w:widowControl/>
              <w:tabs>
                <w:tab w:val="right" w:pos="7920"/>
              </w:tabs>
              <w:jc w:val="right"/>
              <w:rPr>
                <w:sz w:val="22"/>
                <w:szCs w:val="22"/>
              </w:rPr>
            </w:pPr>
          </w:p>
        </w:tc>
      </w:tr>
      <w:tr w:rsidR="00B470D0" w:rsidRPr="007F2786" w14:paraId="7EDDDF35" w14:textId="79C247C3" w:rsidTr="00B470D0">
        <w:trPr>
          <w:trHeight w:val="432"/>
          <w:jc w:val="center"/>
        </w:trPr>
        <w:tc>
          <w:tcPr>
            <w:tcW w:w="1410" w:type="dxa"/>
            <w:shd w:val="clear" w:color="auto" w:fill="auto"/>
            <w:vAlign w:val="center"/>
          </w:tcPr>
          <w:p w14:paraId="67B39462" w14:textId="77777777" w:rsidR="00B470D0" w:rsidRPr="00F2430A" w:rsidRDefault="00B470D0" w:rsidP="00E01404">
            <w:pPr>
              <w:widowControl/>
              <w:autoSpaceDE/>
              <w:autoSpaceDN/>
              <w:adjustRightInd/>
              <w:jc w:val="right"/>
              <w:rPr>
                <w:rFonts w:eastAsia="Calibri"/>
                <w:color w:val="000000"/>
              </w:rPr>
            </w:pPr>
            <w:r w:rsidRPr="00F2430A">
              <w:rPr>
                <w:rFonts w:eastAsia="Calibri"/>
                <w:color w:val="000000"/>
              </w:rPr>
              <w:t>Occasionally</w:t>
            </w:r>
          </w:p>
        </w:tc>
        <w:tc>
          <w:tcPr>
            <w:tcW w:w="1483" w:type="dxa"/>
            <w:shd w:val="clear" w:color="auto" w:fill="auto"/>
            <w:vAlign w:val="center"/>
          </w:tcPr>
          <w:p w14:paraId="6F50590D" w14:textId="77777777" w:rsidR="00B470D0" w:rsidRPr="00F2430A" w:rsidRDefault="00B470D0" w:rsidP="00E01404">
            <w:pPr>
              <w:widowControl/>
              <w:autoSpaceDE/>
              <w:autoSpaceDN/>
              <w:adjustRightInd/>
              <w:jc w:val="right"/>
              <w:rPr>
                <w:rFonts w:eastAsia="Calibri"/>
                <w:color w:val="000000"/>
                <w:sz w:val="22"/>
                <w:szCs w:val="22"/>
              </w:rPr>
            </w:pPr>
            <w:r w:rsidRPr="00F2430A">
              <w:rPr>
                <w:rFonts w:eastAsia="Calibri"/>
                <w:color w:val="000000"/>
                <w:sz w:val="22"/>
                <w:szCs w:val="22"/>
              </w:rPr>
              <w:t>23</w:t>
            </w:r>
          </w:p>
        </w:tc>
        <w:tc>
          <w:tcPr>
            <w:tcW w:w="1473" w:type="dxa"/>
            <w:shd w:val="clear" w:color="auto" w:fill="auto"/>
            <w:vAlign w:val="center"/>
          </w:tcPr>
          <w:p w14:paraId="787545AD" w14:textId="77777777" w:rsidR="00B470D0" w:rsidRPr="00F2430A" w:rsidRDefault="00B470D0" w:rsidP="00E01404">
            <w:pPr>
              <w:widowControl/>
              <w:autoSpaceDE/>
              <w:autoSpaceDN/>
              <w:adjustRightInd/>
              <w:jc w:val="right"/>
              <w:rPr>
                <w:rFonts w:eastAsia="Calibri"/>
                <w:color w:val="000000"/>
                <w:sz w:val="22"/>
                <w:szCs w:val="22"/>
              </w:rPr>
            </w:pPr>
            <w:r w:rsidRPr="00F2430A">
              <w:rPr>
                <w:rFonts w:eastAsia="Calibri"/>
                <w:color w:val="000000"/>
                <w:sz w:val="22"/>
                <w:szCs w:val="22"/>
              </w:rPr>
              <w:t>10</w:t>
            </w:r>
          </w:p>
        </w:tc>
        <w:tc>
          <w:tcPr>
            <w:tcW w:w="1467" w:type="dxa"/>
            <w:shd w:val="clear" w:color="auto" w:fill="auto"/>
            <w:vAlign w:val="center"/>
          </w:tcPr>
          <w:p w14:paraId="45FEE4B9" w14:textId="77777777" w:rsidR="00B470D0" w:rsidRPr="00F2430A" w:rsidRDefault="00B470D0" w:rsidP="00E01404">
            <w:pPr>
              <w:widowControl/>
              <w:tabs>
                <w:tab w:val="right" w:pos="7920"/>
              </w:tabs>
              <w:jc w:val="right"/>
              <w:rPr>
                <w:sz w:val="22"/>
                <w:szCs w:val="22"/>
              </w:rPr>
            </w:pPr>
            <w:r w:rsidRPr="00F2430A">
              <w:rPr>
                <w:sz w:val="22"/>
                <w:szCs w:val="22"/>
              </w:rPr>
              <w:t>230</w:t>
            </w:r>
          </w:p>
        </w:tc>
        <w:tc>
          <w:tcPr>
            <w:tcW w:w="1221" w:type="dxa"/>
            <w:shd w:val="clear" w:color="auto" w:fill="auto"/>
            <w:vAlign w:val="center"/>
          </w:tcPr>
          <w:p w14:paraId="5E99762E" w14:textId="77777777" w:rsidR="00B470D0" w:rsidRPr="00F2430A" w:rsidRDefault="00B470D0" w:rsidP="00E01404">
            <w:pPr>
              <w:widowControl/>
              <w:tabs>
                <w:tab w:val="right" w:pos="7920"/>
              </w:tabs>
              <w:jc w:val="right"/>
              <w:rPr>
                <w:sz w:val="22"/>
                <w:szCs w:val="22"/>
              </w:rPr>
            </w:pPr>
            <w:r w:rsidRPr="00F2430A">
              <w:rPr>
                <w:sz w:val="22"/>
                <w:szCs w:val="22"/>
              </w:rPr>
              <w:t>0.75</w:t>
            </w:r>
          </w:p>
        </w:tc>
        <w:tc>
          <w:tcPr>
            <w:tcW w:w="1413" w:type="dxa"/>
            <w:shd w:val="clear" w:color="auto" w:fill="auto"/>
            <w:vAlign w:val="center"/>
          </w:tcPr>
          <w:p w14:paraId="4057AEE8" w14:textId="29FA7BAF" w:rsidR="00B470D0" w:rsidRPr="00F2430A" w:rsidRDefault="00B470D0" w:rsidP="00E01404">
            <w:pPr>
              <w:widowControl/>
              <w:tabs>
                <w:tab w:val="right" w:pos="7920"/>
              </w:tabs>
              <w:jc w:val="right"/>
              <w:rPr>
                <w:sz w:val="22"/>
                <w:szCs w:val="22"/>
              </w:rPr>
            </w:pPr>
            <w:r w:rsidRPr="00F2430A">
              <w:rPr>
                <w:sz w:val="22"/>
                <w:szCs w:val="22"/>
              </w:rPr>
              <w:t>17</w:t>
            </w:r>
            <w:r w:rsidR="00546E43">
              <w:rPr>
                <w:sz w:val="22"/>
                <w:szCs w:val="22"/>
              </w:rPr>
              <w:t>3</w:t>
            </w:r>
          </w:p>
        </w:tc>
        <w:tc>
          <w:tcPr>
            <w:tcW w:w="1109" w:type="dxa"/>
          </w:tcPr>
          <w:p w14:paraId="2D47EA32" w14:textId="77777777" w:rsidR="00B470D0" w:rsidRPr="00F2430A" w:rsidRDefault="00B470D0" w:rsidP="00E01404">
            <w:pPr>
              <w:widowControl/>
              <w:tabs>
                <w:tab w:val="right" w:pos="7920"/>
              </w:tabs>
              <w:jc w:val="right"/>
              <w:rPr>
                <w:sz w:val="22"/>
                <w:szCs w:val="22"/>
              </w:rPr>
            </w:pPr>
          </w:p>
        </w:tc>
      </w:tr>
      <w:tr w:rsidR="00B470D0" w:rsidRPr="007F2786" w14:paraId="32F4A362" w14:textId="3AF03870" w:rsidTr="00B470D0">
        <w:trPr>
          <w:trHeight w:val="432"/>
          <w:jc w:val="center"/>
        </w:trPr>
        <w:tc>
          <w:tcPr>
            <w:tcW w:w="1410" w:type="dxa"/>
            <w:shd w:val="clear" w:color="auto" w:fill="auto"/>
            <w:vAlign w:val="center"/>
          </w:tcPr>
          <w:p w14:paraId="20C8E7CC" w14:textId="77777777" w:rsidR="00B470D0" w:rsidRPr="00F2430A" w:rsidRDefault="00B470D0" w:rsidP="00E01404">
            <w:pPr>
              <w:widowControl/>
              <w:autoSpaceDE/>
              <w:autoSpaceDN/>
              <w:adjustRightInd/>
              <w:jc w:val="right"/>
              <w:rPr>
                <w:rFonts w:eastAsia="Calibri"/>
                <w:color w:val="000000"/>
              </w:rPr>
            </w:pPr>
            <w:r w:rsidRPr="00F2430A">
              <w:rPr>
                <w:rFonts w:eastAsia="Calibri"/>
                <w:color w:val="000000"/>
              </w:rPr>
              <w:t>Annually</w:t>
            </w:r>
          </w:p>
        </w:tc>
        <w:tc>
          <w:tcPr>
            <w:tcW w:w="1483" w:type="dxa"/>
            <w:shd w:val="clear" w:color="auto" w:fill="auto"/>
            <w:vAlign w:val="center"/>
          </w:tcPr>
          <w:p w14:paraId="5671342E" w14:textId="77777777" w:rsidR="00B470D0" w:rsidRPr="00F2430A" w:rsidRDefault="00B470D0" w:rsidP="00E01404">
            <w:pPr>
              <w:widowControl/>
              <w:autoSpaceDE/>
              <w:autoSpaceDN/>
              <w:adjustRightInd/>
              <w:jc w:val="right"/>
              <w:rPr>
                <w:rFonts w:eastAsia="Calibri"/>
                <w:color w:val="000000"/>
                <w:sz w:val="22"/>
                <w:szCs w:val="22"/>
              </w:rPr>
            </w:pPr>
            <w:r>
              <w:rPr>
                <w:rFonts w:eastAsia="Calibri"/>
                <w:color w:val="000000"/>
                <w:sz w:val="22"/>
                <w:szCs w:val="22"/>
              </w:rPr>
              <w:t>7</w:t>
            </w:r>
            <w:r w:rsidRPr="00F2430A">
              <w:rPr>
                <w:rFonts w:eastAsia="Calibri"/>
                <w:color w:val="000000"/>
                <w:sz w:val="22"/>
                <w:szCs w:val="22"/>
              </w:rPr>
              <w:t>,268</w:t>
            </w:r>
          </w:p>
        </w:tc>
        <w:tc>
          <w:tcPr>
            <w:tcW w:w="1473" w:type="dxa"/>
            <w:shd w:val="clear" w:color="auto" w:fill="auto"/>
            <w:vAlign w:val="center"/>
          </w:tcPr>
          <w:p w14:paraId="4FEBB5F5" w14:textId="77777777" w:rsidR="00B470D0" w:rsidRPr="00F2430A" w:rsidRDefault="00B470D0" w:rsidP="00E01404">
            <w:pPr>
              <w:widowControl/>
              <w:autoSpaceDE/>
              <w:autoSpaceDN/>
              <w:adjustRightInd/>
              <w:jc w:val="right"/>
              <w:rPr>
                <w:rFonts w:eastAsia="Calibri"/>
                <w:color w:val="000000"/>
                <w:sz w:val="22"/>
                <w:szCs w:val="22"/>
              </w:rPr>
            </w:pPr>
            <w:r w:rsidRPr="00F2430A">
              <w:rPr>
                <w:rFonts w:eastAsia="Calibri"/>
                <w:color w:val="000000"/>
                <w:sz w:val="22"/>
                <w:szCs w:val="22"/>
              </w:rPr>
              <w:t>1</w:t>
            </w:r>
          </w:p>
        </w:tc>
        <w:tc>
          <w:tcPr>
            <w:tcW w:w="1467" w:type="dxa"/>
            <w:shd w:val="clear" w:color="auto" w:fill="auto"/>
            <w:vAlign w:val="center"/>
          </w:tcPr>
          <w:p w14:paraId="20B04B67" w14:textId="77777777" w:rsidR="00B470D0" w:rsidRPr="00F2430A" w:rsidRDefault="00B470D0" w:rsidP="00E01404">
            <w:pPr>
              <w:widowControl/>
              <w:tabs>
                <w:tab w:val="right" w:pos="7920"/>
              </w:tabs>
              <w:jc w:val="right"/>
              <w:rPr>
                <w:sz w:val="22"/>
                <w:szCs w:val="22"/>
              </w:rPr>
            </w:pPr>
            <w:r>
              <w:rPr>
                <w:sz w:val="22"/>
                <w:szCs w:val="22"/>
              </w:rPr>
              <w:t>7</w:t>
            </w:r>
            <w:r w:rsidRPr="00F2430A">
              <w:rPr>
                <w:sz w:val="22"/>
                <w:szCs w:val="22"/>
              </w:rPr>
              <w:t>,268</w:t>
            </w:r>
          </w:p>
        </w:tc>
        <w:tc>
          <w:tcPr>
            <w:tcW w:w="1221" w:type="dxa"/>
            <w:shd w:val="clear" w:color="auto" w:fill="auto"/>
            <w:vAlign w:val="center"/>
          </w:tcPr>
          <w:p w14:paraId="26496844" w14:textId="77777777" w:rsidR="00B470D0" w:rsidRPr="00F2430A" w:rsidRDefault="00B470D0" w:rsidP="00E01404">
            <w:pPr>
              <w:widowControl/>
              <w:tabs>
                <w:tab w:val="right" w:pos="7920"/>
              </w:tabs>
              <w:jc w:val="right"/>
              <w:rPr>
                <w:sz w:val="22"/>
                <w:szCs w:val="22"/>
              </w:rPr>
            </w:pPr>
            <w:r w:rsidRPr="00F2430A">
              <w:rPr>
                <w:sz w:val="22"/>
                <w:szCs w:val="22"/>
              </w:rPr>
              <w:t>0.75</w:t>
            </w:r>
          </w:p>
        </w:tc>
        <w:tc>
          <w:tcPr>
            <w:tcW w:w="1413" w:type="dxa"/>
            <w:shd w:val="clear" w:color="auto" w:fill="auto"/>
            <w:vAlign w:val="center"/>
          </w:tcPr>
          <w:p w14:paraId="6931B4DE" w14:textId="77777777" w:rsidR="00B470D0" w:rsidRPr="00F2430A" w:rsidRDefault="00B470D0" w:rsidP="00E01404">
            <w:pPr>
              <w:widowControl/>
              <w:tabs>
                <w:tab w:val="right" w:pos="7920"/>
              </w:tabs>
              <w:jc w:val="right"/>
              <w:rPr>
                <w:sz w:val="22"/>
                <w:szCs w:val="22"/>
              </w:rPr>
            </w:pPr>
            <w:r>
              <w:rPr>
                <w:rFonts w:eastAsia="Calibri"/>
                <w:color w:val="000000"/>
                <w:sz w:val="22"/>
                <w:szCs w:val="22"/>
              </w:rPr>
              <w:t>5,451</w:t>
            </w:r>
          </w:p>
        </w:tc>
        <w:tc>
          <w:tcPr>
            <w:tcW w:w="1109" w:type="dxa"/>
          </w:tcPr>
          <w:p w14:paraId="2CB1E3FA" w14:textId="77777777" w:rsidR="00B470D0" w:rsidRDefault="00B470D0" w:rsidP="00E01404">
            <w:pPr>
              <w:widowControl/>
              <w:tabs>
                <w:tab w:val="right" w:pos="7920"/>
              </w:tabs>
              <w:jc w:val="right"/>
              <w:rPr>
                <w:rFonts w:eastAsia="Calibri"/>
                <w:color w:val="000000"/>
                <w:sz w:val="22"/>
                <w:szCs w:val="22"/>
              </w:rPr>
            </w:pPr>
          </w:p>
        </w:tc>
      </w:tr>
      <w:tr w:rsidR="00B470D0" w:rsidRPr="007F2786" w14:paraId="5431D1AF" w14:textId="3F83A5A4" w:rsidTr="00B470D0">
        <w:trPr>
          <w:trHeight w:val="432"/>
          <w:jc w:val="center"/>
        </w:trPr>
        <w:tc>
          <w:tcPr>
            <w:tcW w:w="1410" w:type="dxa"/>
            <w:shd w:val="clear" w:color="auto" w:fill="auto"/>
            <w:vAlign w:val="center"/>
          </w:tcPr>
          <w:p w14:paraId="6E2CAE4E" w14:textId="77777777" w:rsidR="00B470D0" w:rsidRPr="00F2430A" w:rsidRDefault="00B470D0" w:rsidP="00E01404">
            <w:pPr>
              <w:widowControl/>
              <w:autoSpaceDE/>
              <w:autoSpaceDN/>
              <w:adjustRightInd/>
              <w:jc w:val="right"/>
              <w:rPr>
                <w:rFonts w:eastAsia="Calibri"/>
                <w:color w:val="000000"/>
              </w:rPr>
            </w:pPr>
            <w:r w:rsidRPr="00F2430A">
              <w:rPr>
                <w:rFonts w:eastAsia="Calibri"/>
                <w:color w:val="000000"/>
              </w:rPr>
              <w:t>Quarterly</w:t>
            </w:r>
          </w:p>
        </w:tc>
        <w:tc>
          <w:tcPr>
            <w:tcW w:w="1483" w:type="dxa"/>
            <w:shd w:val="clear" w:color="auto" w:fill="auto"/>
            <w:vAlign w:val="center"/>
          </w:tcPr>
          <w:p w14:paraId="4327E005" w14:textId="77777777" w:rsidR="00B470D0" w:rsidRPr="00F2430A" w:rsidRDefault="00B470D0" w:rsidP="00E01404">
            <w:pPr>
              <w:widowControl/>
              <w:autoSpaceDE/>
              <w:autoSpaceDN/>
              <w:adjustRightInd/>
              <w:jc w:val="right"/>
              <w:rPr>
                <w:rFonts w:eastAsia="Calibri"/>
                <w:color w:val="000000"/>
                <w:sz w:val="22"/>
                <w:szCs w:val="22"/>
              </w:rPr>
            </w:pPr>
            <w:r>
              <w:rPr>
                <w:rFonts w:eastAsia="Calibri"/>
                <w:color w:val="000000"/>
                <w:sz w:val="22"/>
                <w:szCs w:val="22"/>
              </w:rPr>
              <w:t>8,208</w:t>
            </w:r>
          </w:p>
        </w:tc>
        <w:tc>
          <w:tcPr>
            <w:tcW w:w="1473" w:type="dxa"/>
            <w:shd w:val="clear" w:color="auto" w:fill="auto"/>
            <w:vAlign w:val="center"/>
          </w:tcPr>
          <w:p w14:paraId="6BC9F90E" w14:textId="77777777" w:rsidR="00B470D0" w:rsidRPr="00F2430A" w:rsidRDefault="00B470D0" w:rsidP="00E01404">
            <w:pPr>
              <w:widowControl/>
              <w:autoSpaceDE/>
              <w:autoSpaceDN/>
              <w:adjustRightInd/>
              <w:jc w:val="right"/>
              <w:rPr>
                <w:rFonts w:eastAsia="Calibri"/>
                <w:color w:val="000000"/>
                <w:sz w:val="22"/>
                <w:szCs w:val="22"/>
              </w:rPr>
            </w:pPr>
            <w:r w:rsidRPr="00F2430A">
              <w:rPr>
                <w:rFonts w:eastAsia="Calibri"/>
                <w:color w:val="000000"/>
                <w:sz w:val="22"/>
                <w:szCs w:val="22"/>
              </w:rPr>
              <w:t>4</w:t>
            </w:r>
          </w:p>
        </w:tc>
        <w:tc>
          <w:tcPr>
            <w:tcW w:w="1467" w:type="dxa"/>
            <w:shd w:val="clear" w:color="auto" w:fill="auto"/>
            <w:vAlign w:val="center"/>
          </w:tcPr>
          <w:p w14:paraId="3E6474BD" w14:textId="77777777" w:rsidR="00B470D0" w:rsidRPr="00F2430A" w:rsidRDefault="00B470D0" w:rsidP="00E01404">
            <w:pPr>
              <w:widowControl/>
              <w:tabs>
                <w:tab w:val="right" w:pos="7920"/>
              </w:tabs>
              <w:jc w:val="right"/>
              <w:rPr>
                <w:sz w:val="22"/>
                <w:szCs w:val="22"/>
              </w:rPr>
            </w:pPr>
            <w:r>
              <w:rPr>
                <w:sz w:val="22"/>
                <w:szCs w:val="22"/>
              </w:rPr>
              <w:t>32</w:t>
            </w:r>
            <w:r w:rsidRPr="00F2430A">
              <w:rPr>
                <w:sz w:val="22"/>
                <w:szCs w:val="22"/>
              </w:rPr>
              <w:t>,832</w:t>
            </w:r>
          </w:p>
        </w:tc>
        <w:tc>
          <w:tcPr>
            <w:tcW w:w="1221" w:type="dxa"/>
            <w:shd w:val="clear" w:color="auto" w:fill="auto"/>
            <w:vAlign w:val="center"/>
          </w:tcPr>
          <w:p w14:paraId="2EDF4ACE" w14:textId="77777777" w:rsidR="00B470D0" w:rsidRPr="00F2430A" w:rsidRDefault="00B470D0" w:rsidP="00E01404">
            <w:pPr>
              <w:widowControl/>
              <w:tabs>
                <w:tab w:val="right" w:pos="7920"/>
              </w:tabs>
              <w:jc w:val="right"/>
              <w:rPr>
                <w:sz w:val="22"/>
                <w:szCs w:val="22"/>
              </w:rPr>
            </w:pPr>
            <w:r w:rsidRPr="00F2430A">
              <w:rPr>
                <w:sz w:val="22"/>
                <w:szCs w:val="22"/>
              </w:rPr>
              <w:t>0.75</w:t>
            </w:r>
          </w:p>
        </w:tc>
        <w:tc>
          <w:tcPr>
            <w:tcW w:w="1413" w:type="dxa"/>
            <w:shd w:val="clear" w:color="auto" w:fill="auto"/>
            <w:vAlign w:val="center"/>
          </w:tcPr>
          <w:p w14:paraId="47459A00" w14:textId="77777777" w:rsidR="00B470D0" w:rsidRPr="00F2430A" w:rsidRDefault="00B470D0" w:rsidP="00E01404">
            <w:pPr>
              <w:widowControl/>
              <w:tabs>
                <w:tab w:val="right" w:pos="7920"/>
              </w:tabs>
              <w:jc w:val="right"/>
              <w:rPr>
                <w:sz w:val="22"/>
                <w:szCs w:val="22"/>
              </w:rPr>
            </w:pPr>
            <w:r w:rsidRPr="00F2430A">
              <w:rPr>
                <w:sz w:val="22"/>
                <w:szCs w:val="22"/>
              </w:rPr>
              <w:t>2</w:t>
            </w:r>
            <w:r>
              <w:rPr>
                <w:sz w:val="22"/>
                <w:szCs w:val="22"/>
              </w:rPr>
              <w:t>4</w:t>
            </w:r>
            <w:r w:rsidRPr="00F2430A">
              <w:rPr>
                <w:sz w:val="22"/>
                <w:szCs w:val="22"/>
              </w:rPr>
              <w:t>,</w:t>
            </w:r>
            <w:r>
              <w:rPr>
                <w:sz w:val="22"/>
                <w:szCs w:val="22"/>
              </w:rPr>
              <w:t>6</w:t>
            </w:r>
            <w:r w:rsidRPr="00F2430A">
              <w:rPr>
                <w:sz w:val="22"/>
                <w:szCs w:val="22"/>
              </w:rPr>
              <w:t>24</w:t>
            </w:r>
          </w:p>
        </w:tc>
        <w:tc>
          <w:tcPr>
            <w:tcW w:w="1109" w:type="dxa"/>
          </w:tcPr>
          <w:p w14:paraId="38766AC8" w14:textId="77777777" w:rsidR="00B470D0" w:rsidRPr="00F2430A" w:rsidRDefault="00B470D0" w:rsidP="00E01404">
            <w:pPr>
              <w:widowControl/>
              <w:tabs>
                <w:tab w:val="right" w:pos="7920"/>
              </w:tabs>
              <w:jc w:val="right"/>
              <w:rPr>
                <w:sz w:val="22"/>
                <w:szCs w:val="22"/>
              </w:rPr>
            </w:pPr>
          </w:p>
        </w:tc>
      </w:tr>
      <w:tr w:rsidR="00B470D0" w:rsidRPr="007F2786" w14:paraId="477D38CE" w14:textId="31EB4B35" w:rsidTr="00B470D0">
        <w:trPr>
          <w:trHeight w:val="432"/>
          <w:jc w:val="center"/>
        </w:trPr>
        <w:tc>
          <w:tcPr>
            <w:tcW w:w="1410" w:type="dxa"/>
            <w:shd w:val="clear" w:color="auto" w:fill="auto"/>
            <w:vAlign w:val="center"/>
          </w:tcPr>
          <w:p w14:paraId="1645FEB1" w14:textId="77777777" w:rsidR="00B470D0" w:rsidRPr="00F2430A" w:rsidRDefault="00B470D0" w:rsidP="00E01404">
            <w:pPr>
              <w:widowControl/>
              <w:autoSpaceDE/>
              <w:autoSpaceDN/>
              <w:adjustRightInd/>
              <w:jc w:val="right"/>
              <w:rPr>
                <w:rFonts w:eastAsia="Calibri"/>
                <w:color w:val="000000"/>
              </w:rPr>
            </w:pPr>
            <w:r w:rsidRPr="00F2430A">
              <w:rPr>
                <w:rFonts w:eastAsia="Calibri"/>
                <w:color w:val="000000"/>
              </w:rPr>
              <w:t>Monthly</w:t>
            </w:r>
          </w:p>
        </w:tc>
        <w:tc>
          <w:tcPr>
            <w:tcW w:w="1483" w:type="dxa"/>
            <w:shd w:val="clear" w:color="auto" w:fill="auto"/>
            <w:vAlign w:val="center"/>
          </w:tcPr>
          <w:p w14:paraId="16489728" w14:textId="77777777" w:rsidR="00B470D0" w:rsidRPr="00F2430A" w:rsidRDefault="00B470D0" w:rsidP="00E01404">
            <w:pPr>
              <w:widowControl/>
              <w:autoSpaceDE/>
              <w:autoSpaceDN/>
              <w:adjustRightInd/>
              <w:jc w:val="right"/>
              <w:rPr>
                <w:rFonts w:eastAsia="Calibri"/>
                <w:color w:val="000000"/>
                <w:sz w:val="22"/>
                <w:szCs w:val="22"/>
              </w:rPr>
            </w:pPr>
            <w:r w:rsidRPr="00F2430A">
              <w:rPr>
                <w:rFonts w:eastAsia="Calibri"/>
                <w:color w:val="000000"/>
                <w:sz w:val="22"/>
                <w:szCs w:val="22"/>
              </w:rPr>
              <w:t>63</w:t>
            </w:r>
          </w:p>
        </w:tc>
        <w:tc>
          <w:tcPr>
            <w:tcW w:w="1473" w:type="dxa"/>
            <w:shd w:val="clear" w:color="auto" w:fill="auto"/>
            <w:vAlign w:val="center"/>
          </w:tcPr>
          <w:p w14:paraId="79DB9E9D" w14:textId="77777777" w:rsidR="00B470D0" w:rsidRPr="00F2430A" w:rsidRDefault="00B470D0" w:rsidP="00E01404">
            <w:pPr>
              <w:widowControl/>
              <w:autoSpaceDE/>
              <w:autoSpaceDN/>
              <w:adjustRightInd/>
              <w:jc w:val="right"/>
              <w:rPr>
                <w:rFonts w:eastAsia="Calibri"/>
                <w:color w:val="000000"/>
                <w:sz w:val="22"/>
                <w:szCs w:val="22"/>
              </w:rPr>
            </w:pPr>
            <w:r w:rsidRPr="00F2430A">
              <w:rPr>
                <w:rFonts w:eastAsia="Calibri"/>
                <w:color w:val="000000"/>
                <w:sz w:val="22"/>
                <w:szCs w:val="22"/>
              </w:rPr>
              <w:t>12</w:t>
            </w:r>
          </w:p>
        </w:tc>
        <w:tc>
          <w:tcPr>
            <w:tcW w:w="1467" w:type="dxa"/>
            <w:shd w:val="clear" w:color="auto" w:fill="auto"/>
            <w:vAlign w:val="center"/>
          </w:tcPr>
          <w:p w14:paraId="7960D901" w14:textId="77777777" w:rsidR="00B470D0" w:rsidRPr="00F2430A" w:rsidRDefault="00B470D0" w:rsidP="00E01404">
            <w:pPr>
              <w:widowControl/>
              <w:tabs>
                <w:tab w:val="right" w:pos="7920"/>
              </w:tabs>
              <w:jc w:val="right"/>
              <w:rPr>
                <w:sz w:val="22"/>
                <w:szCs w:val="22"/>
              </w:rPr>
            </w:pPr>
            <w:r w:rsidRPr="00F2430A">
              <w:rPr>
                <w:sz w:val="22"/>
                <w:szCs w:val="22"/>
              </w:rPr>
              <w:t>756</w:t>
            </w:r>
          </w:p>
        </w:tc>
        <w:tc>
          <w:tcPr>
            <w:tcW w:w="1221" w:type="dxa"/>
            <w:shd w:val="clear" w:color="auto" w:fill="auto"/>
            <w:vAlign w:val="center"/>
          </w:tcPr>
          <w:p w14:paraId="1371F1D4" w14:textId="77777777" w:rsidR="00B470D0" w:rsidRPr="00F2430A" w:rsidRDefault="00B470D0" w:rsidP="00E01404">
            <w:pPr>
              <w:widowControl/>
              <w:tabs>
                <w:tab w:val="right" w:pos="7920"/>
              </w:tabs>
              <w:jc w:val="right"/>
              <w:rPr>
                <w:sz w:val="22"/>
                <w:szCs w:val="22"/>
              </w:rPr>
            </w:pPr>
            <w:r w:rsidRPr="00F2430A">
              <w:rPr>
                <w:sz w:val="22"/>
                <w:szCs w:val="22"/>
              </w:rPr>
              <w:t>0.75</w:t>
            </w:r>
          </w:p>
        </w:tc>
        <w:tc>
          <w:tcPr>
            <w:tcW w:w="1413" w:type="dxa"/>
            <w:shd w:val="clear" w:color="auto" w:fill="auto"/>
            <w:vAlign w:val="center"/>
          </w:tcPr>
          <w:p w14:paraId="15570C3D" w14:textId="77777777" w:rsidR="00B470D0" w:rsidRPr="00F2430A" w:rsidRDefault="00B470D0" w:rsidP="00E01404">
            <w:pPr>
              <w:widowControl/>
              <w:tabs>
                <w:tab w:val="right" w:pos="7920"/>
              </w:tabs>
              <w:jc w:val="right"/>
              <w:rPr>
                <w:sz w:val="22"/>
                <w:szCs w:val="22"/>
              </w:rPr>
            </w:pPr>
            <w:r w:rsidRPr="00F2430A">
              <w:rPr>
                <w:sz w:val="22"/>
                <w:szCs w:val="22"/>
              </w:rPr>
              <w:t>567</w:t>
            </w:r>
          </w:p>
        </w:tc>
        <w:tc>
          <w:tcPr>
            <w:tcW w:w="1109" w:type="dxa"/>
          </w:tcPr>
          <w:p w14:paraId="2AB0EDD9" w14:textId="77777777" w:rsidR="00B470D0" w:rsidRPr="00F2430A" w:rsidRDefault="00B470D0" w:rsidP="00E01404">
            <w:pPr>
              <w:widowControl/>
              <w:tabs>
                <w:tab w:val="right" w:pos="7920"/>
              </w:tabs>
              <w:jc w:val="right"/>
              <w:rPr>
                <w:sz w:val="22"/>
                <w:szCs w:val="22"/>
              </w:rPr>
            </w:pPr>
          </w:p>
        </w:tc>
      </w:tr>
      <w:tr w:rsidR="00B470D0" w:rsidRPr="007F2786" w14:paraId="01DE52A0" w14:textId="60A15D25" w:rsidTr="00B470D0">
        <w:trPr>
          <w:trHeight w:val="432"/>
          <w:jc w:val="center"/>
        </w:trPr>
        <w:tc>
          <w:tcPr>
            <w:tcW w:w="1410" w:type="dxa"/>
            <w:shd w:val="clear" w:color="auto" w:fill="auto"/>
            <w:vAlign w:val="center"/>
          </w:tcPr>
          <w:p w14:paraId="29F91CF7" w14:textId="77777777" w:rsidR="00B470D0" w:rsidRPr="00F2430A" w:rsidRDefault="00B470D0" w:rsidP="00E01404">
            <w:pPr>
              <w:widowControl/>
              <w:autoSpaceDE/>
              <w:autoSpaceDN/>
              <w:adjustRightInd/>
              <w:jc w:val="right"/>
              <w:rPr>
                <w:rFonts w:eastAsia="Calibri"/>
                <w:color w:val="000000"/>
              </w:rPr>
            </w:pPr>
            <w:r w:rsidRPr="00F2430A">
              <w:rPr>
                <w:rFonts w:eastAsia="Calibri"/>
                <w:color w:val="000000"/>
              </w:rPr>
              <w:t xml:space="preserve">Semi-Monthly </w:t>
            </w:r>
          </w:p>
        </w:tc>
        <w:tc>
          <w:tcPr>
            <w:tcW w:w="1483" w:type="dxa"/>
            <w:shd w:val="clear" w:color="auto" w:fill="auto"/>
            <w:vAlign w:val="center"/>
          </w:tcPr>
          <w:p w14:paraId="54D8F94F" w14:textId="77777777" w:rsidR="00B470D0" w:rsidRPr="00F2430A" w:rsidRDefault="00B470D0" w:rsidP="00E01404">
            <w:pPr>
              <w:widowControl/>
              <w:autoSpaceDE/>
              <w:autoSpaceDN/>
              <w:adjustRightInd/>
              <w:jc w:val="right"/>
              <w:rPr>
                <w:rFonts w:eastAsia="Calibri"/>
                <w:color w:val="000000"/>
                <w:sz w:val="22"/>
                <w:szCs w:val="22"/>
              </w:rPr>
            </w:pPr>
            <w:r>
              <w:rPr>
                <w:rFonts w:eastAsia="Calibri"/>
                <w:color w:val="000000"/>
                <w:sz w:val="22"/>
                <w:szCs w:val="22"/>
              </w:rPr>
              <w:t>2,895</w:t>
            </w:r>
          </w:p>
        </w:tc>
        <w:tc>
          <w:tcPr>
            <w:tcW w:w="1473" w:type="dxa"/>
            <w:shd w:val="clear" w:color="auto" w:fill="auto"/>
            <w:vAlign w:val="center"/>
          </w:tcPr>
          <w:p w14:paraId="22E133C7" w14:textId="77777777" w:rsidR="00B470D0" w:rsidRPr="00F2430A" w:rsidRDefault="00B470D0" w:rsidP="00E01404">
            <w:pPr>
              <w:widowControl/>
              <w:autoSpaceDE/>
              <w:autoSpaceDN/>
              <w:adjustRightInd/>
              <w:jc w:val="right"/>
              <w:rPr>
                <w:rFonts w:eastAsia="Calibri"/>
                <w:color w:val="000000"/>
                <w:sz w:val="22"/>
                <w:szCs w:val="22"/>
              </w:rPr>
            </w:pPr>
            <w:r w:rsidRPr="00F2430A">
              <w:rPr>
                <w:rFonts w:eastAsia="Calibri"/>
                <w:color w:val="000000"/>
                <w:sz w:val="22"/>
                <w:szCs w:val="22"/>
              </w:rPr>
              <w:t>25</w:t>
            </w:r>
          </w:p>
        </w:tc>
        <w:tc>
          <w:tcPr>
            <w:tcW w:w="1467" w:type="dxa"/>
            <w:shd w:val="clear" w:color="auto" w:fill="auto"/>
            <w:vAlign w:val="center"/>
          </w:tcPr>
          <w:p w14:paraId="348C183C" w14:textId="77777777" w:rsidR="00B470D0" w:rsidRPr="00F2430A" w:rsidRDefault="00B470D0" w:rsidP="00E01404">
            <w:pPr>
              <w:widowControl/>
              <w:tabs>
                <w:tab w:val="right" w:pos="7920"/>
              </w:tabs>
              <w:jc w:val="right"/>
              <w:rPr>
                <w:sz w:val="22"/>
                <w:szCs w:val="22"/>
              </w:rPr>
            </w:pPr>
            <w:r>
              <w:rPr>
                <w:sz w:val="22"/>
                <w:szCs w:val="22"/>
              </w:rPr>
              <w:t>72,375</w:t>
            </w:r>
          </w:p>
        </w:tc>
        <w:tc>
          <w:tcPr>
            <w:tcW w:w="1221" w:type="dxa"/>
            <w:shd w:val="clear" w:color="auto" w:fill="auto"/>
            <w:vAlign w:val="center"/>
          </w:tcPr>
          <w:p w14:paraId="7D8A7F73" w14:textId="77777777" w:rsidR="00B470D0" w:rsidRPr="00F2430A" w:rsidRDefault="00B470D0" w:rsidP="00E01404">
            <w:pPr>
              <w:widowControl/>
              <w:tabs>
                <w:tab w:val="right" w:pos="7920"/>
              </w:tabs>
              <w:jc w:val="right"/>
              <w:rPr>
                <w:sz w:val="22"/>
                <w:szCs w:val="22"/>
              </w:rPr>
            </w:pPr>
            <w:r w:rsidRPr="00F2430A">
              <w:rPr>
                <w:sz w:val="22"/>
                <w:szCs w:val="22"/>
              </w:rPr>
              <w:t>0.75</w:t>
            </w:r>
          </w:p>
        </w:tc>
        <w:tc>
          <w:tcPr>
            <w:tcW w:w="1413" w:type="dxa"/>
            <w:shd w:val="clear" w:color="auto" w:fill="auto"/>
            <w:vAlign w:val="center"/>
          </w:tcPr>
          <w:p w14:paraId="45484DD2" w14:textId="77777777" w:rsidR="00B470D0" w:rsidRPr="00F2430A" w:rsidRDefault="00B470D0" w:rsidP="00E01404">
            <w:pPr>
              <w:widowControl/>
              <w:tabs>
                <w:tab w:val="right" w:pos="7920"/>
              </w:tabs>
              <w:jc w:val="right"/>
              <w:rPr>
                <w:sz w:val="22"/>
                <w:szCs w:val="22"/>
              </w:rPr>
            </w:pPr>
            <w:r>
              <w:rPr>
                <w:sz w:val="22"/>
                <w:szCs w:val="22"/>
              </w:rPr>
              <w:t>54,281</w:t>
            </w:r>
          </w:p>
        </w:tc>
        <w:tc>
          <w:tcPr>
            <w:tcW w:w="1109" w:type="dxa"/>
          </w:tcPr>
          <w:p w14:paraId="297F40F0" w14:textId="77777777" w:rsidR="00B470D0" w:rsidRDefault="00B470D0" w:rsidP="00E01404">
            <w:pPr>
              <w:widowControl/>
              <w:tabs>
                <w:tab w:val="right" w:pos="7920"/>
              </w:tabs>
              <w:jc w:val="right"/>
              <w:rPr>
                <w:sz w:val="22"/>
                <w:szCs w:val="22"/>
              </w:rPr>
            </w:pPr>
          </w:p>
        </w:tc>
      </w:tr>
      <w:tr w:rsidR="00B470D0" w:rsidRPr="007F2786" w14:paraId="38DD58B5" w14:textId="11EB11A1" w:rsidTr="00B470D0">
        <w:trPr>
          <w:trHeight w:val="485"/>
          <w:jc w:val="center"/>
        </w:trPr>
        <w:tc>
          <w:tcPr>
            <w:tcW w:w="1410" w:type="dxa"/>
            <w:shd w:val="clear" w:color="auto" w:fill="auto"/>
            <w:vAlign w:val="center"/>
          </w:tcPr>
          <w:p w14:paraId="491475BA" w14:textId="77777777" w:rsidR="00B470D0" w:rsidRPr="00F2430A" w:rsidRDefault="00B470D0" w:rsidP="00E01404">
            <w:pPr>
              <w:widowControl/>
              <w:tabs>
                <w:tab w:val="right" w:pos="7920"/>
              </w:tabs>
              <w:jc w:val="right"/>
              <w:rPr>
                <w:b/>
                <w:sz w:val="22"/>
                <w:szCs w:val="22"/>
              </w:rPr>
            </w:pPr>
            <w:r w:rsidRPr="00F2430A">
              <w:rPr>
                <w:b/>
                <w:sz w:val="22"/>
                <w:szCs w:val="22"/>
              </w:rPr>
              <w:t xml:space="preserve">TOTALS </w:t>
            </w:r>
          </w:p>
        </w:tc>
        <w:tc>
          <w:tcPr>
            <w:tcW w:w="1483" w:type="dxa"/>
            <w:shd w:val="clear" w:color="auto" w:fill="auto"/>
            <w:vAlign w:val="center"/>
          </w:tcPr>
          <w:p w14:paraId="30F543DB" w14:textId="77777777" w:rsidR="00B470D0" w:rsidRPr="00F2430A" w:rsidRDefault="00B470D0" w:rsidP="00E01404">
            <w:pPr>
              <w:widowControl/>
              <w:tabs>
                <w:tab w:val="right" w:pos="7920"/>
              </w:tabs>
              <w:jc w:val="right"/>
              <w:rPr>
                <w:b/>
                <w:sz w:val="22"/>
                <w:szCs w:val="22"/>
              </w:rPr>
            </w:pPr>
            <w:r w:rsidRPr="00F2430A">
              <w:rPr>
                <w:b/>
                <w:sz w:val="22"/>
                <w:szCs w:val="22"/>
              </w:rPr>
              <w:t>18,479</w:t>
            </w:r>
          </w:p>
        </w:tc>
        <w:tc>
          <w:tcPr>
            <w:tcW w:w="1473" w:type="dxa"/>
            <w:shd w:val="clear" w:color="auto" w:fill="auto"/>
            <w:vAlign w:val="center"/>
          </w:tcPr>
          <w:p w14:paraId="4C38E686" w14:textId="5AD81D40" w:rsidR="00B470D0" w:rsidRPr="00F2430A" w:rsidRDefault="00B470D0" w:rsidP="00E01404">
            <w:pPr>
              <w:widowControl/>
              <w:tabs>
                <w:tab w:val="right" w:pos="7920"/>
              </w:tabs>
              <w:jc w:val="center"/>
              <w:rPr>
                <w:b/>
                <w:sz w:val="18"/>
                <w:szCs w:val="18"/>
              </w:rPr>
            </w:pPr>
            <w:r w:rsidRPr="00F2430A">
              <w:rPr>
                <w:b/>
                <w:sz w:val="18"/>
                <w:szCs w:val="18"/>
              </w:rPr>
              <w:t>(Ave</w:t>
            </w:r>
            <w:r>
              <w:rPr>
                <w:b/>
                <w:sz w:val="18"/>
                <w:szCs w:val="18"/>
              </w:rPr>
              <w:t>rage</w:t>
            </w:r>
            <w:r w:rsidRPr="00F2430A">
              <w:rPr>
                <w:b/>
                <w:sz w:val="18"/>
                <w:szCs w:val="18"/>
              </w:rPr>
              <w:t xml:space="preserve"> of approx. </w:t>
            </w:r>
            <w:r>
              <w:rPr>
                <w:b/>
                <w:sz w:val="18"/>
                <w:szCs w:val="18"/>
              </w:rPr>
              <w:t>6.1971</w:t>
            </w:r>
            <w:r w:rsidR="00546E43">
              <w:rPr>
                <w:b/>
                <w:sz w:val="18"/>
                <w:szCs w:val="18"/>
              </w:rPr>
              <w:t>427</w:t>
            </w:r>
            <w:r w:rsidRPr="00F2430A">
              <w:rPr>
                <w:b/>
                <w:sz w:val="18"/>
                <w:szCs w:val="18"/>
              </w:rPr>
              <w:t>)</w:t>
            </w:r>
          </w:p>
        </w:tc>
        <w:tc>
          <w:tcPr>
            <w:tcW w:w="1467" w:type="dxa"/>
            <w:shd w:val="clear" w:color="auto" w:fill="auto"/>
            <w:vAlign w:val="center"/>
          </w:tcPr>
          <w:p w14:paraId="3DF084D6" w14:textId="77777777" w:rsidR="00B470D0" w:rsidRPr="00F2430A" w:rsidRDefault="00B470D0" w:rsidP="00E01404">
            <w:pPr>
              <w:widowControl/>
              <w:tabs>
                <w:tab w:val="right" w:pos="7920"/>
              </w:tabs>
              <w:jc w:val="right"/>
              <w:rPr>
                <w:b/>
                <w:sz w:val="22"/>
                <w:szCs w:val="22"/>
              </w:rPr>
            </w:pPr>
            <w:r>
              <w:rPr>
                <w:b/>
                <w:sz w:val="22"/>
                <w:szCs w:val="22"/>
              </w:rPr>
              <w:t>114,517</w:t>
            </w:r>
          </w:p>
        </w:tc>
        <w:tc>
          <w:tcPr>
            <w:tcW w:w="1221" w:type="dxa"/>
            <w:shd w:val="clear" w:color="auto" w:fill="auto"/>
            <w:vAlign w:val="center"/>
          </w:tcPr>
          <w:p w14:paraId="4F24DDA2" w14:textId="2D2D6F36" w:rsidR="00B470D0" w:rsidRPr="00F2430A" w:rsidRDefault="00B470D0" w:rsidP="00E01404">
            <w:pPr>
              <w:widowControl/>
              <w:tabs>
                <w:tab w:val="right" w:pos="7920"/>
              </w:tabs>
              <w:jc w:val="right"/>
              <w:rPr>
                <w:b/>
                <w:sz w:val="22"/>
                <w:szCs w:val="22"/>
              </w:rPr>
            </w:pPr>
            <w:r>
              <w:rPr>
                <w:b/>
                <w:sz w:val="22"/>
                <w:szCs w:val="22"/>
              </w:rPr>
              <w:t>0.75</w:t>
            </w:r>
          </w:p>
        </w:tc>
        <w:tc>
          <w:tcPr>
            <w:tcW w:w="1413" w:type="dxa"/>
            <w:shd w:val="clear" w:color="auto" w:fill="auto"/>
            <w:vAlign w:val="center"/>
          </w:tcPr>
          <w:p w14:paraId="54576C2A" w14:textId="3FA5E893" w:rsidR="00B470D0" w:rsidRPr="00F2430A" w:rsidRDefault="00B470D0" w:rsidP="00E01404">
            <w:pPr>
              <w:widowControl/>
              <w:tabs>
                <w:tab w:val="right" w:pos="7920"/>
              </w:tabs>
              <w:jc w:val="right"/>
              <w:rPr>
                <w:b/>
                <w:sz w:val="22"/>
                <w:szCs w:val="22"/>
              </w:rPr>
            </w:pPr>
            <w:r>
              <w:rPr>
                <w:b/>
                <w:sz w:val="22"/>
                <w:szCs w:val="22"/>
              </w:rPr>
              <w:t>85,88</w:t>
            </w:r>
            <w:r w:rsidR="00546E43">
              <w:rPr>
                <w:b/>
                <w:sz w:val="22"/>
                <w:szCs w:val="22"/>
              </w:rPr>
              <w:t>8</w:t>
            </w:r>
          </w:p>
        </w:tc>
        <w:tc>
          <w:tcPr>
            <w:tcW w:w="1109" w:type="dxa"/>
          </w:tcPr>
          <w:p w14:paraId="02100A2F" w14:textId="77777777" w:rsidR="00B470D0" w:rsidRDefault="00B470D0" w:rsidP="00E01404">
            <w:pPr>
              <w:widowControl/>
              <w:tabs>
                <w:tab w:val="right" w:pos="7920"/>
              </w:tabs>
              <w:jc w:val="right"/>
              <w:rPr>
                <w:b/>
                <w:sz w:val="22"/>
                <w:szCs w:val="22"/>
              </w:rPr>
            </w:pPr>
          </w:p>
        </w:tc>
      </w:tr>
    </w:tbl>
    <w:p w14:paraId="1C2DEAC0" w14:textId="77777777" w:rsidR="00626C37" w:rsidRPr="00A72AE6" w:rsidRDefault="00626C37" w:rsidP="00E01404">
      <w:pPr>
        <w:widowControl/>
        <w:tabs>
          <w:tab w:val="left" w:pos="540"/>
        </w:tabs>
        <w:ind w:left="540" w:hanging="540"/>
        <w:rPr>
          <w:sz w:val="36"/>
          <w:szCs w:val="36"/>
        </w:rPr>
      </w:pPr>
    </w:p>
    <w:p w14:paraId="28939261" w14:textId="77777777" w:rsidR="0093146C" w:rsidRPr="00AF060A" w:rsidRDefault="0093146C" w:rsidP="00E01404">
      <w:pPr>
        <w:widowControl/>
        <w:suppressAutoHyphens/>
        <w:rPr>
          <w:i/>
          <w:sz w:val="22"/>
          <w:szCs w:val="22"/>
        </w:rPr>
      </w:pPr>
      <w:r w:rsidRPr="00AF060A">
        <w:rPr>
          <w:i/>
          <w:sz w:val="22"/>
          <w:szCs w:val="22"/>
        </w:rPr>
        <w:t xml:space="preserve">13.  What is the estimated annual cost burden to respondents or recordkeepers resulting from this information collection request (excluding the value of the hour burden in Question 12 above)? </w:t>
      </w:r>
    </w:p>
    <w:p w14:paraId="406369C8" w14:textId="77777777" w:rsidR="0093146C" w:rsidRDefault="0093146C" w:rsidP="00E01404">
      <w:pPr>
        <w:widowControl/>
        <w:suppressAutoHyphens/>
        <w:ind w:left="480" w:hanging="480"/>
        <w:rPr>
          <w:sz w:val="22"/>
          <w:szCs w:val="22"/>
        </w:rPr>
      </w:pPr>
    </w:p>
    <w:p w14:paraId="57C34102" w14:textId="750E52D9" w:rsidR="00473E64" w:rsidRDefault="00473E64" w:rsidP="00E01404">
      <w:pPr>
        <w:widowControl/>
        <w:suppressAutoHyphens/>
        <w:ind w:left="360"/>
        <w:rPr>
          <w:sz w:val="22"/>
          <w:szCs w:val="22"/>
        </w:rPr>
      </w:pPr>
      <w:r>
        <w:rPr>
          <w:sz w:val="22"/>
          <w:szCs w:val="22"/>
        </w:rPr>
        <w:t xml:space="preserve">Total costs for this collection: </w:t>
      </w:r>
    </w:p>
    <w:p w14:paraId="78A1DFA9" w14:textId="77777777" w:rsidR="00473E64" w:rsidRPr="007A5D4B" w:rsidRDefault="00473E64" w:rsidP="00E01404">
      <w:pPr>
        <w:widowControl/>
        <w:suppressAutoHyphens/>
        <w:ind w:left="36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9"/>
        <w:gridCol w:w="1620"/>
      </w:tblGrid>
      <w:tr w:rsidR="008263C8" w:rsidRPr="00F2430A" w14:paraId="0BB43413" w14:textId="77777777" w:rsidTr="00F2430A">
        <w:trPr>
          <w:trHeight w:val="432"/>
          <w:jc w:val="center"/>
        </w:trPr>
        <w:tc>
          <w:tcPr>
            <w:tcW w:w="4329" w:type="dxa"/>
            <w:shd w:val="clear" w:color="auto" w:fill="auto"/>
            <w:vAlign w:val="center"/>
          </w:tcPr>
          <w:p w14:paraId="40DDEFA1" w14:textId="77777777" w:rsidR="008263C8" w:rsidRPr="00F2430A" w:rsidRDefault="008263C8" w:rsidP="00E01404">
            <w:pPr>
              <w:widowControl/>
              <w:jc w:val="right"/>
              <w:rPr>
                <w:sz w:val="22"/>
                <w:szCs w:val="22"/>
              </w:rPr>
            </w:pPr>
            <w:r w:rsidRPr="00F2430A">
              <w:rPr>
                <w:sz w:val="22"/>
                <w:szCs w:val="22"/>
              </w:rPr>
              <w:t>Clerical costs (filing, mailing, etc.)</w:t>
            </w:r>
          </w:p>
        </w:tc>
        <w:tc>
          <w:tcPr>
            <w:tcW w:w="1620" w:type="dxa"/>
            <w:shd w:val="clear" w:color="auto" w:fill="auto"/>
            <w:vAlign w:val="center"/>
          </w:tcPr>
          <w:p w14:paraId="1D3EC264" w14:textId="77777777" w:rsidR="008263C8" w:rsidRPr="00F2430A" w:rsidRDefault="008263C8" w:rsidP="00E01404">
            <w:pPr>
              <w:widowControl/>
              <w:jc w:val="right"/>
              <w:rPr>
                <w:sz w:val="22"/>
                <w:szCs w:val="22"/>
              </w:rPr>
            </w:pPr>
            <w:r w:rsidRPr="00F2430A">
              <w:rPr>
                <w:sz w:val="22"/>
                <w:szCs w:val="22"/>
              </w:rPr>
              <w:t>108,000</w:t>
            </w:r>
          </w:p>
        </w:tc>
      </w:tr>
      <w:tr w:rsidR="008263C8" w:rsidRPr="00F2430A" w14:paraId="280F936F" w14:textId="77777777" w:rsidTr="00F2430A">
        <w:trPr>
          <w:trHeight w:val="432"/>
          <w:jc w:val="center"/>
        </w:trPr>
        <w:tc>
          <w:tcPr>
            <w:tcW w:w="4329" w:type="dxa"/>
            <w:shd w:val="clear" w:color="auto" w:fill="auto"/>
            <w:vAlign w:val="center"/>
          </w:tcPr>
          <w:p w14:paraId="1B3E63CB" w14:textId="77777777" w:rsidR="008263C8" w:rsidRPr="00F2430A" w:rsidRDefault="008263C8" w:rsidP="00E01404">
            <w:pPr>
              <w:widowControl/>
              <w:jc w:val="right"/>
              <w:rPr>
                <w:sz w:val="22"/>
                <w:szCs w:val="22"/>
              </w:rPr>
            </w:pPr>
            <w:r w:rsidRPr="00F2430A">
              <w:rPr>
                <w:sz w:val="22"/>
                <w:szCs w:val="22"/>
              </w:rPr>
              <w:t xml:space="preserve">Other Salary (assembling and gathering </w:t>
            </w:r>
          </w:p>
          <w:p w14:paraId="438720A3" w14:textId="77777777" w:rsidR="008263C8" w:rsidRPr="00F2430A" w:rsidRDefault="008263C8" w:rsidP="00E01404">
            <w:pPr>
              <w:widowControl/>
              <w:jc w:val="right"/>
              <w:rPr>
                <w:sz w:val="22"/>
                <w:szCs w:val="22"/>
              </w:rPr>
            </w:pPr>
            <w:r w:rsidRPr="00F2430A">
              <w:rPr>
                <w:sz w:val="22"/>
                <w:szCs w:val="22"/>
              </w:rPr>
              <w:t>Information and completing the form)</w:t>
            </w:r>
          </w:p>
        </w:tc>
        <w:tc>
          <w:tcPr>
            <w:tcW w:w="1620" w:type="dxa"/>
            <w:shd w:val="clear" w:color="auto" w:fill="auto"/>
            <w:vAlign w:val="center"/>
          </w:tcPr>
          <w:p w14:paraId="31FBE867" w14:textId="77777777" w:rsidR="008263C8" w:rsidRPr="00F2430A" w:rsidRDefault="008263C8" w:rsidP="00E01404">
            <w:pPr>
              <w:widowControl/>
              <w:jc w:val="right"/>
              <w:rPr>
                <w:sz w:val="22"/>
                <w:szCs w:val="22"/>
              </w:rPr>
            </w:pPr>
            <w:r w:rsidRPr="00F2430A">
              <w:rPr>
                <w:sz w:val="22"/>
                <w:szCs w:val="22"/>
              </w:rPr>
              <w:t>2,000,000</w:t>
            </w:r>
          </w:p>
        </w:tc>
      </w:tr>
      <w:tr w:rsidR="008263C8" w:rsidRPr="00F2430A" w14:paraId="7901B7EB" w14:textId="77777777" w:rsidTr="00F2430A">
        <w:trPr>
          <w:trHeight w:val="432"/>
          <w:jc w:val="center"/>
        </w:trPr>
        <w:tc>
          <w:tcPr>
            <w:tcW w:w="4329" w:type="dxa"/>
            <w:shd w:val="clear" w:color="auto" w:fill="auto"/>
            <w:vAlign w:val="center"/>
          </w:tcPr>
          <w:p w14:paraId="7897BEE5" w14:textId="77777777" w:rsidR="008263C8" w:rsidRPr="00F2430A" w:rsidRDefault="008263C8" w:rsidP="00E01404">
            <w:pPr>
              <w:widowControl/>
              <w:jc w:val="right"/>
              <w:rPr>
                <w:sz w:val="22"/>
                <w:szCs w:val="22"/>
              </w:rPr>
            </w:pPr>
            <w:r w:rsidRPr="00F2430A">
              <w:rPr>
                <w:sz w:val="22"/>
                <w:szCs w:val="22"/>
              </w:rPr>
              <w:t xml:space="preserve">Overhead </w:t>
            </w:r>
          </w:p>
        </w:tc>
        <w:tc>
          <w:tcPr>
            <w:tcW w:w="1620" w:type="dxa"/>
            <w:shd w:val="clear" w:color="auto" w:fill="auto"/>
            <w:vAlign w:val="center"/>
          </w:tcPr>
          <w:p w14:paraId="70835285" w14:textId="77777777" w:rsidR="008263C8" w:rsidRPr="00F2430A" w:rsidRDefault="008263C8" w:rsidP="00E01404">
            <w:pPr>
              <w:widowControl/>
              <w:jc w:val="right"/>
              <w:rPr>
                <w:sz w:val="22"/>
                <w:szCs w:val="22"/>
              </w:rPr>
            </w:pPr>
            <w:r w:rsidRPr="00F2430A">
              <w:rPr>
                <w:sz w:val="22"/>
                <w:szCs w:val="22"/>
              </w:rPr>
              <w:t>200,000</w:t>
            </w:r>
          </w:p>
        </w:tc>
      </w:tr>
      <w:tr w:rsidR="008263C8" w:rsidRPr="00F2430A" w14:paraId="30E38657" w14:textId="77777777" w:rsidTr="00F2430A">
        <w:trPr>
          <w:trHeight w:val="432"/>
          <w:jc w:val="center"/>
        </w:trPr>
        <w:tc>
          <w:tcPr>
            <w:tcW w:w="4329" w:type="dxa"/>
            <w:shd w:val="clear" w:color="auto" w:fill="auto"/>
            <w:vAlign w:val="center"/>
          </w:tcPr>
          <w:p w14:paraId="51F99919" w14:textId="77777777" w:rsidR="008263C8" w:rsidRPr="00F2430A" w:rsidRDefault="008263C8" w:rsidP="00E01404">
            <w:pPr>
              <w:widowControl/>
              <w:jc w:val="right"/>
              <w:rPr>
                <w:b/>
                <w:sz w:val="22"/>
                <w:szCs w:val="22"/>
              </w:rPr>
            </w:pPr>
            <w:r w:rsidRPr="00F2430A">
              <w:rPr>
                <w:b/>
                <w:sz w:val="22"/>
                <w:szCs w:val="22"/>
              </w:rPr>
              <w:t>Total</w:t>
            </w:r>
          </w:p>
        </w:tc>
        <w:tc>
          <w:tcPr>
            <w:tcW w:w="1620" w:type="dxa"/>
            <w:shd w:val="clear" w:color="auto" w:fill="auto"/>
            <w:vAlign w:val="center"/>
          </w:tcPr>
          <w:p w14:paraId="6F732F1E" w14:textId="77777777" w:rsidR="008263C8" w:rsidRPr="00F2430A" w:rsidRDefault="008263C8" w:rsidP="00E01404">
            <w:pPr>
              <w:widowControl/>
              <w:jc w:val="right"/>
              <w:rPr>
                <w:b/>
                <w:sz w:val="22"/>
                <w:szCs w:val="22"/>
              </w:rPr>
            </w:pPr>
            <w:r w:rsidRPr="00F2430A">
              <w:rPr>
                <w:b/>
                <w:sz w:val="22"/>
                <w:szCs w:val="22"/>
              </w:rPr>
              <w:t>$ 2,308,000</w:t>
            </w:r>
          </w:p>
        </w:tc>
      </w:tr>
    </w:tbl>
    <w:p w14:paraId="23A57593" w14:textId="77777777" w:rsidR="00533D2D" w:rsidRPr="00473E64" w:rsidRDefault="00533D2D" w:rsidP="00E01404">
      <w:pPr>
        <w:widowControl/>
        <w:ind w:left="360"/>
        <w:rPr>
          <w:sz w:val="22"/>
          <w:szCs w:val="22"/>
        </w:rPr>
      </w:pPr>
    </w:p>
    <w:p w14:paraId="418D43CC" w14:textId="173CEC12" w:rsidR="00473E64" w:rsidRPr="00473E64" w:rsidRDefault="00473E64" w:rsidP="00E01404">
      <w:pPr>
        <w:widowControl/>
        <w:ind w:left="360"/>
        <w:rPr>
          <w:sz w:val="22"/>
          <w:szCs w:val="22"/>
        </w:rPr>
      </w:pPr>
      <w:r>
        <w:rPr>
          <w:sz w:val="22"/>
          <w:szCs w:val="22"/>
        </w:rPr>
        <w:t xml:space="preserve">Given these total costs, each </w:t>
      </w:r>
      <w:r w:rsidR="00204D46">
        <w:rPr>
          <w:sz w:val="22"/>
          <w:szCs w:val="22"/>
        </w:rPr>
        <w:t xml:space="preserve">of the 18,479 annual </w:t>
      </w:r>
      <w:r>
        <w:rPr>
          <w:sz w:val="22"/>
          <w:szCs w:val="22"/>
        </w:rPr>
        <w:t>response</w:t>
      </w:r>
      <w:r w:rsidR="00204D46">
        <w:rPr>
          <w:sz w:val="22"/>
          <w:szCs w:val="22"/>
        </w:rPr>
        <w:t>s</w:t>
      </w:r>
      <w:r>
        <w:rPr>
          <w:sz w:val="22"/>
          <w:szCs w:val="22"/>
        </w:rPr>
        <w:t xml:space="preserve"> has a cost burden of approximately $20.15</w:t>
      </w:r>
      <w:r w:rsidR="00204D46">
        <w:rPr>
          <w:sz w:val="22"/>
          <w:szCs w:val="22"/>
        </w:rPr>
        <w:t xml:space="preserve">. </w:t>
      </w:r>
    </w:p>
    <w:p w14:paraId="636EB16A" w14:textId="77777777" w:rsidR="00473E64" w:rsidRPr="00A72AE6" w:rsidRDefault="00473E64" w:rsidP="00E01404">
      <w:pPr>
        <w:widowControl/>
        <w:tabs>
          <w:tab w:val="left" w:pos="540"/>
        </w:tabs>
        <w:ind w:left="540" w:hanging="540"/>
        <w:rPr>
          <w:sz w:val="36"/>
          <w:szCs w:val="36"/>
        </w:rPr>
      </w:pPr>
    </w:p>
    <w:p w14:paraId="1D9C4433" w14:textId="3112EC82" w:rsidR="0093146C" w:rsidRPr="00AF060A" w:rsidRDefault="0093146C" w:rsidP="00E01404">
      <w:pPr>
        <w:widowControl/>
        <w:suppressAutoHyphens/>
        <w:ind w:left="480" w:hanging="480"/>
        <w:rPr>
          <w:i/>
          <w:sz w:val="22"/>
          <w:szCs w:val="22"/>
        </w:rPr>
      </w:pPr>
      <w:r w:rsidRPr="00AF060A">
        <w:rPr>
          <w:i/>
          <w:sz w:val="22"/>
          <w:szCs w:val="22"/>
        </w:rPr>
        <w:t xml:space="preserve">14.  What is the annualized cost to the Federal Government? </w:t>
      </w:r>
    </w:p>
    <w:p w14:paraId="0EF10A0F" w14:textId="77777777" w:rsidR="0093146C" w:rsidRPr="007A5D4B" w:rsidRDefault="0093146C" w:rsidP="00E01404">
      <w:pPr>
        <w:widowControl/>
        <w:suppressAutoHyphens/>
        <w:ind w:left="480" w:hanging="48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4"/>
        <w:gridCol w:w="1440"/>
      </w:tblGrid>
      <w:tr w:rsidR="008263C8" w:rsidRPr="00F2430A" w14:paraId="03878055" w14:textId="77777777" w:rsidTr="0037759F">
        <w:trPr>
          <w:trHeight w:val="360"/>
          <w:jc w:val="center"/>
        </w:trPr>
        <w:tc>
          <w:tcPr>
            <w:tcW w:w="4734" w:type="dxa"/>
            <w:shd w:val="clear" w:color="auto" w:fill="auto"/>
            <w:vAlign w:val="center"/>
          </w:tcPr>
          <w:p w14:paraId="3B3DA2EC" w14:textId="1BA7D961" w:rsidR="008263C8" w:rsidRPr="00F2430A" w:rsidRDefault="008263C8" w:rsidP="0037759F">
            <w:pPr>
              <w:widowControl/>
              <w:jc w:val="right"/>
              <w:rPr>
                <w:sz w:val="22"/>
                <w:szCs w:val="22"/>
                <w:vertAlign w:val="superscript"/>
              </w:rPr>
            </w:pPr>
            <w:r w:rsidRPr="00F2430A">
              <w:rPr>
                <w:sz w:val="22"/>
                <w:szCs w:val="22"/>
              </w:rPr>
              <w:t>Clerical costs (filing)</w:t>
            </w:r>
            <w:r w:rsidR="0037759F">
              <w:rPr>
                <w:rStyle w:val="FootnoteReference"/>
                <w:sz w:val="22"/>
                <w:szCs w:val="22"/>
              </w:rPr>
              <w:footnoteReference w:id="3"/>
            </w:r>
          </w:p>
        </w:tc>
        <w:tc>
          <w:tcPr>
            <w:tcW w:w="1440" w:type="dxa"/>
            <w:shd w:val="clear" w:color="auto" w:fill="auto"/>
            <w:vAlign w:val="center"/>
          </w:tcPr>
          <w:p w14:paraId="46A0025D" w14:textId="77777777" w:rsidR="008263C8" w:rsidRPr="00F2430A" w:rsidRDefault="008263C8" w:rsidP="00E01404">
            <w:pPr>
              <w:widowControl/>
              <w:jc w:val="right"/>
              <w:rPr>
                <w:sz w:val="22"/>
                <w:szCs w:val="22"/>
              </w:rPr>
            </w:pPr>
            <w:r w:rsidRPr="00F2430A">
              <w:rPr>
                <w:sz w:val="22"/>
                <w:szCs w:val="22"/>
              </w:rPr>
              <w:t>38,253</w:t>
            </w:r>
          </w:p>
        </w:tc>
      </w:tr>
      <w:tr w:rsidR="008263C8" w:rsidRPr="00F2430A" w14:paraId="326A04CE" w14:textId="77777777" w:rsidTr="0037759F">
        <w:trPr>
          <w:trHeight w:val="360"/>
          <w:jc w:val="center"/>
        </w:trPr>
        <w:tc>
          <w:tcPr>
            <w:tcW w:w="4734" w:type="dxa"/>
            <w:shd w:val="clear" w:color="auto" w:fill="auto"/>
            <w:vAlign w:val="center"/>
          </w:tcPr>
          <w:p w14:paraId="0052E87E" w14:textId="5C15D44C" w:rsidR="008263C8" w:rsidRPr="00F2430A" w:rsidRDefault="008263C8" w:rsidP="00E01404">
            <w:pPr>
              <w:widowControl/>
              <w:jc w:val="right"/>
              <w:rPr>
                <w:sz w:val="22"/>
                <w:szCs w:val="22"/>
                <w:vertAlign w:val="superscript"/>
              </w:rPr>
            </w:pPr>
            <w:r w:rsidRPr="00F2430A">
              <w:rPr>
                <w:sz w:val="22"/>
                <w:szCs w:val="22"/>
              </w:rPr>
              <w:t xml:space="preserve">Other salary (examination, supervisory, </w:t>
            </w:r>
            <w:r w:rsidR="00B63F28" w:rsidRPr="00F2430A">
              <w:rPr>
                <w:sz w:val="22"/>
                <w:szCs w:val="22"/>
              </w:rPr>
              <w:t>etc.</w:t>
            </w:r>
            <w:r w:rsidR="00B6705A" w:rsidRPr="00F2430A">
              <w:rPr>
                <w:sz w:val="22"/>
                <w:szCs w:val="22"/>
              </w:rPr>
              <w:t>)</w:t>
            </w:r>
            <w:r w:rsidR="0037759F">
              <w:rPr>
                <w:rStyle w:val="FootnoteReference"/>
                <w:sz w:val="22"/>
                <w:szCs w:val="22"/>
              </w:rPr>
              <w:footnoteReference w:id="4"/>
            </w:r>
          </w:p>
        </w:tc>
        <w:tc>
          <w:tcPr>
            <w:tcW w:w="1440" w:type="dxa"/>
            <w:shd w:val="clear" w:color="auto" w:fill="auto"/>
            <w:vAlign w:val="center"/>
          </w:tcPr>
          <w:p w14:paraId="07ADD250" w14:textId="77777777" w:rsidR="008263C8" w:rsidRPr="00F2430A" w:rsidRDefault="00B6705A" w:rsidP="00E01404">
            <w:pPr>
              <w:widowControl/>
              <w:jc w:val="right"/>
              <w:rPr>
                <w:sz w:val="22"/>
                <w:szCs w:val="22"/>
              </w:rPr>
            </w:pPr>
            <w:r w:rsidRPr="00F2430A">
              <w:rPr>
                <w:sz w:val="22"/>
                <w:szCs w:val="22"/>
              </w:rPr>
              <w:t>561,056</w:t>
            </w:r>
          </w:p>
        </w:tc>
      </w:tr>
      <w:tr w:rsidR="008263C8" w:rsidRPr="00F2430A" w14:paraId="0096D5D5" w14:textId="77777777" w:rsidTr="0037759F">
        <w:trPr>
          <w:trHeight w:val="360"/>
          <w:jc w:val="center"/>
        </w:trPr>
        <w:tc>
          <w:tcPr>
            <w:tcW w:w="4734" w:type="dxa"/>
            <w:shd w:val="clear" w:color="auto" w:fill="auto"/>
            <w:vAlign w:val="center"/>
          </w:tcPr>
          <w:p w14:paraId="28472E77" w14:textId="77777777" w:rsidR="008263C8" w:rsidRPr="00F2430A" w:rsidRDefault="00B6705A" w:rsidP="00E01404">
            <w:pPr>
              <w:widowControl/>
              <w:jc w:val="right"/>
              <w:rPr>
                <w:b/>
                <w:sz w:val="22"/>
                <w:szCs w:val="22"/>
              </w:rPr>
            </w:pPr>
            <w:r w:rsidRPr="00F2430A">
              <w:rPr>
                <w:b/>
                <w:sz w:val="22"/>
                <w:szCs w:val="22"/>
              </w:rPr>
              <w:t>Total</w:t>
            </w:r>
          </w:p>
        </w:tc>
        <w:tc>
          <w:tcPr>
            <w:tcW w:w="1440" w:type="dxa"/>
            <w:shd w:val="clear" w:color="auto" w:fill="auto"/>
            <w:vAlign w:val="center"/>
          </w:tcPr>
          <w:p w14:paraId="4DCE5B71" w14:textId="77777777" w:rsidR="008263C8" w:rsidRPr="00F2430A" w:rsidRDefault="00B6705A" w:rsidP="00E01404">
            <w:pPr>
              <w:widowControl/>
              <w:jc w:val="right"/>
              <w:rPr>
                <w:b/>
                <w:sz w:val="22"/>
                <w:szCs w:val="22"/>
              </w:rPr>
            </w:pPr>
            <w:r w:rsidRPr="00F2430A">
              <w:rPr>
                <w:b/>
                <w:sz w:val="22"/>
                <w:szCs w:val="22"/>
              </w:rPr>
              <w:t>$ 599,309</w:t>
            </w:r>
          </w:p>
        </w:tc>
      </w:tr>
    </w:tbl>
    <w:p w14:paraId="4695B36B" w14:textId="7F48FAFB" w:rsidR="00553A23" w:rsidRDefault="00553A23" w:rsidP="00E01404">
      <w:pPr>
        <w:widowControl/>
        <w:ind w:left="360"/>
        <w:rPr>
          <w:sz w:val="22"/>
          <w:szCs w:val="22"/>
        </w:rPr>
      </w:pPr>
      <w:r w:rsidRPr="00553A23">
        <w:rPr>
          <w:sz w:val="22"/>
          <w:szCs w:val="22"/>
        </w:rPr>
        <w:t>Printing and distribution costs to the Federal government have decreased to $0.00 in TTB’s cost estimate due to the availability of TTB forms to the public on the TTB website (</w:t>
      </w:r>
      <w:hyperlink r:id="rId14" w:history="1">
        <w:r w:rsidRPr="000A2B68">
          <w:rPr>
            <w:rStyle w:val="Hyperlink"/>
            <w:sz w:val="22"/>
            <w:szCs w:val="22"/>
          </w:rPr>
          <w:t>http://www.ttb.gov</w:t>
        </w:r>
      </w:hyperlink>
      <w:r w:rsidRPr="00553A23">
        <w:rPr>
          <w:sz w:val="22"/>
          <w:szCs w:val="22"/>
        </w:rPr>
        <w:t>).</w:t>
      </w:r>
      <w:r>
        <w:rPr>
          <w:sz w:val="22"/>
          <w:szCs w:val="22"/>
        </w:rPr>
        <w:t xml:space="preserve"> </w:t>
      </w:r>
    </w:p>
    <w:p w14:paraId="530FBF4A" w14:textId="77777777" w:rsidR="000117FE" w:rsidRPr="00A72AE6" w:rsidRDefault="000117FE" w:rsidP="00E01404">
      <w:pPr>
        <w:widowControl/>
        <w:tabs>
          <w:tab w:val="left" w:pos="540"/>
        </w:tabs>
        <w:ind w:left="540" w:hanging="540"/>
        <w:rPr>
          <w:sz w:val="36"/>
          <w:szCs w:val="36"/>
        </w:rPr>
      </w:pPr>
    </w:p>
    <w:p w14:paraId="1E2A4FC1" w14:textId="481D5669" w:rsidR="0093146C" w:rsidRPr="00377DB4" w:rsidRDefault="0093146C" w:rsidP="00E01404">
      <w:pPr>
        <w:widowControl/>
        <w:suppressAutoHyphens/>
        <w:rPr>
          <w:i/>
          <w:sz w:val="22"/>
          <w:szCs w:val="22"/>
        </w:rPr>
      </w:pPr>
      <w:r w:rsidRPr="00377DB4">
        <w:rPr>
          <w:i/>
          <w:sz w:val="22"/>
          <w:szCs w:val="22"/>
        </w:rPr>
        <w:t xml:space="preserve">15.  What is the reason for any program changes or adjustments reported? </w:t>
      </w:r>
    </w:p>
    <w:p w14:paraId="584258BB" w14:textId="77777777" w:rsidR="0093146C" w:rsidRPr="00377DB4" w:rsidRDefault="0093146C" w:rsidP="00E01404">
      <w:pPr>
        <w:widowControl/>
        <w:suppressAutoHyphens/>
        <w:rPr>
          <w:sz w:val="22"/>
          <w:szCs w:val="22"/>
        </w:rPr>
      </w:pPr>
    </w:p>
    <w:p w14:paraId="19F9509A" w14:textId="0723CADC" w:rsidR="000C7439" w:rsidRDefault="00F45B41" w:rsidP="00E01404">
      <w:pPr>
        <w:widowControl/>
        <w:ind w:left="360"/>
        <w:rPr>
          <w:sz w:val="22"/>
          <w:szCs w:val="22"/>
        </w:rPr>
      </w:pPr>
      <w:r w:rsidRPr="00377DB4">
        <w:rPr>
          <w:sz w:val="22"/>
          <w:szCs w:val="22"/>
        </w:rPr>
        <w:t>There</w:t>
      </w:r>
      <w:r w:rsidRPr="00F45B41">
        <w:rPr>
          <w:sz w:val="22"/>
          <w:szCs w:val="22"/>
        </w:rPr>
        <w:t xml:space="preserve"> are no program changes associated with this approval request. </w:t>
      </w:r>
      <w:r w:rsidR="009700E5">
        <w:rPr>
          <w:sz w:val="22"/>
          <w:szCs w:val="22"/>
        </w:rPr>
        <w:t xml:space="preserve"> </w:t>
      </w:r>
      <w:r w:rsidR="000C7439">
        <w:rPr>
          <w:sz w:val="22"/>
          <w:szCs w:val="22"/>
        </w:rPr>
        <w:t xml:space="preserve">(The amendment made by the PATH Act to 26 U.S.C. 5061(d)(4) to allow certain small alcohol excise taxpayers to pay tax and file returns annually was reported as a program changes in the last approval request that TTB submitted for this information collection.) </w:t>
      </w:r>
    </w:p>
    <w:p w14:paraId="6EBA9645" w14:textId="77777777" w:rsidR="000C7439" w:rsidRDefault="000C7439" w:rsidP="00E01404">
      <w:pPr>
        <w:widowControl/>
        <w:ind w:left="360"/>
        <w:rPr>
          <w:sz w:val="22"/>
          <w:szCs w:val="22"/>
        </w:rPr>
      </w:pPr>
    </w:p>
    <w:p w14:paraId="4E2C09C7" w14:textId="0105A431" w:rsidR="000C7439" w:rsidRDefault="009700E5" w:rsidP="00E01404">
      <w:pPr>
        <w:widowControl/>
        <w:ind w:left="360"/>
        <w:rPr>
          <w:sz w:val="22"/>
          <w:szCs w:val="22"/>
        </w:rPr>
      </w:pPr>
      <w:r>
        <w:rPr>
          <w:sz w:val="22"/>
          <w:szCs w:val="22"/>
        </w:rPr>
        <w:t xml:space="preserve">As for adjustments, </w:t>
      </w:r>
      <w:r w:rsidR="00B931DD">
        <w:rPr>
          <w:sz w:val="22"/>
          <w:szCs w:val="22"/>
        </w:rPr>
        <w:t xml:space="preserve">due to changes in agency estimates, </w:t>
      </w:r>
      <w:r w:rsidR="00894AAE">
        <w:rPr>
          <w:sz w:val="22"/>
          <w:szCs w:val="22"/>
        </w:rPr>
        <w:t>TTB is decreasing the estimated number of annual responses from 170,017 to 114,517</w:t>
      </w:r>
      <w:r w:rsidR="00377DB4">
        <w:rPr>
          <w:sz w:val="22"/>
          <w:szCs w:val="22"/>
        </w:rPr>
        <w:t xml:space="preserve">, and, as result, is decreasing </w:t>
      </w:r>
      <w:r w:rsidR="00377DB4" w:rsidRPr="00377DB4">
        <w:rPr>
          <w:sz w:val="22"/>
          <w:szCs w:val="22"/>
        </w:rPr>
        <w:t>the estimated number of annual burden hours, from 127,513 hours to 85,888</w:t>
      </w:r>
      <w:r w:rsidR="00377DB4">
        <w:rPr>
          <w:sz w:val="22"/>
          <w:szCs w:val="22"/>
        </w:rPr>
        <w:t xml:space="preserve">.  This decrease is </w:t>
      </w:r>
      <w:r w:rsidR="00894AAE">
        <w:rPr>
          <w:sz w:val="22"/>
          <w:szCs w:val="22"/>
        </w:rPr>
        <w:t xml:space="preserve">due to the number of small alcohol excise taxpayers who </w:t>
      </w:r>
      <w:r w:rsidR="00377DB4">
        <w:rPr>
          <w:sz w:val="22"/>
          <w:szCs w:val="22"/>
        </w:rPr>
        <w:t>will n</w:t>
      </w:r>
      <w:r w:rsidR="00894AAE">
        <w:rPr>
          <w:sz w:val="22"/>
          <w:szCs w:val="22"/>
        </w:rPr>
        <w:t>ow file annual tax returns, rather than quarterly, under the recent amendment made to the IRC at 26 U.S.C. 5061(d)(4)</w:t>
      </w:r>
      <w:r w:rsidR="000C7439">
        <w:rPr>
          <w:sz w:val="22"/>
          <w:szCs w:val="22"/>
        </w:rPr>
        <w:t xml:space="preserve">; see details under Question 1 above.  </w:t>
      </w:r>
      <w:r w:rsidR="000C7439" w:rsidRPr="000C7439">
        <w:rPr>
          <w:sz w:val="22"/>
          <w:szCs w:val="22"/>
        </w:rPr>
        <w:t xml:space="preserve">TTB also expects that additional </w:t>
      </w:r>
      <w:r w:rsidR="000C7439">
        <w:rPr>
          <w:sz w:val="22"/>
          <w:szCs w:val="22"/>
        </w:rPr>
        <w:t xml:space="preserve">small alcohol excise </w:t>
      </w:r>
      <w:r w:rsidR="000C7439" w:rsidRPr="000C7439">
        <w:rPr>
          <w:sz w:val="22"/>
          <w:szCs w:val="22"/>
        </w:rPr>
        <w:t xml:space="preserve">taxpayers who are eligible to </w:t>
      </w:r>
      <w:r w:rsidR="000C7439">
        <w:rPr>
          <w:sz w:val="22"/>
          <w:szCs w:val="22"/>
        </w:rPr>
        <w:t>pay taxes and file returns q</w:t>
      </w:r>
      <w:r w:rsidR="000C7439" w:rsidRPr="000C7439">
        <w:rPr>
          <w:sz w:val="22"/>
          <w:szCs w:val="22"/>
        </w:rPr>
        <w:t>uarterly</w:t>
      </w:r>
      <w:r w:rsidR="000C7439">
        <w:rPr>
          <w:sz w:val="22"/>
          <w:szCs w:val="22"/>
        </w:rPr>
        <w:t xml:space="preserve"> </w:t>
      </w:r>
      <w:r w:rsidR="000C7439" w:rsidRPr="000C7439">
        <w:rPr>
          <w:sz w:val="22"/>
          <w:szCs w:val="22"/>
        </w:rPr>
        <w:t xml:space="preserve">will begin </w:t>
      </w:r>
      <w:r w:rsidR="000C7439">
        <w:rPr>
          <w:sz w:val="22"/>
          <w:szCs w:val="22"/>
        </w:rPr>
        <w:t xml:space="preserve">doing so </w:t>
      </w:r>
      <w:r w:rsidR="000C7439" w:rsidRPr="000C7439">
        <w:rPr>
          <w:sz w:val="22"/>
          <w:szCs w:val="22"/>
        </w:rPr>
        <w:t xml:space="preserve">in lieu of </w:t>
      </w:r>
      <w:r w:rsidR="000C7439">
        <w:rPr>
          <w:sz w:val="22"/>
          <w:szCs w:val="22"/>
        </w:rPr>
        <w:t xml:space="preserve">filing </w:t>
      </w:r>
      <w:r w:rsidR="000C7439" w:rsidRPr="000C7439">
        <w:rPr>
          <w:sz w:val="22"/>
          <w:szCs w:val="22"/>
        </w:rPr>
        <w:t xml:space="preserve">semimonthly </w:t>
      </w:r>
      <w:r w:rsidR="00377DB4">
        <w:rPr>
          <w:sz w:val="22"/>
          <w:szCs w:val="22"/>
        </w:rPr>
        <w:t xml:space="preserve">returns. </w:t>
      </w:r>
    </w:p>
    <w:p w14:paraId="43997962" w14:textId="77777777" w:rsidR="00533D2D" w:rsidRPr="00A72AE6" w:rsidRDefault="00533D2D" w:rsidP="00E01404">
      <w:pPr>
        <w:widowControl/>
        <w:tabs>
          <w:tab w:val="left" w:pos="540"/>
        </w:tabs>
        <w:ind w:left="540" w:hanging="540"/>
        <w:rPr>
          <w:sz w:val="36"/>
          <w:szCs w:val="36"/>
        </w:rPr>
      </w:pPr>
    </w:p>
    <w:p w14:paraId="71D27CDD" w14:textId="77777777" w:rsidR="00214081" w:rsidRPr="00AF060A" w:rsidRDefault="00214081" w:rsidP="00E01404">
      <w:pPr>
        <w:widowControl/>
        <w:suppressAutoHyphens/>
        <w:rPr>
          <w:i/>
          <w:sz w:val="22"/>
          <w:szCs w:val="22"/>
        </w:rPr>
      </w:pPr>
      <w:r w:rsidRPr="00AF060A">
        <w:rPr>
          <w:i/>
          <w:sz w:val="22"/>
          <w:szCs w:val="22"/>
        </w:rPr>
        <w:t>16.  Outline plans for tabulation and publication for collections of information whose results will be published.</w:t>
      </w:r>
      <w:r>
        <w:rPr>
          <w:i/>
          <w:sz w:val="22"/>
          <w:szCs w:val="22"/>
        </w:rPr>
        <w:t xml:space="preserve"> </w:t>
      </w:r>
    </w:p>
    <w:p w14:paraId="330D2971" w14:textId="77777777" w:rsidR="00214081" w:rsidRPr="007A5D4B" w:rsidRDefault="00214081" w:rsidP="00E01404">
      <w:pPr>
        <w:widowControl/>
        <w:suppressAutoHyphens/>
        <w:ind w:left="480" w:hanging="480"/>
        <w:rPr>
          <w:sz w:val="22"/>
          <w:szCs w:val="22"/>
        </w:rPr>
      </w:pPr>
    </w:p>
    <w:p w14:paraId="6EDDC073" w14:textId="2C5A66AD" w:rsidR="003F0891" w:rsidRDefault="003F0891" w:rsidP="00E01404">
      <w:pPr>
        <w:widowControl/>
        <w:ind w:left="360"/>
        <w:rPr>
          <w:sz w:val="22"/>
          <w:szCs w:val="22"/>
        </w:rPr>
      </w:pPr>
      <w:r w:rsidRPr="003F0891">
        <w:rPr>
          <w:sz w:val="22"/>
          <w:szCs w:val="22"/>
        </w:rPr>
        <w:t xml:space="preserve">The </w:t>
      </w:r>
      <w:r w:rsidR="001034D4">
        <w:rPr>
          <w:sz w:val="22"/>
          <w:szCs w:val="22"/>
        </w:rPr>
        <w:t xml:space="preserve">Federal alcohol and tobacco tax payment </w:t>
      </w:r>
      <w:r w:rsidRPr="003F0891">
        <w:rPr>
          <w:sz w:val="22"/>
          <w:szCs w:val="22"/>
        </w:rPr>
        <w:t xml:space="preserve">data collected on </w:t>
      </w:r>
      <w:r w:rsidR="001034D4">
        <w:rPr>
          <w:sz w:val="22"/>
          <w:szCs w:val="22"/>
        </w:rPr>
        <w:t xml:space="preserve">TTB F 5000.24 </w:t>
      </w:r>
      <w:r w:rsidRPr="003F0891">
        <w:rPr>
          <w:sz w:val="22"/>
          <w:szCs w:val="22"/>
        </w:rPr>
        <w:t xml:space="preserve">is summarized by TTB and published as a generalized </w:t>
      </w:r>
      <w:r w:rsidR="001034D4">
        <w:rPr>
          <w:sz w:val="22"/>
          <w:szCs w:val="22"/>
        </w:rPr>
        <w:t xml:space="preserve">quarterly Tax Collections report, which is posted to the TTB website at </w:t>
      </w:r>
      <w:hyperlink r:id="rId15" w:history="1">
        <w:r w:rsidR="001034D4" w:rsidRPr="00381259">
          <w:rPr>
            <w:rStyle w:val="Hyperlink"/>
            <w:sz w:val="22"/>
            <w:szCs w:val="22"/>
          </w:rPr>
          <w:t>https://ttb.gov/tax_audit/tax_collections.shtml</w:t>
        </w:r>
      </w:hyperlink>
      <w:r w:rsidR="001034D4">
        <w:rPr>
          <w:sz w:val="22"/>
          <w:szCs w:val="22"/>
        </w:rPr>
        <w:t xml:space="preserve">.  Also, a summary of the amount of tax collected by TTB is included in the bureau’s Annual Report, which is posted to the TTB website at </w:t>
      </w:r>
      <w:hyperlink r:id="rId16" w:history="1">
        <w:r w:rsidR="001034D4" w:rsidRPr="00381259">
          <w:rPr>
            <w:rStyle w:val="Hyperlink"/>
            <w:sz w:val="22"/>
            <w:szCs w:val="22"/>
          </w:rPr>
          <w:t>https://ttb.gov/about/performance-reports.shtml</w:t>
        </w:r>
      </w:hyperlink>
      <w:r w:rsidR="001034D4">
        <w:rPr>
          <w:sz w:val="22"/>
          <w:szCs w:val="22"/>
        </w:rPr>
        <w:t>.  However,</w:t>
      </w:r>
      <w:r w:rsidRPr="003F0891">
        <w:rPr>
          <w:sz w:val="22"/>
          <w:szCs w:val="22"/>
        </w:rPr>
        <w:t xml:space="preserve"> </w:t>
      </w:r>
      <w:r w:rsidR="001034D4">
        <w:rPr>
          <w:sz w:val="22"/>
          <w:szCs w:val="22"/>
        </w:rPr>
        <w:t xml:space="preserve">the tax collection data in each report is summary, and </w:t>
      </w:r>
      <w:r w:rsidRPr="003F0891">
        <w:rPr>
          <w:sz w:val="22"/>
          <w:szCs w:val="22"/>
        </w:rPr>
        <w:t>information in the</w:t>
      </w:r>
      <w:r w:rsidR="001034D4">
        <w:rPr>
          <w:sz w:val="22"/>
          <w:szCs w:val="22"/>
        </w:rPr>
        <w:t xml:space="preserve">se reports cannot </w:t>
      </w:r>
      <w:r w:rsidRPr="003F0891">
        <w:rPr>
          <w:sz w:val="22"/>
          <w:szCs w:val="22"/>
        </w:rPr>
        <w:t>be traced to a</w:t>
      </w:r>
      <w:r w:rsidR="001034D4">
        <w:rPr>
          <w:sz w:val="22"/>
          <w:szCs w:val="22"/>
        </w:rPr>
        <w:t xml:space="preserve">n individual taxpayer. </w:t>
      </w:r>
    </w:p>
    <w:p w14:paraId="3FF5476C" w14:textId="77777777" w:rsidR="00533D2D" w:rsidRPr="00A72AE6" w:rsidRDefault="00533D2D" w:rsidP="00E01404">
      <w:pPr>
        <w:widowControl/>
        <w:tabs>
          <w:tab w:val="left" w:pos="540"/>
        </w:tabs>
        <w:ind w:left="540" w:hanging="540"/>
        <w:rPr>
          <w:sz w:val="36"/>
          <w:szCs w:val="36"/>
        </w:rPr>
      </w:pPr>
    </w:p>
    <w:p w14:paraId="3FC1BF18" w14:textId="2321BB37" w:rsidR="00214081" w:rsidRPr="00214081" w:rsidRDefault="00214081" w:rsidP="00E01404">
      <w:pPr>
        <w:widowControl/>
        <w:suppressAutoHyphens/>
        <w:rPr>
          <w:i/>
          <w:sz w:val="22"/>
          <w:szCs w:val="22"/>
        </w:rPr>
      </w:pPr>
      <w:r w:rsidRPr="00214081">
        <w:rPr>
          <w:i/>
          <w:sz w:val="22"/>
          <w:szCs w:val="22"/>
        </w:rPr>
        <w:t xml:space="preserve">17.  If seeking approval to not display the expiration date for OMB approval of this information collection, what are the reasons that the display would be inappropriate? </w:t>
      </w:r>
    </w:p>
    <w:p w14:paraId="06CCD2CA" w14:textId="77777777" w:rsidR="00214081" w:rsidRPr="00214081" w:rsidRDefault="00214081" w:rsidP="00E01404">
      <w:pPr>
        <w:widowControl/>
        <w:suppressAutoHyphens/>
        <w:rPr>
          <w:i/>
          <w:sz w:val="22"/>
          <w:szCs w:val="22"/>
        </w:rPr>
      </w:pPr>
    </w:p>
    <w:p w14:paraId="7ABF4567" w14:textId="77777777" w:rsidR="006F543C" w:rsidRPr="006F543C" w:rsidRDefault="006F543C" w:rsidP="00E01404">
      <w:pPr>
        <w:widowControl/>
        <w:ind w:left="360"/>
        <w:rPr>
          <w:sz w:val="22"/>
          <w:szCs w:val="22"/>
        </w:rPr>
      </w:pPr>
      <w:r w:rsidRPr="006F543C">
        <w:rPr>
          <w:sz w:val="22"/>
          <w:szCs w:val="22"/>
        </w:rPr>
        <w:t xml:space="preserve">As a cost saving measure for both TTB and the general public, TTB is seeking approval not to display the expiration date for OMB approval of this information collection.  By not displaying the expiration date of this collection on the related form, TTB will not have to update the form’s expiration date on its electronic systems and website pages or on the form’s paper version each time the information collection is approved.  More importantly, this avoids confusion among users of the form when the OMB approval date may have passed but the form is approved under interim short-term approvals while the form is under OMB review but before OMB has taken action.  In addition, TTB-regulated businesses will not have to update their stocks of paper forms or alter electronic copies of the form, including any versions of the form produced by some businesses, at their own expense, for use with their electronic systems or for sale. </w:t>
      </w:r>
    </w:p>
    <w:p w14:paraId="16D67F33" w14:textId="77777777" w:rsidR="00533D2D" w:rsidRPr="00A72AE6" w:rsidRDefault="00533D2D" w:rsidP="00E01404">
      <w:pPr>
        <w:widowControl/>
        <w:tabs>
          <w:tab w:val="left" w:pos="540"/>
        </w:tabs>
        <w:ind w:left="540" w:hanging="540"/>
        <w:rPr>
          <w:sz w:val="36"/>
          <w:szCs w:val="36"/>
        </w:rPr>
      </w:pPr>
    </w:p>
    <w:p w14:paraId="3DDA87E4" w14:textId="40001659" w:rsidR="00214081" w:rsidRPr="00BA1A21" w:rsidRDefault="00377DB4" w:rsidP="00E01404">
      <w:pPr>
        <w:widowControl/>
        <w:suppressAutoHyphens/>
        <w:rPr>
          <w:i/>
          <w:sz w:val="22"/>
          <w:szCs w:val="22"/>
        </w:rPr>
      </w:pPr>
      <w:r>
        <w:rPr>
          <w:i/>
          <w:sz w:val="22"/>
          <w:szCs w:val="22"/>
        </w:rPr>
        <w:br w:type="page"/>
      </w:r>
      <w:r w:rsidR="00214081" w:rsidRPr="00BA1A21">
        <w:rPr>
          <w:i/>
          <w:sz w:val="22"/>
          <w:szCs w:val="22"/>
        </w:rPr>
        <w:t>18.  What are the exceptions to the certification statement?</w:t>
      </w:r>
      <w:r w:rsidR="008204A8">
        <w:rPr>
          <w:i/>
          <w:sz w:val="22"/>
          <w:szCs w:val="22"/>
        </w:rPr>
        <w:t xml:space="preserve"> </w:t>
      </w:r>
    </w:p>
    <w:p w14:paraId="039C10CC" w14:textId="77777777" w:rsidR="00214081" w:rsidRPr="007A5D4B" w:rsidRDefault="00214081" w:rsidP="00E01404">
      <w:pPr>
        <w:widowControl/>
        <w:suppressAutoHyphens/>
        <w:rPr>
          <w:sz w:val="22"/>
          <w:szCs w:val="22"/>
        </w:rPr>
      </w:pPr>
    </w:p>
    <w:p w14:paraId="153D02DB" w14:textId="53AE3FC0" w:rsidR="006F543C" w:rsidRDefault="001034D4" w:rsidP="00E01404">
      <w:pPr>
        <w:widowControl/>
        <w:tabs>
          <w:tab w:val="left" w:pos="720"/>
        </w:tabs>
        <w:ind w:left="360"/>
        <w:rPr>
          <w:sz w:val="22"/>
          <w:szCs w:val="22"/>
        </w:rPr>
      </w:pPr>
      <w:r>
        <w:rPr>
          <w:sz w:val="22"/>
          <w:szCs w:val="22"/>
        </w:rPr>
        <w:t>(f)</w:t>
      </w:r>
      <w:r>
        <w:rPr>
          <w:sz w:val="22"/>
          <w:szCs w:val="22"/>
        </w:rPr>
        <w:tab/>
      </w:r>
      <w:r w:rsidR="006F543C" w:rsidRPr="006F543C">
        <w:rPr>
          <w:sz w:val="22"/>
          <w:szCs w:val="22"/>
        </w:rPr>
        <w:t>This is not a recordkeeping requirement</w:t>
      </w:r>
      <w:r w:rsidR="006F543C">
        <w:rPr>
          <w:sz w:val="22"/>
          <w:szCs w:val="22"/>
        </w:rPr>
        <w:t xml:space="preserve">. </w:t>
      </w:r>
    </w:p>
    <w:p w14:paraId="60A34D7E" w14:textId="77777777" w:rsidR="006F543C" w:rsidRPr="006F543C" w:rsidRDefault="006F543C" w:rsidP="00E01404">
      <w:pPr>
        <w:widowControl/>
        <w:tabs>
          <w:tab w:val="left" w:pos="720"/>
        </w:tabs>
        <w:ind w:left="360"/>
        <w:rPr>
          <w:sz w:val="22"/>
          <w:szCs w:val="22"/>
        </w:rPr>
      </w:pPr>
    </w:p>
    <w:p w14:paraId="73E0D4FB" w14:textId="7794D3D9" w:rsidR="006F543C" w:rsidRDefault="006F543C" w:rsidP="00E01404">
      <w:pPr>
        <w:widowControl/>
        <w:numPr>
          <w:ilvl w:val="0"/>
          <w:numId w:val="8"/>
        </w:numPr>
        <w:tabs>
          <w:tab w:val="left" w:pos="720"/>
        </w:tabs>
        <w:rPr>
          <w:sz w:val="22"/>
          <w:szCs w:val="22"/>
        </w:rPr>
      </w:pPr>
      <w:r>
        <w:rPr>
          <w:sz w:val="22"/>
          <w:szCs w:val="22"/>
        </w:rPr>
        <w:t>N</w:t>
      </w:r>
      <w:r w:rsidRPr="006F543C">
        <w:rPr>
          <w:sz w:val="22"/>
          <w:szCs w:val="22"/>
        </w:rPr>
        <w:t>o statistics are involved</w:t>
      </w:r>
      <w:r>
        <w:rPr>
          <w:sz w:val="22"/>
          <w:szCs w:val="22"/>
        </w:rPr>
        <w:t xml:space="preserve">. </w:t>
      </w:r>
    </w:p>
    <w:p w14:paraId="1F8FF610" w14:textId="77777777" w:rsidR="00870E7B" w:rsidRDefault="00870E7B" w:rsidP="00E01404">
      <w:pPr>
        <w:widowControl/>
        <w:tabs>
          <w:tab w:val="left" w:pos="540"/>
        </w:tabs>
        <w:ind w:left="540" w:hanging="540"/>
        <w:rPr>
          <w:sz w:val="36"/>
          <w:szCs w:val="36"/>
        </w:rPr>
      </w:pPr>
    </w:p>
    <w:p w14:paraId="4C2DFA91" w14:textId="77777777" w:rsidR="001034D4" w:rsidRPr="00A72AE6" w:rsidRDefault="001034D4" w:rsidP="00E01404">
      <w:pPr>
        <w:widowControl/>
        <w:tabs>
          <w:tab w:val="left" w:pos="540"/>
        </w:tabs>
        <w:ind w:left="540" w:hanging="540"/>
        <w:rPr>
          <w:sz w:val="36"/>
          <w:szCs w:val="36"/>
        </w:rPr>
      </w:pPr>
    </w:p>
    <w:p w14:paraId="70DF8200" w14:textId="77777777" w:rsidR="00533D2D" w:rsidRPr="00B743A7" w:rsidRDefault="00533D2D" w:rsidP="00E01404">
      <w:pPr>
        <w:widowControl/>
        <w:tabs>
          <w:tab w:val="left" w:pos="540"/>
        </w:tabs>
        <w:ind w:left="540" w:hanging="540"/>
        <w:rPr>
          <w:sz w:val="22"/>
          <w:szCs w:val="22"/>
        </w:rPr>
      </w:pPr>
      <w:r w:rsidRPr="00B743A7">
        <w:rPr>
          <w:b/>
          <w:bCs/>
          <w:sz w:val="22"/>
          <w:szCs w:val="22"/>
        </w:rPr>
        <w:t xml:space="preserve">B.  </w:t>
      </w:r>
      <w:r w:rsidRPr="00B743A7">
        <w:rPr>
          <w:b/>
          <w:bCs/>
          <w:sz w:val="22"/>
          <w:szCs w:val="22"/>
          <w:u w:val="single"/>
        </w:rPr>
        <w:t>Collection of Information Employing Statistical Methods</w:t>
      </w:r>
      <w:r w:rsidRPr="00B743A7">
        <w:rPr>
          <w:b/>
          <w:bCs/>
          <w:sz w:val="22"/>
          <w:szCs w:val="22"/>
        </w:rPr>
        <w:t>.</w:t>
      </w:r>
      <w:r w:rsidRPr="00B743A7">
        <w:rPr>
          <w:sz w:val="22"/>
          <w:szCs w:val="22"/>
        </w:rPr>
        <w:t xml:space="preserve"> </w:t>
      </w:r>
    </w:p>
    <w:p w14:paraId="498B3110" w14:textId="77777777" w:rsidR="00533D2D" w:rsidRPr="00B743A7" w:rsidRDefault="00533D2D" w:rsidP="00E01404">
      <w:pPr>
        <w:widowControl/>
        <w:tabs>
          <w:tab w:val="left" w:pos="540"/>
        </w:tabs>
        <w:ind w:left="540" w:hanging="540"/>
        <w:rPr>
          <w:sz w:val="22"/>
          <w:szCs w:val="22"/>
        </w:rPr>
      </w:pPr>
    </w:p>
    <w:p w14:paraId="7BE5FE69" w14:textId="77777777" w:rsidR="00533D2D" w:rsidRPr="00B743A7" w:rsidRDefault="00533D2D" w:rsidP="00E01404">
      <w:pPr>
        <w:widowControl/>
        <w:tabs>
          <w:tab w:val="left" w:pos="540"/>
        </w:tabs>
        <w:ind w:left="540" w:hanging="540"/>
        <w:rPr>
          <w:sz w:val="22"/>
          <w:szCs w:val="22"/>
        </w:rPr>
      </w:pPr>
      <w:r w:rsidRPr="00B743A7">
        <w:rPr>
          <w:sz w:val="22"/>
          <w:szCs w:val="22"/>
        </w:rPr>
        <w:t xml:space="preserve">This collection of information does not employ statistical methods. </w:t>
      </w:r>
    </w:p>
    <w:p w14:paraId="415E0CE9" w14:textId="77777777" w:rsidR="00533D2D" w:rsidRDefault="00533D2D" w:rsidP="00E01404">
      <w:pPr>
        <w:widowControl/>
        <w:tabs>
          <w:tab w:val="left" w:pos="540"/>
        </w:tabs>
        <w:ind w:left="540" w:hanging="540"/>
        <w:rPr>
          <w:sz w:val="22"/>
          <w:szCs w:val="22"/>
        </w:rPr>
      </w:pPr>
    </w:p>
    <w:p w14:paraId="50222FC5" w14:textId="77777777" w:rsidR="00F90E48" w:rsidRDefault="00F90E48" w:rsidP="00E01404">
      <w:pPr>
        <w:widowControl/>
        <w:tabs>
          <w:tab w:val="left" w:pos="540"/>
        </w:tabs>
        <w:ind w:left="540" w:hanging="540"/>
        <w:rPr>
          <w:sz w:val="22"/>
          <w:szCs w:val="22"/>
        </w:rPr>
      </w:pPr>
    </w:p>
    <w:p w14:paraId="1B7E10EE" w14:textId="77777777" w:rsidR="004B62D7" w:rsidRDefault="004B62D7" w:rsidP="00E01404">
      <w:pPr>
        <w:widowControl/>
        <w:tabs>
          <w:tab w:val="left" w:pos="540"/>
        </w:tabs>
        <w:ind w:left="540" w:hanging="540"/>
        <w:rPr>
          <w:sz w:val="22"/>
          <w:szCs w:val="22"/>
        </w:rPr>
      </w:pPr>
    </w:p>
    <w:p w14:paraId="4E5C2EFC" w14:textId="77777777" w:rsidR="004B62D7" w:rsidRDefault="004B62D7" w:rsidP="00E01404">
      <w:pPr>
        <w:widowControl/>
        <w:tabs>
          <w:tab w:val="left" w:pos="540"/>
        </w:tabs>
        <w:ind w:left="540" w:hanging="540"/>
        <w:rPr>
          <w:sz w:val="22"/>
          <w:szCs w:val="22"/>
        </w:rPr>
      </w:pPr>
    </w:p>
    <w:p w14:paraId="63F1ACE0" w14:textId="77777777" w:rsidR="004B62D7" w:rsidRDefault="004B62D7" w:rsidP="00E01404">
      <w:pPr>
        <w:widowControl/>
        <w:rPr>
          <w:color w:val="FF0000"/>
          <w:sz w:val="22"/>
          <w:szCs w:val="22"/>
        </w:rPr>
      </w:pPr>
    </w:p>
    <w:p w14:paraId="7829F908" w14:textId="77777777" w:rsidR="004B62D7" w:rsidRDefault="004B62D7" w:rsidP="00E01404">
      <w:pPr>
        <w:widowControl/>
        <w:rPr>
          <w:color w:val="FF0000"/>
          <w:sz w:val="22"/>
          <w:szCs w:val="22"/>
        </w:rPr>
      </w:pPr>
    </w:p>
    <w:p w14:paraId="695B4992" w14:textId="5745EF6D" w:rsidR="004B62D7" w:rsidRPr="004B62D7" w:rsidRDefault="004B62D7" w:rsidP="00E01404">
      <w:pPr>
        <w:widowControl/>
        <w:rPr>
          <w:color w:val="FF0000"/>
          <w:sz w:val="22"/>
          <w:szCs w:val="22"/>
        </w:rPr>
      </w:pPr>
      <w:r>
        <w:rPr>
          <w:color w:val="FF0000"/>
          <w:sz w:val="22"/>
          <w:szCs w:val="22"/>
        </w:rPr>
        <w:t xml:space="preserve">Q 15:   </w:t>
      </w:r>
    </w:p>
    <w:p w14:paraId="7D439406" w14:textId="2A403C1C" w:rsidR="004B62D7" w:rsidRDefault="004B62D7" w:rsidP="00E01404">
      <w:pPr>
        <w:widowControl/>
        <w:rPr>
          <w:color w:val="FF0000"/>
          <w:sz w:val="22"/>
          <w:szCs w:val="22"/>
        </w:rPr>
      </w:pPr>
    </w:p>
    <w:p w14:paraId="2492AE94" w14:textId="55A75F60" w:rsidR="004B62D7" w:rsidRPr="004B62D7" w:rsidRDefault="003B7C65" w:rsidP="00E01404">
      <w:pPr>
        <w:widowControl/>
        <w:rPr>
          <w:color w:val="FF0000"/>
          <w:sz w:val="22"/>
          <w:szCs w:val="22"/>
        </w:rPr>
      </w:pPr>
      <w:r w:rsidRPr="003B7C65">
        <w:rPr>
          <w:color w:val="FF0000"/>
          <w:sz w:val="22"/>
          <w:szCs w:val="22"/>
        </w:rPr>
        <w:t>(Under some circumstances, in accordance with 27 CFR 19.233, TTB may require certain distilled spirits taxpayers to make prepayments in lieu of semi-monthly payments.)</w:t>
      </w:r>
    </w:p>
    <w:sectPr w:rsidR="004B62D7" w:rsidRPr="004B62D7" w:rsidSect="007D3639">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B362E5" w14:textId="77777777" w:rsidR="000C7439" w:rsidRDefault="000C7439">
      <w:r>
        <w:separator/>
      </w:r>
    </w:p>
  </w:endnote>
  <w:endnote w:type="continuationSeparator" w:id="0">
    <w:p w14:paraId="41912EED" w14:textId="77777777" w:rsidR="000C7439" w:rsidRDefault="000C7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1FAB6" w14:textId="77777777" w:rsidR="000C7439" w:rsidRDefault="000C74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8AD76" w14:textId="57EF4528" w:rsidR="000C7439" w:rsidRDefault="000C7439" w:rsidP="008820FE">
    <w:pPr>
      <w:pStyle w:val="Footer"/>
      <w:tabs>
        <w:tab w:val="clear" w:pos="4680"/>
      </w:tabs>
      <w:jc w:val="center"/>
    </w:pPr>
    <w:r>
      <w:tab/>
      <w:t xml:space="preserve">1513–0083 Supporting Statement (08–2017)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C6F7B" w14:textId="3F1037C2" w:rsidR="000C7439" w:rsidRPr="007D3639" w:rsidRDefault="000C7439" w:rsidP="007D3639">
    <w:pPr>
      <w:pStyle w:val="Footer"/>
      <w:tabs>
        <w:tab w:val="clear" w:pos="4680"/>
      </w:tabs>
    </w:pPr>
    <w:r>
      <w:rPr>
        <w:sz w:val="22"/>
        <w:szCs w:val="22"/>
      </w:rPr>
      <w:tab/>
    </w:r>
    <w:r w:rsidRPr="007D3639">
      <w:t xml:space="preserve">1513–0083 Supporting Statement (08–2017)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A71D54" w14:textId="77777777" w:rsidR="000C7439" w:rsidRDefault="000C7439">
      <w:r>
        <w:separator/>
      </w:r>
    </w:p>
  </w:footnote>
  <w:footnote w:type="continuationSeparator" w:id="0">
    <w:p w14:paraId="36301C6D" w14:textId="77777777" w:rsidR="000C7439" w:rsidRDefault="000C7439">
      <w:r>
        <w:continuationSeparator/>
      </w:r>
    </w:p>
  </w:footnote>
  <w:footnote w:id="1">
    <w:p w14:paraId="4D6BC7DF" w14:textId="77777777" w:rsidR="000C7439" w:rsidRPr="0037759F" w:rsidRDefault="000C7439" w:rsidP="00AC7775">
      <w:pPr>
        <w:pStyle w:val="FootnoteText"/>
        <w:ind w:firstLine="270"/>
      </w:pPr>
      <w:r w:rsidRPr="0037759F">
        <w:rPr>
          <w:rStyle w:val="FootnoteReference"/>
        </w:rPr>
        <w:footnoteRef/>
      </w:r>
      <w:r w:rsidRPr="0037759F">
        <w:t xml:space="preserve"> On December 18, 2015, the President signed into law the Consolidated Appropriations Act, 2016 (Public Law 114–113).  Division Q of this Act is titled the Protecting Americans from Tax Hikes Act of 2015 (PATH Act).  Among other things, section 332 of the PATH Act amended the IRC at 26 U.S.C. 5061(d)(4) to provide for a new annual tax return period for certain small alcohol excise taxpayers, effective January 1, 2017. </w:t>
      </w:r>
    </w:p>
  </w:footnote>
  <w:footnote w:id="2">
    <w:p w14:paraId="6ACD7352" w14:textId="474FDA2D" w:rsidR="000C7439" w:rsidRPr="0037759F" w:rsidRDefault="000C7439" w:rsidP="0037759F">
      <w:pPr>
        <w:pStyle w:val="FootnoteText"/>
        <w:ind w:firstLine="274"/>
      </w:pPr>
      <w:r w:rsidRPr="0037759F">
        <w:rPr>
          <w:rStyle w:val="FootnoteReference"/>
        </w:rPr>
        <w:footnoteRef/>
      </w:r>
      <w:r w:rsidRPr="0037759F">
        <w:t xml:space="preserve"> The Pay.gov system, which is operated by the Department of the Treasury’s Fiscal Service, allows businesses and individuals to pay certain Federal taxes and fees, and submit various reports and requests, to various Federal agencies electronically.  Users of the TTB portion of Pay.gov system must first register with TTB for access to the system by completing TTB F 5000.31, Pay.gov User Agreement, approved under OMB Control No. 1513–0117. </w:t>
      </w:r>
    </w:p>
  </w:footnote>
  <w:footnote w:id="3">
    <w:p w14:paraId="114B0C06" w14:textId="5C74589D" w:rsidR="000C7439" w:rsidRPr="0037759F" w:rsidRDefault="000C7439" w:rsidP="0037759F">
      <w:pPr>
        <w:pStyle w:val="FootnoteText"/>
        <w:ind w:firstLine="270"/>
      </w:pPr>
      <w:r w:rsidRPr="0037759F">
        <w:rPr>
          <w:rStyle w:val="FootnoteReference"/>
        </w:rPr>
        <w:footnoteRef/>
      </w:r>
      <w:r w:rsidRPr="0037759F">
        <w:t xml:space="preserve"> Estimated 5 minutes per paper return to transcribe, image, and file at $20/hour (75% of all returns (127,512) filed via paper).</w:t>
      </w:r>
      <w:r>
        <w:t xml:space="preserve"> </w:t>
      </w:r>
    </w:p>
  </w:footnote>
  <w:footnote w:id="4">
    <w:p w14:paraId="4C7E48B7" w14:textId="64063035" w:rsidR="000C7439" w:rsidRPr="0037759F" w:rsidRDefault="000C7439" w:rsidP="0037759F">
      <w:pPr>
        <w:pStyle w:val="FootnoteText"/>
        <w:ind w:firstLine="270"/>
      </w:pPr>
      <w:r w:rsidRPr="0037759F">
        <w:rPr>
          <w:rStyle w:val="FootnoteReference"/>
        </w:rPr>
        <w:footnoteRef/>
      </w:r>
      <w:r w:rsidRPr="0037759F">
        <w:t xml:space="preserve"> Estimate 5% of returns will require examination by a specialist to resolve issues at $33/hour for 2 hours</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30405" w14:textId="77777777" w:rsidR="000C7439" w:rsidRDefault="000C7439" w:rsidP="00E538EA">
    <w:pPr>
      <w:pStyle w:val="Head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14:paraId="457DF647" w14:textId="77777777" w:rsidR="000C7439" w:rsidRDefault="000C74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E0001" w14:textId="00991E6F" w:rsidR="000C7439" w:rsidRPr="007D3639" w:rsidRDefault="000C7439" w:rsidP="007D3639">
    <w:pPr>
      <w:pStyle w:val="Header"/>
      <w:tabs>
        <w:tab w:val="clear" w:pos="4320"/>
        <w:tab w:val="clear" w:pos="8640"/>
      </w:tabs>
      <w:jc w:val="center"/>
      <w:rPr>
        <w:sz w:val="22"/>
        <w:szCs w:val="22"/>
      </w:rPr>
    </w:pPr>
    <w:r w:rsidRPr="007D3639">
      <w:rPr>
        <w:sz w:val="22"/>
        <w:szCs w:val="22"/>
      </w:rPr>
      <w:t xml:space="preserve">- </w:t>
    </w:r>
    <w:r w:rsidRPr="007D3639">
      <w:rPr>
        <w:sz w:val="22"/>
        <w:szCs w:val="22"/>
      </w:rPr>
      <w:fldChar w:fldCharType="begin"/>
    </w:r>
    <w:r w:rsidRPr="007D3639">
      <w:rPr>
        <w:sz w:val="22"/>
        <w:szCs w:val="22"/>
      </w:rPr>
      <w:instrText xml:space="preserve"> PAGE   \* MERGEFORMAT </w:instrText>
    </w:r>
    <w:r w:rsidRPr="007D3639">
      <w:rPr>
        <w:sz w:val="22"/>
        <w:szCs w:val="22"/>
      </w:rPr>
      <w:fldChar w:fldCharType="separate"/>
    </w:r>
    <w:r w:rsidR="00017969">
      <w:rPr>
        <w:noProof/>
        <w:sz w:val="22"/>
        <w:szCs w:val="22"/>
      </w:rPr>
      <w:t>2</w:t>
    </w:r>
    <w:r w:rsidRPr="007D3639">
      <w:rPr>
        <w:noProof/>
        <w:sz w:val="22"/>
        <w:szCs w:val="22"/>
      </w:rPr>
      <w:fldChar w:fldCharType="end"/>
    </w:r>
    <w:r w:rsidRPr="007D3639">
      <w:rPr>
        <w:sz w:val="22"/>
        <w:szCs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93E24" w14:textId="77777777" w:rsidR="000C7439" w:rsidRDefault="000C74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4852"/>
    <w:multiLevelType w:val="hybridMultilevel"/>
    <w:tmpl w:val="96A6C682"/>
    <w:lvl w:ilvl="0" w:tplc="76A2B6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755DDE"/>
    <w:multiLevelType w:val="hybridMultilevel"/>
    <w:tmpl w:val="8FF41CF6"/>
    <w:lvl w:ilvl="0" w:tplc="6C5EED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A4699C"/>
    <w:multiLevelType w:val="hybridMultilevel"/>
    <w:tmpl w:val="EFFE8A40"/>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8F6AB3"/>
    <w:multiLevelType w:val="hybridMultilevel"/>
    <w:tmpl w:val="85B87D68"/>
    <w:lvl w:ilvl="0" w:tplc="B55C2C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981E63"/>
    <w:multiLevelType w:val="hybridMultilevel"/>
    <w:tmpl w:val="48EE2F04"/>
    <w:lvl w:ilvl="0" w:tplc="5CD4C8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9973EDA"/>
    <w:multiLevelType w:val="hybridMultilevel"/>
    <w:tmpl w:val="08DAD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A87215"/>
    <w:multiLevelType w:val="hybridMultilevel"/>
    <w:tmpl w:val="9E640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7"/>
  </w:num>
  <w:num w:numId="5">
    <w:abstractNumId w:val="4"/>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TrackMoves/>
  <w:defaultTabStop w:val="720"/>
  <w:drawingGridHorizontalSpacing w:val="100"/>
  <w:drawingGridVerticalSpacing w:val="163"/>
  <w:displayHorizontalDrawingGridEvery w:val="0"/>
  <w:displayVerticalDrawingGridEvery w:val="2"/>
  <w:characterSpacingControl w:val="doNotCompress"/>
  <w:hdrShapeDefaults>
    <o:shapedefaults v:ext="edit" spidmax="235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3D2D"/>
    <w:rsid w:val="000112FC"/>
    <w:rsid w:val="000117FE"/>
    <w:rsid w:val="000144F1"/>
    <w:rsid w:val="00016AFD"/>
    <w:rsid w:val="00017969"/>
    <w:rsid w:val="00024888"/>
    <w:rsid w:val="00032B89"/>
    <w:rsid w:val="00035ABF"/>
    <w:rsid w:val="0006138F"/>
    <w:rsid w:val="00082CAB"/>
    <w:rsid w:val="000B6AC6"/>
    <w:rsid w:val="000C2C94"/>
    <w:rsid w:val="000C7439"/>
    <w:rsid w:val="000E4F00"/>
    <w:rsid w:val="000F7ACE"/>
    <w:rsid w:val="001034D4"/>
    <w:rsid w:val="001051F8"/>
    <w:rsid w:val="001238E2"/>
    <w:rsid w:val="001347B2"/>
    <w:rsid w:val="00141520"/>
    <w:rsid w:val="0015070A"/>
    <w:rsid w:val="00172E94"/>
    <w:rsid w:val="0018085B"/>
    <w:rsid w:val="00194CD8"/>
    <w:rsid w:val="001A667B"/>
    <w:rsid w:val="001B787D"/>
    <w:rsid w:val="001F656D"/>
    <w:rsid w:val="002025CA"/>
    <w:rsid w:val="00204D46"/>
    <w:rsid w:val="002107F9"/>
    <w:rsid w:val="00214081"/>
    <w:rsid w:val="00244F91"/>
    <w:rsid w:val="0025133D"/>
    <w:rsid w:val="00280433"/>
    <w:rsid w:val="0028189F"/>
    <w:rsid w:val="00285583"/>
    <w:rsid w:val="002960FA"/>
    <w:rsid w:val="002A10C5"/>
    <w:rsid w:val="002A157B"/>
    <w:rsid w:val="002B5317"/>
    <w:rsid w:val="002B5ED1"/>
    <w:rsid w:val="002E00FC"/>
    <w:rsid w:val="002F38E2"/>
    <w:rsid w:val="00304556"/>
    <w:rsid w:val="00325AB0"/>
    <w:rsid w:val="003260F4"/>
    <w:rsid w:val="0033494E"/>
    <w:rsid w:val="003401A2"/>
    <w:rsid w:val="003457EB"/>
    <w:rsid w:val="00357ED3"/>
    <w:rsid w:val="00365E63"/>
    <w:rsid w:val="003702A4"/>
    <w:rsid w:val="0037731B"/>
    <w:rsid w:val="0037759F"/>
    <w:rsid w:val="00377DB4"/>
    <w:rsid w:val="003A6614"/>
    <w:rsid w:val="003B0877"/>
    <w:rsid w:val="003B7C65"/>
    <w:rsid w:val="003C02AF"/>
    <w:rsid w:val="003D3A3A"/>
    <w:rsid w:val="003D5536"/>
    <w:rsid w:val="003F0891"/>
    <w:rsid w:val="003F32DE"/>
    <w:rsid w:val="0040472E"/>
    <w:rsid w:val="00412924"/>
    <w:rsid w:val="004176FF"/>
    <w:rsid w:val="004208C3"/>
    <w:rsid w:val="004253F8"/>
    <w:rsid w:val="00470DA4"/>
    <w:rsid w:val="00473335"/>
    <w:rsid w:val="00473E64"/>
    <w:rsid w:val="004748B2"/>
    <w:rsid w:val="004829D3"/>
    <w:rsid w:val="004B34BA"/>
    <w:rsid w:val="004B62D7"/>
    <w:rsid w:val="004E181A"/>
    <w:rsid w:val="004F2CC1"/>
    <w:rsid w:val="0053074F"/>
    <w:rsid w:val="00533D2D"/>
    <w:rsid w:val="00545D85"/>
    <w:rsid w:val="00546E43"/>
    <w:rsid w:val="00553A23"/>
    <w:rsid w:val="0055605C"/>
    <w:rsid w:val="005924FF"/>
    <w:rsid w:val="005949DD"/>
    <w:rsid w:val="00595613"/>
    <w:rsid w:val="005B439F"/>
    <w:rsid w:val="005D15A3"/>
    <w:rsid w:val="005D5465"/>
    <w:rsid w:val="005D68A2"/>
    <w:rsid w:val="005F4ABC"/>
    <w:rsid w:val="005F5544"/>
    <w:rsid w:val="00626C37"/>
    <w:rsid w:val="00650FF1"/>
    <w:rsid w:val="00662F41"/>
    <w:rsid w:val="006677C9"/>
    <w:rsid w:val="00672B07"/>
    <w:rsid w:val="0069027B"/>
    <w:rsid w:val="006A5448"/>
    <w:rsid w:val="006D3CD1"/>
    <w:rsid w:val="006E7525"/>
    <w:rsid w:val="006F2FAD"/>
    <w:rsid w:val="006F4921"/>
    <w:rsid w:val="006F543C"/>
    <w:rsid w:val="00702F20"/>
    <w:rsid w:val="00704F05"/>
    <w:rsid w:val="00705135"/>
    <w:rsid w:val="007416A0"/>
    <w:rsid w:val="007434C4"/>
    <w:rsid w:val="00755414"/>
    <w:rsid w:val="0076622C"/>
    <w:rsid w:val="007909DF"/>
    <w:rsid w:val="00794006"/>
    <w:rsid w:val="007A06BC"/>
    <w:rsid w:val="007A7210"/>
    <w:rsid w:val="007B6ADE"/>
    <w:rsid w:val="007C1D76"/>
    <w:rsid w:val="007C1DDF"/>
    <w:rsid w:val="007D3639"/>
    <w:rsid w:val="007E2915"/>
    <w:rsid w:val="007F2786"/>
    <w:rsid w:val="007F33E1"/>
    <w:rsid w:val="007F4517"/>
    <w:rsid w:val="008010D8"/>
    <w:rsid w:val="0081564A"/>
    <w:rsid w:val="008204A8"/>
    <w:rsid w:val="008263C8"/>
    <w:rsid w:val="00837B67"/>
    <w:rsid w:val="00851251"/>
    <w:rsid w:val="00855796"/>
    <w:rsid w:val="00855892"/>
    <w:rsid w:val="00860E07"/>
    <w:rsid w:val="008646E8"/>
    <w:rsid w:val="00870E7B"/>
    <w:rsid w:val="008820FE"/>
    <w:rsid w:val="00883F7A"/>
    <w:rsid w:val="00890FF7"/>
    <w:rsid w:val="00894AAE"/>
    <w:rsid w:val="00897AF0"/>
    <w:rsid w:val="008A45CF"/>
    <w:rsid w:val="008B59A1"/>
    <w:rsid w:val="008D401A"/>
    <w:rsid w:val="008E40E7"/>
    <w:rsid w:val="009015D1"/>
    <w:rsid w:val="00913B6B"/>
    <w:rsid w:val="00915B29"/>
    <w:rsid w:val="0093146C"/>
    <w:rsid w:val="00935A31"/>
    <w:rsid w:val="00944229"/>
    <w:rsid w:val="00951D23"/>
    <w:rsid w:val="0096401A"/>
    <w:rsid w:val="009700E5"/>
    <w:rsid w:val="00974C6F"/>
    <w:rsid w:val="0097624E"/>
    <w:rsid w:val="0098343D"/>
    <w:rsid w:val="009B07C2"/>
    <w:rsid w:val="009C7F85"/>
    <w:rsid w:val="00A03AB4"/>
    <w:rsid w:val="00A0703F"/>
    <w:rsid w:val="00A2002B"/>
    <w:rsid w:val="00A207DE"/>
    <w:rsid w:val="00A30020"/>
    <w:rsid w:val="00A52A63"/>
    <w:rsid w:val="00A674E4"/>
    <w:rsid w:val="00A72AE6"/>
    <w:rsid w:val="00A73002"/>
    <w:rsid w:val="00A81C18"/>
    <w:rsid w:val="00A92468"/>
    <w:rsid w:val="00AA3684"/>
    <w:rsid w:val="00AA55C8"/>
    <w:rsid w:val="00AC7775"/>
    <w:rsid w:val="00AC79E2"/>
    <w:rsid w:val="00AF0766"/>
    <w:rsid w:val="00AF4112"/>
    <w:rsid w:val="00AF7560"/>
    <w:rsid w:val="00B17D71"/>
    <w:rsid w:val="00B33886"/>
    <w:rsid w:val="00B425A9"/>
    <w:rsid w:val="00B470D0"/>
    <w:rsid w:val="00B52CF7"/>
    <w:rsid w:val="00B63F28"/>
    <w:rsid w:val="00B6579E"/>
    <w:rsid w:val="00B6705A"/>
    <w:rsid w:val="00B7109A"/>
    <w:rsid w:val="00B721C6"/>
    <w:rsid w:val="00B743A7"/>
    <w:rsid w:val="00B77F09"/>
    <w:rsid w:val="00B81FFD"/>
    <w:rsid w:val="00B931DD"/>
    <w:rsid w:val="00BB5025"/>
    <w:rsid w:val="00BC13F2"/>
    <w:rsid w:val="00BD0054"/>
    <w:rsid w:val="00BE740F"/>
    <w:rsid w:val="00C04539"/>
    <w:rsid w:val="00C125F7"/>
    <w:rsid w:val="00C378F5"/>
    <w:rsid w:val="00C43682"/>
    <w:rsid w:val="00C54AF0"/>
    <w:rsid w:val="00C65D1A"/>
    <w:rsid w:val="00C668D1"/>
    <w:rsid w:val="00CA083A"/>
    <w:rsid w:val="00CB2A70"/>
    <w:rsid w:val="00CB39C8"/>
    <w:rsid w:val="00CC0F97"/>
    <w:rsid w:val="00CD2F7C"/>
    <w:rsid w:val="00CD40F1"/>
    <w:rsid w:val="00D120A8"/>
    <w:rsid w:val="00D21388"/>
    <w:rsid w:val="00D22E1D"/>
    <w:rsid w:val="00D300AC"/>
    <w:rsid w:val="00D31438"/>
    <w:rsid w:val="00D371B5"/>
    <w:rsid w:val="00D54365"/>
    <w:rsid w:val="00D74619"/>
    <w:rsid w:val="00D81BDA"/>
    <w:rsid w:val="00D86F43"/>
    <w:rsid w:val="00DB0428"/>
    <w:rsid w:val="00DB4D68"/>
    <w:rsid w:val="00DC4E6C"/>
    <w:rsid w:val="00DC7779"/>
    <w:rsid w:val="00DF355B"/>
    <w:rsid w:val="00E01404"/>
    <w:rsid w:val="00E107E9"/>
    <w:rsid w:val="00E35B19"/>
    <w:rsid w:val="00E538EA"/>
    <w:rsid w:val="00E80D80"/>
    <w:rsid w:val="00E86A2D"/>
    <w:rsid w:val="00EB574C"/>
    <w:rsid w:val="00EB7235"/>
    <w:rsid w:val="00EC3142"/>
    <w:rsid w:val="00EE201E"/>
    <w:rsid w:val="00EE505C"/>
    <w:rsid w:val="00F0454E"/>
    <w:rsid w:val="00F06C27"/>
    <w:rsid w:val="00F12E06"/>
    <w:rsid w:val="00F1713B"/>
    <w:rsid w:val="00F2060A"/>
    <w:rsid w:val="00F2430A"/>
    <w:rsid w:val="00F36B43"/>
    <w:rsid w:val="00F45B41"/>
    <w:rsid w:val="00F65F89"/>
    <w:rsid w:val="00F66A72"/>
    <w:rsid w:val="00F7115D"/>
    <w:rsid w:val="00F71C4E"/>
    <w:rsid w:val="00F746A1"/>
    <w:rsid w:val="00F77DC3"/>
    <w:rsid w:val="00F90E48"/>
    <w:rsid w:val="00FA20EC"/>
    <w:rsid w:val="00FB53FB"/>
    <w:rsid w:val="00FB7858"/>
    <w:rsid w:val="00FD7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06F25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D2D"/>
    <w:pPr>
      <w:widowControl w:val="0"/>
      <w:autoSpaceDE w:val="0"/>
      <w:autoSpaceDN w:val="0"/>
      <w:adjustRightInd w:val="0"/>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3D2D"/>
    <w:pPr>
      <w:tabs>
        <w:tab w:val="center" w:pos="4320"/>
        <w:tab w:val="right" w:pos="8640"/>
      </w:tabs>
    </w:pPr>
  </w:style>
  <w:style w:type="character" w:customStyle="1" w:styleId="HeaderChar">
    <w:name w:val="Header Char"/>
    <w:link w:val="Header"/>
    <w:uiPriority w:val="99"/>
    <w:rsid w:val="00533D2D"/>
    <w:rPr>
      <w:rFonts w:ascii="Arial" w:eastAsia="Times New Roman" w:hAnsi="Arial" w:cs="Arial"/>
      <w:sz w:val="20"/>
      <w:szCs w:val="20"/>
    </w:rPr>
  </w:style>
  <w:style w:type="character" w:styleId="PageNumber">
    <w:name w:val="page number"/>
    <w:uiPriority w:val="99"/>
    <w:rsid w:val="00533D2D"/>
    <w:rPr>
      <w:rFonts w:cs="Times New Roman"/>
    </w:rPr>
  </w:style>
  <w:style w:type="paragraph" w:styleId="PlainText">
    <w:name w:val="Plain Text"/>
    <w:basedOn w:val="Normal"/>
    <w:link w:val="PlainTextChar"/>
    <w:rsid w:val="006677C9"/>
    <w:pPr>
      <w:widowControl/>
      <w:autoSpaceDE/>
      <w:autoSpaceDN/>
      <w:adjustRightInd/>
    </w:pPr>
    <w:rPr>
      <w:rFonts w:ascii="Courier New" w:hAnsi="Courier New" w:cs="Times New Roman"/>
    </w:rPr>
  </w:style>
  <w:style w:type="character" w:customStyle="1" w:styleId="PlainTextChar">
    <w:name w:val="Plain Text Char"/>
    <w:link w:val="PlainText"/>
    <w:rsid w:val="006677C9"/>
    <w:rPr>
      <w:rFonts w:ascii="Courier New" w:eastAsia="Times New Roman" w:hAnsi="Courier New"/>
    </w:rPr>
  </w:style>
  <w:style w:type="paragraph" w:styleId="Footer">
    <w:name w:val="footer"/>
    <w:basedOn w:val="Normal"/>
    <w:link w:val="FooterChar"/>
    <w:uiPriority w:val="99"/>
    <w:unhideWhenUsed/>
    <w:rsid w:val="00032B89"/>
    <w:pPr>
      <w:tabs>
        <w:tab w:val="center" w:pos="4680"/>
        <w:tab w:val="right" w:pos="9360"/>
      </w:tabs>
    </w:pPr>
  </w:style>
  <w:style w:type="character" w:customStyle="1" w:styleId="FooterChar">
    <w:name w:val="Footer Char"/>
    <w:link w:val="Footer"/>
    <w:uiPriority w:val="99"/>
    <w:rsid w:val="00032B89"/>
    <w:rPr>
      <w:rFonts w:ascii="Arial" w:eastAsia="Times New Roman" w:hAnsi="Arial" w:cs="Arial"/>
    </w:rPr>
  </w:style>
  <w:style w:type="table" w:styleId="TableGrid">
    <w:name w:val="Table Grid"/>
    <w:basedOn w:val="TableNormal"/>
    <w:uiPriority w:val="59"/>
    <w:rsid w:val="0003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C65D1A"/>
    <w:rPr>
      <w:sz w:val="16"/>
      <w:szCs w:val="16"/>
    </w:rPr>
  </w:style>
  <w:style w:type="paragraph" w:styleId="CommentText">
    <w:name w:val="annotation text"/>
    <w:basedOn w:val="Normal"/>
    <w:link w:val="CommentTextChar"/>
    <w:unhideWhenUsed/>
    <w:rsid w:val="00C65D1A"/>
  </w:style>
  <w:style w:type="character" w:customStyle="1" w:styleId="CommentTextChar">
    <w:name w:val="Comment Text Char"/>
    <w:link w:val="CommentText"/>
    <w:rsid w:val="00C65D1A"/>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C65D1A"/>
    <w:rPr>
      <w:b/>
      <w:bCs/>
    </w:rPr>
  </w:style>
  <w:style w:type="character" w:customStyle="1" w:styleId="CommentSubjectChar">
    <w:name w:val="Comment Subject Char"/>
    <w:link w:val="CommentSubject"/>
    <w:uiPriority w:val="99"/>
    <w:semiHidden/>
    <w:rsid w:val="00C65D1A"/>
    <w:rPr>
      <w:rFonts w:ascii="Arial" w:eastAsia="Times New Roman" w:hAnsi="Arial" w:cs="Arial"/>
      <w:b/>
      <w:bCs/>
    </w:rPr>
  </w:style>
  <w:style w:type="paragraph" w:styleId="BalloonText">
    <w:name w:val="Balloon Text"/>
    <w:basedOn w:val="Normal"/>
    <w:link w:val="BalloonTextChar"/>
    <w:uiPriority w:val="99"/>
    <w:semiHidden/>
    <w:unhideWhenUsed/>
    <w:rsid w:val="00C65D1A"/>
    <w:rPr>
      <w:rFonts w:ascii="Segoe UI" w:hAnsi="Segoe UI" w:cs="Segoe UI"/>
      <w:sz w:val="18"/>
      <w:szCs w:val="18"/>
    </w:rPr>
  </w:style>
  <w:style w:type="character" w:customStyle="1" w:styleId="BalloonTextChar">
    <w:name w:val="Balloon Text Char"/>
    <w:link w:val="BalloonText"/>
    <w:uiPriority w:val="99"/>
    <w:semiHidden/>
    <w:rsid w:val="00C65D1A"/>
    <w:rPr>
      <w:rFonts w:ascii="Segoe UI" w:eastAsia="Times New Roman" w:hAnsi="Segoe UI" w:cs="Segoe UI"/>
      <w:sz w:val="18"/>
      <w:szCs w:val="18"/>
    </w:rPr>
  </w:style>
  <w:style w:type="character" w:styleId="Hyperlink">
    <w:name w:val="Hyperlink"/>
    <w:uiPriority w:val="99"/>
    <w:unhideWhenUsed/>
    <w:rsid w:val="00CB2A70"/>
    <w:rPr>
      <w:color w:val="0563C1"/>
      <w:u w:val="single"/>
    </w:rPr>
  </w:style>
  <w:style w:type="character" w:styleId="FollowedHyperlink">
    <w:name w:val="FollowedHyperlink"/>
    <w:uiPriority w:val="99"/>
    <w:semiHidden/>
    <w:unhideWhenUsed/>
    <w:rsid w:val="00915B29"/>
    <w:rPr>
      <w:color w:val="954F72"/>
      <w:u w:val="single"/>
    </w:rPr>
  </w:style>
  <w:style w:type="paragraph" w:styleId="FootnoteText">
    <w:name w:val="footnote text"/>
    <w:basedOn w:val="Normal"/>
    <w:link w:val="FootnoteTextChar"/>
    <w:uiPriority w:val="99"/>
    <w:semiHidden/>
    <w:unhideWhenUsed/>
    <w:rsid w:val="00915B29"/>
  </w:style>
  <w:style w:type="character" w:customStyle="1" w:styleId="FootnoteTextChar">
    <w:name w:val="Footnote Text Char"/>
    <w:link w:val="FootnoteText"/>
    <w:uiPriority w:val="99"/>
    <w:semiHidden/>
    <w:rsid w:val="00915B29"/>
    <w:rPr>
      <w:rFonts w:ascii="Arial" w:eastAsia="Times New Roman" w:hAnsi="Arial" w:cs="Arial"/>
    </w:rPr>
  </w:style>
  <w:style w:type="character" w:styleId="FootnoteReference">
    <w:name w:val="footnote reference"/>
    <w:uiPriority w:val="99"/>
    <w:semiHidden/>
    <w:unhideWhenUsed/>
    <w:rsid w:val="00915B2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726892">
      <w:bodyDiv w:val="1"/>
      <w:marLeft w:val="0"/>
      <w:marRight w:val="0"/>
      <w:marTop w:val="0"/>
      <w:marBottom w:val="0"/>
      <w:divBdr>
        <w:top w:val="none" w:sz="0" w:space="0" w:color="auto"/>
        <w:left w:val="none" w:sz="0" w:space="0" w:color="auto"/>
        <w:bottom w:val="none" w:sz="0" w:space="0" w:color="auto"/>
        <w:right w:val="none" w:sz="0" w:space="0" w:color="auto"/>
      </w:divBdr>
    </w:div>
    <w:div w:id="990208724">
      <w:bodyDiv w:val="1"/>
      <w:marLeft w:val="0"/>
      <w:marRight w:val="0"/>
      <w:marTop w:val="0"/>
      <w:marBottom w:val="0"/>
      <w:divBdr>
        <w:top w:val="none" w:sz="0" w:space="0" w:color="auto"/>
        <w:left w:val="none" w:sz="0" w:space="0" w:color="auto"/>
        <w:bottom w:val="none" w:sz="0" w:space="0" w:color="auto"/>
        <w:right w:val="none" w:sz="0" w:space="0" w:color="auto"/>
      </w:divBdr>
    </w:div>
    <w:div w:id="1269704285">
      <w:bodyDiv w:val="1"/>
      <w:marLeft w:val="0"/>
      <w:marRight w:val="0"/>
      <w:marTop w:val="0"/>
      <w:marBottom w:val="0"/>
      <w:divBdr>
        <w:top w:val="none" w:sz="0" w:space="0" w:color="auto"/>
        <w:left w:val="none" w:sz="0" w:space="0" w:color="auto"/>
        <w:bottom w:val="none" w:sz="0" w:space="0" w:color="auto"/>
        <w:right w:val="none" w:sz="0" w:space="0" w:color="auto"/>
      </w:divBdr>
    </w:div>
    <w:div w:id="1315984819">
      <w:bodyDiv w:val="1"/>
      <w:marLeft w:val="0"/>
      <w:marRight w:val="0"/>
      <w:marTop w:val="0"/>
      <w:marBottom w:val="0"/>
      <w:divBdr>
        <w:top w:val="none" w:sz="0" w:space="0" w:color="auto"/>
        <w:left w:val="none" w:sz="0" w:space="0" w:color="auto"/>
        <w:bottom w:val="none" w:sz="0" w:space="0" w:color="auto"/>
        <w:right w:val="none" w:sz="0" w:space="0" w:color="auto"/>
      </w:divBdr>
    </w:div>
    <w:div w:id="137391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tb.gov/foia/pia.s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ttb.gov/forms/smartform-user-guide500024.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tb.gov/about/performance-reports.s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tb.gov/forms/5000.shtm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ttb.gov/tax_audit/tax_collections.shtml" TargetMode="External"/><Relationship Id="rId23" Type="http://schemas.openxmlformats.org/officeDocument/2006/relationships/fontTable" Target="fontTable.xml"/><Relationship Id="rId10" Type="http://schemas.openxmlformats.org/officeDocument/2006/relationships/hyperlink" Target="http://www.ttb.gov/epayment/epayment.shtml"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pay.gov" TargetMode="External"/><Relationship Id="rId14" Type="http://schemas.openxmlformats.org/officeDocument/2006/relationships/hyperlink" Target="http://www.ttb.gov"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02561-7241-472B-9FC0-B3F4F624B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2910</Words>
  <Characters>16593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19465</CharactersWithSpaces>
  <SharedDoc>false</SharedDoc>
  <HLinks>
    <vt:vector size="18" baseType="variant">
      <vt:variant>
        <vt:i4>5111890</vt:i4>
      </vt:variant>
      <vt:variant>
        <vt:i4>6</vt:i4>
      </vt:variant>
      <vt:variant>
        <vt:i4>0</vt:i4>
      </vt:variant>
      <vt:variant>
        <vt:i4>5</vt:i4>
      </vt:variant>
      <vt:variant>
        <vt:lpwstr>http://www.ttb.gov/foia/pia.shtml</vt:lpwstr>
      </vt:variant>
      <vt:variant>
        <vt:lpwstr/>
      </vt:variant>
      <vt:variant>
        <vt:i4>2883685</vt:i4>
      </vt:variant>
      <vt:variant>
        <vt:i4>3</vt:i4>
      </vt:variant>
      <vt:variant>
        <vt:i4>0</vt:i4>
      </vt:variant>
      <vt:variant>
        <vt:i4>5</vt:i4>
      </vt:variant>
      <vt:variant>
        <vt:lpwstr>http://www.ttb.gov/</vt:lpwstr>
      </vt:variant>
      <vt:variant>
        <vt:lpwstr/>
      </vt:variant>
      <vt:variant>
        <vt:i4>7798910</vt:i4>
      </vt:variant>
      <vt:variant>
        <vt:i4>0</vt:i4>
      </vt:variant>
      <vt:variant>
        <vt:i4>0</vt:i4>
      </vt:variant>
      <vt:variant>
        <vt:i4>5</vt:i4>
      </vt:variant>
      <vt:variant>
        <vt:lpwstr>http://www.ttb.gov/epayment/epayment.shtml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2017-08-17T20:12:00Z</dcterms:created>
  <dcterms:modified xsi:type="dcterms:W3CDTF">2017-08-17T20:12:00Z</dcterms:modified>
</cp:coreProperties>
</file>