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68438" w14:textId="77777777" w:rsidR="00AF1157" w:rsidRPr="007A5D4B" w:rsidRDefault="00AF1157" w:rsidP="004806AE">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7E0AC4DF"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w:t>
      </w:r>
      <w:r w:rsidR="00617C53">
        <w:rPr>
          <w:rFonts w:ascii="Arial" w:hAnsi="Arial" w:cs="Arial"/>
          <w:b/>
          <w:sz w:val="22"/>
          <w:szCs w:val="22"/>
        </w:rPr>
        <w:t>038</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7E2F8B5B" w14:textId="77777777" w:rsidR="00617C53"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r w:rsidR="00D36A5E" w:rsidRPr="00D36A5E">
        <w:rPr>
          <w:rFonts w:ascii="Arial" w:hAnsi="Arial" w:cs="Arial"/>
          <w:sz w:val="22"/>
          <w:szCs w:val="22"/>
        </w:rPr>
        <w:t xml:space="preserve"> </w:t>
      </w:r>
    </w:p>
    <w:p w14:paraId="49A43931" w14:textId="77777777" w:rsidR="00617C53" w:rsidRDefault="00617C53" w:rsidP="004806AE">
      <w:pPr>
        <w:rPr>
          <w:rFonts w:ascii="Arial" w:hAnsi="Arial" w:cs="Arial"/>
          <w:sz w:val="22"/>
          <w:szCs w:val="22"/>
        </w:rPr>
      </w:pPr>
    </w:p>
    <w:p w14:paraId="293CAEAD" w14:textId="5FFB6FEF" w:rsidR="007A7208" w:rsidRDefault="00617C53" w:rsidP="00617C53">
      <w:pPr>
        <w:rPr>
          <w:rFonts w:ascii="Arial" w:hAnsi="Arial" w:cs="Arial"/>
          <w:sz w:val="22"/>
          <w:szCs w:val="22"/>
        </w:rPr>
      </w:pPr>
      <w:r w:rsidRPr="00617C53">
        <w:rPr>
          <w:rFonts w:ascii="Arial" w:hAnsi="Arial" w:cs="Arial"/>
          <w:sz w:val="22"/>
          <w:szCs w:val="22"/>
        </w:rPr>
        <w:t>Application to Receive Spirits and/or Denatured Spirits by Transfer in Bond</w:t>
      </w:r>
      <w:r>
        <w:rPr>
          <w:rFonts w:ascii="Arial" w:hAnsi="Arial" w:cs="Arial"/>
          <w:sz w:val="22"/>
          <w:szCs w:val="22"/>
        </w:rPr>
        <w:t xml:space="preserve">. </w:t>
      </w:r>
    </w:p>
    <w:p w14:paraId="2FC0E2F1" w14:textId="77777777" w:rsidR="00401753" w:rsidRDefault="00401753" w:rsidP="000E68C5">
      <w:pPr>
        <w:rPr>
          <w:rFonts w:ascii="Arial" w:hAnsi="Arial" w:cs="Arial"/>
          <w:sz w:val="22"/>
          <w:szCs w:val="22"/>
        </w:rPr>
      </w:pPr>
    </w:p>
    <w:p w14:paraId="7F8CB730" w14:textId="77777777" w:rsidR="00617C53" w:rsidRPr="007A7208" w:rsidRDefault="00617C53" w:rsidP="000E68C5">
      <w:pPr>
        <w:rPr>
          <w:rFonts w:ascii="Arial" w:hAnsi="Arial" w:cs="Arial"/>
          <w:sz w:val="22"/>
          <w:szCs w:val="22"/>
        </w:rPr>
      </w:pPr>
    </w:p>
    <w:p w14:paraId="5F4947FE" w14:textId="77777777" w:rsidR="00C543FF" w:rsidRDefault="00E86B1B" w:rsidP="007A7208">
      <w:pPr>
        <w:rPr>
          <w:rFonts w:ascii="Arial" w:hAnsi="Arial" w:cs="Arial"/>
          <w:sz w:val="22"/>
          <w:szCs w:val="22"/>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nder this Title:</w:t>
      </w:r>
      <w:r w:rsidRPr="00D36A5E">
        <w:rPr>
          <w:rFonts w:ascii="Arial" w:hAnsi="Arial" w:cs="Arial"/>
          <w:sz w:val="22"/>
          <w:szCs w:val="22"/>
        </w:rPr>
        <w:t xml:space="preserve"> </w:t>
      </w:r>
      <w:r w:rsidR="00D36A5E">
        <w:rPr>
          <w:rFonts w:ascii="Arial" w:hAnsi="Arial" w:cs="Arial"/>
          <w:sz w:val="22"/>
          <w:szCs w:val="22"/>
        </w:rPr>
        <w:t xml:space="preserve"> </w:t>
      </w:r>
    </w:p>
    <w:p w14:paraId="3D46794E" w14:textId="2B0DF706" w:rsidR="00AF1157" w:rsidRDefault="00AF1157" w:rsidP="00617C53">
      <w:pPr>
        <w:rPr>
          <w:rFonts w:ascii="Arial" w:hAnsi="Arial" w:cs="Arial"/>
          <w:sz w:val="22"/>
          <w:szCs w:val="22"/>
        </w:rPr>
      </w:pPr>
    </w:p>
    <w:p w14:paraId="0DEAC1EC" w14:textId="506B0E3D" w:rsidR="00617C53" w:rsidRDefault="00617C53" w:rsidP="00617C53">
      <w:pPr>
        <w:rPr>
          <w:rFonts w:ascii="Arial" w:hAnsi="Arial" w:cs="Arial"/>
          <w:sz w:val="22"/>
          <w:szCs w:val="22"/>
        </w:rPr>
      </w:pPr>
      <w:r w:rsidRPr="00617C53">
        <w:rPr>
          <w:rFonts w:ascii="Arial" w:hAnsi="Arial" w:cs="Arial"/>
          <w:sz w:val="22"/>
          <w:szCs w:val="22"/>
        </w:rPr>
        <w:t xml:space="preserve">Application to Receive Spirits and/or Denatured Spirits by Transfer in </w:t>
      </w:r>
      <w:r>
        <w:rPr>
          <w:rFonts w:ascii="Arial" w:hAnsi="Arial" w:cs="Arial"/>
          <w:sz w:val="22"/>
          <w:szCs w:val="22"/>
        </w:rPr>
        <w:t>B</w:t>
      </w:r>
      <w:r w:rsidRPr="00617C53">
        <w:rPr>
          <w:rFonts w:ascii="Arial" w:hAnsi="Arial" w:cs="Arial"/>
          <w:sz w:val="22"/>
          <w:szCs w:val="22"/>
        </w:rPr>
        <w:t>ond</w:t>
      </w:r>
      <w:r w:rsidR="007E2D5A">
        <w:rPr>
          <w:rFonts w:ascii="Arial" w:hAnsi="Arial" w:cs="Arial"/>
          <w:sz w:val="22"/>
          <w:szCs w:val="22"/>
        </w:rPr>
        <w:t xml:space="preserve"> (TTB F 5100.16 and electronic equivalents)</w:t>
      </w:r>
      <w:r>
        <w:rPr>
          <w:rFonts w:ascii="Arial" w:hAnsi="Arial" w:cs="Arial"/>
          <w:sz w:val="22"/>
          <w:szCs w:val="22"/>
        </w:rPr>
        <w:t xml:space="preserve">. </w:t>
      </w:r>
    </w:p>
    <w:p w14:paraId="53A87F79" w14:textId="77777777" w:rsidR="00AF1157" w:rsidRPr="007A5D4B" w:rsidRDefault="00AF1157" w:rsidP="004806AE">
      <w:pPr>
        <w:suppressAutoHyphens/>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1D071039" w14:textId="77777777" w:rsidR="00332CD8"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IRC administrative and enforcement authorities to TTB through Treasury Department Order 120–01. </w:t>
      </w:r>
    </w:p>
    <w:p w14:paraId="14A842CA" w14:textId="77777777" w:rsidR="00332CD8" w:rsidRDefault="00332CD8" w:rsidP="000E68C5">
      <w:pPr>
        <w:ind w:left="360"/>
        <w:rPr>
          <w:rFonts w:ascii="Arial" w:hAnsi="Arial" w:cs="Arial"/>
          <w:sz w:val="22"/>
          <w:szCs w:val="22"/>
        </w:rPr>
      </w:pPr>
    </w:p>
    <w:p w14:paraId="1619B770" w14:textId="601A8392" w:rsidR="00617C53" w:rsidRDefault="00222FB2" w:rsidP="001B64E5">
      <w:pPr>
        <w:ind w:left="360"/>
        <w:rPr>
          <w:rFonts w:ascii="Arial" w:hAnsi="Arial" w:cs="Arial"/>
          <w:sz w:val="22"/>
          <w:szCs w:val="22"/>
        </w:rPr>
      </w:pPr>
      <w:r w:rsidRPr="00222FB2">
        <w:rPr>
          <w:rFonts w:ascii="Arial" w:hAnsi="Arial" w:cs="Arial"/>
          <w:sz w:val="22"/>
          <w:szCs w:val="22"/>
        </w:rPr>
        <w:t>In general, the IRC at 26 U.S.C. 5001 imposes a Federal excise tax of $13.50 per gallon on distilled spirits produced in the United States, a tax rate far exceeding the spirits’ production costs.  To safeguard this revenue</w:t>
      </w:r>
      <w:r w:rsidR="006E6C93">
        <w:rPr>
          <w:rFonts w:ascii="Arial" w:hAnsi="Arial" w:cs="Arial"/>
          <w:sz w:val="22"/>
          <w:szCs w:val="22"/>
        </w:rPr>
        <w:t xml:space="preserve"> when </w:t>
      </w:r>
      <w:r w:rsidR="00741583">
        <w:rPr>
          <w:rFonts w:ascii="Arial" w:hAnsi="Arial" w:cs="Arial"/>
          <w:sz w:val="22"/>
          <w:szCs w:val="22"/>
        </w:rPr>
        <w:t xml:space="preserve">non-taxpaid </w:t>
      </w:r>
      <w:r w:rsidR="006E6C93">
        <w:rPr>
          <w:rFonts w:ascii="Arial" w:hAnsi="Arial" w:cs="Arial"/>
          <w:sz w:val="22"/>
          <w:szCs w:val="22"/>
        </w:rPr>
        <w:t xml:space="preserve">distilled spirits are transferred </w:t>
      </w:r>
      <w:r w:rsidR="00741583">
        <w:rPr>
          <w:rFonts w:ascii="Arial" w:hAnsi="Arial" w:cs="Arial"/>
          <w:sz w:val="22"/>
          <w:szCs w:val="22"/>
        </w:rPr>
        <w:t>fr</w:t>
      </w:r>
      <w:r w:rsidR="006E6C93">
        <w:rPr>
          <w:rFonts w:ascii="Arial" w:hAnsi="Arial" w:cs="Arial"/>
          <w:sz w:val="22"/>
          <w:szCs w:val="22"/>
        </w:rPr>
        <w:t xml:space="preserve">om </w:t>
      </w:r>
      <w:r w:rsidR="00741583">
        <w:rPr>
          <w:rFonts w:ascii="Arial" w:hAnsi="Arial" w:cs="Arial"/>
          <w:sz w:val="22"/>
          <w:szCs w:val="22"/>
        </w:rPr>
        <w:t xml:space="preserve">the premises of </w:t>
      </w:r>
      <w:r w:rsidR="006E6C93">
        <w:rPr>
          <w:rFonts w:ascii="Arial" w:hAnsi="Arial" w:cs="Arial"/>
          <w:sz w:val="22"/>
          <w:szCs w:val="22"/>
        </w:rPr>
        <w:t xml:space="preserve">one distilled spirits plant </w:t>
      </w:r>
      <w:r w:rsidR="00741583">
        <w:rPr>
          <w:rFonts w:ascii="Arial" w:hAnsi="Arial" w:cs="Arial"/>
          <w:sz w:val="22"/>
          <w:szCs w:val="22"/>
        </w:rPr>
        <w:t xml:space="preserve">(DSP) </w:t>
      </w:r>
      <w:r w:rsidR="006E6C93">
        <w:rPr>
          <w:rFonts w:ascii="Arial" w:hAnsi="Arial" w:cs="Arial"/>
          <w:sz w:val="22"/>
          <w:szCs w:val="22"/>
        </w:rPr>
        <w:t xml:space="preserve">to another, the IRC at 26 U.S.C. 5005(c) provides that the tax liability for in-transit spirits falls upon the proprietor of the </w:t>
      </w:r>
      <w:r w:rsidR="00741583">
        <w:rPr>
          <w:rFonts w:ascii="Arial" w:hAnsi="Arial" w:cs="Arial"/>
          <w:sz w:val="22"/>
          <w:szCs w:val="22"/>
        </w:rPr>
        <w:t xml:space="preserve">DSP </w:t>
      </w:r>
      <w:r w:rsidR="006E6C93">
        <w:rPr>
          <w:rFonts w:ascii="Arial" w:hAnsi="Arial" w:cs="Arial"/>
          <w:sz w:val="22"/>
          <w:szCs w:val="22"/>
        </w:rPr>
        <w:t xml:space="preserve">to which the spirits are being transferred, “pursuant to application made by him.” </w:t>
      </w:r>
    </w:p>
    <w:p w14:paraId="4315AFAF" w14:textId="77777777" w:rsidR="006E6C93" w:rsidRDefault="006E6C93" w:rsidP="001B64E5">
      <w:pPr>
        <w:ind w:left="360"/>
        <w:rPr>
          <w:rFonts w:ascii="Arial" w:hAnsi="Arial" w:cs="Arial"/>
          <w:sz w:val="22"/>
          <w:szCs w:val="22"/>
        </w:rPr>
      </w:pPr>
    </w:p>
    <w:p w14:paraId="23057613" w14:textId="7819330B" w:rsidR="003830F1" w:rsidRPr="00163299" w:rsidRDefault="00D87833" w:rsidP="003830F1">
      <w:pPr>
        <w:ind w:left="360"/>
        <w:rPr>
          <w:rFonts w:ascii="Arial" w:hAnsi="Arial" w:cs="Arial"/>
          <w:sz w:val="22"/>
          <w:szCs w:val="22"/>
        </w:rPr>
      </w:pPr>
      <w:r>
        <w:rPr>
          <w:rFonts w:ascii="Arial" w:hAnsi="Arial" w:cs="Arial"/>
          <w:sz w:val="22"/>
          <w:szCs w:val="22"/>
        </w:rPr>
        <w:t>Therefore, under th</w:t>
      </w:r>
      <w:r w:rsidR="003830F1">
        <w:rPr>
          <w:rFonts w:ascii="Arial" w:hAnsi="Arial" w:cs="Arial"/>
          <w:sz w:val="22"/>
          <w:szCs w:val="22"/>
        </w:rPr>
        <w:t>e</w:t>
      </w:r>
      <w:r>
        <w:rPr>
          <w:rFonts w:ascii="Arial" w:hAnsi="Arial" w:cs="Arial"/>
          <w:sz w:val="22"/>
          <w:szCs w:val="22"/>
        </w:rPr>
        <w:t xml:space="preserve"> statutory requirement</w:t>
      </w:r>
      <w:r w:rsidR="003830F1">
        <w:rPr>
          <w:rFonts w:ascii="Arial" w:hAnsi="Arial" w:cs="Arial"/>
          <w:sz w:val="22"/>
          <w:szCs w:val="22"/>
        </w:rPr>
        <w:t xml:space="preserve"> to make application to receive transferred spirits in bond</w:t>
      </w:r>
      <w:r>
        <w:rPr>
          <w:rFonts w:ascii="Arial" w:hAnsi="Arial" w:cs="Arial"/>
          <w:sz w:val="22"/>
          <w:szCs w:val="22"/>
        </w:rPr>
        <w:t xml:space="preserve">, </w:t>
      </w:r>
      <w:r w:rsidR="00741583">
        <w:rPr>
          <w:rFonts w:ascii="Arial" w:hAnsi="Arial" w:cs="Arial"/>
          <w:sz w:val="22"/>
          <w:szCs w:val="22"/>
        </w:rPr>
        <w:t>when a proprietor of a DSP or an alcohol fuel plant (AFP</w:t>
      </w:r>
      <w:r w:rsidR="007E2D5A">
        <w:rPr>
          <w:rFonts w:ascii="Arial" w:hAnsi="Arial" w:cs="Arial"/>
          <w:sz w:val="22"/>
          <w:szCs w:val="22"/>
        </w:rPr>
        <w:t>,</w:t>
      </w:r>
      <w:r w:rsidR="00741583">
        <w:rPr>
          <w:rFonts w:ascii="Arial" w:hAnsi="Arial" w:cs="Arial"/>
          <w:sz w:val="22"/>
          <w:szCs w:val="22"/>
        </w:rPr>
        <w:t xml:space="preserve"> a type of DSP) desires to have spirits or denatured spirits transferred to their plant from another domestic plant, the TTB regulations require th</w:t>
      </w:r>
      <w:r w:rsidR="00885A74">
        <w:rPr>
          <w:rFonts w:ascii="Arial" w:hAnsi="Arial" w:cs="Arial"/>
          <w:sz w:val="22"/>
          <w:szCs w:val="22"/>
        </w:rPr>
        <w:t>at</w:t>
      </w:r>
      <w:r w:rsidR="00741583">
        <w:rPr>
          <w:rFonts w:ascii="Arial" w:hAnsi="Arial" w:cs="Arial"/>
          <w:sz w:val="22"/>
          <w:szCs w:val="22"/>
        </w:rPr>
        <w:t xml:space="preserve"> proprietor to file an application for the transfer on TTB F 5110.16, Application to Receive Spirits and/or Denatured Spirits by Transfer in Bond.  </w:t>
      </w:r>
      <w:r w:rsidR="003830F1">
        <w:rPr>
          <w:rFonts w:ascii="Arial" w:hAnsi="Arial" w:cs="Arial"/>
          <w:sz w:val="22"/>
          <w:szCs w:val="22"/>
        </w:rPr>
        <w:t xml:space="preserve">TTB must approve the application before the </w:t>
      </w:r>
      <w:r w:rsidR="003830F1" w:rsidRPr="00163299">
        <w:rPr>
          <w:rFonts w:ascii="Arial" w:hAnsi="Arial" w:cs="Arial"/>
          <w:sz w:val="22"/>
          <w:szCs w:val="22"/>
        </w:rPr>
        <w:t xml:space="preserve">transfer may occur.  This form notifies TTB that a DSP or AFP intends to receive spirits in bond and allows TTB to ensure that the receiving plant has adequate bond coverage. </w:t>
      </w:r>
    </w:p>
    <w:p w14:paraId="57D4BF69" w14:textId="77777777" w:rsidR="003830F1" w:rsidRPr="00163299" w:rsidRDefault="003830F1" w:rsidP="001B64E5">
      <w:pPr>
        <w:ind w:left="360"/>
        <w:rPr>
          <w:rFonts w:ascii="Arial" w:hAnsi="Arial" w:cs="Arial"/>
          <w:sz w:val="22"/>
          <w:szCs w:val="22"/>
        </w:rPr>
      </w:pPr>
    </w:p>
    <w:p w14:paraId="53DF84B5" w14:textId="41BB2940" w:rsidR="009C1819" w:rsidRDefault="00741583" w:rsidP="001B64E5">
      <w:pPr>
        <w:ind w:left="360"/>
        <w:rPr>
          <w:rFonts w:ascii="Arial" w:hAnsi="Arial" w:cs="Arial"/>
          <w:sz w:val="22"/>
          <w:szCs w:val="22"/>
        </w:rPr>
      </w:pPr>
      <w:r>
        <w:rPr>
          <w:rFonts w:ascii="Arial" w:hAnsi="Arial" w:cs="Arial"/>
          <w:sz w:val="22"/>
          <w:szCs w:val="22"/>
        </w:rPr>
        <w:lastRenderedPageBreak/>
        <w:t xml:space="preserve">The </w:t>
      </w:r>
      <w:r w:rsidR="003830F1">
        <w:rPr>
          <w:rFonts w:ascii="Arial" w:hAnsi="Arial" w:cs="Arial"/>
          <w:sz w:val="22"/>
          <w:szCs w:val="22"/>
        </w:rPr>
        <w:t xml:space="preserve">specific </w:t>
      </w:r>
      <w:r w:rsidR="00D87833">
        <w:rPr>
          <w:rFonts w:ascii="Arial" w:hAnsi="Arial" w:cs="Arial"/>
          <w:sz w:val="22"/>
          <w:szCs w:val="22"/>
        </w:rPr>
        <w:t xml:space="preserve">TTB </w:t>
      </w:r>
      <w:r>
        <w:rPr>
          <w:rFonts w:ascii="Arial" w:hAnsi="Arial" w:cs="Arial"/>
          <w:sz w:val="22"/>
          <w:szCs w:val="22"/>
        </w:rPr>
        <w:t xml:space="preserve">regulations </w:t>
      </w:r>
      <w:r w:rsidR="00C56315">
        <w:rPr>
          <w:rFonts w:ascii="Arial" w:hAnsi="Arial" w:cs="Arial"/>
          <w:sz w:val="22"/>
          <w:szCs w:val="22"/>
        </w:rPr>
        <w:t xml:space="preserve">requiring </w:t>
      </w:r>
      <w:r w:rsidR="00D87833">
        <w:rPr>
          <w:rFonts w:ascii="Arial" w:hAnsi="Arial" w:cs="Arial"/>
          <w:sz w:val="22"/>
          <w:szCs w:val="22"/>
        </w:rPr>
        <w:t xml:space="preserve">or regarding </w:t>
      </w:r>
      <w:r w:rsidR="00C56315">
        <w:rPr>
          <w:rFonts w:ascii="Arial" w:hAnsi="Arial" w:cs="Arial"/>
          <w:sz w:val="22"/>
          <w:szCs w:val="22"/>
        </w:rPr>
        <w:t>the use of</w:t>
      </w:r>
      <w:r w:rsidR="00D87833">
        <w:rPr>
          <w:rFonts w:ascii="Arial" w:hAnsi="Arial" w:cs="Arial"/>
          <w:sz w:val="22"/>
          <w:szCs w:val="22"/>
        </w:rPr>
        <w:t xml:space="preserve"> </w:t>
      </w:r>
      <w:r w:rsidR="00C56315">
        <w:rPr>
          <w:rFonts w:ascii="Arial" w:hAnsi="Arial" w:cs="Arial"/>
          <w:sz w:val="22"/>
          <w:szCs w:val="22"/>
        </w:rPr>
        <w:t xml:space="preserve">TTB F 5110.16 </w:t>
      </w:r>
      <w:r>
        <w:rPr>
          <w:rFonts w:ascii="Arial" w:hAnsi="Arial" w:cs="Arial"/>
          <w:sz w:val="22"/>
          <w:szCs w:val="22"/>
        </w:rPr>
        <w:t>are found in 27 CFR Part</w:t>
      </w:r>
      <w:r w:rsidR="00D87833">
        <w:rPr>
          <w:rFonts w:ascii="Arial" w:hAnsi="Arial" w:cs="Arial"/>
          <w:sz w:val="22"/>
          <w:szCs w:val="22"/>
        </w:rPr>
        <w:t> </w:t>
      </w:r>
      <w:r>
        <w:rPr>
          <w:rFonts w:ascii="Arial" w:hAnsi="Arial" w:cs="Arial"/>
          <w:sz w:val="22"/>
          <w:szCs w:val="22"/>
        </w:rPr>
        <w:t>19, Distilled Spirits Plants, at</w:t>
      </w:r>
      <w:r w:rsidR="00C56315">
        <w:rPr>
          <w:rFonts w:ascii="Arial" w:hAnsi="Arial" w:cs="Arial"/>
          <w:sz w:val="22"/>
          <w:szCs w:val="22"/>
        </w:rPr>
        <w:t xml:space="preserve"> §§ 19.403</w:t>
      </w:r>
      <w:r w:rsidR="007E2D5A">
        <w:rPr>
          <w:rFonts w:ascii="Arial" w:hAnsi="Arial" w:cs="Arial"/>
          <w:sz w:val="22"/>
          <w:szCs w:val="22"/>
        </w:rPr>
        <w:t xml:space="preserve"> through 19.</w:t>
      </w:r>
      <w:r w:rsidR="00D87833">
        <w:rPr>
          <w:rFonts w:ascii="Arial" w:hAnsi="Arial" w:cs="Arial"/>
          <w:sz w:val="22"/>
          <w:szCs w:val="22"/>
        </w:rPr>
        <w:t xml:space="preserve">407 </w:t>
      </w:r>
      <w:r w:rsidR="007E2D5A">
        <w:rPr>
          <w:rFonts w:ascii="Arial" w:hAnsi="Arial" w:cs="Arial"/>
          <w:sz w:val="22"/>
          <w:szCs w:val="22"/>
        </w:rPr>
        <w:t xml:space="preserve">for DSPs </w:t>
      </w:r>
      <w:r w:rsidR="00D87833">
        <w:rPr>
          <w:rFonts w:ascii="Arial" w:hAnsi="Arial" w:cs="Arial"/>
          <w:sz w:val="22"/>
          <w:szCs w:val="22"/>
        </w:rPr>
        <w:t xml:space="preserve">and </w:t>
      </w:r>
      <w:r w:rsidR="007E2D5A">
        <w:rPr>
          <w:rFonts w:ascii="Arial" w:hAnsi="Arial" w:cs="Arial"/>
          <w:sz w:val="22"/>
          <w:szCs w:val="22"/>
        </w:rPr>
        <w:t xml:space="preserve">at </w:t>
      </w:r>
      <w:r w:rsidR="00D87833">
        <w:rPr>
          <w:rFonts w:ascii="Arial" w:hAnsi="Arial" w:cs="Arial"/>
          <w:sz w:val="22"/>
          <w:szCs w:val="22"/>
        </w:rPr>
        <w:t>§§ 19.733</w:t>
      </w:r>
      <w:r w:rsidR="007E2D5A">
        <w:rPr>
          <w:rFonts w:ascii="Arial" w:hAnsi="Arial" w:cs="Arial"/>
          <w:sz w:val="22"/>
          <w:szCs w:val="22"/>
        </w:rPr>
        <w:t xml:space="preserve"> through 19.73</w:t>
      </w:r>
      <w:r w:rsidR="009669E2">
        <w:rPr>
          <w:rFonts w:ascii="Arial" w:hAnsi="Arial" w:cs="Arial"/>
          <w:sz w:val="22"/>
          <w:szCs w:val="22"/>
        </w:rPr>
        <w:t>6 and 19.739</w:t>
      </w:r>
      <w:r w:rsidR="007E2D5A">
        <w:rPr>
          <w:rFonts w:ascii="Arial" w:hAnsi="Arial" w:cs="Arial"/>
          <w:sz w:val="22"/>
          <w:szCs w:val="22"/>
        </w:rPr>
        <w:t xml:space="preserve"> for AFPs</w:t>
      </w:r>
      <w:r w:rsidR="009669E2">
        <w:rPr>
          <w:rFonts w:ascii="Arial" w:hAnsi="Arial" w:cs="Arial"/>
          <w:sz w:val="22"/>
          <w:szCs w:val="22"/>
        </w:rPr>
        <w:t>.</w:t>
      </w:r>
      <w:r w:rsidR="009C1819">
        <w:rPr>
          <w:rFonts w:ascii="Arial" w:hAnsi="Arial" w:cs="Arial"/>
          <w:sz w:val="22"/>
          <w:szCs w:val="22"/>
        </w:rPr>
        <w:t xml:space="preserve"> </w:t>
      </w:r>
    </w:p>
    <w:p w14:paraId="43AB6537" w14:textId="77777777" w:rsidR="009C1819" w:rsidRDefault="009C1819" w:rsidP="001B64E5">
      <w:pPr>
        <w:ind w:left="360"/>
        <w:rPr>
          <w:rFonts w:ascii="Arial" w:hAnsi="Arial" w:cs="Arial"/>
          <w:sz w:val="22"/>
          <w:szCs w:val="22"/>
        </w:rPr>
      </w:pPr>
    </w:p>
    <w:p w14:paraId="32317B6B" w14:textId="37925D38" w:rsidR="00222FB2" w:rsidRDefault="009C1819" w:rsidP="001B64E5">
      <w:pPr>
        <w:ind w:left="360"/>
        <w:rPr>
          <w:rFonts w:ascii="Arial" w:hAnsi="Arial" w:cs="Arial"/>
          <w:sz w:val="22"/>
          <w:szCs w:val="22"/>
        </w:rPr>
      </w:pPr>
      <w:r>
        <w:rPr>
          <w:rFonts w:ascii="Arial" w:hAnsi="Arial" w:cs="Arial"/>
          <w:sz w:val="22"/>
          <w:szCs w:val="22"/>
        </w:rPr>
        <w:t>Under the IRC at 26 U.S.C. 5551(d)</w:t>
      </w:r>
      <w:r w:rsidR="007E2D5A">
        <w:rPr>
          <w:rFonts w:ascii="Arial" w:hAnsi="Arial" w:cs="Arial"/>
          <w:sz w:val="22"/>
          <w:szCs w:val="22"/>
        </w:rPr>
        <w:t xml:space="preserve"> ,</w:t>
      </w:r>
      <w:r>
        <w:rPr>
          <w:rFonts w:ascii="Arial" w:hAnsi="Arial" w:cs="Arial"/>
          <w:sz w:val="22"/>
          <w:szCs w:val="22"/>
        </w:rPr>
        <w:t>certain DSPs are exempt from bond requirements if they are eligible to pay excise taxes quarterly or annually under the IRC at 26 U.S.C. 5061(d)(4).</w:t>
      </w:r>
      <w:r w:rsidR="002947CD">
        <w:rPr>
          <w:rStyle w:val="FootnoteReference"/>
          <w:rFonts w:ascii="Arial" w:hAnsi="Arial" w:cs="Arial"/>
          <w:sz w:val="22"/>
          <w:szCs w:val="22"/>
        </w:rPr>
        <w:footnoteReference w:id="1"/>
      </w:r>
      <w:r>
        <w:rPr>
          <w:rFonts w:ascii="Arial" w:hAnsi="Arial" w:cs="Arial"/>
          <w:sz w:val="22"/>
          <w:szCs w:val="22"/>
        </w:rPr>
        <w:t xml:space="preserve">  Since these bond-exempt DSPs are treated as if they have a bond as provided under section 5551(d), these DSPs may still transfer spirits in bond in accordance with the regulations</w:t>
      </w:r>
      <w:r w:rsidR="002947CD">
        <w:rPr>
          <w:rFonts w:ascii="Arial" w:hAnsi="Arial" w:cs="Arial"/>
          <w:sz w:val="22"/>
          <w:szCs w:val="22"/>
        </w:rPr>
        <w:t xml:space="preserve"> regarding such transfers</w:t>
      </w:r>
      <w:r>
        <w:rPr>
          <w:rFonts w:ascii="Arial" w:hAnsi="Arial" w:cs="Arial"/>
          <w:sz w:val="22"/>
          <w:szCs w:val="22"/>
        </w:rPr>
        <w:t>.</w:t>
      </w:r>
      <w:r w:rsidR="007E2D5A">
        <w:rPr>
          <w:rFonts w:ascii="Arial" w:hAnsi="Arial" w:cs="Arial"/>
          <w:sz w:val="22"/>
          <w:szCs w:val="22"/>
        </w:rPr>
        <w:t xml:space="preserve"> </w:t>
      </w:r>
    </w:p>
    <w:p w14:paraId="2F587FCE" w14:textId="77777777" w:rsidR="00222FB2" w:rsidRDefault="00222FB2" w:rsidP="001B64E5">
      <w:pPr>
        <w:ind w:left="360"/>
        <w:rPr>
          <w:rFonts w:ascii="Arial" w:hAnsi="Arial" w:cs="Arial"/>
          <w:sz w:val="22"/>
          <w:szCs w:val="22"/>
        </w:rPr>
      </w:pPr>
    </w:p>
    <w:p w14:paraId="01DEFEBE" w14:textId="6312476C" w:rsidR="00401753" w:rsidRPr="006F0ACC" w:rsidRDefault="00401753" w:rsidP="009618DF">
      <w:pPr>
        <w:suppressAutoHyphens/>
        <w:ind w:left="360"/>
        <w:rPr>
          <w:rFonts w:ascii="Arial" w:hAnsi="Arial" w:cs="Arial"/>
          <w:sz w:val="22"/>
          <w:szCs w:val="22"/>
        </w:rPr>
      </w:pPr>
      <w:r w:rsidRPr="006F0ACC">
        <w:rPr>
          <w:rFonts w:ascii="Arial" w:hAnsi="Arial" w:cs="Arial"/>
          <w:sz w:val="22"/>
          <w:szCs w:val="22"/>
        </w:rPr>
        <w:t>This information collection is aligned with:</w:t>
      </w:r>
      <w:r w:rsidR="00D60438" w:rsidRPr="006F0ACC">
        <w:rPr>
          <w:rFonts w:ascii="Arial" w:hAnsi="Arial" w:cs="Arial"/>
          <w:sz w:val="22"/>
          <w:szCs w:val="22"/>
        </w:rPr>
        <w:t xml:space="preserve"> </w:t>
      </w:r>
    </w:p>
    <w:p w14:paraId="2E868937" w14:textId="42465C5F" w:rsidR="00401753" w:rsidRPr="006F0ACC" w:rsidRDefault="00401753" w:rsidP="00D60438">
      <w:pPr>
        <w:pStyle w:val="ListParagraph"/>
        <w:numPr>
          <w:ilvl w:val="0"/>
          <w:numId w:val="7"/>
        </w:numPr>
        <w:suppressAutoHyphens/>
        <w:spacing w:before="120"/>
        <w:contextualSpacing w:val="0"/>
        <w:rPr>
          <w:rFonts w:ascii="Arial" w:hAnsi="Arial" w:cs="Arial"/>
          <w:sz w:val="22"/>
          <w:szCs w:val="22"/>
        </w:rPr>
      </w:pPr>
      <w:r w:rsidRPr="007E2D5A">
        <w:rPr>
          <w:rFonts w:ascii="Arial" w:hAnsi="Arial" w:cs="Arial"/>
          <w:sz w:val="22"/>
          <w:szCs w:val="22"/>
          <w:u w:val="single"/>
        </w:rPr>
        <w:t>Line of Business/Sub-function:</w:t>
      </w:r>
      <w:r w:rsidRPr="006F0ACC">
        <w:rPr>
          <w:rFonts w:ascii="Arial" w:hAnsi="Arial" w:cs="Arial"/>
          <w:sz w:val="22"/>
          <w:szCs w:val="22"/>
        </w:rPr>
        <w:t xml:space="preserve">  General Government/Taxation Management.</w:t>
      </w:r>
      <w:r w:rsidR="00D60438" w:rsidRPr="006F0ACC">
        <w:rPr>
          <w:rFonts w:ascii="Arial" w:hAnsi="Arial" w:cs="Arial"/>
          <w:sz w:val="22"/>
          <w:szCs w:val="22"/>
        </w:rPr>
        <w:t xml:space="preserve"> </w:t>
      </w:r>
    </w:p>
    <w:p w14:paraId="7A4AC49D" w14:textId="4C7D780A" w:rsidR="00401753" w:rsidRDefault="00401753" w:rsidP="00D460BA">
      <w:pPr>
        <w:pStyle w:val="ListParagraph"/>
        <w:numPr>
          <w:ilvl w:val="0"/>
          <w:numId w:val="7"/>
        </w:numPr>
        <w:suppressAutoHyphens/>
        <w:spacing w:before="120"/>
        <w:contextualSpacing w:val="0"/>
        <w:rPr>
          <w:rFonts w:ascii="Arial" w:hAnsi="Arial" w:cs="Arial"/>
          <w:sz w:val="22"/>
          <w:szCs w:val="22"/>
        </w:rPr>
      </w:pPr>
      <w:r w:rsidRPr="007E2D5A">
        <w:rPr>
          <w:rFonts w:ascii="Arial" w:hAnsi="Arial" w:cs="Arial"/>
          <w:sz w:val="22"/>
          <w:szCs w:val="22"/>
          <w:u w:val="single"/>
        </w:rPr>
        <w:t>IT Investment:</w:t>
      </w:r>
      <w:r w:rsidRPr="006F0ACC">
        <w:rPr>
          <w:rFonts w:ascii="Arial" w:hAnsi="Arial" w:cs="Arial"/>
          <w:sz w:val="22"/>
          <w:szCs w:val="22"/>
        </w:rPr>
        <w:t xml:space="preserve">  </w:t>
      </w:r>
      <w:r w:rsidR="00D460BA" w:rsidRPr="006F0ACC">
        <w:rPr>
          <w:rFonts w:ascii="Arial" w:hAnsi="Arial" w:cs="Arial"/>
          <w:sz w:val="22"/>
          <w:szCs w:val="22"/>
        </w:rPr>
        <w:t>Tax Major Application System</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71754AF9" w14:textId="2B42FB43" w:rsidR="00163299" w:rsidRDefault="00163299" w:rsidP="004901F9">
      <w:pPr>
        <w:ind w:left="360"/>
        <w:rPr>
          <w:rFonts w:ascii="Arial" w:hAnsi="Arial" w:cs="Arial"/>
          <w:sz w:val="22"/>
          <w:szCs w:val="22"/>
        </w:rPr>
      </w:pPr>
      <w:r>
        <w:rPr>
          <w:rFonts w:ascii="Arial" w:hAnsi="Arial" w:cs="Arial"/>
          <w:sz w:val="22"/>
          <w:szCs w:val="22"/>
        </w:rPr>
        <w:t xml:space="preserve">A proprietor of a DSP or an AFP desiring to have spirits or denatured spirits transferred to their plant from another domestic plant completes TTB F 5110.16 </w:t>
      </w:r>
      <w:r w:rsidR="004901F9">
        <w:rPr>
          <w:rFonts w:ascii="Arial" w:hAnsi="Arial" w:cs="Arial"/>
          <w:sz w:val="22"/>
          <w:szCs w:val="22"/>
        </w:rPr>
        <w:t xml:space="preserve">in triplicate </w:t>
      </w:r>
      <w:r>
        <w:rPr>
          <w:rFonts w:ascii="Arial" w:hAnsi="Arial" w:cs="Arial"/>
          <w:sz w:val="22"/>
          <w:szCs w:val="22"/>
        </w:rPr>
        <w:t xml:space="preserve">in order to inform TTB that they intend to receive transferred spirits in bond.  </w:t>
      </w:r>
      <w:r w:rsidR="004901F9">
        <w:rPr>
          <w:rFonts w:ascii="Arial" w:hAnsi="Arial" w:cs="Arial"/>
          <w:sz w:val="22"/>
          <w:szCs w:val="22"/>
        </w:rPr>
        <w:t xml:space="preserve">In order to protect the revenue, </w:t>
      </w:r>
      <w:r>
        <w:rPr>
          <w:rFonts w:ascii="Arial" w:hAnsi="Arial" w:cs="Arial"/>
          <w:sz w:val="22"/>
          <w:szCs w:val="22"/>
        </w:rPr>
        <w:t>TTB personnel at our National Revenue Center use the information provided on TTB F 5110.16 to ensure the receiving DSP or AFP has adequate bond coverage since, under the IRC, the tax liability for the transferred spirits falls upon the</w:t>
      </w:r>
      <w:r w:rsidR="00885A74">
        <w:rPr>
          <w:rFonts w:ascii="Arial" w:hAnsi="Arial" w:cs="Arial"/>
          <w:sz w:val="22"/>
          <w:szCs w:val="22"/>
        </w:rPr>
        <w:t xml:space="preserve"> </w:t>
      </w:r>
      <w:r>
        <w:rPr>
          <w:rFonts w:ascii="Arial" w:hAnsi="Arial" w:cs="Arial"/>
          <w:sz w:val="22"/>
          <w:szCs w:val="22"/>
        </w:rPr>
        <w:t xml:space="preserve">receiving plant’s proprietor.  </w:t>
      </w:r>
      <w:r w:rsidR="004901F9">
        <w:rPr>
          <w:rFonts w:ascii="Arial" w:hAnsi="Arial" w:cs="Arial"/>
          <w:sz w:val="22"/>
          <w:szCs w:val="22"/>
        </w:rPr>
        <w:t xml:space="preserve">Once approved by TTB, two copies are returned to the </w:t>
      </w:r>
      <w:r w:rsidR="00885A74">
        <w:rPr>
          <w:rFonts w:ascii="Arial" w:hAnsi="Arial" w:cs="Arial"/>
          <w:sz w:val="22"/>
          <w:szCs w:val="22"/>
        </w:rPr>
        <w:t xml:space="preserve">applicant.  </w:t>
      </w:r>
      <w:r w:rsidR="004901F9">
        <w:rPr>
          <w:rFonts w:ascii="Arial" w:hAnsi="Arial" w:cs="Arial"/>
          <w:sz w:val="22"/>
          <w:szCs w:val="22"/>
        </w:rPr>
        <w:t xml:space="preserve">The </w:t>
      </w:r>
      <w:r w:rsidR="00885A74">
        <w:rPr>
          <w:rFonts w:ascii="Arial" w:hAnsi="Arial" w:cs="Arial"/>
          <w:sz w:val="22"/>
          <w:szCs w:val="22"/>
        </w:rPr>
        <w:t xml:space="preserve">applicant </w:t>
      </w:r>
      <w:r w:rsidR="004901F9">
        <w:rPr>
          <w:rFonts w:ascii="Arial" w:hAnsi="Arial" w:cs="Arial"/>
          <w:sz w:val="22"/>
          <w:szCs w:val="22"/>
        </w:rPr>
        <w:t>keeps one copy of the form and send</w:t>
      </w:r>
      <w:r w:rsidR="00885A74">
        <w:rPr>
          <w:rFonts w:ascii="Arial" w:hAnsi="Arial" w:cs="Arial"/>
          <w:sz w:val="22"/>
          <w:szCs w:val="22"/>
        </w:rPr>
        <w:t>s</w:t>
      </w:r>
      <w:r w:rsidR="004901F9">
        <w:rPr>
          <w:rFonts w:ascii="Arial" w:hAnsi="Arial" w:cs="Arial"/>
          <w:sz w:val="22"/>
          <w:szCs w:val="22"/>
        </w:rPr>
        <w:t xml:space="preserve"> the other copy to the shipping DSP as TTB’s authorization to make the shipment.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8B286D6" w14:textId="77777777" w:rsidR="007E2D5A" w:rsidRPr="007E2D5A" w:rsidRDefault="007E2D5A" w:rsidP="007E2D5A">
      <w:pPr>
        <w:suppressAutoHyphens/>
        <w:spacing w:line="240" w:lineRule="atLeast"/>
        <w:ind w:left="360"/>
        <w:rPr>
          <w:rFonts w:ascii="Arial" w:hAnsi="Arial" w:cs="Arial"/>
          <w:sz w:val="22"/>
          <w:szCs w:val="22"/>
        </w:rPr>
      </w:pPr>
      <w:r w:rsidRPr="007E2D5A">
        <w:rPr>
          <w:rFonts w:ascii="Arial" w:hAnsi="Arial" w:cs="Arial"/>
          <w:sz w:val="22"/>
          <w:szCs w:val="22"/>
        </w:rPr>
        <w:t xml:space="preserve">TTB has approved and will continue to approve, on a case-by-case basis, the use of improved information technology for the collection and maintenance of required forms, records, and reports. </w:t>
      </w:r>
    </w:p>
    <w:p w14:paraId="73EBAE42" w14:textId="77777777" w:rsidR="007E2D5A" w:rsidRPr="007E2D5A" w:rsidRDefault="007E2D5A" w:rsidP="007E2D5A">
      <w:pPr>
        <w:suppressAutoHyphens/>
        <w:spacing w:line="240" w:lineRule="atLeast"/>
        <w:ind w:left="360"/>
        <w:rPr>
          <w:rFonts w:ascii="Arial" w:hAnsi="Arial" w:cs="Arial"/>
          <w:sz w:val="22"/>
          <w:szCs w:val="22"/>
        </w:rPr>
      </w:pPr>
    </w:p>
    <w:p w14:paraId="4194B589" w14:textId="62025E26" w:rsidR="000D7CAF" w:rsidRDefault="007E2D5A" w:rsidP="007E2D5A">
      <w:pPr>
        <w:suppressAutoHyphens/>
        <w:spacing w:line="240" w:lineRule="atLeast"/>
        <w:ind w:left="360"/>
        <w:rPr>
          <w:rFonts w:ascii="Arial" w:hAnsi="Arial" w:cs="Arial"/>
          <w:sz w:val="22"/>
          <w:szCs w:val="22"/>
        </w:rPr>
      </w:pPr>
      <w:r w:rsidRPr="007E2D5A">
        <w:rPr>
          <w:rFonts w:ascii="Arial" w:hAnsi="Arial" w:cs="Arial"/>
          <w:sz w:val="22"/>
          <w:szCs w:val="22"/>
        </w:rPr>
        <w:lastRenderedPageBreak/>
        <w:t>Currently, respondents may submit th</w:t>
      </w:r>
      <w:r w:rsidR="002947CD">
        <w:rPr>
          <w:rFonts w:ascii="Arial" w:hAnsi="Arial" w:cs="Arial"/>
          <w:sz w:val="22"/>
          <w:szCs w:val="22"/>
        </w:rPr>
        <w:t>e information required on TTB F </w:t>
      </w:r>
      <w:r w:rsidRPr="007E2D5A">
        <w:rPr>
          <w:rFonts w:ascii="Arial" w:hAnsi="Arial" w:cs="Arial"/>
          <w:sz w:val="22"/>
          <w:szCs w:val="22"/>
        </w:rPr>
        <w:t>51</w:t>
      </w:r>
      <w:r>
        <w:rPr>
          <w:rFonts w:ascii="Arial" w:hAnsi="Arial" w:cs="Arial"/>
          <w:sz w:val="22"/>
          <w:szCs w:val="22"/>
        </w:rPr>
        <w:t>00.16</w:t>
      </w:r>
      <w:r w:rsidRPr="007E2D5A">
        <w:rPr>
          <w:rFonts w:ascii="Arial" w:hAnsi="Arial" w:cs="Arial"/>
          <w:sz w:val="22"/>
          <w:szCs w:val="22"/>
        </w:rPr>
        <w:t xml:space="preserve">, </w:t>
      </w:r>
      <w:r w:rsidRPr="00617C53">
        <w:rPr>
          <w:rFonts w:ascii="Arial" w:hAnsi="Arial" w:cs="Arial"/>
          <w:sz w:val="22"/>
          <w:szCs w:val="22"/>
        </w:rPr>
        <w:t xml:space="preserve">Application to Receive Spirits and/or Denatured Spirits by Transfer in </w:t>
      </w:r>
      <w:r>
        <w:rPr>
          <w:rFonts w:ascii="Arial" w:hAnsi="Arial" w:cs="Arial"/>
          <w:sz w:val="22"/>
          <w:szCs w:val="22"/>
        </w:rPr>
        <w:t>B</w:t>
      </w:r>
      <w:r w:rsidRPr="00617C53">
        <w:rPr>
          <w:rFonts w:ascii="Arial" w:hAnsi="Arial" w:cs="Arial"/>
          <w:sz w:val="22"/>
          <w:szCs w:val="22"/>
        </w:rPr>
        <w:t>ond</w:t>
      </w:r>
      <w:r w:rsidRPr="007E2D5A">
        <w:rPr>
          <w:rFonts w:ascii="Arial" w:hAnsi="Arial" w:cs="Arial"/>
          <w:sz w:val="22"/>
          <w:szCs w:val="22"/>
        </w:rPr>
        <w:t xml:space="preserve">, using the </w:t>
      </w:r>
      <w:r w:rsidR="000D7CAF">
        <w:rPr>
          <w:rFonts w:ascii="Arial" w:hAnsi="Arial" w:cs="Arial"/>
          <w:sz w:val="22"/>
          <w:szCs w:val="22"/>
        </w:rPr>
        <w:t xml:space="preserve">appropriate data fields in the </w:t>
      </w:r>
      <w:r w:rsidRPr="007E2D5A">
        <w:rPr>
          <w:rFonts w:ascii="Arial" w:hAnsi="Arial" w:cs="Arial"/>
          <w:sz w:val="22"/>
          <w:szCs w:val="22"/>
        </w:rPr>
        <w:t>“Original DSP Application</w:t>
      </w:r>
      <w:r w:rsidR="000D7CAF">
        <w:rPr>
          <w:rFonts w:ascii="Arial" w:hAnsi="Arial" w:cs="Arial"/>
          <w:sz w:val="22"/>
          <w:szCs w:val="22"/>
        </w:rPr>
        <w:t>” or “Original AFP Application,”</w:t>
      </w:r>
      <w:r w:rsidRPr="007E2D5A">
        <w:rPr>
          <w:rFonts w:ascii="Arial" w:hAnsi="Arial" w:cs="Arial"/>
          <w:sz w:val="22"/>
          <w:szCs w:val="22"/>
        </w:rPr>
        <w:t xml:space="preserve"> as appropriate, of TTB’s Permits Online (PONL) system; </w:t>
      </w:r>
      <w:r w:rsidR="000D7CAF">
        <w:rPr>
          <w:rFonts w:ascii="Arial" w:hAnsi="Arial" w:cs="Arial"/>
          <w:sz w:val="22"/>
          <w:szCs w:val="22"/>
        </w:rPr>
        <w:t xml:space="preserve">see </w:t>
      </w:r>
      <w:hyperlink r:id="rId9" w:history="1">
        <w:r w:rsidR="006842F3" w:rsidRPr="006842F3">
          <w:rPr>
            <w:rStyle w:val="Hyperlink"/>
            <w:rFonts w:ascii="Arial" w:hAnsi="Arial" w:cs="Arial"/>
            <w:sz w:val="22"/>
            <w:szCs w:val="22"/>
          </w:rPr>
          <w:t>https://</w:t>
        </w:r>
        <w:r w:rsidR="0078213A" w:rsidRPr="006842F3">
          <w:rPr>
            <w:rStyle w:val="Hyperlink"/>
            <w:rFonts w:ascii="Arial" w:hAnsi="Arial" w:cs="Arial"/>
            <w:sz w:val="22"/>
            <w:szCs w:val="22"/>
          </w:rPr>
          <w:t>www.ttbonline.gov/permitsonline</w:t>
        </w:r>
      </w:hyperlink>
      <w:r w:rsidR="000D7CAF">
        <w:rPr>
          <w:rFonts w:ascii="Arial" w:hAnsi="Arial" w:cs="Arial"/>
          <w:sz w:val="22"/>
          <w:szCs w:val="22"/>
        </w:rPr>
        <w:t xml:space="preserve">.  A PONL Tutorial and a PONL </w:t>
      </w:r>
      <w:r w:rsidR="0078213A">
        <w:rPr>
          <w:rFonts w:ascii="Arial" w:hAnsi="Arial" w:cs="Arial"/>
          <w:sz w:val="22"/>
          <w:szCs w:val="22"/>
        </w:rPr>
        <w:t xml:space="preserve">Customer </w:t>
      </w:r>
      <w:r w:rsidR="000D7CAF">
        <w:rPr>
          <w:rFonts w:ascii="Arial" w:hAnsi="Arial" w:cs="Arial"/>
          <w:sz w:val="22"/>
          <w:szCs w:val="22"/>
        </w:rPr>
        <w:t xml:space="preserve">User Guide are available on the TTB website at, respectively, </w:t>
      </w:r>
      <w:hyperlink r:id="rId10" w:history="1">
        <w:r w:rsidR="006E1A2B" w:rsidRPr="008C61CA">
          <w:rPr>
            <w:rStyle w:val="Hyperlink"/>
            <w:rFonts w:ascii="Arial" w:hAnsi="Arial" w:cs="Arial"/>
            <w:sz w:val="22"/>
            <w:szCs w:val="22"/>
          </w:rPr>
          <w:t>https://www.ttb.gov/ponl/permits_online-tutorials.shtml</w:t>
        </w:r>
      </w:hyperlink>
      <w:r w:rsidR="000D7CAF">
        <w:rPr>
          <w:rFonts w:ascii="Arial" w:hAnsi="Arial" w:cs="Arial"/>
          <w:sz w:val="22"/>
          <w:szCs w:val="22"/>
        </w:rPr>
        <w:t xml:space="preserve"> and </w:t>
      </w:r>
      <w:hyperlink r:id="rId11" w:history="1">
        <w:r w:rsidR="000D7CAF" w:rsidRPr="007275D6">
          <w:rPr>
            <w:rStyle w:val="Hyperlink"/>
            <w:rFonts w:ascii="Arial" w:hAnsi="Arial" w:cs="Arial"/>
            <w:sz w:val="22"/>
            <w:szCs w:val="22"/>
          </w:rPr>
          <w:t>https://www.ttb.gov/ponl/customer-reference-manual-permits-online-0515.pdf</w:t>
        </w:r>
      </w:hyperlink>
      <w:r w:rsidR="000D7CAF">
        <w:rPr>
          <w:rStyle w:val="Hyperlink"/>
          <w:rFonts w:ascii="Arial" w:hAnsi="Arial" w:cs="Arial"/>
          <w:sz w:val="22"/>
          <w:szCs w:val="22"/>
        </w:rPr>
        <w:t xml:space="preserve">. </w:t>
      </w:r>
    </w:p>
    <w:p w14:paraId="2F6F8335" w14:textId="77777777" w:rsidR="002947CD" w:rsidRDefault="002947CD" w:rsidP="007E2D5A">
      <w:pPr>
        <w:suppressAutoHyphens/>
        <w:spacing w:line="240" w:lineRule="atLeast"/>
        <w:ind w:left="360"/>
        <w:rPr>
          <w:rFonts w:ascii="Arial" w:hAnsi="Arial" w:cs="Arial"/>
          <w:sz w:val="22"/>
          <w:szCs w:val="22"/>
        </w:rPr>
      </w:pPr>
    </w:p>
    <w:p w14:paraId="3389172F" w14:textId="0EA84B90" w:rsidR="007E2D5A" w:rsidRPr="007E2D5A" w:rsidRDefault="007E2D5A" w:rsidP="007E2D5A">
      <w:pPr>
        <w:suppressAutoHyphens/>
        <w:spacing w:line="240" w:lineRule="atLeast"/>
        <w:ind w:left="360"/>
        <w:rPr>
          <w:rFonts w:ascii="Arial" w:hAnsi="Arial" w:cs="Arial"/>
          <w:sz w:val="22"/>
          <w:szCs w:val="22"/>
        </w:rPr>
      </w:pPr>
      <w:r w:rsidRPr="007E2D5A">
        <w:rPr>
          <w:rFonts w:ascii="Arial" w:hAnsi="Arial" w:cs="Arial"/>
          <w:sz w:val="22"/>
          <w:szCs w:val="22"/>
        </w:rPr>
        <w:t>TTB F 5110.41 also is available as a fillable/printable paper form on the TTB website at</w:t>
      </w:r>
      <w:r w:rsidR="002947CD">
        <w:rPr>
          <w:rFonts w:ascii="Arial" w:hAnsi="Arial" w:cs="Arial"/>
          <w:sz w:val="22"/>
          <w:szCs w:val="22"/>
        </w:rPr>
        <w:t xml:space="preserve"> </w:t>
      </w:r>
      <w:hyperlink r:id="rId12" w:history="1">
        <w:r w:rsidR="002947CD" w:rsidRPr="00AB58A7">
          <w:rPr>
            <w:rStyle w:val="Hyperlink"/>
            <w:rFonts w:ascii="Arial" w:hAnsi="Arial" w:cs="Arial"/>
            <w:sz w:val="22"/>
            <w:szCs w:val="22"/>
          </w:rPr>
          <w:t>https://www.ttb.gov/forms/5000.shtml</w:t>
        </w:r>
      </w:hyperlink>
      <w:r w:rsidRPr="007E2D5A">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2BD1BE8A" w:rsidR="00C64D2C" w:rsidRDefault="00C64D2C" w:rsidP="009618DF">
      <w:pPr>
        <w:suppressAutoHyphens/>
        <w:ind w:left="360"/>
        <w:rPr>
          <w:rFonts w:ascii="Arial" w:hAnsi="Arial" w:cs="Arial"/>
          <w:sz w:val="22"/>
          <w:szCs w:val="22"/>
        </w:rPr>
      </w:pPr>
      <w:r w:rsidRPr="00C64D2C">
        <w:rPr>
          <w:rFonts w:ascii="Arial" w:hAnsi="Arial" w:cs="Arial"/>
          <w:sz w:val="22"/>
          <w:szCs w:val="22"/>
        </w:rPr>
        <w:t>TTB F</w:t>
      </w:r>
      <w:r w:rsidR="00D36A5E">
        <w:rPr>
          <w:rFonts w:ascii="Arial" w:hAnsi="Arial" w:cs="Arial"/>
          <w:sz w:val="22"/>
          <w:szCs w:val="22"/>
        </w:rPr>
        <w:t> </w:t>
      </w:r>
      <w:r w:rsidRPr="00C64D2C">
        <w:rPr>
          <w:rFonts w:ascii="Arial" w:hAnsi="Arial" w:cs="Arial"/>
          <w:sz w:val="22"/>
          <w:szCs w:val="22"/>
        </w:rPr>
        <w:t>51</w:t>
      </w:r>
      <w:r w:rsidR="004901F9">
        <w:rPr>
          <w:rFonts w:ascii="Arial" w:hAnsi="Arial" w:cs="Arial"/>
          <w:sz w:val="22"/>
          <w:szCs w:val="22"/>
        </w:rPr>
        <w:t>10.16</w:t>
      </w:r>
      <w:r w:rsidRPr="00C64D2C">
        <w:rPr>
          <w:rFonts w:ascii="Arial" w:hAnsi="Arial" w:cs="Arial"/>
          <w:sz w:val="22"/>
          <w:szCs w:val="22"/>
        </w:rPr>
        <w:t xml:space="preserve"> collects information </w:t>
      </w:r>
      <w:r w:rsidR="00522735">
        <w:rPr>
          <w:rFonts w:ascii="Arial" w:hAnsi="Arial" w:cs="Arial"/>
          <w:sz w:val="22"/>
          <w:szCs w:val="22"/>
        </w:rPr>
        <w:t xml:space="preserve">that is </w:t>
      </w:r>
      <w:r w:rsidR="004901F9">
        <w:rPr>
          <w:rFonts w:ascii="Arial" w:hAnsi="Arial" w:cs="Arial"/>
          <w:sz w:val="22"/>
          <w:szCs w:val="22"/>
        </w:rPr>
        <w:t>pertinent to each respondent and applicable to th</w:t>
      </w:r>
      <w:r w:rsidR="000D7CAF">
        <w:rPr>
          <w:rFonts w:ascii="Arial" w:hAnsi="Arial" w:cs="Arial"/>
          <w:sz w:val="22"/>
          <w:szCs w:val="22"/>
        </w:rPr>
        <w:t>eir specific request to receive</w:t>
      </w:r>
      <w:r w:rsidR="004901F9">
        <w:rPr>
          <w:rFonts w:ascii="Arial" w:hAnsi="Arial" w:cs="Arial"/>
          <w:sz w:val="22"/>
          <w:szCs w:val="22"/>
        </w:rPr>
        <w:t xml:space="preserve"> transferred distilled spirits in bond.  </w:t>
      </w:r>
      <w:r w:rsidRPr="00C64D2C">
        <w:rPr>
          <w:rFonts w:ascii="Arial" w:hAnsi="Arial" w:cs="Arial"/>
          <w:sz w:val="22"/>
          <w:szCs w:val="22"/>
        </w:rPr>
        <w:t xml:space="preserve">As far as </w:t>
      </w:r>
      <w:r w:rsidR="00D36A5E">
        <w:rPr>
          <w:rFonts w:ascii="Arial" w:hAnsi="Arial" w:cs="Arial"/>
          <w:sz w:val="22"/>
          <w:szCs w:val="22"/>
        </w:rPr>
        <w:t xml:space="preserve">TTB </w:t>
      </w:r>
      <w:r w:rsidRPr="00C64D2C">
        <w:rPr>
          <w:rFonts w:ascii="Arial" w:hAnsi="Arial" w:cs="Arial"/>
          <w:sz w:val="22"/>
          <w:szCs w:val="22"/>
        </w:rPr>
        <w:t>can determine, similar information is not available elsewhere.</w:t>
      </w:r>
      <w:r>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56FA88B4" w14:textId="6EE08EDB" w:rsidR="00FD7E00" w:rsidRDefault="004901F9" w:rsidP="00C64D2C">
      <w:pPr>
        <w:ind w:left="360"/>
        <w:rPr>
          <w:rFonts w:ascii="Arial" w:hAnsi="Arial" w:cs="Arial"/>
          <w:sz w:val="22"/>
          <w:szCs w:val="22"/>
        </w:rPr>
      </w:pPr>
      <w:r>
        <w:rPr>
          <w:rFonts w:ascii="Arial" w:hAnsi="Arial" w:cs="Arial"/>
          <w:sz w:val="22"/>
          <w:szCs w:val="22"/>
        </w:rPr>
        <w:t>The requirement to make an application to receive transferred distilled spirits in bond is a statutory requirement of the IRC</w:t>
      </w:r>
      <w:r w:rsidR="00E4289F">
        <w:rPr>
          <w:rFonts w:ascii="Arial" w:hAnsi="Arial" w:cs="Arial"/>
          <w:sz w:val="22"/>
          <w:szCs w:val="22"/>
        </w:rPr>
        <w:t>, prescribed to protect the revenue</w:t>
      </w:r>
      <w:r>
        <w:rPr>
          <w:rFonts w:ascii="Arial" w:hAnsi="Arial" w:cs="Arial"/>
          <w:sz w:val="22"/>
          <w:szCs w:val="22"/>
        </w:rPr>
        <w:t xml:space="preserve">, and it cannot be waived </w:t>
      </w:r>
      <w:r w:rsidR="00E4289F">
        <w:rPr>
          <w:rFonts w:ascii="Arial" w:hAnsi="Arial" w:cs="Arial"/>
          <w:sz w:val="22"/>
          <w:szCs w:val="22"/>
        </w:rPr>
        <w:t>merely because the respondent’s business is small.  The collected information is minimal and is required so that TTB can determine if the receiving</w:t>
      </w:r>
      <w:r w:rsidR="000D7CAF">
        <w:rPr>
          <w:rFonts w:ascii="Arial" w:hAnsi="Arial" w:cs="Arial"/>
          <w:sz w:val="22"/>
          <w:szCs w:val="22"/>
        </w:rPr>
        <w:t xml:space="preserve"> DSP has adequate bond coverage if not otherwise exempt from the bond requirement.</w:t>
      </w:r>
      <w:r w:rsidR="00E4289F">
        <w:rPr>
          <w:rFonts w:ascii="Arial" w:hAnsi="Arial" w:cs="Arial"/>
          <w:sz w:val="22"/>
          <w:szCs w:val="22"/>
        </w:rPr>
        <w:t xml:space="preserve"> </w:t>
      </w:r>
    </w:p>
    <w:p w14:paraId="173AF626" w14:textId="77777777" w:rsidR="007A5D4B" w:rsidRPr="00090251" w:rsidRDefault="007A5D4B" w:rsidP="002947CD">
      <w:pPr>
        <w:rPr>
          <w:rFonts w:ascii="Arial" w:hAnsi="Arial" w:cs="Arial"/>
          <w:sz w:val="36"/>
          <w:szCs w:val="36"/>
        </w:rPr>
      </w:pPr>
    </w:p>
    <w:p w14:paraId="4C01CCDF" w14:textId="149E6F19" w:rsidR="00AF1157" w:rsidRPr="007A5D4B" w:rsidRDefault="007A5D4B" w:rsidP="00D054AD">
      <w:pPr>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43A1B222" w14:textId="5A786980" w:rsidR="00E4289F" w:rsidRDefault="00E4289F" w:rsidP="004806AE">
      <w:pPr>
        <w:ind w:left="360"/>
        <w:rPr>
          <w:rFonts w:ascii="Arial" w:hAnsi="Arial" w:cs="Arial"/>
          <w:sz w:val="22"/>
          <w:szCs w:val="22"/>
        </w:rPr>
      </w:pPr>
      <w:r>
        <w:rPr>
          <w:rFonts w:ascii="Arial" w:hAnsi="Arial" w:cs="Arial"/>
          <w:sz w:val="22"/>
          <w:szCs w:val="22"/>
        </w:rPr>
        <w:t>The requirement to make an application to receive transferred distilled spirits in bond is a statutory</w:t>
      </w:r>
      <w:r w:rsidR="00885A74">
        <w:rPr>
          <w:rFonts w:ascii="Arial" w:hAnsi="Arial" w:cs="Arial"/>
          <w:sz w:val="22"/>
          <w:szCs w:val="22"/>
        </w:rPr>
        <w:t xml:space="preserve">, </w:t>
      </w:r>
      <w:r>
        <w:rPr>
          <w:rFonts w:ascii="Arial" w:hAnsi="Arial" w:cs="Arial"/>
          <w:sz w:val="22"/>
          <w:szCs w:val="22"/>
        </w:rPr>
        <w:t>and TTB cannot waive this requirement at its option.  Since the transferred spirits are non-taxpaid, TTB would be unable to verify that the receiving DSP has adequate bond coverage to protect the revenue</w:t>
      </w:r>
      <w:r w:rsidR="002947CD">
        <w:rPr>
          <w:rFonts w:ascii="Arial" w:hAnsi="Arial" w:cs="Arial"/>
          <w:sz w:val="22"/>
          <w:szCs w:val="22"/>
        </w:rPr>
        <w:t xml:space="preserve"> (or is a small taxpayer exempt from bond requirements) </w:t>
      </w:r>
      <w:r>
        <w:rPr>
          <w:rFonts w:ascii="Arial" w:hAnsi="Arial" w:cs="Arial"/>
          <w:sz w:val="22"/>
          <w:szCs w:val="22"/>
        </w:rPr>
        <w:t>without this information collection.  Not collecting this information or collecting it less frequently would</w:t>
      </w:r>
      <w:r w:rsidR="00885A74">
        <w:rPr>
          <w:rFonts w:ascii="Arial" w:hAnsi="Arial" w:cs="Arial"/>
          <w:sz w:val="22"/>
          <w:szCs w:val="22"/>
        </w:rPr>
        <w:t>, therefore,</w:t>
      </w:r>
      <w:r>
        <w:rPr>
          <w:rFonts w:ascii="Arial" w:hAnsi="Arial" w:cs="Arial"/>
          <w:sz w:val="22"/>
          <w:szCs w:val="22"/>
        </w:rPr>
        <w:t xml:space="preserve"> jeopardize the revenue.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4E8093A8"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541C3DCD" w14:textId="57E3A873" w:rsidR="004524F0" w:rsidRDefault="002947CD" w:rsidP="004806AE">
      <w:pPr>
        <w:ind w:left="360"/>
        <w:rPr>
          <w:rFonts w:ascii="Arial" w:hAnsi="Arial" w:cs="Arial"/>
          <w:sz w:val="22"/>
          <w:szCs w:val="22"/>
        </w:rPr>
      </w:pPr>
      <w:r w:rsidRPr="002947CD">
        <w:rPr>
          <w:rFonts w:ascii="Arial" w:hAnsi="Arial" w:cs="Arial"/>
          <w:sz w:val="22"/>
          <w:szCs w:val="22"/>
        </w:rPr>
        <w:t>To solicit comments from the general public, TTB published a “60-day” comment request notice for this information collection in the Federal Register on June 9, 2017, at 82 FR 26837.  TTB received one comment on this information collection in response</w:t>
      </w:r>
      <w:r>
        <w:rPr>
          <w:rFonts w:ascii="Arial" w:hAnsi="Arial" w:cs="Arial"/>
          <w:sz w:val="22"/>
          <w:szCs w:val="22"/>
        </w:rPr>
        <w:t>,</w:t>
      </w:r>
      <w:r w:rsidRPr="002947CD">
        <w:rPr>
          <w:rFonts w:ascii="Arial" w:hAnsi="Arial" w:cs="Arial"/>
          <w:sz w:val="22"/>
          <w:szCs w:val="22"/>
        </w:rPr>
        <w:t xml:space="preserve"> from Pharmco Products, Inc. of Brookfield, Connecticut, a manufacturer of ethanol and solvents.  The comment stated:</w:t>
      </w:r>
      <w:r>
        <w:rPr>
          <w:rFonts w:ascii="Arial" w:hAnsi="Arial" w:cs="Arial"/>
          <w:sz w:val="22"/>
          <w:szCs w:val="22"/>
        </w:rPr>
        <w:t xml:space="preserve"> </w:t>
      </w:r>
    </w:p>
    <w:p w14:paraId="5A7BD54F" w14:textId="77777777" w:rsidR="004524F0" w:rsidRDefault="004524F0" w:rsidP="004806AE">
      <w:pPr>
        <w:ind w:left="360"/>
        <w:rPr>
          <w:rFonts w:ascii="Arial" w:hAnsi="Arial" w:cs="Arial"/>
          <w:sz w:val="22"/>
          <w:szCs w:val="22"/>
        </w:rPr>
      </w:pPr>
    </w:p>
    <w:p w14:paraId="1C7D5D79" w14:textId="77777777" w:rsidR="001E00EB" w:rsidRPr="001E00EB" w:rsidRDefault="001E00EB" w:rsidP="001E00EB">
      <w:pPr>
        <w:ind w:left="720" w:right="720"/>
        <w:rPr>
          <w:rFonts w:ascii="Arial" w:hAnsi="Arial" w:cs="Arial"/>
          <w:sz w:val="22"/>
          <w:szCs w:val="22"/>
        </w:rPr>
      </w:pPr>
      <w:r w:rsidRPr="001E00EB">
        <w:rPr>
          <w:rFonts w:ascii="Arial" w:hAnsi="Arial" w:cs="Arial"/>
          <w:sz w:val="22"/>
          <w:szCs w:val="22"/>
          <w:u w:val="single"/>
        </w:rPr>
        <w:t>OMB Number: 1513-0038, Application for transfer of spirits in bond</w:t>
      </w:r>
      <w:r w:rsidRPr="001E00EB">
        <w:rPr>
          <w:rFonts w:ascii="Arial" w:hAnsi="Arial" w:cs="Arial"/>
          <w:sz w:val="22"/>
          <w:szCs w:val="22"/>
        </w:rPr>
        <w:t xml:space="preserve">:  Submission and approval of F 5100.16 should not be required for intra-company transfers of bonded material. When a company possesses control over several different DSP facilities (under the same EIN number), either for production or distribution warehouses etc, there should be no need to get approval on the 100+ required forms for a company that has, say over 10 different DSPs. This creates unneeded burden on the industry members as well as the TTB administrative staff processing those forms. The actual potential for a non-compliance issue to arise as a result of this is negligible, especially if the regulation is revised. The material in question is staying in the possession of the same legal entity, usually covered under the same unit bond and presents little risk to any involved parties. </w:t>
      </w:r>
    </w:p>
    <w:p w14:paraId="1077BC55" w14:textId="77777777" w:rsidR="001E00EB" w:rsidRPr="001E00EB" w:rsidRDefault="001E00EB" w:rsidP="001E00EB">
      <w:pPr>
        <w:ind w:left="360"/>
        <w:rPr>
          <w:rFonts w:ascii="Arial" w:hAnsi="Arial" w:cs="Arial"/>
          <w:sz w:val="22"/>
          <w:szCs w:val="22"/>
        </w:rPr>
      </w:pPr>
    </w:p>
    <w:p w14:paraId="694427DA" w14:textId="436C1DB4" w:rsidR="001E00EB" w:rsidRDefault="001E00EB" w:rsidP="001E00EB">
      <w:pPr>
        <w:ind w:left="360"/>
        <w:rPr>
          <w:rFonts w:ascii="Arial" w:hAnsi="Arial" w:cs="Arial"/>
          <w:sz w:val="22"/>
          <w:szCs w:val="22"/>
        </w:rPr>
      </w:pPr>
      <w:r w:rsidRPr="001E00EB">
        <w:rPr>
          <w:rFonts w:ascii="Arial" w:hAnsi="Arial" w:cs="Arial"/>
          <w:sz w:val="22"/>
          <w:szCs w:val="22"/>
          <w:u w:val="single"/>
        </w:rPr>
        <w:t>TTB Response:</w:t>
      </w:r>
      <w:r>
        <w:rPr>
          <w:rFonts w:ascii="Arial" w:hAnsi="Arial" w:cs="Arial"/>
          <w:sz w:val="22"/>
          <w:szCs w:val="22"/>
        </w:rPr>
        <w:t xml:space="preserve">  </w:t>
      </w:r>
      <w:r w:rsidR="00124ABE" w:rsidRPr="00124ABE">
        <w:rPr>
          <w:rFonts w:ascii="Arial" w:hAnsi="Arial" w:cs="Arial"/>
          <w:sz w:val="22"/>
          <w:szCs w:val="22"/>
        </w:rPr>
        <w:t>To safeguard th</w:t>
      </w:r>
      <w:r w:rsidR="000D7CAF">
        <w:rPr>
          <w:rFonts w:ascii="Arial" w:hAnsi="Arial" w:cs="Arial"/>
          <w:sz w:val="22"/>
          <w:szCs w:val="22"/>
        </w:rPr>
        <w:t>e</w:t>
      </w:r>
      <w:r w:rsidR="00124ABE" w:rsidRPr="00124ABE">
        <w:rPr>
          <w:rFonts w:ascii="Arial" w:hAnsi="Arial" w:cs="Arial"/>
          <w:sz w:val="22"/>
          <w:szCs w:val="22"/>
        </w:rPr>
        <w:t xml:space="preserve"> revenue when non-taxpaid distilled spirits are transferred from the premises of one distilled spirits plant (DSP) to another, the IRC at 26 U.S.C. 5005(c) provides that the tax liability for in-transit spirits falls upon the proprietor of the DSP to which the spirits are being transferred, “pursuant to application made by him.”</w:t>
      </w:r>
      <w:r w:rsidR="00124ABE">
        <w:rPr>
          <w:rFonts w:ascii="Arial" w:hAnsi="Arial" w:cs="Arial"/>
          <w:sz w:val="22"/>
          <w:szCs w:val="22"/>
        </w:rPr>
        <w:t xml:space="preserve">  To meet this statutory requirement, the TTB regulations at 27 CFR 19.403 (for DSPs) and 19.733 (for AFPs) require the receiving proprietor submit an </w:t>
      </w:r>
      <w:r w:rsidR="00124ABE" w:rsidRPr="00124ABE">
        <w:rPr>
          <w:rFonts w:ascii="Arial" w:hAnsi="Arial" w:cs="Arial"/>
          <w:sz w:val="22"/>
          <w:szCs w:val="22"/>
        </w:rPr>
        <w:t xml:space="preserve">Application to Receive Spirits and/or Denatured Spirits by Transfer in Bond </w:t>
      </w:r>
      <w:r w:rsidR="00124ABE">
        <w:rPr>
          <w:rFonts w:ascii="Arial" w:hAnsi="Arial" w:cs="Arial"/>
          <w:sz w:val="22"/>
          <w:szCs w:val="22"/>
        </w:rPr>
        <w:t xml:space="preserve">on TTB F 5100.16.  This </w:t>
      </w:r>
      <w:r w:rsidRPr="001E00EB">
        <w:rPr>
          <w:rFonts w:ascii="Arial" w:hAnsi="Arial" w:cs="Arial"/>
          <w:sz w:val="22"/>
          <w:szCs w:val="22"/>
        </w:rPr>
        <w:t xml:space="preserve">application allows TTB to track the </w:t>
      </w:r>
      <w:r w:rsidR="00124ABE">
        <w:rPr>
          <w:rFonts w:ascii="Arial" w:hAnsi="Arial" w:cs="Arial"/>
          <w:sz w:val="22"/>
          <w:szCs w:val="22"/>
        </w:rPr>
        <w:t xml:space="preserve">DSPs </w:t>
      </w:r>
      <w:r w:rsidRPr="001E00EB">
        <w:rPr>
          <w:rFonts w:ascii="Arial" w:hAnsi="Arial" w:cs="Arial"/>
          <w:sz w:val="22"/>
          <w:szCs w:val="22"/>
        </w:rPr>
        <w:t>authorized to receive transfers of spirits from other plants and to ensure that the applicant has sufficient bond coverage for transfers of spirits on which tax has not been paid</w:t>
      </w:r>
      <w:r w:rsidR="00124ABE">
        <w:rPr>
          <w:rFonts w:ascii="Arial" w:hAnsi="Arial" w:cs="Arial"/>
          <w:sz w:val="22"/>
          <w:szCs w:val="22"/>
        </w:rPr>
        <w:t xml:space="preserve"> (or, for certain small entities, is exempt from bond requirements)</w:t>
      </w:r>
      <w:r w:rsidRPr="001E00EB">
        <w:rPr>
          <w:rFonts w:ascii="Arial" w:hAnsi="Arial" w:cs="Arial"/>
          <w:sz w:val="22"/>
          <w:szCs w:val="22"/>
        </w:rPr>
        <w:t>.</w:t>
      </w:r>
      <w:r w:rsidR="00124ABE">
        <w:rPr>
          <w:rFonts w:ascii="Arial" w:hAnsi="Arial" w:cs="Arial"/>
          <w:sz w:val="22"/>
          <w:szCs w:val="22"/>
        </w:rPr>
        <w:t xml:space="preserve"> </w:t>
      </w:r>
      <w:r w:rsidRPr="001E00EB">
        <w:rPr>
          <w:rFonts w:ascii="Arial" w:hAnsi="Arial" w:cs="Arial"/>
          <w:sz w:val="22"/>
          <w:szCs w:val="22"/>
        </w:rPr>
        <w:t xml:space="preserve"> </w:t>
      </w:r>
      <w:r w:rsidR="00124ABE">
        <w:rPr>
          <w:rFonts w:ascii="Arial" w:hAnsi="Arial" w:cs="Arial"/>
          <w:sz w:val="22"/>
          <w:szCs w:val="22"/>
        </w:rPr>
        <w:t xml:space="preserve">Currently, there is not regulatory exemption for this requirement for DSPs that are </w:t>
      </w:r>
      <w:r w:rsidR="000D7CAF">
        <w:rPr>
          <w:rFonts w:ascii="Arial" w:hAnsi="Arial" w:cs="Arial"/>
          <w:sz w:val="22"/>
          <w:szCs w:val="22"/>
        </w:rPr>
        <w:t>in the same control group, and e</w:t>
      </w:r>
      <w:r w:rsidRPr="001E00EB">
        <w:rPr>
          <w:rFonts w:ascii="Arial" w:hAnsi="Arial" w:cs="Arial"/>
          <w:sz w:val="22"/>
          <w:szCs w:val="22"/>
        </w:rPr>
        <w:t>limination of th</w:t>
      </w:r>
      <w:r w:rsidR="00124ABE">
        <w:rPr>
          <w:rFonts w:ascii="Arial" w:hAnsi="Arial" w:cs="Arial"/>
          <w:sz w:val="22"/>
          <w:szCs w:val="22"/>
        </w:rPr>
        <w:t>e</w:t>
      </w:r>
      <w:r w:rsidRPr="001E00EB">
        <w:rPr>
          <w:rFonts w:ascii="Arial" w:hAnsi="Arial" w:cs="Arial"/>
          <w:sz w:val="22"/>
          <w:szCs w:val="22"/>
        </w:rPr>
        <w:t xml:space="preserve"> </w:t>
      </w:r>
      <w:r w:rsidR="00124ABE">
        <w:rPr>
          <w:rFonts w:ascii="Arial" w:hAnsi="Arial" w:cs="Arial"/>
          <w:sz w:val="22"/>
          <w:szCs w:val="22"/>
        </w:rPr>
        <w:t xml:space="preserve">transfer application </w:t>
      </w:r>
      <w:r w:rsidRPr="001E00EB">
        <w:rPr>
          <w:rFonts w:ascii="Arial" w:hAnsi="Arial" w:cs="Arial"/>
          <w:sz w:val="22"/>
          <w:szCs w:val="22"/>
        </w:rPr>
        <w:t xml:space="preserve">requirement </w:t>
      </w:r>
      <w:r w:rsidR="000D7CAF">
        <w:rPr>
          <w:rFonts w:ascii="Arial" w:hAnsi="Arial" w:cs="Arial"/>
          <w:sz w:val="22"/>
          <w:szCs w:val="22"/>
        </w:rPr>
        <w:t xml:space="preserve">in such cases </w:t>
      </w:r>
      <w:r w:rsidRPr="001E00EB">
        <w:rPr>
          <w:rFonts w:ascii="Arial" w:hAnsi="Arial" w:cs="Arial"/>
          <w:sz w:val="22"/>
          <w:szCs w:val="22"/>
        </w:rPr>
        <w:t xml:space="preserve">would require </w:t>
      </w:r>
      <w:r w:rsidR="00124ABE">
        <w:rPr>
          <w:rFonts w:ascii="Arial" w:hAnsi="Arial" w:cs="Arial"/>
          <w:sz w:val="22"/>
          <w:szCs w:val="22"/>
        </w:rPr>
        <w:t xml:space="preserve">a </w:t>
      </w:r>
      <w:r w:rsidRPr="001E00EB">
        <w:rPr>
          <w:rFonts w:ascii="Arial" w:hAnsi="Arial" w:cs="Arial"/>
          <w:sz w:val="22"/>
          <w:szCs w:val="22"/>
        </w:rPr>
        <w:t xml:space="preserve">regulatory change. </w:t>
      </w:r>
      <w:r w:rsidR="00124ABE">
        <w:rPr>
          <w:rFonts w:ascii="Arial" w:hAnsi="Arial" w:cs="Arial"/>
          <w:sz w:val="22"/>
          <w:szCs w:val="22"/>
        </w:rPr>
        <w:t xml:space="preserve"> TTB notes that i</w:t>
      </w:r>
      <w:r w:rsidRPr="001E00EB">
        <w:rPr>
          <w:rFonts w:ascii="Arial" w:hAnsi="Arial" w:cs="Arial"/>
          <w:sz w:val="22"/>
          <w:szCs w:val="22"/>
        </w:rPr>
        <w:t xml:space="preserve">nterested parties may submit petitions for rulemaking </w:t>
      </w:r>
      <w:r w:rsidR="00124ABE">
        <w:rPr>
          <w:rFonts w:ascii="Arial" w:hAnsi="Arial" w:cs="Arial"/>
          <w:sz w:val="22"/>
          <w:szCs w:val="22"/>
        </w:rPr>
        <w:t xml:space="preserve">to TTB </w:t>
      </w:r>
      <w:r w:rsidRPr="001E00EB">
        <w:rPr>
          <w:rFonts w:ascii="Arial" w:hAnsi="Arial" w:cs="Arial"/>
          <w:sz w:val="22"/>
          <w:szCs w:val="22"/>
        </w:rPr>
        <w:t xml:space="preserve">under </w:t>
      </w:r>
      <w:r w:rsidR="00124ABE">
        <w:rPr>
          <w:rFonts w:ascii="Arial" w:hAnsi="Arial" w:cs="Arial"/>
          <w:sz w:val="22"/>
          <w:szCs w:val="22"/>
        </w:rPr>
        <w:t xml:space="preserve">the provisions of the TTB regulations at </w:t>
      </w:r>
      <w:r w:rsidRPr="001E00EB">
        <w:rPr>
          <w:rFonts w:ascii="Arial" w:hAnsi="Arial" w:cs="Arial"/>
          <w:sz w:val="22"/>
          <w:szCs w:val="22"/>
        </w:rPr>
        <w:t>27 CFR 70.701(c).</w:t>
      </w:r>
      <w:r w:rsidR="00124ABE">
        <w:rPr>
          <w:rFonts w:ascii="Arial" w:hAnsi="Arial" w:cs="Arial"/>
          <w:sz w:val="22"/>
          <w:szCs w:val="22"/>
        </w:rPr>
        <w:t xml:space="preserv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77777777"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5178CFD9" w14:textId="6B55B1ED" w:rsidR="00124ABE" w:rsidRDefault="00124ABE">
      <w:pPr>
        <w:ind w:left="360"/>
        <w:rPr>
          <w:rFonts w:ascii="Arial" w:hAnsi="Arial" w:cs="Arial"/>
          <w:sz w:val="22"/>
          <w:szCs w:val="22"/>
        </w:rPr>
      </w:pPr>
      <w:r w:rsidRPr="00124ABE">
        <w:rPr>
          <w:rFonts w:ascii="Arial" w:hAnsi="Arial" w:cs="Arial"/>
          <w:sz w:val="22"/>
          <w:szCs w:val="22"/>
        </w:rPr>
        <w:t>No specific assurance of confidentiality is provided for this information collect</w:t>
      </w:r>
      <w:r w:rsidR="00877CA8">
        <w:rPr>
          <w:rFonts w:ascii="Arial" w:hAnsi="Arial" w:cs="Arial"/>
          <w:sz w:val="22"/>
          <w:szCs w:val="22"/>
        </w:rPr>
        <w:t>ion.  However, Federal law at 5 </w:t>
      </w:r>
      <w:r w:rsidRPr="00124ABE">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these records in secure file rooms and computer systems with controlled access, as appropriate.</w:t>
      </w:r>
      <w:r w:rsidR="00877CA8">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77777777"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196B5951" w14:textId="77777777" w:rsidR="00877CA8" w:rsidRPr="00627C95" w:rsidRDefault="00877CA8" w:rsidP="00877CA8">
      <w:pPr>
        <w:widowControl w:val="0"/>
        <w:suppressAutoHyphens/>
        <w:autoSpaceDE w:val="0"/>
        <w:autoSpaceDN w:val="0"/>
        <w:adjustRightInd w:val="0"/>
        <w:ind w:left="360"/>
        <w:rPr>
          <w:rFonts w:ascii="Arial" w:hAnsi="Arial" w:cs="Arial"/>
          <w:sz w:val="22"/>
          <w:szCs w:val="22"/>
        </w:rPr>
      </w:pPr>
      <w:r w:rsidRPr="00627C95">
        <w:rPr>
          <w:rFonts w:ascii="Arial" w:hAnsi="Arial" w:cs="Arial"/>
          <w:sz w:val="22"/>
          <w:szCs w:val="22"/>
        </w:rPr>
        <w:t>This information collection contains no questions of a sensitive nature.  In addition, this information collection does not collect personally identifiable information (PII)</w:t>
      </w:r>
      <w:r>
        <w:rPr>
          <w:rFonts w:ascii="Arial" w:hAnsi="Arial" w:cs="Arial"/>
          <w:sz w:val="22"/>
          <w:szCs w:val="22"/>
        </w:rPr>
        <w:t xml:space="preserve">.  </w:t>
      </w:r>
      <w:r w:rsidRPr="00627C95">
        <w:rPr>
          <w:rFonts w:ascii="Arial" w:hAnsi="Arial" w:cs="Arial"/>
          <w:sz w:val="22"/>
          <w:szCs w:val="22"/>
        </w:rPr>
        <w:t xml:space="preserve">Therefore, no Privacy Impact Assessment (PIA) or System of Records Notice (SORN) is required for this collection. </w:t>
      </w:r>
    </w:p>
    <w:p w14:paraId="4B07901D" w14:textId="77777777" w:rsidR="00A201BF" w:rsidRPr="00D460BA" w:rsidRDefault="00A201BF">
      <w:pPr>
        <w:suppressAutoHyphens/>
        <w:rPr>
          <w:rFonts w:ascii="Arial" w:hAnsi="Arial" w:cs="Arial"/>
          <w:sz w:val="36"/>
          <w:szCs w:val="36"/>
        </w:rPr>
      </w:pPr>
    </w:p>
    <w:p w14:paraId="7C308AFD" w14:textId="335338F8" w:rsidR="00AF1157" w:rsidRPr="00F85483" w:rsidRDefault="00AF060A" w:rsidP="00F85483">
      <w:pPr>
        <w:rPr>
          <w:rFonts w:ascii="Arial" w:hAnsi="Arial" w:cs="Arial"/>
          <w:i/>
          <w:sz w:val="22"/>
          <w:szCs w:val="22"/>
        </w:rPr>
      </w:pPr>
      <w:r w:rsidRPr="00D460BA">
        <w:rPr>
          <w:rFonts w:ascii="Arial" w:hAnsi="Arial" w:cs="Arial"/>
          <w:i/>
          <w:sz w:val="22"/>
          <w:szCs w:val="22"/>
        </w:rPr>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5A783ABF" w14:textId="08A5B481" w:rsidR="001A0B50" w:rsidRDefault="001A0B50" w:rsidP="00F85483">
      <w:pPr>
        <w:suppressAutoHyphens/>
        <w:spacing w:line="240" w:lineRule="atLeast"/>
        <w:ind w:left="360"/>
        <w:rPr>
          <w:rFonts w:ascii="Arial" w:hAnsi="Arial" w:cs="Arial"/>
          <w:sz w:val="22"/>
          <w:szCs w:val="22"/>
        </w:rPr>
      </w:pPr>
      <w:r>
        <w:rPr>
          <w:rFonts w:ascii="Arial" w:hAnsi="Arial" w:cs="Arial"/>
          <w:sz w:val="22"/>
          <w:szCs w:val="22"/>
        </w:rPr>
        <w:t>Based on recent experience, TTB estimates that 250 respondents complete six TTB F 5110.16 forms per year, for a total of 1,500 annual responses.  TTB estimates that each response takes an average of 0.15 hours (9 minutes) to complete, for an estimated total annual burden of 228 hours.  This is unchanged from our last submission for this information collection</w:t>
      </w:r>
      <w:r w:rsidR="00A245F0">
        <w:rPr>
          <w:rFonts w:ascii="Arial" w:hAnsi="Arial" w:cs="Arial"/>
          <w:sz w:val="22"/>
          <w:szCs w:val="22"/>
        </w:rPr>
        <w:t>.</w:t>
      </w:r>
      <w:r>
        <w:rPr>
          <w:rFonts w:ascii="Arial" w:hAnsi="Arial" w:cs="Arial"/>
          <w:sz w:val="22"/>
          <w:szCs w:val="22"/>
        </w:rPr>
        <w:t xml:space="preserve"> </w:t>
      </w:r>
    </w:p>
    <w:p w14:paraId="51729A83" w14:textId="77777777" w:rsidR="001A0B50" w:rsidRDefault="001A0B50" w:rsidP="00F85483">
      <w:pPr>
        <w:suppressAutoHyphens/>
        <w:spacing w:line="240" w:lineRule="atLeast"/>
        <w:ind w:left="360"/>
        <w:rPr>
          <w:rFonts w:ascii="Arial" w:hAnsi="Arial" w:cs="Arial"/>
          <w:sz w:val="22"/>
          <w:szCs w:val="22"/>
        </w:rPr>
      </w:pPr>
    </w:p>
    <w:p w14:paraId="47D58ABC" w14:textId="5FA279E4" w:rsidR="00A245F0" w:rsidRDefault="00A245F0" w:rsidP="00A245F0">
      <w:pPr>
        <w:suppressAutoHyphens/>
        <w:spacing w:line="240" w:lineRule="atLeast"/>
        <w:ind w:left="360"/>
        <w:rPr>
          <w:rFonts w:ascii="Arial" w:hAnsi="Arial" w:cs="Arial"/>
          <w:sz w:val="22"/>
          <w:szCs w:val="22"/>
        </w:rPr>
      </w:pPr>
      <w:r>
        <w:rPr>
          <w:rFonts w:ascii="Arial" w:hAnsi="Arial" w:cs="Arial"/>
          <w:sz w:val="22"/>
          <w:szCs w:val="22"/>
        </w:rPr>
        <w:t xml:space="preserve">The specific burden estimates for the two methods of submitting TTB F 5110.16 are as follows: </w:t>
      </w:r>
    </w:p>
    <w:p w14:paraId="349E675C" w14:textId="580A6ECF" w:rsidR="001A0B50" w:rsidRDefault="001A0B50" w:rsidP="00F85483">
      <w:pPr>
        <w:suppressAutoHyphens/>
        <w:spacing w:line="240" w:lineRule="atLeast"/>
        <w:ind w:left="360"/>
        <w:rPr>
          <w:rFonts w:ascii="Arial" w:hAnsi="Arial" w:cs="Arial"/>
          <w:sz w:val="22"/>
          <w:szCs w:val="22"/>
        </w:rPr>
      </w:pP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642"/>
        <w:gridCol w:w="1548"/>
        <w:gridCol w:w="1370"/>
        <w:gridCol w:w="1260"/>
        <w:gridCol w:w="1360"/>
      </w:tblGrid>
      <w:tr w:rsidR="001A0B50" w:rsidRPr="001A0B50" w14:paraId="201D6290" w14:textId="77777777" w:rsidTr="00A245F0">
        <w:trPr>
          <w:trHeight w:val="576"/>
          <w:jc w:val="center"/>
        </w:trPr>
        <w:tc>
          <w:tcPr>
            <w:tcW w:w="1555" w:type="dxa"/>
            <w:tcMar>
              <w:left w:w="43" w:type="dxa"/>
              <w:right w:w="43" w:type="dxa"/>
            </w:tcMar>
            <w:vAlign w:val="center"/>
          </w:tcPr>
          <w:p w14:paraId="7BC99CBF" w14:textId="69F93390" w:rsidR="001A0B50" w:rsidRPr="001A0B50" w:rsidRDefault="00A245F0" w:rsidP="00A245F0">
            <w:pPr>
              <w:suppressAutoHyphens/>
              <w:spacing w:line="240" w:lineRule="atLeast"/>
              <w:jc w:val="center"/>
              <w:rPr>
                <w:rFonts w:ascii="Arial" w:hAnsi="Arial" w:cs="Arial"/>
                <w:sz w:val="22"/>
                <w:szCs w:val="22"/>
              </w:rPr>
            </w:pPr>
            <w:r>
              <w:rPr>
                <w:rFonts w:ascii="Arial" w:hAnsi="Arial" w:cs="Arial"/>
                <w:sz w:val="22"/>
                <w:szCs w:val="22"/>
              </w:rPr>
              <w:t>TTB F 5110.16 Submitted Via</w:t>
            </w:r>
          </w:p>
        </w:tc>
        <w:tc>
          <w:tcPr>
            <w:tcW w:w="1642" w:type="dxa"/>
            <w:tcMar>
              <w:left w:w="43" w:type="dxa"/>
              <w:right w:w="43" w:type="dxa"/>
            </w:tcMar>
            <w:vAlign w:val="center"/>
            <w:hideMark/>
          </w:tcPr>
          <w:p w14:paraId="008F3A49" w14:textId="1F32764C"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Respondents</w:t>
            </w:r>
          </w:p>
        </w:tc>
        <w:tc>
          <w:tcPr>
            <w:tcW w:w="1548" w:type="dxa"/>
            <w:tcMar>
              <w:left w:w="43" w:type="dxa"/>
              <w:right w:w="43" w:type="dxa"/>
            </w:tcMar>
            <w:vAlign w:val="center"/>
            <w:hideMark/>
          </w:tcPr>
          <w:p w14:paraId="64C2B117" w14:textId="77777777" w:rsidR="00A245F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Responses</w:t>
            </w:r>
            <w:r w:rsidR="00A245F0">
              <w:rPr>
                <w:rFonts w:ascii="Arial" w:hAnsi="Arial" w:cs="Arial"/>
                <w:sz w:val="22"/>
                <w:szCs w:val="22"/>
              </w:rPr>
              <w:t>/</w:t>
            </w:r>
          </w:p>
          <w:p w14:paraId="11BBAF68" w14:textId="1C10BBE4"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Respondent</w:t>
            </w:r>
          </w:p>
        </w:tc>
        <w:tc>
          <w:tcPr>
            <w:tcW w:w="1370" w:type="dxa"/>
            <w:tcMar>
              <w:left w:w="43" w:type="dxa"/>
              <w:right w:w="43" w:type="dxa"/>
            </w:tcMar>
            <w:vAlign w:val="center"/>
            <w:hideMark/>
          </w:tcPr>
          <w:p w14:paraId="6844D4B0"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Annual Responses</w:t>
            </w:r>
          </w:p>
        </w:tc>
        <w:tc>
          <w:tcPr>
            <w:tcW w:w="1260" w:type="dxa"/>
            <w:tcMar>
              <w:left w:w="43" w:type="dxa"/>
              <w:right w:w="43" w:type="dxa"/>
            </w:tcMar>
            <w:vAlign w:val="center"/>
            <w:hideMark/>
          </w:tcPr>
          <w:p w14:paraId="33A05A36" w14:textId="4C298220"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Hours</w:t>
            </w:r>
            <w:r w:rsidR="00A245F0">
              <w:rPr>
                <w:rFonts w:ascii="Arial" w:hAnsi="Arial" w:cs="Arial"/>
                <w:sz w:val="22"/>
                <w:szCs w:val="22"/>
              </w:rPr>
              <w:t>/</w:t>
            </w:r>
            <w:r w:rsidRPr="001A0B50">
              <w:rPr>
                <w:rFonts w:ascii="Arial" w:hAnsi="Arial" w:cs="Arial"/>
                <w:sz w:val="22"/>
                <w:szCs w:val="22"/>
              </w:rPr>
              <w:t xml:space="preserve"> Response</w:t>
            </w:r>
          </w:p>
        </w:tc>
        <w:tc>
          <w:tcPr>
            <w:tcW w:w="1360" w:type="dxa"/>
            <w:tcMar>
              <w:left w:w="43" w:type="dxa"/>
              <w:right w:w="43" w:type="dxa"/>
            </w:tcMar>
            <w:vAlign w:val="center"/>
            <w:hideMark/>
          </w:tcPr>
          <w:p w14:paraId="29B1ABED" w14:textId="502DBC35"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Total Burden</w:t>
            </w:r>
            <w:r w:rsidR="00A245F0">
              <w:rPr>
                <w:rFonts w:ascii="Arial" w:hAnsi="Arial" w:cs="Arial"/>
                <w:sz w:val="22"/>
                <w:szCs w:val="22"/>
              </w:rPr>
              <w:t xml:space="preserve"> Hours</w:t>
            </w:r>
          </w:p>
        </w:tc>
      </w:tr>
      <w:tr w:rsidR="001A0B50" w:rsidRPr="001A0B50" w14:paraId="485BB829" w14:textId="77777777" w:rsidTr="00A245F0">
        <w:trPr>
          <w:trHeight w:val="576"/>
          <w:jc w:val="center"/>
        </w:trPr>
        <w:tc>
          <w:tcPr>
            <w:tcW w:w="1555" w:type="dxa"/>
            <w:tcMar>
              <w:left w:w="43" w:type="dxa"/>
              <w:right w:w="43" w:type="dxa"/>
            </w:tcMar>
            <w:vAlign w:val="center"/>
            <w:hideMark/>
          </w:tcPr>
          <w:p w14:paraId="225B0262" w14:textId="696BDC8E"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P</w:t>
            </w:r>
            <w:r w:rsidR="00A245F0">
              <w:rPr>
                <w:rFonts w:ascii="Arial" w:hAnsi="Arial" w:cs="Arial"/>
                <w:sz w:val="22"/>
                <w:szCs w:val="22"/>
              </w:rPr>
              <w:t>aper</w:t>
            </w:r>
            <w:r w:rsidRPr="001A0B50">
              <w:rPr>
                <w:rFonts w:ascii="Arial" w:hAnsi="Arial" w:cs="Arial"/>
                <w:sz w:val="22"/>
                <w:szCs w:val="22"/>
              </w:rPr>
              <w:t xml:space="preserve"> </w:t>
            </w:r>
          </w:p>
        </w:tc>
        <w:tc>
          <w:tcPr>
            <w:tcW w:w="1642" w:type="dxa"/>
            <w:noWrap/>
            <w:tcMar>
              <w:left w:w="43" w:type="dxa"/>
              <w:right w:w="43" w:type="dxa"/>
            </w:tcMar>
            <w:vAlign w:val="center"/>
            <w:hideMark/>
          </w:tcPr>
          <w:p w14:paraId="18773BCD"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130</w:t>
            </w:r>
          </w:p>
        </w:tc>
        <w:tc>
          <w:tcPr>
            <w:tcW w:w="1548" w:type="dxa"/>
            <w:noWrap/>
            <w:tcMar>
              <w:left w:w="43" w:type="dxa"/>
              <w:right w:w="43" w:type="dxa"/>
            </w:tcMar>
            <w:vAlign w:val="center"/>
            <w:hideMark/>
          </w:tcPr>
          <w:p w14:paraId="313DE4EA"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6</w:t>
            </w:r>
          </w:p>
        </w:tc>
        <w:tc>
          <w:tcPr>
            <w:tcW w:w="1370" w:type="dxa"/>
            <w:noWrap/>
            <w:tcMar>
              <w:left w:w="43" w:type="dxa"/>
              <w:right w:w="43" w:type="dxa"/>
            </w:tcMar>
            <w:vAlign w:val="center"/>
            <w:hideMark/>
          </w:tcPr>
          <w:p w14:paraId="2E83BCC0"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780</w:t>
            </w:r>
          </w:p>
        </w:tc>
        <w:tc>
          <w:tcPr>
            <w:tcW w:w="1260" w:type="dxa"/>
            <w:noWrap/>
            <w:tcMar>
              <w:left w:w="43" w:type="dxa"/>
              <w:right w:w="43" w:type="dxa"/>
            </w:tcMar>
            <w:vAlign w:val="center"/>
            <w:hideMark/>
          </w:tcPr>
          <w:p w14:paraId="0EECE021" w14:textId="6F71E561" w:rsidR="001A0B50" w:rsidRPr="001A0B50" w:rsidRDefault="00A245F0" w:rsidP="00A245F0">
            <w:pPr>
              <w:suppressAutoHyphens/>
              <w:spacing w:line="240" w:lineRule="atLeast"/>
              <w:jc w:val="center"/>
              <w:rPr>
                <w:rFonts w:ascii="Arial" w:hAnsi="Arial" w:cs="Arial"/>
                <w:sz w:val="22"/>
                <w:szCs w:val="22"/>
              </w:rPr>
            </w:pPr>
            <w:r>
              <w:rPr>
                <w:rFonts w:ascii="Arial" w:hAnsi="Arial" w:cs="Arial"/>
                <w:sz w:val="22"/>
                <w:szCs w:val="22"/>
              </w:rPr>
              <w:t>0</w:t>
            </w:r>
            <w:r w:rsidR="001A0B50" w:rsidRPr="001A0B50">
              <w:rPr>
                <w:rFonts w:ascii="Arial" w:hAnsi="Arial" w:cs="Arial"/>
                <w:sz w:val="22"/>
                <w:szCs w:val="22"/>
              </w:rPr>
              <w:t>.2</w:t>
            </w:r>
          </w:p>
        </w:tc>
        <w:tc>
          <w:tcPr>
            <w:tcW w:w="1360" w:type="dxa"/>
            <w:noWrap/>
            <w:tcMar>
              <w:left w:w="43" w:type="dxa"/>
              <w:right w:w="43" w:type="dxa"/>
            </w:tcMar>
            <w:vAlign w:val="center"/>
            <w:hideMark/>
          </w:tcPr>
          <w:p w14:paraId="305F0551"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156</w:t>
            </w:r>
          </w:p>
        </w:tc>
      </w:tr>
      <w:tr w:rsidR="001A0B50" w:rsidRPr="001A0B50" w14:paraId="1992FEEC" w14:textId="77777777" w:rsidTr="00A245F0">
        <w:trPr>
          <w:trHeight w:val="576"/>
          <w:jc w:val="center"/>
        </w:trPr>
        <w:tc>
          <w:tcPr>
            <w:tcW w:w="1555" w:type="dxa"/>
            <w:tcMar>
              <w:left w:w="43" w:type="dxa"/>
              <w:right w:w="43" w:type="dxa"/>
            </w:tcMar>
            <w:vAlign w:val="center"/>
            <w:hideMark/>
          </w:tcPr>
          <w:p w14:paraId="01B4DE88"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PONL</w:t>
            </w:r>
          </w:p>
        </w:tc>
        <w:tc>
          <w:tcPr>
            <w:tcW w:w="1642" w:type="dxa"/>
            <w:noWrap/>
            <w:tcMar>
              <w:left w:w="43" w:type="dxa"/>
              <w:right w:w="43" w:type="dxa"/>
            </w:tcMar>
            <w:vAlign w:val="center"/>
            <w:hideMark/>
          </w:tcPr>
          <w:p w14:paraId="12C9AE86"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120</w:t>
            </w:r>
          </w:p>
        </w:tc>
        <w:tc>
          <w:tcPr>
            <w:tcW w:w="1548" w:type="dxa"/>
            <w:noWrap/>
            <w:tcMar>
              <w:left w:w="43" w:type="dxa"/>
              <w:right w:w="43" w:type="dxa"/>
            </w:tcMar>
            <w:vAlign w:val="center"/>
            <w:hideMark/>
          </w:tcPr>
          <w:p w14:paraId="5E38F71D"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6</w:t>
            </w:r>
          </w:p>
        </w:tc>
        <w:tc>
          <w:tcPr>
            <w:tcW w:w="1370" w:type="dxa"/>
            <w:noWrap/>
            <w:tcMar>
              <w:left w:w="43" w:type="dxa"/>
              <w:right w:w="43" w:type="dxa"/>
            </w:tcMar>
            <w:vAlign w:val="center"/>
            <w:hideMark/>
          </w:tcPr>
          <w:p w14:paraId="4A6CF95D"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720</w:t>
            </w:r>
          </w:p>
        </w:tc>
        <w:tc>
          <w:tcPr>
            <w:tcW w:w="1260" w:type="dxa"/>
            <w:noWrap/>
            <w:tcMar>
              <w:left w:w="43" w:type="dxa"/>
              <w:right w:w="43" w:type="dxa"/>
            </w:tcMar>
            <w:vAlign w:val="center"/>
            <w:hideMark/>
          </w:tcPr>
          <w:p w14:paraId="51A738DB" w14:textId="7F79BFAF" w:rsidR="001A0B50" w:rsidRPr="001A0B50" w:rsidRDefault="00A245F0" w:rsidP="00A245F0">
            <w:pPr>
              <w:suppressAutoHyphens/>
              <w:spacing w:line="240" w:lineRule="atLeast"/>
              <w:jc w:val="center"/>
              <w:rPr>
                <w:rFonts w:ascii="Arial" w:hAnsi="Arial" w:cs="Arial"/>
                <w:sz w:val="22"/>
                <w:szCs w:val="22"/>
              </w:rPr>
            </w:pPr>
            <w:r>
              <w:rPr>
                <w:rFonts w:ascii="Arial" w:hAnsi="Arial" w:cs="Arial"/>
                <w:sz w:val="22"/>
                <w:szCs w:val="22"/>
              </w:rPr>
              <w:t>0</w:t>
            </w:r>
            <w:r w:rsidR="001A0B50" w:rsidRPr="001A0B50">
              <w:rPr>
                <w:rFonts w:ascii="Arial" w:hAnsi="Arial" w:cs="Arial"/>
                <w:sz w:val="22"/>
                <w:szCs w:val="22"/>
              </w:rPr>
              <w:t>.1</w:t>
            </w:r>
          </w:p>
        </w:tc>
        <w:tc>
          <w:tcPr>
            <w:tcW w:w="1360" w:type="dxa"/>
            <w:noWrap/>
            <w:tcMar>
              <w:left w:w="43" w:type="dxa"/>
              <w:right w:w="43" w:type="dxa"/>
            </w:tcMar>
            <w:vAlign w:val="center"/>
            <w:hideMark/>
          </w:tcPr>
          <w:p w14:paraId="173CFBC2"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72</w:t>
            </w:r>
          </w:p>
        </w:tc>
      </w:tr>
      <w:tr w:rsidR="001A0B50" w:rsidRPr="001A0B50" w14:paraId="59BA6831" w14:textId="77777777" w:rsidTr="00A245F0">
        <w:trPr>
          <w:trHeight w:val="576"/>
          <w:jc w:val="center"/>
        </w:trPr>
        <w:tc>
          <w:tcPr>
            <w:tcW w:w="1555" w:type="dxa"/>
            <w:tcMar>
              <w:left w:w="43" w:type="dxa"/>
              <w:right w:w="43" w:type="dxa"/>
            </w:tcMar>
            <w:vAlign w:val="center"/>
            <w:hideMark/>
          </w:tcPr>
          <w:p w14:paraId="374A551D"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Totals</w:t>
            </w:r>
          </w:p>
        </w:tc>
        <w:tc>
          <w:tcPr>
            <w:tcW w:w="1642" w:type="dxa"/>
            <w:noWrap/>
            <w:tcMar>
              <w:left w:w="43" w:type="dxa"/>
              <w:right w:w="43" w:type="dxa"/>
            </w:tcMar>
            <w:vAlign w:val="center"/>
            <w:hideMark/>
          </w:tcPr>
          <w:p w14:paraId="39B007E9"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250</w:t>
            </w:r>
          </w:p>
        </w:tc>
        <w:tc>
          <w:tcPr>
            <w:tcW w:w="1548" w:type="dxa"/>
            <w:noWrap/>
            <w:tcMar>
              <w:left w:w="43" w:type="dxa"/>
              <w:right w:w="43" w:type="dxa"/>
            </w:tcMar>
            <w:vAlign w:val="center"/>
            <w:hideMark/>
          </w:tcPr>
          <w:p w14:paraId="312C4F56"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6</w:t>
            </w:r>
          </w:p>
        </w:tc>
        <w:tc>
          <w:tcPr>
            <w:tcW w:w="1370" w:type="dxa"/>
            <w:noWrap/>
            <w:tcMar>
              <w:left w:w="43" w:type="dxa"/>
              <w:right w:w="43" w:type="dxa"/>
            </w:tcMar>
            <w:vAlign w:val="center"/>
            <w:hideMark/>
          </w:tcPr>
          <w:p w14:paraId="0BEC59FB"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1,500</w:t>
            </w:r>
          </w:p>
        </w:tc>
        <w:tc>
          <w:tcPr>
            <w:tcW w:w="1260" w:type="dxa"/>
            <w:noWrap/>
            <w:tcMar>
              <w:left w:w="43" w:type="dxa"/>
              <w:right w:w="43" w:type="dxa"/>
            </w:tcMar>
            <w:vAlign w:val="center"/>
            <w:hideMark/>
          </w:tcPr>
          <w:p w14:paraId="0544AD75" w14:textId="042B88BA" w:rsidR="001A0B50" w:rsidRPr="001A0B50" w:rsidRDefault="00BC466F" w:rsidP="00A245F0">
            <w:pPr>
              <w:suppressAutoHyphens/>
              <w:spacing w:line="240" w:lineRule="atLeast"/>
              <w:jc w:val="center"/>
              <w:rPr>
                <w:rFonts w:ascii="Arial" w:hAnsi="Arial" w:cs="Arial"/>
                <w:b/>
                <w:sz w:val="22"/>
                <w:szCs w:val="22"/>
              </w:rPr>
            </w:pPr>
            <w:r>
              <w:rPr>
                <w:rFonts w:ascii="Arial" w:hAnsi="Arial" w:cs="Arial"/>
                <w:b/>
                <w:sz w:val="22"/>
                <w:szCs w:val="22"/>
              </w:rPr>
              <w:t>(</w:t>
            </w:r>
            <w:r w:rsidR="001A0B50" w:rsidRPr="001A0B50">
              <w:rPr>
                <w:rFonts w:ascii="Arial" w:hAnsi="Arial" w:cs="Arial"/>
                <w:b/>
                <w:sz w:val="22"/>
                <w:szCs w:val="22"/>
              </w:rPr>
              <w:t>0.15</w:t>
            </w:r>
            <w:r>
              <w:rPr>
                <w:rFonts w:ascii="Arial" w:hAnsi="Arial" w:cs="Arial"/>
                <w:b/>
                <w:sz w:val="22"/>
                <w:szCs w:val="22"/>
              </w:rPr>
              <w:t>2)</w:t>
            </w:r>
          </w:p>
        </w:tc>
        <w:tc>
          <w:tcPr>
            <w:tcW w:w="1360" w:type="dxa"/>
            <w:noWrap/>
            <w:tcMar>
              <w:left w:w="43" w:type="dxa"/>
              <w:right w:w="43" w:type="dxa"/>
            </w:tcMar>
            <w:vAlign w:val="center"/>
            <w:hideMark/>
          </w:tcPr>
          <w:p w14:paraId="36BF089E"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228</w:t>
            </w:r>
          </w:p>
        </w:tc>
      </w:tr>
    </w:tbl>
    <w:p w14:paraId="5F3C14FD" w14:textId="77777777" w:rsidR="001A0B50" w:rsidRPr="001A0B50" w:rsidRDefault="001A0B50" w:rsidP="001A0B50">
      <w:pPr>
        <w:suppressAutoHyphens/>
        <w:spacing w:line="240" w:lineRule="atLeast"/>
        <w:ind w:left="360"/>
        <w:rPr>
          <w:rFonts w:ascii="Arial" w:hAnsi="Arial" w:cs="Arial"/>
          <w:sz w:val="22"/>
          <w:szCs w:val="22"/>
        </w:rPr>
      </w:pP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0982985D" w:rsidR="000E68C5" w:rsidRPr="000E68C5" w:rsidRDefault="000E68C5" w:rsidP="000E68C5">
      <w:pPr>
        <w:suppressAutoHyphens/>
        <w:ind w:left="360"/>
        <w:rPr>
          <w:rFonts w:ascii="Arial" w:hAnsi="Arial" w:cs="Arial"/>
          <w:sz w:val="22"/>
          <w:szCs w:val="22"/>
        </w:rPr>
      </w:pPr>
      <w:r w:rsidRPr="000E68C5">
        <w:rPr>
          <w:rFonts w:ascii="Arial" w:hAnsi="Arial" w:cs="Arial"/>
          <w:sz w:val="22"/>
          <w:szCs w:val="22"/>
        </w:rPr>
        <w:t xml:space="preserve">We do not believe </w:t>
      </w:r>
      <w:r w:rsidR="00F85483">
        <w:rPr>
          <w:rFonts w:ascii="Arial" w:hAnsi="Arial" w:cs="Arial"/>
          <w:sz w:val="22"/>
          <w:szCs w:val="22"/>
        </w:rPr>
        <w:t xml:space="preserve">respondents </w:t>
      </w:r>
      <w:r w:rsidRPr="000E68C5">
        <w:rPr>
          <w:rFonts w:ascii="Arial" w:hAnsi="Arial" w:cs="Arial"/>
          <w:sz w:val="22"/>
          <w:szCs w:val="22"/>
        </w:rPr>
        <w:t>bear any additional capital or start-up costs or any</w:t>
      </w:r>
      <w:r>
        <w:rPr>
          <w:rFonts w:ascii="Arial" w:hAnsi="Arial" w:cs="Arial"/>
          <w:sz w:val="22"/>
          <w:szCs w:val="22"/>
        </w:rPr>
        <w:t xml:space="preserve"> </w:t>
      </w:r>
      <w:r w:rsidRPr="000E68C5">
        <w:rPr>
          <w:rFonts w:ascii="Arial" w:hAnsi="Arial" w:cs="Arial"/>
          <w:sz w:val="22"/>
          <w:szCs w:val="22"/>
        </w:rPr>
        <w:t xml:space="preserve">increased operation or maintenance costs as a result of this </w:t>
      </w:r>
      <w:r w:rsidR="00F85483">
        <w:rPr>
          <w:rFonts w:ascii="Arial" w:hAnsi="Arial" w:cs="Arial"/>
          <w:sz w:val="22"/>
          <w:szCs w:val="22"/>
        </w:rPr>
        <w:t xml:space="preserve">information collection </w:t>
      </w:r>
      <w:r w:rsidRPr="000E68C5">
        <w:rPr>
          <w:rFonts w:ascii="Arial" w:hAnsi="Arial" w:cs="Arial"/>
          <w:sz w:val="22"/>
          <w:szCs w:val="22"/>
        </w:rPr>
        <w:t>requirement.</w:t>
      </w:r>
      <w:r>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636B84A3" w14:textId="53E1CAF6" w:rsidR="00D6325C" w:rsidRDefault="00AF1157" w:rsidP="004806AE">
      <w:pPr>
        <w:ind w:left="360"/>
        <w:rPr>
          <w:rFonts w:ascii="Arial" w:hAnsi="Arial" w:cs="Arial"/>
          <w:sz w:val="22"/>
          <w:szCs w:val="22"/>
        </w:rPr>
      </w:pPr>
      <w:r w:rsidRPr="0069718A">
        <w:rPr>
          <w:rFonts w:ascii="Arial" w:hAnsi="Arial" w:cs="Arial"/>
          <w:sz w:val="22"/>
          <w:szCs w:val="22"/>
        </w:rPr>
        <w:t xml:space="preserve">Estimates of </w:t>
      </w:r>
      <w:r w:rsidR="00BC466F">
        <w:rPr>
          <w:rFonts w:ascii="Arial" w:hAnsi="Arial" w:cs="Arial"/>
          <w:sz w:val="22"/>
          <w:szCs w:val="22"/>
        </w:rPr>
        <w:t xml:space="preserve">the </w:t>
      </w:r>
      <w:r w:rsidRPr="0069718A">
        <w:rPr>
          <w:rFonts w:ascii="Arial" w:hAnsi="Arial" w:cs="Arial"/>
          <w:sz w:val="22"/>
          <w:szCs w:val="22"/>
        </w:rPr>
        <w:t xml:space="preserve">annual cost to the Federal Government </w:t>
      </w:r>
      <w:r w:rsidR="00BC466F">
        <w:rPr>
          <w:rFonts w:ascii="Arial" w:hAnsi="Arial" w:cs="Arial"/>
          <w:sz w:val="22"/>
          <w:szCs w:val="22"/>
        </w:rPr>
        <w:t xml:space="preserve">for this information collection </w:t>
      </w:r>
      <w:r w:rsidRPr="0069718A">
        <w:rPr>
          <w:rFonts w:ascii="Arial" w:hAnsi="Arial" w:cs="Arial"/>
          <w:sz w:val="22"/>
          <w:szCs w:val="22"/>
        </w:rPr>
        <w:t>are</w:t>
      </w:r>
      <w:r w:rsidR="00BC466F">
        <w:rPr>
          <w:rFonts w:ascii="Arial" w:hAnsi="Arial" w:cs="Arial"/>
          <w:sz w:val="22"/>
          <w:szCs w:val="22"/>
        </w:rPr>
        <w:t xml:space="preserve"> $7,500 for clerical activities.  </w:t>
      </w:r>
      <w:r w:rsidR="00D6325C"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00D6325C"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00D6325C"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hyperlink r:id="rId13" w:history="1">
        <w:r w:rsidR="00F85483" w:rsidRPr="00C205A0">
          <w:rPr>
            <w:rStyle w:val="Hyperlink"/>
            <w:rFonts w:ascii="Arial" w:hAnsi="Arial" w:cs="Arial"/>
            <w:sz w:val="22"/>
            <w:szCs w:val="22"/>
          </w:rPr>
          <w:t>http://www.ttb.gov/forms/index.shtml</w:t>
        </w:r>
      </w:hyperlink>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25192801" w14:textId="77777777" w:rsidR="00BC466F" w:rsidRDefault="00BC466F">
      <w:pPr>
        <w:rPr>
          <w:rFonts w:ascii="Arial" w:hAnsi="Arial" w:cs="Arial"/>
          <w:i/>
          <w:sz w:val="22"/>
          <w:szCs w:val="22"/>
        </w:rPr>
      </w:pPr>
      <w:r>
        <w:rPr>
          <w:rFonts w:ascii="Arial" w:hAnsi="Arial" w:cs="Arial"/>
          <w:i/>
          <w:sz w:val="22"/>
          <w:szCs w:val="22"/>
        </w:rPr>
        <w:br w:type="page"/>
      </w:r>
    </w:p>
    <w:p w14:paraId="707A6649" w14:textId="18342FC4"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437C03A6" w14:textId="0900B48A" w:rsidR="009618DF" w:rsidRDefault="0069718A" w:rsidP="000E68C5">
      <w:pPr>
        <w:ind w:left="360"/>
        <w:rPr>
          <w:rFonts w:ascii="Arial" w:hAnsi="Arial" w:cs="Arial"/>
          <w:sz w:val="22"/>
          <w:szCs w:val="22"/>
        </w:rPr>
      </w:pPr>
      <w:r w:rsidRPr="00C05949">
        <w:rPr>
          <w:rFonts w:ascii="Arial" w:hAnsi="Arial" w:cs="Arial"/>
          <w:sz w:val="22"/>
          <w:szCs w:val="22"/>
        </w:rPr>
        <w:t>There are no program</w:t>
      </w:r>
      <w:r w:rsidR="00C93FBB">
        <w:rPr>
          <w:rFonts w:ascii="Arial" w:hAnsi="Arial" w:cs="Arial"/>
          <w:sz w:val="22"/>
          <w:szCs w:val="22"/>
        </w:rPr>
        <w:t xml:space="preserve"> changes </w:t>
      </w:r>
      <w:r w:rsidR="0016558C">
        <w:rPr>
          <w:rFonts w:ascii="Arial" w:hAnsi="Arial" w:cs="Arial"/>
          <w:sz w:val="22"/>
          <w:szCs w:val="22"/>
        </w:rPr>
        <w:t xml:space="preserve">or adjustments </w:t>
      </w:r>
      <w:r w:rsidR="009618DF">
        <w:rPr>
          <w:rFonts w:ascii="Arial" w:hAnsi="Arial" w:cs="Arial"/>
          <w:sz w:val="22"/>
          <w:szCs w:val="22"/>
        </w:rPr>
        <w:t>associated with this collection</w:t>
      </w:r>
      <w:r w:rsidR="00877CA8">
        <w:rPr>
          <w:rFonts w:ascii="Arial" w:hAnsi="Arial" w:cs="Arial"/>
          <w:sz w:val="22"/>
          <w:szCs w:val="22"/>
        </w:rPr>
        <w:t xml:space="preserve"> at this time</w:t>
      </w:r>
      <w:r w:rsidR="009618DF">
        <w:rPr>
          <w:rFonts w:ascii="Arial" w:hAnsi="Arial" w:cs="Arial"/>
          <w:sz w:val="22"/>
          <w:szCs w:val="22"/>
        </w:rPr>
        <w:t>.</w:t>
      </w:r>
      <w:r w:rsidR="00352B11">
        <w:rPr>
          <w:rFonts w:ascii="Arial" w:hAnsi="Arial" w:cs="Arial"/>
          <w:sz w:val="22"/>
          <w:szCs w:val="22"/>
        </w:rPr>
        <w:t xml:space="preserve"> </w:t>
      </w:r>
      <w:r w:rsidR="0016558C">
        <w:rPr>
          <w:rFonts w:ascii="Arial" w:hAnsi="Arial" w:cs="Arial"/>
          <w:sz w:val="22"/>
          <w:szCs w:val="22"/>
        </w:rPr>
        <w:t xml:space="preserve"> On the paper form, TTB F 5100.16, TTB is updating its mailing address as listed in the form’s Paperwork Reduction Act Notice. </w:t>
      </w:r>
    </w:p>
    <w:p w14:paraId="61953A4A" w14:textId="77777777" w:rsidR="00AF060A" w:rsidRPr="00BC466F" w:rsidRDefault="00AF060A" w:rsidP="000E68C5">
      <w:pPr>
        <w:suppressAutoHyphens/>
        <w:rPr>
          <w:rFonts w:ascii="Arial" w:hAnsi="Arial" w:cs="Arial"/>
          <w:sz w:val="36"/>
          <w:szCs w:val="36"/>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BC466F" w:rsidRDefault="00AF1157" w:rsidP="00352B11">
      <w:pPr>
        <w:rPr>
          <w:rFonts w:ascii="Arial" w:hAnsi="Arial" w:cs="Arial"/>
          <w:sz w:val="36"/>
          <w:szCs w:val="36"/>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77777777" w:rsidR="00851169" w:rsidRDefault="00014CE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8C399F">
        <w:rPr>
          <w:rFonts w:ascii="Arial" w:hAnsi="Arial" w:cs="Arial"/>
          <w:sz w:val="22"/>
          <w:szCs w:val="22"/>
        </w:rPr>
        <w:t>, TTB will not have to update</w:t>
      </w:r>
      <w:r>
        <w:rPr>
          <w:rFonts w:ascii="Arial" w:hAnsi="Arial" w:cs="Arial"/>
          <w:sz w:val="22"/>
          <w:szCs w:val="22"/>
        </w:rPr>
        <w:t xml:space="preserve"> the form’s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 xml:space="preserve">the form,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r>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 xml:space="preserve">this </w:t>
      </w:r>
      <w:r w:rsidR="00FA228E" w:rsidRPr="00FA228E">
        <w:rPr>
          <w:rFonts w:ascii="Arial" w:hAnsi="Arial" w:cs="Arial"/>
          <w:sz w:val="22"/>
          <w:szCs w:val="22"/>
        </w:rPr>
        <w:t>form will avoid confusion among members of the public who may have identical forms with different expiration dates in their possession.</w:t>
      </w:r>
      <w:r>
        <w:rPr>
          <w:rFonts w:ascii="Arial" w:hAnsi="Arial" w:cs="Arial"/>
          <w:sz w:val="22"/>
          <w:szCs w:val="22"/>
        </w:rPr>
        <w:t xml:space="preserve">  </w:t>
      </w:r>
      <w:r w:rsidR="00FA228E" w:rsidRPr="00FA228E">
        <w:rPr>
          <w:rFonts w:ascii="Arial" w:hAnsi="Arial" w:cs="Arial"/>
          <w:sz w:val="22"/>
          <w:szCs w:val="22"/>
        </w:rPr>
        <w:t xml:space="preserve">By not displaying the expiration date, supplies of the form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7869E9E3" w14:textId="77777777" w:rsidR="00014CEB" w:rsidRPr="00086AF4" w:rsidRDefault="00014CEB" w:rsidP="00877CA8">
      <w:pPr>
        <w:autoSpaceDE w:val="0"/>
        <w:autoSpaceDN w:val="0"/>
        <w:rPr>
          <w:rFonts w:ascii="Arial" w:hAnsi="Arial" w:cs="Arial"/>
          <w:sz w:val="36"/>
          <w:szCs w:val="28"/>
        </w:rPr>
      </w:pPr>
    </w:p>
    <w:p w14:paraId="123EA912" w14:textId="77777777" w:rsidR="00AF1157" w:rsidRPr="00FD18EE"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44C89A47" w14:textId="5ED3788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Default="00BA1A21">
      <w:pPr>
        <w:suppressAutoHyphens/>
        <w:rPr>
          <w:rFonts w:ascii="Arial" w:hAnsi="Arial" w:cs="Arial"/>
          <w:sz w:val="22"/>
          <w:szCs w:val="22"/>
        </w:rPr>
      </w:pPr>
    </w:p>
    <w:sectPr w:rsidR="00BA1A21" w:rsidSect="007861FE">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4D451" w14:textId="77777777" w:rsidR="000D7CAF" w:rsidRDefault="000D7CAF">
      <w:r>
        <w:separator/>
      </w:r>
    </w:p>
  </w:endnote>
  <w:endnote w:type="continuationSeparator" w:id="0">
    <w:p w14:paraId="3BD4243C" w14:textId="77777777" w:rsidR="000D7CAF" w:rsidRDefault="000D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611FA" w14:textId="77777777" w:rsidR="00513C4B" w:rsidRDefault="00513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949F" w14:textId="3144C87C" w:rsidR="000D7CAF" w:rsidRPr="007A5D4B" w:rsidRDefault="000D7CAF" w:rsidP="00A837EC">
    <w:pPr>
      <w:pStyle w:val="Footer"/>
      <w:tabs>
        <w:tab w:val="clear" w:pos="4320"/>
        <w:tab w:val="clear" w:pos="8640"/>
        <w:tab w:val="right" w:pos="9270"/>
      </w:tabs>
      <w:rPr>
        <w:rFonts w:ascii="Arial" w:hAnsi="Arial" w:cs="Arial"/>
        <w:sz w:val="20"/>
        <w:szCs w:val="20"/>
      </w:rPr>
    </w:pPr>
    <w:r>
      <w:rPr>
        <w:rFonts w:ascii="Arial" w:hAnsi="Arial" w:cs="Arial"/>
        <w:sz w:val="20"/>
        <w:szCs w:val="20"/>
      </w:rPr>
      <w:tab/>
    </w:r>
    <w:r w:rsidRPr="00A837EC">
      <w:rPr>
        <w:rFonts w:ascii="Arial" w:hAnsi="Arial" w:cs="Arial"/>
        <w:sz w:val="20"/>
        <w:szCs w:val="20"/>
      </w:rPr>
      <w:t xml:space="preserve">1513–0038 Supporting Statement (08–2017)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EFFAA" w14:textId="3380B617" w:rsidR="000D7CAF" w:rsidRPr="007A5D4B" w:rsidRDefault="000D7CAF" w:rsidP="00A837EC">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1513–0038 Supporting Statement (08–2017)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9CA80" w14:textId="77777777" w:rsidR="000D7CAF" w:rsidRDefault="000D7CAF">
      <w:r>
        <w:separator/>
      </w:r>
    </w:p>
  </w:footnote>
  <w:footnote w:type="continuationSeparator" w:id="0">
    <w:p w14:paraId="7B70296E" w14:textId="77777777" w:rsidR="000D7CAF" w:rsidRDefault="000D7CAF">
      <w:r>
        <w:continuationSeparator/>
      </w:r>
    </w:p>
  </w:footnote>
  <w:footnote w:id="1">
    <w:p w14:paraId="3439F987" w14:textId="5AA1FB4D" w:rsidR="000D7CAF" w:rsidRPr="002947CD" w:rsidRDefault="000D7CAF" w:rsidP="002947CD">
      <w:pPr>
        <w:pStyle w:val="FootnoteText"/>
        <w:ind w:left="270" w:hanging="270"/>
        <w:rPr>
          <w:rFonts w:ascii="Arial" w:hAnsi="Arial" w:cs="Arial"/>
        </w:rPr>
      </w:pPr>
      <w:r w:rsidRPr="002947CD">
        <w:rPr>
          <w:rStyle w:val="FootnoteReference"/>
          <w:rFonts w:ascii="Arial" w:hAnsi="Arial" w:cs="Arial"/>
        </w:rPr>
        <w:footnoteRef/>
      </w:r>
      <w:r w:rsidRPr="002947CD">
        <w:rPr>
          <w:rFonts w:ascii="Arial" w:hAnsi="Arial" w:cs="Arial"/>
        </w:rPr>
        <w:t xml:space="preserve"> Effective January 1, 2017, section 332 of the Protecting Americans from Tax Hikes Act (PATH Act; Division Q of Public Law 114–113) amended the IRC at 26 U.S.C. 5061(d)(4) to provide for a new annual tax return period for certain small alcohol excise taxpayers, and at 26 U.S.C. 5551 to add, in paragraph (d), an exemption to bond requirements for alcohol beverage producers who are eligible to file excise taxes on an annual or quarterly basis.  Under 26 U.S.C. 5061(d)(4), as amended, to use annual filing, a taxpayer must reasonably expect to be liable for not more than $1,000 in excise taxes for the calendar year and must be liable for not more than $1,000 in such taxes in the preceding calendar year, and, to use quarterly filing, a taxpayer must reasonably expect to be liable for not more than $50,000 in excise taxes for the calendar year and must be liable for not more than $50,000 in such taxes in the preceding calendar year.</w:t>
      </w:r>
      <w:r>
        <w:rPr>
          <w:rFonts w:ascii="Arial" w:hAnsi="Arial" w:cs="Arial"/>
        </w:rPr>
        <w:t xml:space="preserve">  TTB reported this statutory amendment as a program change to this information collection in the last approval request the bureau submitted to OMB for this collection, and TTB F 5100.16 was revised </w:t>
      </w:r>
      <w:r w:rsidRPr="00877CA8">
        <w:rPr>
          <w:rFonts w:ascii="Arial" w:hAnsi="Arial" w:cs="Arial"/>
        </w:rPr>
        <w:t>to reflect the new bond exemption</w:t>
      </w:r>
      <w:r>
        <w:rPr>
          <w:rFonts w:ascii="Arial" w:hAnsi="Arial" w:cs="Arial"/>
        </w:rPr>
        <w:t xml:space="preserve"> provided for in the IRC at</w:t>
      </w:r>
      <w:r w:rsidRPr="00877CA8">
        <w:rPr>
          <w:rFonts w:ascii="Arial" w:hAnsi="Arial" w:cs="Arial"/>
        </w:rPr>
        <w:t xml:space="preserve"> 26 U.S.C. 5551(d).</w:t>
      </w:r>
      <w:r>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25D5D" w14:textId="77777777" w:rsidR="00513C4B" w:rsidRDefault="00513C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1824" w14:textId="77777777" w:rsidR="000D7CAF" w:rsidRPr="007A5D4B" w:rsidRDefault="000D7CAF"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0264C">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A0C5" w14:textId="77777777" w:rsidR="000D7CAF" w:rsidRPr="007A5D4B" w:rsidRDefault="000D7CAF"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34014"/>
    <w:rsid w:val="0003455B"/>
    <w:rsid w:val="00044431"/>
    <w:rsid w:val="0004708F"/>
    <w:rsid w:val="000473AC"/>
    <w:rsid w:val="0004764C"/>
    <w:rsid w:val="00064165"/>
    <w:rsid w:val="0007089D"/>
    <w:rsid w:val="00074898"/>
    <w:rsid w:val="00075CD7"/>
    <w:rsid w:val="00086AF4"/>
    <w:rsid w:val="00090251"/>
    <w:rsid w:val="00095F53"/>
    <w:rsid w:val="000A1EA6"/>
    <w:rsid w:val="000A2E33"/>
    <w:rsid w:val="000A326A"/>
    <w:rsid w:val="000A35CC"/>
    <w:rsid w:val="000A4E1A"/>
    <w:rsid w:val="000B3E08"/>
    <w:rsid w:val="000D6313"/>
    <w:rsid w:val="000D7CAF"/>
    <w:rsid w:val="000E68C5"/>
    <w:rsid w:val="00101DE7"/>
    <w:rsid w:val="00113B41"/>
    <w:rsid w:val="00124ABE"/>
    <w:rsid w:val="00144E69"/>
    <w:rsid w:val="001607C5"/>
    <w:rsid w:val="001608E4"/>
    <w:rsid w:val="001622B8"/>
    <w:rsid w:val="00163299"/>
    <w:rsid w:val="0016558C"/>
    <w:rsid w:val="001A0B50"/>
    <w:rsid w:val="001B64E5"/>
    <w:rsid w:val="001E00EB"/>
    <w:rsid w:val="001E5DB7"/>
    <w:rsid w:val="001E77FE"/>
    <w:rsid w:val="001E7BDE"/>
    <w:rsid w:val="001F2913"/>
    <w:rsid w:val="00201BF8"/>
    <w:rsid w:val="0022156B"/>
    <w:rsid w:val="00222FB2"/>
    <w:rsid w:val="002317D6"/>
    <w:rsid w:val="002325E2"/>
    <w:rsid w:val="00242D7D"/>
    <w:rsid w:val="00250066"/>
    <w:rsid w:val="00251A85"/>
    <w:rsid w:val="00273CEE"/>
    <w:rsid w:val="00276081"/>
    <w:rsid w:val="002831F7"/>
    <w:rsid w:val="002947CD"/>
    <w:rsid w:val="002A0C20"/>
    <w:rsid w:val="002A2407"/>
    <w:rsid w:val="002B47FB"/>
    <w:rsid w:val="002C787E"/>
    <w:rsid w:val="002D1324"/>
    <w:rsid w:val="002D444B"/>
    <w:rsid w:val="002E6145"/>
    <w:rsid w:val="003301DA"/>
    <w:rsid w:val="0033260C"/>
    <w:rsid w:val="00332CD8"/>
    <w:rsid w:val="00352B11"/>
    <w:rsid w:val="00360CDB"/>
    <w:rsid w:val="00372B3B"/>
    <w:rsid w:val="00375D16"/>
    <w:rsid w:val="00381FFC"/>
    <w:rsid w:val="003830F1"/>
    <w:rsid w:val="0038747C"/>
    <w:rsid w:val="0039330A"/>
    <w:rsid w:val="003A4DFA"/>
    <w:rsid w:val="003B5FB5"/>
    <w:rsid w:val="003C1E53"/>
    <w:rsid w:val="003C1FD2"/>
    <w:rsid w:val="003C332B"/>
    <w:rsid w:val="003C425B"/>
    <w:rsid w:val="003D6258"/>
    <w:rsid w:val="0040027F"/>
    <w:rsid w:val="00401753"/>
    <w:rsid w:val="00403F1B"/>
    <w:rsid w:val="00430C68"/>
    <w:rsid w:val="00433873"/>
    <w:rsid w:val="0044522E"/>
    <w:rsid w:val="00447B6B"/>
    <w:rsid w:val="004524F0"/>
    <w:rsid w:val="004769A0"/>
    <w:rsid w:val="00476C1C"/>
    <w:rsid w:val="004806AE"/>
    <w:rsid w:val="004901F9"/>
    <w:rsid w:val="004A30C7"/>
    <w:rsid w:val="004A3DE5"/>
    <w:rsid w:val="004C15CA"/>
    <w:rsid w:val="004C3724"/>
    <w:rsid w:val="004D086A"/>
    <w:rsid w:val="004D1808"/>
    <w:rsid w:val="004D3468"/>
    <w:rsid w:val="004D4299"/>
    <w:rsid w:val="004E1E45"/>
    <w:rsid w:val="004E2C89"/>
    <w:rsid w:val="004E6516"/>
    <w:rsid w:val="004F62C7"/>
    <w:rsid w:val="005007A4"/>
    <w:rsid w:val="00502A66"/>
    <w:rsid w:val="0050368E"/>
    <w:rsid w:val="00506D67"/>
    <w:rsid w:val="00513C4B"/>
    <w:rsid w:val="00522735"/>
    <w:rsid w:val="005278E4"/>
    <w:rsid w:val="00536D29"/>
    <w:rsid w:val="00537771"/>
    <w:rsid w:val="00551411"/>
    <w:rsid w:val="005A6AF2"/>
    <w:rsid w:val="005C282B"/>
    <w:rsid w:val="005C2B01"/>
    <w:rsid w:val="005E37DA"/>
    <w:rsid w:val="005E4F99"/>
    <w:rsid w:val="005E4F9B"/>
    <w:rsid w:val="005F3392"/>
    <w:rsid w:val="00617C53"/>
    <w:rsid w:val="006244FF"/>
    <w:rsid w:val="00631780"/>
    <w:rsid w:val="00631967"/>
    <w:rsid w:val="0066099A"/>
    <w:rsid w:val="00663972"/>
    <w:rsid w:val="00676DAC"/>
    <w:rsid w:val="00682444"/>
    <w:rsid w:val="006842F3"/>
    <w:rsid w:val="00691967"/>
    <w:rsid w:val="0069718A"/>
    <w:rsid w:val="006A35C6"/>
    <w:rsid w:val="006B7E47"/>
    <w:rsid w:val="006D4D33"/>
    <w:rsid w:val="006E1A2B"/>
    <w:rsid w:val="006E6C93"/>
    <w:rsid w:val="006E6EA5"/>
    <w:rsid w:val="006F05DA"/>
    <w:rsid w:val="006F0ACC"/>
    <w:rsid w:val="006F0D0D"/>
    <w:rsid w:val="006F2142"/>
    <w:rsid w:val="00715EBB"/>
    <w:rsid w:val="00717FD1"/>
    <w:rsid w:val="00721C76"/>
    <w:rsid w:val="00722685"/>
    <w:rsid w:val="00734B25"/>
    <w:rsid w:val="00736DD6"/>
    <w:rsid w:val="00741583"/>
    <w:rsid w:val="00777625"/>
    <w:rsid w:val="0078213A"/>
    <w:rsid w:val="007861FE"/>
    <w:rsid w:val="00795583"/>
    <w:rsid w:val="007A5D4B"/>
    <w:rsid w:val="007A7208"/>
    <w:rsid w:val="007B1F76"/>
    <w:rsid w:val="007B4E08"/>
    <w:rsid w:val="007B59B5"/>
    <w:rsid w:val="007C039F"/>
    <w:rsid w:val="007C68E7"/>
    <w:rsid w:val="007D5727"/>
    <w:rsid w:val="007E2D5A"/>
    <w:rsid w:val="007E57D5"/>
    <w:rsid w:val="007F40E3"/>
    <w:rsid w:val="007F4A09"/>
    <w:rsid w:val="00804B0C"/>
    <w:rsid w:val="00807CA7"/>
    <w:rsid w:val="00811A04"/>
    <w:rsid w:val="00827956"/>
    <w:rsid w:val="00835612"/>
    <w:rsid w:val="008426E0"/>
    <w:rsid w:val="0084640C"/>
    <w:rsid w:val="00851169"/>
    <w:rsid w:val="00853E85"/>
    <w:rsid w:val="00855FFF"/>
    <w:rsid w:val="008603B9"/>
    <w:rsid w:val="00874C51"/>
    <w:rsid w:val="00877CA8"/>
    <w:rsid w:val="00885A74"/>
    <w:rsid w:val="00887E57"/>
    <w:rsid w:val="008A7B84"/>
    <w:rsid w:val="008B146B"/>
    <w:rsid w:val="008B19E4"/>
    <w:rsid w:val="008B4220"/>
    <w:rsid w:val="008C399F"/>
    <w:rsid w:val="008D00D8"/>
    <w:rsid w:val="008F6EC9"/>
    <w:rsid w:val="0090088D"/>
    <w:rsid w:val="009008C4"/>
    <w:rsid w:val="009614DC"/>
    <w:rsid w:val="009618DF"/>
    <w:rsid w:val="0096457D"/>
    <w:rsid w:val="00965E7F"/>
    <w:rsid w:val="009669E2"/>
    <w:rsid w:val="00975B48"/>
    <w:rsid w:val="00987432"/>
    <w:rsid w:val="00990656"/>
    <w:rsid w:val="009A1CD5"/>
    <w:rsid w:val="009A6532"/>
    <w:rsid w:val="009A70B0"/>
    <w:rsid w:val="009C1819"/>
    <w:rsid w:val="009C7A6B"/>
    <w:rsid w:val="009D603C"/>
    <w:rsid w:val="009E08A9"/>
    <w:rsid w:val="009E4E4C"/>
    <w:rsid w:val="009F59A5"/>
    <w:rsid w:val="00A16215"/>
    <w:rsid w:val="00A169F8"/>
    <w:rsid w:val="00A17E04"/>
    <w:rsid w:val="00A201BF"/>
    <w:rsid w:val="00A245F0"/>
    <w:rsid w:val="00A43CFB"/>
    <w:rsid w:val="00A5167D"/>
    <w:rsid w:val="00A5320B"/>
    <w:rsid w:val="00A77848"/>
    <w:rsid w:val="00A837EC"/>
    <w:rsid w:val="00A94F2E"/>
    <w:rsid w:val="00AA1508"/>
    <w:rsid w:val="00AA3F8F"/>
    <w:rsid w:val="00AA6881"/>
    <w:rsid w:val="00AC281C"/>
    <w:rsid w:val="00AC5D26"/>
    <w:rsid w:val="00AC686F"/>
    <w:rsid w:val="00AE58CE"/>
    <w:rsid w:val="00AF060A"/>
    <w:rsid w:val="00AF1157"/>
    <w:rsid w:val="00AF180E"/>
    <w:rsid w:val="00B02368"/>
    <w:rsid w:val="00B06EE5"/>
    <w:rsid w:val="00B1047F"/>
    <w:rsid w:val="00B23FF6"/>
    <w:rsid w:val="00B30CD3"/>
    <w:rsid w:val="00B31E02"/>
    <w:rsid w:val="00B36390"/>
    <w:rsid w:val="00B502FE"/>
    <w:rsid w:val="00B508E9"/>
    <w:rsid w:val="00B72AC4"/>
    <w:rsid w:val="00B8672A"/>
    <w:rsid w:val="00B903C3"/>
    <w:rsid w:val="00B95061"/>
    <w:rsid w:val="00BA1A21"/>
    <w:rsid w:val="00BA3D4B"/>
    <w:rsid w:val="00BB67E5"/>
    <w:rsid w:val="00BC1D1F"/>
    <w:rsid w:val="00BC466F"/>
    <w:rsid w:val="00BD3333"/>
    <w:rsid w:val="00BE3C19"/>
    <w:rsid w:val="00BF3EA8"/>
    <w:rsid w:val="00C0410A"/>
    <w:rsid w:val="00C05949"/>
    <w:rsid w:val="00C1362D"/>
    <w:rsid w:val="00C271EA"/>
    <w:rsid w:val="00C344CB"/>
    <w:rsid w:val="00C543FF"/>
    <w:rsid w:val="00C56315"/>
    <w:rsid w:val="00C64D2C"/>
    <w:rsid w:val="00C71838"/>
    <w:rsid w:val="00C93FBB"/>
    <w:rsid w:val="00CA07BF"/>
    <w:rsid w:val="00CA7E3C"/>
    <w:rsid w:val="00CB0080"/>
    <w:rsid w:val="00CB1E40"/>
    <w:rsid w:val="00CB4A84"/>
    <w:rsid w:val="00CB6F58"/>
    <w:rsid w:val="00CC2DE7"/>
    <w:rsid w:val="00CD21EC"/>
    <w:rsid w:val="00CE12C0"/>
    <w:rsid w:val="00CE7C8D"/>
    <w:rsid w:val="00CF1C87"/>
    <w:rsid w:val="00D004D6"/>
    <w:rsid w:val="00D01AA2"/>
    <w:rsid w:val="00D03A61"/>
    <w:rsid w:val="00D054AD"/>
    <w:rsid w:val="00D059BB"/>
    <w:rsid w:val="00D36A5E"/>
    <w:rsid w:val="00D414AB"/>
    <w:rsid w:val="00D460BA"/>
    <w:rsid w:val="00D4693F"/>
    <w:rsid w:val="00D502E6"/>
    <w:rsid w:val="00D50640"/>
    <w:rsid w:val="00D56B01"/>
    <w:rsid w:val="00D60438"/>
    <w:rsid w:val="00D6325C"/>
    <w:rsid w:val="00D63BF9"/>
    <w:rsid w:val="00D656EA"/>
    <w:rsid w:val="00D73D2D"/>
    <w:rsid w:val="00D742EE"/>
    <w:rsid w:val="00D76DF0"/>
    <w:rsid w:val="00D85E10"/>
    <w:rsid w:val="00D87833"/>
    <w:rsid w:val="00DA29D8"/>
    <w:rsid w:val="00DA703D"/>
    <w:rsid w:val="00DE1821"/>
    <w:rsid w:val="00DE292E"/>
    <w:rsid w:val="00DE66FC"/>
    <w:rsid w:val="00DF264C"/>
    <w:rsid w:val="00DF5F98"/>
    <w:rsid w:val="00E0264C"/>
    <w:rsid w:val="00E05B22"/>
    <w:rsid w:val="00E115FD"/>
    <w:rsid w:val="00E323CD"/>
    <w:rsid w:val="00E414F9"/>
    <w:rsid w:val="00E41ED9"/>
    <w:rsid w:val="00E4289F"/>
    <w:rsid w:val="00E4448C"/>
    <w:rsid w:val="00E45CBA"/>
    <w:rsid w:val="00E51AD7"/>
    <w:rsid w:val="00E5663C"/>
    <w:rsid w:val="00E56E11"/>
    <w:rsid w:val="00E660BE"/>
    <w:rsid w:val="00E86B1B"/>
    <w:rsid w:val="00EB5C01"/>
    <w:rsid w:val="00EC3DAE"/>
    <w:rsid w:val="00EC4FC3"/>
    <w:rsid w:val="00ED4A03"/>
    <w:rsid w:val="00ED7233"/>
    <w:rsid w:val="00EE4237"/>
    <w:rsid w:val="00F03208"/>
    <w:rsid w:val="00F058FA"/>
    <w:rsid w:val="00F10C50"/>
    <w:rsid w:val="00F442A2"/>
    <w:rsid w:val="00F618E0"/>
    <w:rsid w:val="00F678FF"/>
    <w:rsid w:val="00F70AD1"/>
    <w:rsid w:val="00F85483"/>
    <w:rsid w:val="00F95A6D"/>
    <w:rsid w:val="00F9797F"/>
    <w:rsid w:val="00FA228E"/>
    <w:rsid w:val="00FC0007"/>
    <w:rsid w:val="00FD18EE"/>
    <w:rsid w:val="00FD7E00"/>
    <w:rsid w:val="00FE29D6"/>
    <w:rsid w:val="00FF04E8"/>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FootnoteText">
    <w:name w:val="footnote text"/>
    <w:basedOn w:val="Normal"/>
    <w:link w:val="FootnoteTextChar"/>
    <w:rsid w:val="007E2D5A"/>
    <w:rPr>
      <w:sz w:val="20"/>
      <w:szCs w:val="20"/>
    </w:rPr>
  </w:style>
  <w:style w:type="character" w:customStyle="1" w:styleId="FootnoteTextChar">
    <w:name w:val="Footnote Text Char"/>
    <w:basedOn w:val="DefaultParagraphFont"/>
    <w:link w:val="FootnoteText"/>
    <w:rsid w:val="007E2D5A"/>
  </w:style>
  <w:style w:type="character" w:styleId="FootnoteReference">
    <w:name w:val="footnote reference"/>
    <w:rsid w:val="007E2D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FootnoteText">
    <w:name w:val="footnote text"/>
    <w:basedOn w:val="Normal"/>
    <w:link w:val="FootnoteTextChar"/>
    <w:rsid w:val="007E2D5A"/>
    <w:rPr>
      <w:sz w:val="20"/>
      <w:szCs w:val="20"/>
    </w:rPr>
  </w:style>
  <w:style w:type="character" w:customStyle="1" w:styleId="FootnoteTextChar">
    <w:name w:val="Footnote Text Char"/>
    <w:basedOn w:val="DefaultParagraphFont"/>
    <w:link w:val="FootnoteText"/>
    <w:rsid w:val="007E2D5A"/>
  </w:style>
  <w:style w:type="character" w:styleId="FootnoteReference">
    <w:name w:val="footnote reference"/>
    <w:rsid w:val="007E2D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tb.gov/forms/index.s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ttb.gov/forms/5000.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b.gov/ponl/customer-reference-manual-permits-online-0515.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ttb.gov/ponl/permits_online-tutorials.shtm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ttbonline.gov/permitsonlin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13DB-3A3C-4F5F-9E93-333F10BB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2017-08-18T17:58:00Z</dcterms:created>
  <dcterms:modified xsi:type="dcterms:W3CDTF">2017-08-18T17:58:00Z</dcterms:modified>
</cp:coreProperties>
</file>