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04C83"/>
          <w:sz w:val="48"/>
          <w:szCs w:val="48"/>
        </w:rPr>
      </w:pPr>
      <w:bookmarkStart w:id="0" w:name="_GoBack"/>
      <w:bookmarkEnd w:id="0"/>
      <w:r w:rsidRPr="00E52D4E">
        <w:rPr>
          <w:noProof/>
        </w:rPr>
        <w:drawing>
          <wp:inline distT="0" distB="0" distL="0" distR="0" wp14:anchorId="1EF36D99" wp14:editId="7BC040F3">
            <wp:extent cx="5943600" cy="5556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204C83"/>
          <w:sz w:val="48"/>
          <w:szCs w:val="48"/>
        </w:rPr>
        <w:t>Implementation Plan for PRC-012-2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04C83"/>
          <w:sz w:val="36"/>
          <w:szCs w:val="36"/>
        </w:rPr>
      </w:pPr>
      <w:r>
        <w:rPr>
          <w:rFonts w:ascii="Tahoma" w:hAnsi="Tahoma" w:cs="Tahoma"/>
          <w:color w:val="204C83"/>
          <w:sz w:val="36"/>
          <w:szCs w:val="36"/>
        </w:rPr>
        <w:t>Project 2010-05.3 Phase 3 of Protection Systems: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04C83"/>
          <w:sz w:val="36"/>
          <w:szCs w:val="36"/>
        </w:rPr>
      </w:pPr>
      <w:r>
        <w:rPr>
          <w:rFonts w:ascii="Tahoma" w:hAnsi="Tahoma" w:cs="Tahoma"/>
          <w:color w:val="204C83"/>
          <w:sz w:val="36"/>
          <w:szCs w:val="36"/>
        </w:rPr>
        <w:t>Remedial Action Schemes (RAS)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Requested Approval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PRC‐012‐2 – Remedial Action Schemes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Requested Retirements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PRC‐012‐1 – Remedial Action Scheme Review Procedure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PRC‐013‐1 – Remedial Action Scheme Database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PRC‐014‐1 – Remedial Action Scheme Assessment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PRC‐015‐1 – Remedial Action Scheme Data and Documentation</w:t>
      </w: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  <w:r>
        <w:rPr>
          <w:rFonts w:ascii="Calibri-Bold" w:hAnsi="Calibri-Bold" w:cs="Calibri-Bold"/>
          <w:b/>
          <w:bCs/>
          <w:color w:val="204C83"/>
          <w:sz w:val="18"/>
          <w:szCs w:val="18"/>
        </w:rPr>
        <w:lastRenderedPageBreak/>
        <w:t>Implementation Plan for PRC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012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2</w:t>
      </w: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Project 2010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05.3 Phase 3 of Protection Systems: Remedial Action Schemes (RAS)</w:t>
      </w:r>
    </w:p>
    <w:p w:rsidR="00F3489E" w:rsidRDefault="00F3489E" w:rsidP="00F3489E">
      <w:pPr>
        <w:rPr>
          <w:rFonts w:ascii="SymbolMT" w:eastAsia="SymbolMT" w:hAnsi="Tahoma" w:cs="SymbolMT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 xml:space="preserve">November 2015 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PRC‐016‐1 – Remedial Action Scheme Misoperations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Applicable Entities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Reliability Coordinator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Planning Coordinator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Tahoma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ahoma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RAS‐entity – the Transmission Owner, Generator Owner, or Distribution Provider that owns all or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part of a RAS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Background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On November 13, 2014, the NERC Board of Trustees approved revisions to the definition for Remedial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Action Scheme (“RAS”) and associated revisions to related Reliability Standards to consolidate that term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with the Glossary term “Special Protection System” (SPS).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its February 3, 2015 petition to the Commission for approval of the definition of RAS and associated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Reliability Standards (“Petition”), NERC noted that, although PRC‐012‐0, PRC‐013‐0, and PRC‐014‐0 were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neither approved nor remanded by the Commission in Order No. 693 and were therefore not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enforceable, NERC revised these standards to account for the RAS definition revision and changed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relevant version numbers to reflect the change. Because of this change, NERC requested retirement of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PRC‐012‐0, PRC‐013‐0, and PRC‐014‐0, and provided, for informational purposes only, updated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Reliability Standards PRC‐012‐1, PRC‐013‐1, and PRC‐014‐1. In the same Petition, NERC requested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retirement of PRC‐015‐0 and PRC‐016‐0.1 and approval of Reliability Standards PRC‐015‐1 and PRC‐016‐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1, again implementing changes stemming from the revised definition of RAS.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 June 18, 2015, the Commission issued a Notice of Proposed Rulemaking (NOPR) proposing to accept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the revisions to the RAS definition and associated standards, and on November 19, 2015, the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Commission issued a Final Order approving the RAS definition and associated standards.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General Considerations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Reliability Standard PRC‐012‐2 was developed to consolidate previously unapproved standards which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were designated by the Commission as “fill‐in‐the‐blank” standards and to revise other RAS‐related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standards. Reliability Standard PRC‐012‐2 also provides clear and unambiguous responsibilities to the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specific users, owners, and operators of the Bulk‐Power System. Reliability Standard PRC‐012‐2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establishes a new working framework between RAS‐entities, PCs, and RCs, and this new framework will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involve considerable start‐up effort. As such, implementation of Reliability Standard PRC‐012‐2 will occur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over a thirty six (36) month period after approval of the standard by applicable governmental authorities.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  <w:r>
        <w:rPr>
          <w:rFonts w:ascii="Calibri-Bold" w:hAnsi="Calibri-Bold" w:cs="Calibri-Bold"/>
          <w:b/>
          <w:bCs/>
          <w:color w:val="204C83"/>
          <w:sz w:val="18"/>
          <w:szCs w:val="18"/>
        </w:rPr>
        <w:lastRenderedPageBreak/>
        <w:t>Implementation Plan for PRC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012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2</w:t>
      </w:r>
    </w:p>
    <w:p w:rsidR="00F3489E" w:rsidRDefault="00F3489E" w:rsidP="00F348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04C83"/>
          <w:sz w:val="18"/>
          <w:szCs w:val="18"/>
        </w:rPr>
      </w:pP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Project 2010</w:t>
      </w:r>
      <w:r>
        <w:rPr>
          <w:rFonts w:ascii="Cambria Math" w:hAnsi="Cambria Math" w:cs="Cambria Math"/>
          <w:b/>
          <w:bCs/>
          <w:color w:val="204C83"/>
          <w:sz w:val="18"/>
          <w:szCs w:val="18"/>
        </w:rPr>
        <w:t>‐</w:t>
      </w:r>
      <w:r>
        <w:rPr>
          <w:rFonts w:ascii="Calibri-Bold" w:hAnsi="Calibri-Bold" w:cs="Calibri-Bold"/>
          <w:b/>
          <w:bCs/>
          <w:color w:val="204C83"/>
          <w:sz w:val="18"/>
          <w:szCs w:val="18"/>
        </w:rPr>
        <w:t>05.3 Phase 3 of Protection Systems: Remedial Action Schemes (RAS)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Effective Date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Where approval by an applicable governmental authority is required, Reliability Standard PRC‐012‐2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shall become effective on the first day of the first calendar quarter that is thirty six (36) months after the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effective date of the applicable governmental authority’s order approving the standard, or as otherwise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provided for by the applicable governmental authority. Provisions concerning the initial performance of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obligations under Requirements R4, R8, and R9 are outlined below.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Where approval by an applicable governmental authority is not required, the standard shall become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effective on the first day of the first calendar quarter that is thirty six (36) months after the date the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standard is adopted by the NERC Board of Trustees, or as otherwise provided for in that jurisdiction.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Provisions concerning the initial performance of obligations under Requirements R4, R8, and R9 are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outlined below.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Requirement R4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For existing RAS, initial performance of obligations under Requirement R4 must be completed within sixty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(60) full calendar months of the effective date of PRC‐012‐2, as described above. For new or functionally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modified RAS, the initial performance of Requirement R4 must be completed within sixty (60) full calendar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months of the date that the RAS is approved by the reviewing RC(s) under Requirement R3.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Requirement R8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For each RAS not designated as limited impact, initial performance of obligations under Requirement R8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must be completed at least once within six (6) full calendar years of the effective date for PRC‐012‐2, as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described above. For each RAS designated as limited impact, initial performance of obligations under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Requirement R8 must be completed at least once within twelve (12) full calendar years of the effective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date for PRC‐012‐2, as described above.</w:t>
      </w:r>
    </w:p>
    <w:p w:rsidR="00F3489E" w:rsidRDefault="00F3489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Requirement R9</w:t>
      </w:r>
    </w:p>
    <w:p w:rsidR="00E52D4E" w:rsidRDefault="00E52D4E" w:rsidP="00E52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For each Reliability Coordinator that does not have a RAS database upon the effective date of PRC‐012‐2,</w:t>
      </w:r>
      <w:r w:rsidR="00F3489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as described above, the initial obligation under Requirement R9 is to establish a database.</w:t>
      </w:r>
    </w:p>
    <w:sectPr w:rsidR="00E5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4E"/>
    <w:rsid w:val="000B1640"/>
    <w:rsid w:val="00867849"/>
    <w:rsid w:val="00E52D4E"/>
    <w:rsid w:val="00F3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2017-09-15T18:19:00Z</dcterms:created>
  <dcterms:modified xsi:type="dcterms:W3CDTF">2017-09-15T18:19:00Z</dcterms:modified>
</cp:coreProperties>
</file>