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D9BE"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p>
    <w:p w14:paraId="168D51AD" w14:textId="77777777" w:rsidR="009C7F55" w:rsidRPr="00F1537F" w:rsidRDefault="009C7F55" w:rsidP="007445A8">
      <w:pPr>
        <w:spacing w:after="0" w:line="240" w:lineRule="auto"/>
        <w:jc w:val="center"/>
        <w:rPr>
          <w:rFonts w:ascii="Times New Roman" w:hAnsi="Times New Roman"/>
          <w:sz w:val="24"/>
          <w:szCs w:val="24"/>
        </w:rPr>
      </w:pPr>
      <w:r w:rsidRPr="00F1537F">
        <w:rPr>
          <w:rFonts w:ascii="Times New Roman" w:hAnsi="Times New Roman"/>
          <w:b/>
          <w:sz w:val="24"/>
          <w:szCs w:val="24"/>
        </w:rPr>
        <w:t>FERC-505</w:t>
      </w:r>
      <w:r w:rsidR="00F0627E" w:rsidRPr="00F1537F">
        <w:rPr>
          <w:rStyle w:val="FootnoteReference"/>
          <w:rFonts w:ascii="Times New Roman" w:hAnsi="Times New Roman"/>
          <w:b/>
          <w:sz w:val="24"/>
          <w:szCs w:val="24"/>
          <w:vertAlign w:val="superscript"/>
        </w:rPr>
        <w:footnoteReference w:id="1"/>
      </w:r>
      <w:r w:rsidR="00F0627E" w:rsidRPr="00F1537F">
        <w:rPr>
          <w:rFonts w:ascii="Times New Roman" w:hAnsi="Times New Roman"/>
          <w:b/>
          <w:sz w:val="24"/>
          <w:szCs w:val="24"/>
        </w:rPr>
        <w:t xml:space="preserve"> </w:t>
      </w:r>
      <w:r w:rsidRPr="00F1537F">
        <w:rPr>
          <w:rFonts w:ascii="Times New Roman" w:hAnsi="Times New Roman"/>
          <w:b/>
          <w:sz w:val="24"/>
          <w:szCs w:val="24"/>
        </w:rPr>
        <w:t xml:space="preserve"> (Small Hydropower Projects and Conduit Facilities including License/Relicense, Exemption, and Qualifying Conduit Facility Determination)</w:t>
      </w:r>
      <w:r w:rsidRPr="00F1537F">
        <w:rPr>
          <w:rFonts w:ascii="Times New Roman" w:hAnsi="Times New Roman"/>
          <w:sz w:val="24"/>
          <w:szCs w:val="24"/>
        </w:rPr>
        <w:t xml:space="preserve"> </w:t>
      </w:r>
    </w:p>
    <w:p w14:paraId="468312DE" w14:textId="77777777" w:rsidR="009C7F55" w:rsidRPr="00F1537F" w:rsidRDefault="009C7F55" w:rsidP="007445A8">
      <w:pPr>
        <w:spacing w:after="0" w:line="240" w:lineRule="auto"/>
        <w:jc w:val="center"/>
        <w:rPr>
          <w:rFonts w:ascii="Times New Roman" w:eastAsiaTheme="minorHAnsi" w:hAnsi="Times New Roman"/>
          <w:sz w:val="24"/>
          <w:szCs w:val="24"/>
        </w:rPr>
      </w:pPr>
      <w:r w:rsidRPr="00F1537F">
        <w:rPr>
          <w:rFonts w:ascii="Times New Roman" w:hAnsi="Times New Roman"/>
          <w:sz w:val="24"/>
          <w:szCs w:val="24"/>
        </w:rPr>
        <w:t>(Three-year approval for extension requested)</w:t>
      </w:r>
    </w:p>
    <w:p w14:paraId="2D77B141" w14:textId="77777777" w:rsidR="001263E8" w:rsidRPr="00F1537F" w:rsidRDefault="001263E8" w:rsidP="007445A8">
      <w:pPr>
        <w:spacing w:line="240" w:lineRule="auto"/>
        <w:rPr>
          <w:rFonts w:ascii="Times New Roman" w:hAnsi="Times New Roman"/>
          <w:b/>
          <w:sz w:val="24"/>
          <w:szCs w:val="24"/>
        </w:rPr>
      </w:pPr>
    </w:p>
    <w:p w14:paraId="63D7E5F3" w14:textId="77777777" w:rsidR="009C7F55" w:rsidRPr="00F1537F" w:rsidRDefault="009C7F55" w:rsidP="007445A8">
      <w:pPr>
        <w:spacing w:line="240" w:lineRule="auto"/>
        <w:rPr>
          <w:rFonts w:ascii="Times New Roman" w:hAnsi="Times New Roman"/>
          <w:sz w:val="24"/>
          <w:szCs w:val="24"/>
        </w:rPr>
      </w:pPr>
      <w:r w:rsidRPr="00F1537F">
        <w:rPr>
          <w:rFonts w:ascii="Times New Roman" w:hAnsi="Times New Roman"/>
          <w:sz w:val="24"/>
          <w:szCs w:val="24"/>
        </w:rPr>
        <w:t xml:space="preserve">The Federal Energy Regulatory Commission (FERC or Commission) requests the Office of Management and Budget (OMB) extend its approval of the </w:t>
      </w:r>
      <w:r w:rsidRPr="00F1537F">
        <w:rPr>
          <w:rFonts w:ascii="Times New Roman" w:hAnsi="Times New Roman"/>
          <w:b/>
          <w:sz w:val="24"/>
          <w:szCs w:val="24"/>
        </w:rPr>
        <w:t>FERC-505, Small Hydropower Projects and Conduit Facilities including License/Relicense, Exemption, and Qualifying Conduit Facility Determination</w:t>
      </w:r>
      <w:r w:rsidRPr="00F1537F">
        <w:rPr>
          <w:rFonts w:ascii="Times New Roman" w:hAnsi="Times New Roman"/>
          <w:sz w:val="24"/>
          <w:szCs w:val="24"/>
        </w:rPr>
        <w:t>, for an additional three years</w:t>
      </w:r>
      <w:r w:rsidR="00883041" w:rsidRPr="00F1537F">
        <w:rPr>
          <w:rFonts w:ascii="Times New Roman" w:hAnsi="Times New Roman"/>
          <w:sz w:val="24"/>
          <w:szCs w:val="24"/>
        </w:rPr>
        <w:t>.</w:t>
      </w:r>
      <w:r w:rsidR="00974AFC" w:rsidRPr="00F1537F">
        <w:rPr>
          <w:rFonts w:ascii="Times New Roman" w:hAnsi="Times New Roman"/>
          <w:sz w:val="24"/>
          <w:szCs w:val="24"/>
        </w:rPr>
        <w:t xml:space="preserve"> The reporting requirements have not changed for this information collection. </w:t>
      </w:r>
    </w:p>
    <w:p w14:paraId="6C9D8539" w14:textId="77777777" w:rsidR="009C7F55" w:rsidRPr="00F1537F" w:rsidRDefault="009C7F55"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 xml:space="preserve">CIRCUMSTANCES THAT MAKE THE COLLECTION OF INFORMATION NECESSARY </w:t>
      </w:r>
    </w:p>
    <w:p w14:paraId="720CD5C3" w14:textId="77777777" w:rsidR="009C7F55" w:rsidRPr="00F1537F" w:rsidRDefault="009C7F55" w:rsidP="007445A8">
      <w:pPr>
        <w:spacing w:after="0" w:line="240" w:lineRule="auto"/>
        <w:jc w:val="center"/>
        <w:rPr>
          <w:rFonts w:ascii="Times New Roman" w:hAnsi="Times New Roman"/>
          <w:b/>
          <w:sz w:val="24"/>
          <w:szCs w:val="24"/>
        </w:rPr>
      </w:pPr>
    </w:p>
    <w:p w14:paraId="717195FE"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2"/>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2D9430BA" w14:textId="77777777" w:rsidR="007E0D8A" w:rsidRPr="00F1537F" w:rsidRDefault="007E0D8A" w:rsidP="007445A8">
      <w:pPr>
        <w:spacing w:after="0" w:line="240" w:lineRule="auto"/>
        <w:rPr>
          <w:rFonts w:ascii="Times New Roman" w:hAnsi="Times New Roman"/>
          <w:sz w:val="24"/>
          <w:szCs w:val="24"/>
        </w:rPr>
      </w:pPr>
    </w:p>
    <w:p w14:paraId="291E285D"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ssue licenses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The Electric Consumers Protection Act (ECPA)</w:t>
      </w:r>
      <w:r w:rsidRPr="00F1537F">
        <w:rPr>
          <w:rStyle w:val="FootnoteReference"/>
          <w:rFonts w:ascii="Times New Roman" w:hAnsi="Times New Roman"/>
          <w:b/>
          <w:color w:val="000000"/>
          <w:sz w:val="24"/>
          <w:szCs w:val="24"/>
          <w:vertAlign w:val="superscript"/>
        </w:rPr>
        <w:footnoteReference w:id="3"/>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p>
    <w:p w14:paraId="04FF34A2"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4"/>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4D92CAD8"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FERC-505 is an application for a small hydropower project license or relicense, exemption, or determination of a qualifying conduit hydropower facility. </w:t>
      </w:r>
    </w:p>
    <w:p w14:paraId="137CAFD1" w14:textId="77777777" w:rsidR="00471F97" w:rsidRPr="00F1537F" w:rsidRDefault="00471F97" w:rsidP="007445A8">
      <w:pPr>
        <w:spacing w:after="0" w:line="240" w:lineRule="auto"/>
        <w:rPr>
          <w:rFonts w:ascii="Times New Roman" w:hAnsi="Times New Roman"/>
          <w:sz w:val="24"/>
          <w:szCs w:val="24"/>
        </w:rPr>
      </w:pPr>
    </w:p>
    <w:p w14:paraId="31719541" w14:textId="77777777" w:rsidR="00471F97" w:rsidRPr="00F1537F" w:rsidRDefault="00471F97" w:rsidP="007445A8">
      <w:pPr>
        <w:spacing w:after="0" w:line="240" w:lineRule="auto"/>
        <w:rPr>
          <w:rFonts w:ascii="Times New Roman" w:hAnsi="Times New Roman"/>
          <w:i/>
          <w:sz w:val="24"/>
          <w:szCs w:val="24"/>
        </w:rPr>
      </w:pPr>
      <w:r w:rsidRPr="00F1537F">
        <w:rPr>
          <w:rFonts w:ascii="Times New Roman" w:hAnsi="Times New Roman"/>
          <w:i/>
          <w:sz w:val="24"/>
          <w:szCs w:val="24"/>
        </w:rPr>
        <w:lastRenderedPageBreak/>
        <w:t xml:space="preserve">Small Hydropower Project License </w:t>
      </w:r>
    </w:p>
    <w:p w14:paraId="6D77BE85" w14:textId="77777777" w:rsidR="00471F97" w:rsidRPr="00F1537F" w:rsidRDefault="00471F97" w:rsidP="007445A8">
      <w:pPr>
        <w:spacing w:after="0" w:line="240" w:lineRule="auto"/>
        <w:rPr>
          <w:rFonts w:ascii="Times New Roman" w:hAnsi="Times New Roman"/>
          <w:sz w:val="24"/>
          <w:szCs w:val="24"/>
        </w:rPr>
      </w:pPr>
    </w:p>
    <w:p w14:paraId="25D4E15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Small hydropower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megawatts (MW) or less.</w:t>
      </w:r>
      <w:r w:rsidRPr="00F1537F">
        <w:rPr>
          <w:rStyle w:val="FootnoteReference"/>
          <w:rFonts w:ascii="Times New Roman" w:hAnsi="Times New Roman"/>
          <w:b/>
          <w:sz w:val="24"/>
          <w:szCs w:val="24"/>
          <w:vertAlign w:val="superscript"/>
        </w:rPr>
        <w:footnoteReference w:id="5"/>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4.61.    </w:t>
      </w:r>
    </w:p>
    <w:p w14:paraId="72D5852B" w14:textId="77777777" w:rsidR="00471F97" w:rsidRPr="00F1537F" w:rsidRDefault="00471F97" w:rsidP="007445A8">
      <w:pPr>
        <w:spacing w:after="0" w:line="240" w:lineRule="auto"/>
        <w:rPr>
          <w:rFonts w:ascii="Times New Roman" w:hAnsi="Times New Roman"/>
          <w:sz w:val="24"/>
          <w:szCs w:val="24"/>
        </w:rPr>
      </w:pPr>
    </w:p>
    <w:p w14:paraId="0462B62A"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issues licenses for hydropower projects for up to 50 years.  Pursuant to section 4(e) of the FPA, when making licensing decisions the Commission must give equal consideration to preserving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 and consider a project’s consistency with federal and state comprehensive plans for improving or developing waterways.   </w:t>
      </w:r>
    </w:p>
    <w:p w14:paraId="59F32054" w14:textId="77777777" w:rsidR="00471F97" w:rsidRPr="00F1537F" w:rsidRDefault="00471F97" w:rsidP="007445A8">
      <w:pPr>
        <w:spacing w:after="0" w:line="240" w:lineRule="auto"/>
        <w:rPr>
          <w:rFonts w:ascii="Times New Roman" w:hAnsi="Times New Roman"/>
          <w:sz w:val="24"/>
          <w:szCs w:val="24"/>
        </w:rPr>
      </w:pPr>
    </w:p>
    <w:p w14:paraId="5F2C23C2" w14:textId="77777777" w:rsidR="00471F97" w:rsidRPr="00F1537F" w:rsidRDefault="00471F97" w:rsidP="007445A8">
      <w:pPr>
        <w:spacing w:after="0" w:line="240" w:lineRule="auto"/>
        <w:rPr>
          <w:rFonts w:ascii="Times New Roman" w:hAnsi="Times New Roman"/>
          <w:i/>
          <w:sz w:val="24"/>
          <w:szCs w:val="24"/>
        </w:rPr>
      </w:pPr>
      <w:r w:rsidRPr="00F1537F">
        <w:rPr>
          <w:rFonts w:ascii="Times New Roman" w:hAnsi="Times New Roman"/>
          <w:i/>
          <w:sz w:val="24"/>
          <w:szCs w:val="24"/>
        </w:rPr>
        <w:t>Exemptions from Licensing</w:t>
      </w:r>
    </w:p>
    <w:p w14:paraId="3B64C33C" w14:textId="77777777" w:rsidR="00471F97" w:rsidRPr="00F1537F" w:rsidRDefault="00471F97" w:rsidP="007445A8">
      <w:pPr>
        <w:spacing w:after="0" w:line="240" w:lineRule="auto"/>
        <w:rPr>
          <w:rFonts w:ascii="Times New Roman" w:hAnsi="Times New Roman"/>
          <w:sz w:val="24"/>
          <w:szCs w:val="24"/>
        </w:rPr>
      </w:pPr>
    </w:p>
    <w:p w14:paraId="23A2B502"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A small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small conduit exemptions; and (2) small hydroelectric power project exemptions.  </w:t>
      </w:r>
    </w:p>
    <w:p w14:paraId="3406C9E5" w14:textId="77777777" w:rsidR="00471F97" w:rsidRPr="00F1537F" w:rsidRDefault="00471F97" w:rsidP="007445A8">
      <w:pPr>
        <w:spacing w:after="0" w:line="240" w:lineRule="auto"/>
        <w:rPr>
          <w:rFonts w:ascii="Times New Roman" w:hAnsi="Times New Roman"/>
          <w:sz w:val="24"/>
          <w:szCs w:val="24"/>
        </w:rPr>
      </w:pPr>
    </w:p>
    <w:p w14:paraId="037C2A91"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small conduit exemption, as defined in section 30 of the FPA,</w:t>
      </w:r>
      <w:r w:rsidRPr="00F1537F">
        <w:rPr>
          <w:rStyle w:val="FootnoteReference"/>
          <w:rFonts w:ascii="Times New Roman" w:hAnsi="Times New Roman"/>
          <w:b/>
          <w:sz w:val="24"/>
          <w:szCs w:val="24"/>
          <w:vertAlign w:val="superscript"/>
        </w:rPr>
        <w:footnoteReference w:id="6"/>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4D799E05" w14:textId="77777777" w:rsidR="00471F97" w:rsidRPr="00F1537F" w:rsidRDefault="00471F97" w:rsidP="007445A8">
      <w:pPr>
        <w:spacing w:after="0" w:line="240" w:lineRule="auto"/>
        <w:rPr>
          <w:rFonts w:ascii="Times New Roman" w:hAnsi="Times New Roman"/>
          <w:sz w:val="24"/>
          <w:szCs w:val="24"/>
        </w:rPr>
      </w:pPr>
    </w:p>
    <w:p w14:paraId="4DAFF923"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10-MW exemption, as defined in the Public Utilities Regulatory Policies Act of 1978 (PURPA),</w:t>
      </w:r>
      <w:r w:rsidRPr="00F1537F">
        <w:rPr>
          <w:rStyle w:val="FootnoteReference"/>
          <w:rFonts w:ascii="Times New Roman" w:hAnsi="Times New Roman"/>
          <w:b/>
          <w:sz w:val="24"/>
          <w:szCs w:val="24"/>
          <w:vertAlign w:val="superscript"/>
        </w:rPr>
        <w:footnoteReference w:id="7"/>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72F58CF4" w14:textId="77777777" w:rsidR="00471F97" w:rsidRPr="00F1537F" w:rsidRDefault="00471F97" w:rsidP="007445A8">
      <w:pPr>
        <w:spacing w:after="0" w:line="240" w:lineRule="auto"/>
        <w:rPr>
          <w:rFonts w:ascii="Times New Roman" w:hAnsi="Times New Roman"/>
          <w:sz w:val="24"/>
          <w:szCs w:val="24"/>
        </w:rPr>
      </w:pPr>
    </w:p>
    <w:p w14:paraId="512D534B" w14:textId="77777777" w:rsidR="00471F97" w:rsidRPr="00F1537F" w:rsidRDefault="00471F97" w:rsidP="007445A8">
      <w:pPr>
        <w:spacing w:after="0" w:line="240" w:lineRule="auto"/>
        <w:rPr>
          <w:rFonts w:ascii="Times New Roman" w:hAnsi="Times New Roman"/>
          <w:i/>
          <w:sz w:val="24"/>
          <w:szCs w:val="24"/>
        </w:rPr>
      </w:pPr>
      <w:r w:rsidRPr="00F1537F">
        <w:rPr>
          <w:rFonts w:ascii="Times New Roman" w:hAnsi="Times New Roman"/>
          <w:i/>
          <w:sz w:val="24"/>
          <w:szCs w:val="24"/>
        </w:rPr>
        <w:t>Qualifying Conduit Hydropower Facilities</w:t>
      </w:r>
    </w:p>
    <w:p w14:paraId="52E13864" w14:textId="77777777" w:rsidR="00471F97" w:rsidRPr="00F1537F" w:rsidRDefault="00471F97" w:rsidP="007445A8">
      <w:pPr>
        <w:spacing w:after="0" w:line="240" w:lineRule="auto"/>
        <w:rPr>
          <w:rFonts w:ascii="Times New Roman" w:hAnsi="Times New Roman"/>
          <w:sz w:val="24"/>
          <w:szCs w:val="24"/>
        </w:rPr>
      </w:pPr>
    </w:p>
    <w:p w14:paraId="253D2D7F"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Hydropower Efficiency Act created a subset of small conduit exemptions, called “qualifying conduit hydropower facilities,” which are not required to be licensed under Part I of the FPA.  A qualifying conduit hydropower facility is a facility that meets the following qualifying criteria:</w:t>
      </w:r>
    </w:p>
    <w:p w14:paraId="37071A75" w14:textId="77777777" w:rsidR="004C3C5F" w:rsidRPr="00F1537F" w:rsidRDefault="004C3C5F" w:rsidP="007445A8">
      <w:pPr>
        <w:spacing w:after="0" w:line="240" w:lineRule="auto"/>
        <w:rPr>
          <w:rFonts w:ascii="Times New Roman" w:hAnsi="Times New Roman"/>
          <w:sz w:val="24"/>
          <w:szCs w:val="24"/>
        </w:rPr>
      </w:pPr>
    </w:p>
    <w:p w14:paraId="268ED29F"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5032E89D"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4C12BA7B" w14:textId="77777777"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Efficiency Act (i.e., August 9, 2013).  </w:t>
      </w:r>
    </w:p>
    <w:p w14:paraId="0588ECA9" w14:textId="77777777" w:rsidR="007445A8" w:rsidRPr="00F1537F" w:rsidRDefault="007445A8" w:rsidP="007445A8">
      <w:pPr>
        <w:spacing w:after="0" w:line="240" w:lineRule="auto"/>
        <w:ind w:left="720" w:hanging="360"/>
        <w:rPr>
          <w:rFonts w:ascii="Times New Roman" w:hAnsi="Times New Roman"/>
          <w:sz w:val="24"/>
          <w:szCs w:val="24"/>
        </w:rPr>
      </w:pPr>
    </w:p>
    <w:p w14:paraId="70EBB90D"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1E2727A1" w14:textId="77777777" w:rsidR="00471F97" w:rsidRPr="00F1537F" w:rsidRDefault="00471F97" w:rsidP="007445A8">
      <w:pPr>
        <w:spacing w:after="0" w:line="240" w:lineRule="auto"/>
        <w:rPr>
          <w:rFonts w:ascii="Times New Roman" w:hAnsi="Times New Roman"/>
          <w:sz w:val="24"/>
          <w:szCs w:val="24"/>
        </w:rPr>
      </w:pPr>
    </w:p>
    <w:p w14:paraId="5F28015C" w14:textId="77777777" w:rsidR="00471F97" w:rsidRPr="00F1537F" w:rsidRDefault="00471F97"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1CC91744" w14:textId="77777777" w:rsidR="007445A8" w:rsidRDefault="007445A8" w:rsidP="007445A8">
      <w:pPr>
        <w:spacing w:after="0" w:line="240" w:lineRule="auto"/>
        <w:rPr>
          <w:rFonts w:ascii="Times New Roman" w:hAnsi="Times New Roman"/>
          <w:sz w:val="24"/>
          <w:szCs w:val="24"/>
        </w:rPr>
      </w:pPr>
    </w:p>
    <w:p w14:paraId="698E544E"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FERC-505 applications are used by Commission staff to determine the broad impact of the license/relicense or exemption proposal or determine whether a qualifying conduit hydropower facility meets the qualifying criteria.  An application must include certain information so stakeholders and the Commission can understand the proposed project, identify any environmental issues, identify any information needs or studies, and provide meaningful comments and recommendations on the proposed project.</w:t>
      </w:r>
    </w:p>
    <w:p w14:paraId="144534EA" w14:textId="77777777" w:rsidR="00471F97" w:rsidRPr="00F1537F" w:rsidRDefault="00471F97" w:rsidP="007445A8">
      <w:pPr>
        <w:spacing w:after="0" w:line="240" w:lineRule="auto"/>
        <w:rPr>
          <w:rFonts w:ascii="Times New Roman" w:hAnsi="Times New Roman"/>
          <w:sz w:val="24"/>
          <w:szCs w:val="24"/>
        </w:rPr>
      </w:pPr>
    </w:p>
    <w:p w14:paraId="3E0BC329"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Federal agencies with responsibilities under the FPA and other statutes, states, Indian tribes, and other participants have opportunities to request additional studies and provide comments and recommendations.  Federal agencies with mandatory conditioning authority also provide their conditions.  The Commission staff may ask for additional information that it needs for its environmental analysis.  All of this information is considered in the Commission staff's environmental review under the National Energy Policy Act (NEPA).  </w:t>
      </w:r>
    </w:p>
    <w:p w14:paraId="644AC0AD" w14:textId="77777777" w:rsidR="00471F97" w:rsidRPr="00F1537F" w:rsidRDefault="00471F97" w:rsidP="007445A8">
      <w:pPr>
        <w:spacing w:after="0" w:line="240" w:lineRule="auto"/>
        <w:rPr>
          <w:rFonts w:ascii="Times New Roman" w:hAnsi="Times New Roman"/>
          <w:sz w:val="24"/>
          <w:szCs w:val="24"/>
        </w:rPr>
      </w:pPr>
    </w:p>
    <w:p w14:paraId="22CEA350"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6C5BEE34" w14:textId="77777777" w:rsidR="00471F97" w:rsidRPr="00F1537F" w:rsidRDefault="00471F97" w:rsidP="007445A8">
      <w:pPr>
        <w:spacing w:after="0" w:line="240" w:lineRule="auto"/>
        <w:rPr>
          <w:rFonts w:ascii="Times New Roman" w:hAnsi="Times New Roman"/>
          <w:sz w:val="24"/>
          <w:szCs w:val="24"/>
        </w:rPr>
      </w:pPr>
    </w:p>
    <w:p w14:paraId="1DCE3F4C" w14:textId="77777777" w:rsidR="00471F97" w:rsidRPr="00F1537F" w:rsidRDefault="00471F97" w:rsidP="007445A8">
      <w:pPr>
        <w:spacing w:after="0" w:line="240" w:lineRule="auto"/>
        <w:rPr>
          <w:rFonts w:ascii="Times New Roman" w:hAnsi="Times New Roman"/>
          <w:i/>
          <w:sz w:val="24"/>
          <w:szCs w:val="24"/>
        </w:rPr>
      </w:pPr>
      <w:r w:rsidRPr="00F1537F">
        <w:rPr>
          <w:rFonts w:ascii="Times New Roman" w:hAnsi="Times New Roman"/>
          <w:i/>
          <w:sz w:val="24"/>
          <w:szCs w:val="24"/>
        </w:rPr>
        <w:t>Small Hydropower Project Licenses and Exemptions from Licensing</w:t>
      </w:r>
    </w:p>
    <w:p w14:paraId="0C5F0A93" w14:textId="77777777" w:rsidR="00471F97" w:rsidRPr="00F1537F" w:rsidRDefault="00471F97" w:rsidP="007445A8">
      <w:pPr>
        <w:spacing w:after="0" w:line="240" w:lineRule="auto"/>
        <w:rPr>
          <w:rFonts w:ascii="Times New Roman" w:hAnsi="Times New Roman"/>
          <w:sz w:val="24"/>
          <w:szCs w:val="24"/>
        </w:rPr>
      </w:pPr>
    </w:p>
    <w:p w14:paraId="3525533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Applicants can apply for licenses using one of three different options:  </w:t>
      </w:r>
    </w:p>
    <w:p w14:paraId="73F62617" w14:textId="77777777" w:rsidR="004C3C5F" w:rsidRPr="00F1537F" w:rsidRDefault="004C3C5F" w:rsidP="007445A8">
      <w:pPr>
        <w:spacing w:after="0" w:line="240" w:lineRule="auto"/>
        <w:rPr>
          <w:rFonts w:ascii="Times New Roman" w:hAnsi="Times New Roman"/>
          <w:sz w:val="24"/>
          <w:szCs w:val="24"/>
        </w:rPr>
      </w:pPr>
    </w:p>
    <w:p w14:paraId="45203AA3" w14:textId="77777777" w:rsidR="00471F97" w:rsidRPr="00F1537F" w:rsidRDefault="00471F97" w:rsidP="007445A8">
      <w:pPr>
        <w:spacing w:after="0" w:line="240" w:lineRule="auto"/>
        <w:ind w:firstLine="360"/>
        <w:rPr>
          <w:rFonts w:ascii="Times New Roman" w:hAnsi="Times New Roman"/>
          <w:sz w:val="24"/>
          <w:szCs w:val="24"/>
        </w:rPr>
      </w:pPr>
      <w:r w:rsidRPr="00F1537F">
        <w:rPr>
          <w:rFonts w:ascii="Times New Roman" w:hAnsi="Times New Roman"/>
          <w:sz w:val="24"/>
          <w:szCs w:val="24"/>
        </w:rPr>
        <w:t xml:space="preserve">(1) the traditional license process, </w:t>
      </w:r>
    </w:p>
    <w:p w14:paraId="007669D8" w14:textId="77777777" w:rsidR="00471F97" w:rsidRPr="00F1537F" w:rsidRDefault="00471F97" w:rsidP="007445A8">
      <w:pPr>
        <w:spacing w:after="0" w:line="240" w:lineRule="auto"/>
        <w:ind w:firstLine="360"/>
        <w:rPr>
          <w:rFonts w:ascii="Times New Roman" w:hAnsi="Times New Roman"/>
          <w:sz w:val="24"/>
          <w:szCs w:val="24"/>
        </w:rPr>
      </w:pPr>
      <w:r w:rsidRPr="00F1537F">
        <w:rPr>
          <w:rFonts w:ascii="Times New Roman" w:hAnsi="Times New Roman"/>
          <w:sz w:val="24"/>
          <w:szCs w:val="24"/>
        </w:rPr>
        <w:t xml:space="preserve">(2) alternative license process, </w:t>
      </w:r>
    </w:p>
    <w:p w14:paraId="59C722CA" w14:textId="77777777" w:rsidR="00471F97" w:rsidRPr="00F1537F" w:rsidRDefault="00471F97" w:rsidP="007445A8">
      <w:pPr>
        <w:spacing w:after="0" w:line="240" w:lineRule="auto"/>
        <w:ind w:firstLine="360"/>
        <w:rPr>
          <w:rFonts w:ascii="Times New Roman" w:hAnsi="Times New Roman"/>
          <w:sz w:val="24"/>
          <w:szCs w:val="24"/>
        </w:rPr>
      </w:pPr>
      <w:r w:rsidRPr="00F1537F">
        <w:rPr>
          <w:rFonts w:ascii="Times New Roman" w:hAnsi="Times New Roman"/>
          <w:sz w:val="24"/>
          <w:szCs w:val="24"/>
        </w:rPr>
        <w:t>(3) or integrated license process (ILP).  The ILP is the default process and enables potential licenses to conduct pre-filing consultation and the Commission’s scoping process concurrently rather than sequentially.</w:t>
      </w:r>
    </w:p>
    <w:p w14:paraId="478E7660" w14:textId="77777777" w:rsidR="00471F97" w:rsidRPr="00F1537F" w:rsidRDefault="00471F97" w:rsidP="007445A8">
      <w:pPr>
        <w:spacing w:after="0" w:line="240" w:lineRule="auto"/>
        <w:rPr>
          <w:rFonts w:ascii="Times New Roman" w:hAnsi="Times New Roman"/>
          <w:sz w:val="24"/>
          <w:szCs w:val="24"/>
        </w:rPr>
      </w:pPr>
    </w:p>
    <w:p w14:paraId="3F6021C2" w14:textId="77777777" w:rsidR="00471F97" w:rsidRPr="00F1537F" w:rsidRDefault="00471F97" w:rsidP="007445A8">
      <w:pPr>
        <w:numPr>
          <w:ilvl w:val="0"/>
          <w:numId w:val="6"/>
        </w:numPr>
        <w:spacing w:after="0" w:line="240" w:lineRule="auto"/>
        <w:rPr>
          <w:rFonts w:ascii="Times New Roman" w:hAnsi="Times New Roman"/>
          <w:sz w:val="24"/>
          <w:szCs w:val="24"/>
        </w:rPr>
      </w:pPr>
      <w:r w:rsidRPr="00F1537F">
        <w:rPr>
          <w:rFonts w:ascii="Times New Roman" w:hAnsi="Times New Roman"/>
          <w:sz w:val="24"/>
          <w:szCs w:val="24"/>
        </w:rPr>
        <w:t>The application for a small hydropower license, per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4.61(b), includes the following information:</w:t>
      </w:r>
    </w:p>
    <w:p w14:paraId="65FBE3FE"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An initial statement</w:t>
      </w:r>
    </w:p>
    <w:p w14:paraId="0B668349"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Exhibit A:  a description of the proposed hydroelectric facilities and the proposed mode of operation</w:t>
      </w:r>
    </w:p>
    <w:p w14:paraId="76C72C3B"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Exhibit E:  an environmental report</w:t>
      </w:r>
    </w:p>
    <w:p w14:paraId="51F8D3C9"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Exhibit F:  drawings of the hydroelectric structures and equipment</w:t>
      </w:r>
    </w:p>
    <w:p w14:paraId="51E1A5B4"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Exhibit G:  a map of the project and boundary</w:t>
      </w:r>
    </w:p>
    <w:p w14:paraId="589EC281"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Explanation of how and why the project would, or would not, or should not comply with any relevant comprehensive plan, as defined in 18 C</w:t>
      </w:r>
      <w:r w:rsidR="00480D2F" w:rsidRPr="00F1537F">
        <w:rPr>
          <w:rFonts w:ascii="Times New Roman" w:hAnsi="Times New Roman"/>
          <w:sz w:val="24"/>
          <w:szCs w:val="24"/>
        </w:rPr>
        <w:t>.</w:t>
      </w:r>
      <w:r w:rsidRPr="00F1537F">
        <w:rPr>
          <w:rFonts w:ascii="Times New Roman" w:hAnsi="Times New Roman"/>
          <w:sz w:val="24"/>
          <w:szCs w:val="24"/>
        </w:rPr>
        <w:t>F</w:t>
      </w:r>
      <w:r w:rsidR="00480D2F" w:rsidRPr="00F1537F">
        <w:rPr>
          <w:rFonts w:ascii="Times New Roman" w:hAnsi="Times New Roman"/>
          <w:sz w:val="24"/>
          <w:szCs w:val="24"/>
        </w:rPr>
        <w:t>.</w:t>
      </w:r>
      <w:r w:rsidRPr="00F1537F">
        <w:rPr>
          <w:rFonts w:ascii="Times New Roman" w:hAnsi="Times New Roman"/>
          <w:sz w:val="24"/>
          <w:szCs w:val="24"/>
        </w:rPr>
        <w:t>R</w:t>
      </w:r>
      <w:r w:rsidR="00480D2F" w:rsidRPr="00F1537F">
        <w:rPr>
          <w:rFonts w:ascii="Times New Roman" w:hAnsi="Times New Roman"/>
          <w:sz w:val="24"/>
          <w:szCs w:val="24"/>
        </w:rPr>
        <w:t>.</w:t>
      </w:r>
      <w:r w:rsidRPr="00F1537F">
        <w:rPr>
          <w:rFonts w:ascii="Times New Roman" w:hAnsi="Times New Roman"/>
          <w:sz w:val="24"/>
          <w:szCs w:val="24"/>
        </w:rPr>
        <w:t xml:space="preserve"> 2.19</w:t>
      </w:r>
    </w:p>
    <w:p w14:paraId="5D98C014" w14:textId="77777777" w:rsidR="00471F97" w:rsidRPr="00F1537F" w:rsidRDefault="00471F97" w:rsidP="007445A8">
      <w:pPr>
        <w:numPr>
          <w:ilvl w:val="0"/>
          <w:numId w:val="5"/>
        </w:numPr>
        <w:tabs>
          <w:tab w:val="left" w:pos="1080"/>
        </w:tabs>
        <w:spacing w:after="0" w:line="240" w:lineRule="auto"/>
        <w:rPr>
          <w:rFonts w:ascii="Times New Roman" w:hAnsi="Times New Roman"/>
          <w:sz w:val="24"/>
          <w:szCs w:val="24"/>
        </w:rPr>
      </w:pPr>
      <w:r w:rsidRPr="00F1537F">
        <w:rPr>
          <w:rFonts w:ascii="Times New Roman" w:hAnsi="Times New Roman"/>
          <w:sz w:val="24"/>
          <w:szCs w:val="24"/>
        </w:rPr>
        <w:t>A verification statement</w:t>
      </w:r>
    </w:p>
    <w:p w14:paraId="480DAAB6" w14:textId="77777777" w:rsidR="00471F97" w:rsidRPr="00F1537F" w:rsidRDefault="00471F97" w:rsidP="007445A8">
      <w:pPr>
        <w:spacing w:after="0" w:line="240" w:lineRule="auto"/>
        <w:rPr>
          <w:rFonts w:ascii="Times New Roman" w:hAnsi="Times New Roman"/>
          <w:sz w:val="24"/>
          <w:szCs w:val="24"/>
        </w:rPr>
      </w:pPr>
    </w:p>
    <w:p w14:paraId="4F5AF417" w14:textId="77777777" w:rsidR="00471F97" w:rsidRDefault="00471F97" w:rsidP="007445A8">
      <w:pPr>
        <w:numPr>
          <w:ilvl w:val="0"/>
          <w:numId w:val="6"/>
        </w:numPr>
        <w:spacing w:after="0" w:line="240" w:lineRule="auto"/>
        <w:rPr>
          <w:rFonts w:ascii="Times New Roman" w:hAnsi="Times New Roman"/>
          <w:sz w:val="24"/>
          <w:szCs w:val="24"/>
        </w:rPr>
      </w:pPr>
      <w:r w:rsidRPr="00F1537F">
        <w:rPr>
          <w:rFonts w:ascii="Times New Roman" w:hAnsi="Times New Roman"/>
          <w:sz w:val="24"/>
          <w:szCs w:val="24"/>
        </w:rPr>
        <w:t>An application for a 10-MW exemption, per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4.107(b), includes the following information:</w:t>
      </w:r>
    </w:p>
    <w:p w14:paraId="6F52E660" w14:textId="77777777" w:rsidR="00782DCD" w:rsidRPr="00F1537F" w:rsidRDefault="00782DCD" w:rsidP="00782DCD">
      <w:pPr>
        <w:spacing w:after="0" w:line="240" w:lineRule="auto"/>
        <w:ind w:left="720"/>
        <w:rPr>
          <w:rFonts w:ascii="Times New Roman" w:hAnsi="Times New Roman"/>
          <w:sz w:val="24"/>
          <w:szCs w:val="24"/>
        </w:rPr>
      </w:pPr>
    </w:p>
    <w:p w14:paraId="5A5CF0C7" w14:textId="77777777" w:rsidR="00471F97" w:rsidRPr="00F1537F" w:rsidRDefault="00471F97" w:rsidP="007445A8">
      <w:pPr>
        <w:numPr>
          <w:ilvl w:val="0"/>
          <w:numId w:val="4"/>
        </w:numPr>
        <w:tabs>
          <w:tab w:val="left" w:pos="1080"/>
        </w:tabs>
        <w:spacing w:after="0" w:line="240" w:lineRule="auto"/>
        <w:ind w:left="1080"/>
        <w:rPr>
          <w:rFonts w:ascii="Times New Roman" w:hAnsi="Times New Roman"/>
          <w:sz w:val="24"/>
          <w:szCs w:val="24"/>
        </w:rPr>
      </w:pPr>
      <w:r w:rsidRPr="00F1537F">
        <w:rPr>
          <w:rFonts w:ascii="Times New Roman" w:hAnsi="Times New Roman"/>
          <w:sz w:val="24"/>
          <w:szCs w:val="24"/>
        </w:rPr>
        <w:t>An introductory statement</w:t>
      </w:r>
    </w:p>
    <w:p w14:paraId="3A8DDE88" w14:textId="77777777" w:rsidR="00471F97" w:rsidRPr="00F1537F" w:rsidRDefault="00471F97" w:rsidP="007445A8">
      <w:pPr>
        <w:numPr>
          <w:ilvl w:val="0"/>
          <w:numId w:val="4"/>
        </w:numPr>
        <w:tabs>
          <w:tab w:val="left" w:pos="1080"/>
        </w:tabs>
        <w:spacing w:after="0" w:line="240" w:lineRule="auto"/>
        <w:ind w:left="1080"/>
        <w:rPr>
          <w:rFonts w:ascii="Times New Roman" w:hAnsi="Times New Roman"/>
          <w:sz w:val="24"/>
          <w:szCs w:val="24"/>
        </w:rPr>
      </w:pPr>
      <w:r w:rsidRPr="00F1537F">
        <w:rPr>
          <w:rFonts w:ascii="Times New Roman" w:hAnsi="Times New Roman"/>
          <w:sz w:val="24"/>
          <w:szCs w:val="24"/>
        </w:rPr>
        <w:t>Exhibit A:  a description of the 10-MW hydroelectric facilities and the proposed mode of operation</w:t>
      </w:r>
    </w:p>
    <w:p w14:paraId="6F9ED1E2" w14:textId="77777777" w:rsidR="00471F97" w:rsidRPr="00F1537F" w:rsidRDefault="00471F97" w:rsidP="007445A8">
      <w:pPr>
        <w:numPr>
          <w:ilvl w:val="0"/>
          <w:numId w:val="4"/>
        </w:numPr>
        <w:tabs>
          <w:tab w:val="left" w:pos="1080"/>
        </w:tabs>
        <w:spacing w:after="0" w:line="240" w:lineRule="auto"/>
        <w:ind w:left="1080"/>
        <w:rPr>
          <w:rFonts w:ascii="Times New Roman" w:hAnsi="Times New Roman"/>
          <w:sz w:val="24"/>
          <w:szCs w:val="24"/>
        </w:rPr>
      </w:pPr>
      <w:r w:rsidRPr="00F1537F">
        <w:rPr>
          <w:rFonts w:ascii="Times New Roman" w:hAnsi="Times New Roman"/>
          <w:sz w:val="24"/>
          <w:szCs w:val="24"/>
        </w:rPr>
        <w:t>Exhibit E:  an environmental report</w:t>
      </w:r>
    </w:p>
    <w:p w14:paraId="3AE6BA12" w14:textId="77777777" w:rsidR="00471F97" w:rsidRPr="00F1537F" w:rsidRDefault="00471F97" w:rsidP="007445A8">
      <w:pPr>
        <w:numPr>
          <w:ilvl w:val="0"/>
          <w:numId w:val="4"/>
        </w:numPr>
        <w:tabs>
          <w:tab w:val="left" w:pos="1080"/>
        </w:tabs>
        <w:spacing w:after="0" w:line="240" w:lineRule="auto"/>
        <w:ind w:left="1080"/>
        <w:rPr>
          <w:rFonts w:ascii="Times New Roman" w:hAnsi="Times New Roman"/>
          <w:sz w:val="24"/>
          <w:szCs w:val="24"/>
        </w:rPr>
      </w:pPr>
      <w:r w:rsidRPr="00F1537F">
        <w:rPr>
          <w:rFonts w:ascii="Times New Roman" w:hAnsi="Times New Roman"/>
          <w:sz w:val="24"/>
          <w:szCs w:val="24"/>
        </w:rPr>
        <w:t>Exhibit F:  drawings of the hydroelectric structures and equipment</w:t>
      </w:r>
    </w:p>
    <w:p w14:paraId="407D1ED4" w14:textId="77777777" w:rsidR="00471F97" w:rsidRPr="00F1537F" w:rsidRDefault="00471F97" w:rsidP="007445A8">
      <w:pPr>
        <w:numPr>
          <w:ilvl w:val="0"/>
          <w:numId w:val="4"/>
        </w:numPr>
        <w:tabs>
          <w:tab w:val="left" w:pos="1080"/>
        </w:tabs>
        <w:spacing w:after="0" w:line="240" w:lineRule="auto"/>
        <w:ind w:left="1080"/>
        <w:rPr>
          <w:rFonts w:ascii="Times New Roman" w:hAnsi="Times New Roman"/>
          <w:sz w:val="24"/>
          <w:szCs w:val="24"/>
        </w:rPr>
      </w:pPr>
      <w:r w:rsidRPr="00F1537F">
        <w:rPr>
          <w:rFonts w:ascii="Times New Roman" w:hAnsi="Times New Roman"/>
          <w:sz w:val="24"/>
          <w:szCs w:val="24"/>
        </w:rPr>
        <w:t>Exhibit G:  a map of the project and boundary</w:t>
      </w:r>
    </w:p>
    <w:p w14:paraId="1B148023" w14:textId="77777777" w:rsidR="00471F97" w:rsidRPr="00F1537F" w:rsidRDefault="00471F97" w:rsidP="007445A8">
      <w:pPr>
        <w:numPr>
          <w:ilvl w:val="0"/>
          <w:numId w:val="4"/>
        </w:numPr>
        <w:tabs>
          <w:tab w:val="left" w:pos="1080"/>
        </w:tabs>
        <w:spacing w:after="0" w:line="240" w:lineRule="auto"/>
        <w:ind w:left="1080"/>
        <w:rPr>
          <w:rFonts w:ascii="Times New Roman" w:hAnsi="Times New Roman"/>
          <w:sz w:val="24"/>
          <w:szCs w:val="24"/>
        </w:rPr>
      </w:pPr>
      <w:r w:rsidRPr="00F1537F">
        <w:rPr>
          <w:rFonts w:ascii="Times New Roman" w:hAnsi="Times New Roman"/>
          <w:sz w:val="24"/>
          <w:szCs w:val="24"/>
        </w:rPr>
        <w:t>A verification statement</w:t>
      </w:r>
    </w:p>
    <w:p w14:paraId="7C847F60" w14:textId="77777777" w:rsidR="00471F97" w:rsidRPr="00F1537F" w:rsidRDefault="00471F97" w:rsidP="007445A8">
      <w:pPr>
        <w:spacing w:after="0" w:line="240" w:lineRule="auto"/>
        <w:rPr>
          <w:rFonts w:ascii="Times New Roman" w:hAnsi="Times New Roman"/>
          <w:sz w:val="24"/>
          <w:szCs w:val="24"/>
        </w:rPr>
      </w:pPr>
    </w:p>
    <w:p w14:paraId="02177CB7" w14:textId="77777777" w:rsidR="00471F97" w:rsidRPr="00F1537F" w:rsidRDefault="00471F97" w:rsidP="007445A8">
      <w:pPr>
        <w:numPr>
          <w:ilvl w:val="0"/>
          <w:numId w:val="6"/>
        </w:numPr>
        <w:spacing w:after="0" w:line="240" w:lineRule="auto"/>
        <w:rPr>
          <w:rFonts w:ascii="Times New Roman" w:hAnsi="Times New Roman"/>
          <w:sz w:val="24"/>
          <w:szCs w:val="24"/>
        </w:rPr>
      </w:pPr>
      <w:r w:rsidRPr="00F1537F">
        <w:rPr>
          <w:rFonts w:ascii="Times New Roman" w:hAnsi="Times New Roman"/>
          <w:sz w:val="24"/>
          <w:szCs w:val="24"/>
        </w:rPr>
        <w:t>An application for a small conduit exemption,</w:t>
      </w:r>
      <w:r w:rsidRPr="00F1537F">
        <w:rPr>
          <w:rFonts w:ascii="Times New Roman" w:hAnsi="Times New Roman"/>
          <w:sz w:val="24"/>
          <w:szCs w:val="24"/>
          <w:vertAlign w:val="superscript"/>
        </w:rPr>
        <w:t xml:space="preserve"> </w:t>
      </w:r>
      <w:bookmarkStart w:id="1" w:name="_Ref406676969"/>
      <w:r w:rsidRPr="00F1537F">
        <w:rPr>
          <w:rFonts w:ascii="Times New Roman" w:hAnsi="Times New Roman"/>
          <w:b/>
          <w:sz w:val="24"/>
          <w:szCs w:val="24"/>
          <w:vertAlign w:val="superscript"/>
        </w:rPr>
        <w:footnoteReference w:id="8"/>
      </w:r>
      <w:bookmarkEnd w:id="1"/>
      <w:r w:rsidRPr="00F1537F">
        <w:rPr>
          <w:rFonts w:ascii="Times New Roman" w:hAnsi="Times New Roman"/>
          <w:sz w:val="24"/>
          <w:szCs w:val="24"/>
        </w:rPr>
        <w:t xml:space="preserve"> per 18 C</w:t>
      </w:r>
      <w:r w:rsidR="00480D2F" w:rsidRPr="00F1537F">
        <w:rPr>
          <w:rFonts w:ascii="Times New Roman" w:hAnsi="Times New Roman"/>
          <w:sz w:val="24"/>
          <w:szCs w:val="24"/>
        </w:rPr>
        <w:t>.</w:t>
      </w:r>
      <w:r w:rsidRPr="00F1537F">
        <w:rPr>
          <w:rFonts w:ascii="Times New Roman" w:hAnsi="Times New Roman"/>
          <w:sz w:val="24"/>
          <w:szCs w:val="24"/>
        </w:rPr>
        <w:t>F</w:t>
      </w:r>
      <w:r w:rsidR="00480D2F" w:rsidRPr="00F1537F">
        <w:rPr>
          <w:rFonts w:ascii="Times New Roman" w:hAnsi="Times New Roman"/>
          <w:sz w:val="24"/>
          <w:szCs w:val="24"/>
        </w:rPr>
        <w:t>.</w:t>
      </w:r>
      <w:r w:rsidRPr="00F1537F">
        <w:rPr>
          <w:rFonts w:ascii="Times New Roman" w:hAnsi="Times New Roman"/>
          <w:sz w:val="24"/>
          <w:szCs w:val="24"/>
        </w:rPr>
        <w:t>R</w:t>
      </w:r>
      <w:r w:rsidR="00480D2F" w:rsidRPr="00F1537F">
        <w:rPr>
          <w:rFonts w:ascii="Times New Roman" w:hAnsi="Times New Roman"/>
          <w:sz w:val="24"/>
          <w:szCs w:val="24"/>
        </w:rPr>
        <w:t>.</w:t>
      </w:r>
      <w:r w:rsidRPr="00F1537F">
        <w:rPr>
          <w:rFonts w:ascii="Times New Roman" w:hAnsi="Times New Roman"/>
          <w:sz w:val="24"/>
          <w:szCs w:val="24"/>
        </w:rPr>
        <w:t xml:space="preserve"> 4.92, includes the following information:</w:t>
      </w:r>
    </w:p>
    <w:p w14:paraId="5A182F40" w14:textId="77777777" w:rsidR="004C3C5F" w:rsidRPr="00F1537F" w:rsidRDefault="004C3C5F" w:rsidP="007445A8">
      <w:pPr>
        <w:spacing w:after="0" w:line="240" w:lineRule="auto"/>
        <w:ind w:left="720"/>
        <w:rPr>
          <w:rFonts w:ascii="Times New Roman" w:hAnsi="Times New Roman"/>
          <w:sz w:val="24"/>
          <w:szCs w:val="24"/>
        </w:rPr>
      </w:pPr>
    </w:p>
    <w:p w14:paraId="6CD9A1FC" w14:textId="77777777" w:rsidR="00471F97" w:rsidRPr="00F1537F" w:rsidRDefault="00471F97"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An introductory statement</w:t>
      </w:r>
    </w:p>
    <w:p w14:paraId="74283B6D" w14:textId="77777777" w:rsidR="00471F97" w:rsidRPr="00F1537F" w:rsidRDefault="00471F97"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Exhibit A:  a description of the small conduit hydroelectric facilities and the proposed mode of operation</w:t>
      </w:r>
    </w:p>
    <w:p w14:paraId="467CC09B" w14:textId="77777777" w:rsidR="00471F97" w:rsidRPr="00F1537F" w:rsidRDefault="00471F97"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Exhibit E:  an environmental report</w:t>
      </w:r>
    </w:p>
    <w:p w14:paraId="3AF5C576" w14:textId="77777777" w:rsidR="00471F97" w:rsidRPr="00F1537F" w:rsidRDefault="00471F97"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Exhibit F:  drawings of the hydroelectric structures and equipment</w:t>
      </w:r>
    </w:p>
    <w:p w14:paraId="01A520D4" w14:textId="77777777" w:rsidR="00471F97" w:rsidRPr="00F1537F" w:rsidRDefault="00471F97"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Exhibit G:  a map of the project and boundary</w:t>
      </w:r>
    </w:p>
    <w:p w14:paraId="36E91A24" w14:textId="77777777" w:rsidR="00D36922" w:rsidRPr="00F1537F" w:rsidRDefault="00D36922"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Documentary evidence showing that the applicant has the real property interests</w:t>
      </w:r>
    </w:p>
    <w:p w14:paraId="279CA89A" w14:textId="77777777" w:rsidR="00471F97" w:rsidRPr="00F1537F" w:rsidRDefault="00471F97" w:rsidP="007445A8">
      <w:pPr>
        <w:numPr>
          <w:ilvl w:val="0"/>
          <w:numId w:val="3"/>
        </w:numPr>
        <w:spacing w:after="0" w:line="240" w:lineRule="auto"/>
        <w:ind w:left="1080"/>
        <w:rPr>
          <w:rFonts w:ascii="Times New Roman" w:hAnsi="Times New Roman"/>
          <w:sz w:val="24"/>
          <w:szCs w:val="24"/>
        </w:rPr>
      </w:pPr>
      <w:r w:rsidRPr="00F1537F">
        <w:rPr>
          <w:rFonts w:ascii="Times New Roman" w:hAnsi="Times New Roman"/>
          <w:sz w:val="24"/>
          <w:szCs w:val="24"/>
        </w:rPr>
        <w:t>A verification statement</w:t>
      </w:r>
    </w:p>
    <w:p w14:paraId="3FFCF2DD" w14:textId="77777777" w:rsidR="00471F97" w:rsidRPr="00F1537F" w:rsidRDefault="00471F97" w:rsidP="007445A8">
      <w:pPr>
        <w:spacing w:after="0" w:line="240" w:lineRule="auto"/>
        <w:rPr>
          <w:rFonts w:ascii="Times New Roman" w:hAnsi="Times New Roman"/>
          <w:sz w:val="24"/>
          <w:szCs w:val="24"/>
        </w:rPr>
      </w:pPr>
    </w:p>
    <w:p w14:paraId="65FDD6BC" w14:textId="77777777" w:rsidR="00471F97" w:rsidRPr="00F1537F" w:rsidRDefault="00471F97" w:rsidP="007445A8">
      <w:pPr>
        <w:spacing w:after="0" w:line="240" w:lineRule="auto"/>
        <w:rPr>
          <w:rFonts w:ascii="Times New Roman" w:hAnsi="Times New Roman"/>
          <w:i/>
          <w:sz w:val="24"/>
          <w:szCs w:val="24"/>
        </w:rPr>
      </w:pPr>
      <w:r w:rsidRPr="00F1537F">
        <w:rPr>
          <w:rFonts w:ascii="Times New Roman" w:hAnsi="Times New Roman"/>
          <w:i/>
          <w:sz w:val="24"/>
          <w:szCs w:val="24"/>
        </w:rPr>
        <w:t>Qualifying Conduit Hydropower Facilities</w:t>
      </w:r>
    </w:p>
    <w:p w14:paraId="5623CAF4" w14:textId="77777777" w:rsidR="00471F97" w:rsidRPr="00F1537F" w:rsidRDefault="00471F97" w:rsidP="007445A8">
      <w:pPr>
        <w:spacing w:after="0" w:line="240" w:lineRule="auto"/>
        <w:rPr>
          <w:rFonts w:ascii="Times New Roman" w:hAnsi="Times New Roman"/>
          <w:i/>
          <w:sz w:val="24"/>
          <w:szCs w:val="24"/>
        </w:rPr>
      </w:pPr>
    </w:p>
    <w:p w14:paraId="362DD89E" w14:textId="77777777" w:rsidR="00471F97" w:rsidRPr="00F1537F" w:rsidRDefault="00471F97" w:rsidP="007445A8">
      <w:pPr>
        <w:spacing w:after="0" w:line="240" w:lineRule="auto"/>
        <w:rPr>
          <w:rFonts w:ascii="Times New Roman" w:hAnsi="Times New Roman"/>
          <w:sz w:val="24"/>
          <w:szCs w:val="24"/>
          <w:vertAlign w:val="superscript"/>
        </w:rPr>
      </w:pPr>
      <w:r w:rsidRPr="00F1537F">
        <w:rPr>
          <w:rFonts w:ascii="Times New Roman" w:hAnsi="Times New Roman"/>
          <w:sz w:val="24"/>
          <w:szCs w:val="24"/>
        </w:rPr>
        <w:t>A notice of intent to construct a qualifying conduit hydropower facility, per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4.401, includes the following information:</w:t>
      </w:r>
      <w:r w:rsidRPr="00F1537F" w:rsidDel="007320FE">
        <w:rPr>
          <w:rFonts w:ascii="Times New Roman" w:hAnsi="Times New Roman"/>
          <w:sz w:val="24"/>
          <w:szCs w:val="24"/>
          <w:vertAlign w:val="superscript"/>
        </w:rPr>
        <w:t xml:space="preserve"> </w:t>
      </w:r>
      <w:r w:rsidRPr="00F1537F">
        <w:rPr>
          <w:rStyle w:val="FootnoteReference"/>
          <w:rFonts w:ascii="Times New Roman" w:hAnsi="Times New Roman"/>
          <w:b/>
          <w:sz w:val="24"/>
          <w:szCs w:val="24"/>
          <w:vertAlign w:val="superscript"/>
        </w:rPr>
        <w:footnoteReference w:id="9"/>
      </w:r>
    </w:p>
    <w:p w14:paraId="17DC0768" w14:textId="77777777" w:rsidR="004C3C5F" w:rsidRPr="00F1537F" w:rsidRDefault="004C3C5F" w:rsidP="007445A8">
      <w:pPr>
        <w:spacing w:after="0" w:line="240" w:lineRule="auto"/>
        <w:rPr>
          <w:rFonts w:ascii="Times New Roman" w:hAnsi="Times New Roman"/>
          <w:sz w:val="24"/>
          <w:szCs w:val="24"/>
        </w:rPr>
      </w:pPr>
    </w:p>
    <w:p w14:paraId="6F14EABC"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An introductory statement</w:t>
      </w:r>
    </w:p>
    <w:p w14:paraId="107E12DB"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A statement that the proposed facility will use the hydroelectric potential of a non-federally owned conduit</w:t>
      </w:r>
    </w:p>
    <w:p w14:paraId="4FA6060B"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A statement that the proposed facility has not been licensed or exempted from the licensing requirements of Part I of the FPA on or before August 9, 2013</w:t>
      </w:r>
    </w:p>
    <w:p w14:paraId="2F42AD76"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A description of the proposed facility</w:t>
      </w:r>
    </w:p>
    <w:p w14:paraId="2C055D10"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Drawings of the proposed facility</w:t>
      </w:r>
    </w:p>
    <w:p w14:paraId="64CFF671"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If applicable, the preliminary permit project number</w:t>
      </w:r>
    </w:p>
    <w:p w14:paraId="192E3FC5" w14:textId="77777777" w:rsidR="00471F97" w:rsidRPr="00F1537F" w:rsidRDefault="00471F97" w:rsidP="007445A8">
      <w:pPr>
        <w:numPr>
          <w:ilvl w:val="0"/>
          <w:numId w:val="2"/>
        </w:numPr>
        <w:spacing w:after="0" w:line="240" w:lineRule="auto"/>
        <w:ind w:left="1080"/>
        <w:rPr>
          <w:rFonts w:ascii="Times New Roman" w:hAnsi="Times New Roman"/>
          <w:sz w:val="24"/>
          <w:szCs w:val="24"/>
        </w:rPr>
      </w:pPr>
      <w:r w:rsidRPr="00F1537F">
        <w:rPr>
          <w:rFonts w:ascii="Times New Roman" w:hAnsi="Times New Roman"/>
          <w:sz w:val="24"/>
          <w:szCs w:val="24"/>
        </w:rPr>
        <w:t>A verification statement</w:t>
      </w:r>
    </w:p>
    <w:p w14:paraId="1E511F91" w14:textId="77777777" w:rsidR="004C3C5F" w:rsidRPr="00F1537F" w:rsidRDefault="004C3C5F" w:rsidP="007445A8">
      <w:pPr>
        <w:spacing w:after="0" w:line="240" w:lineRule="auto"/>
        <w:ind w:left="1080"/>
        <w:rPr>
          <w:rFonts w:ascii="Times New Roman" w:hAnsi="Times New Roman"/>
          <w:sz w:val="24"/>
          <w:szCs w:val="24"/>
        </w:rPr>
      </w:pPr>
    </w:p>
    <w:p w14:paraId="2934BD9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Commission staff uses the information to determine if the proposed facility meets the qualifying criteria discussed above.   </w:t>
      </w:r>
    </w:p>
    <w:p w14:paraId="675A215F" w14:textId="77777777" w:rsidR="00471F97" w:rsidRPr="00F1537F" w:rsidRDefault="00471F97" w:rsidP="007445A8">
      <w:pPr>
        <w:spacing w:line="240" w:lineRule="auto"/>
        <w:rPr>
          <w:rFonts w:ascii="Times New Roman" w:hAnsi="Times New Roman"/>
          <w:sz w:val="24"/>
          <w:szCs w:val="24"/>
        </w:rPr>
      </w:pPr>
    </w:p>
    <w:p w14:paraId="07BF1959" w14:textId="77777777" w:rsidR="00471F97" w:rsidRPr="00F1537F" w:rsidRDefault="00471F97"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493C2B05" w14:textId="77777777" w:rsidR="00471F97" w:rsidRPr="00F1537F" w:rsidRDefault="00471F97" w:rsidP="007445A8">
      <w:pPr>
        <w:spacing w:after="0" w:line="240" w:lineRule="auto"/>
        <w:rPr>
          <w:rFonts w:ascii="Times New Roman" w:hAnsi="Times New Roman"/>
          <w:sz w:val="24"/>
          <w:szCs w:val="24"/>
        </w:rPr>
      </w:pPr>
    </w:p>
    <w:p w14:paraId="244B47CB"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FERC continually considers the use of improved information technology to reduce burden in the filing requirements for submission of information.</w:t>
      </w:r>
    </w:p>
    <w:p w14:paraId="770DFC94" w14:textId="77777777" w:rsidR="00F0627E" w:rsidRPr="00F1537F" w:rsidRDefault="00F0627E" w:rsidP="007445A8">
      <w:pPr>
        <w:tabs>
          <w:tab w:val="left" w:pos="2508"/>
        </w:tabs>
        <w:spacing w:after="0" w:line="240" w:lineRule="auto"/>
        <w:rPr>
          <w:rFonts w:ascii="Times New Roman" w:hAnsi="Times New Roman"/>
          <w:sz w:val="24"/>
          <w:szCs w:val="24"/>
        </w:rPr>
      </w:pPr>
      <w:r w:rsidRPr="00F1537F">
        <w:rPr>
          <w:rFonts w:ascii="Times New Roman" w:hAnsi="Times New Roman"/>
          <w:sz w:val="24"/>
          <w:szCs w:val="24"/>
        </w:rPr>
        <w:tab/>
      </w:r>
    </w:p>
    <w:p w14:paraId="6E9F9EB1" w14:textId="77777777" w:rsidR="00471F97"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The Commission allows eFiling for the FERC-505 application.</w:t>
      </w:r>
    </w:p>
    <w:p w14:paraId="7C97DFE9"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6975F856" w14:textId="77777777" w:rsidR="00F0627E" w:rsidRPr="00F1537F" w:rsidRDefault="00F0627E" w:rsidP="007445A8">
      <w:pPr>
        <w:spacing w:after="0" w:line="240" w:lineRule="auto"/>
        <w:rPr>
          <w:rFonts w:ascii="Times New Roman" w:hAnsi="Times New Roman"/>
          <w:sz w:val="24"/>
          <w:szCs w:val="24"/>
        </w:rPr>
      </w:pPr>
    </w:p>
    <w:p w14:paraId="6DC4DD79" w14:textId="77777777" w:rsidR="00F0627E" w:rsidRPr="00F1537F"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r w:rsidR="00F0627E" w:rsidRPr="00F1537F">
        <w:rPr>
          <w:rFonts w:ascii="Times New Roman" w:hAnsi="Times New Roman"/>
          <w:sz w:val="24"/>
          <w:szCs w:val="24"/>
        </w:rPr>
        <w:t>No similar information is available; these are case-specific applications for a benefit (e.g., license or permit) and are unique to the applicant and the site for which the filing is made.</w:t>
      </w:r>
    </w:p>
    <w:p w14:paraId="347149D1" w14:textId="77777777" w:rsidR="00F0627E" w:rsidRPr="00F1537F" w:rsidRDefault="00F0627E" w:rsidP="007445A8">
      <w:pPr>
        <w:spacing w:after="0" w:line="240" w:lineRule="auto"/>
        <w:rPr>
          <w:rFonts w:ascii="Times New Roman" w:hAnsi="Times New Roman"/>
          <w:sz w:val="24"/>
          <w:szCs w:val="24"/>
        </w:rPr>
      </w:pPr>
    </w:p>
    <w:p w14:paraId="7929AF43"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4F35A376" w14:textId="77777777" w:rsidR="00F0627E" w:rsidRPr="00F1537F" w:rsidRDefault="00F0627E" w:rsidP="007445A8">
      <w:pPr>
        <w:spacing w:after="0" w:line="240" w:lineRule="auto"/>
        <w:rPr>
          <w:rFonts w:ascii="Times New Roman" w:hAnsi="Times New Roman"/>
          <w:sz w:val="24"/>
          <w:szCs w:val="24"/>
        </w:rPr>
      </w:pPr>
    </w:p>
    <w:p w14:paraId="57CCC51A"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 FERC-505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entities have streamlined filing requirements.  The Commission is able to expedite the process for small, low-impact hydropower projects in the following ways:</w:t>
      </w:r>
    </w:p>
    <w:p w14:paraId="65B24B1D"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waive some pre-filing consultation requirements (with resource agency cooperation); </w:t>
      </w:r>
    </w:p>
    <w:p w14:paraId="03F87B1E"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combine environmental scoping with pre-filing consultation; </w:t>
      </w:r>
    </w:p>
    <w:p w14:paraId="6E97F0BB"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combine public noticing requirements; </w:t>
      </w:r>
    </w:p>
    <w:p w14:paraId="55FB3709"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shorten comment periods; </w:t>
      </w:r>
    </w:p>
    <w:p w14:paraId="217B2CE9"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coordinate with resource agencies to obtain their final terms and conditions before we issue an environmental assessment, instead of the customary preliminary and final versions; </w:t>
      </w:r>
    </w:p>
    <w:p w14:paraId="0D76BBEB"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use 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1F13CE9C"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issue the order on the same day as the environmental assessment.</w:t>
      </w:r>
    </w:p>
    <w:p w14:paraId="55E9FEE7" w14:textId="77777777" w:rsidR="00F0627E" w:rsidRPr="00F1537F" w:rsidRDefault="00F0627E" w:rsidP="007445A8">
      <w:p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0CE4C1A8"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3EE6066D" w14:textId="77777777" w:rsidR="00F0627E" w:rsidRPr="00F1537F" w:rsidRDefault="00F0627E" w:rsidP="007445A8">
      <w:pPr>
        <w:spacing w:after="0" w:line="240" w:lineRule="auto"/>
        <w:rPr>
          <w:rFonts w:ascii="Times New Roman" w:hAnsi="Times New Roman"/>
          <w:sz w:val="24"/>
          <w:szCs w:val="24"/>
        </w:rPr>
      </w:pPr>
    </w:p>
    <w:p w14:paraId="19914683"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If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p>
    <w:p w14:paraId="754ACAEE" w14:textId="77777777" w:rsidR="00F0627E" w:rsidRPr="00F1537F" w:rsidRDefault="00F0627E" w:rsidP="007445A8">
      <w:pPr>
        <w:spacing w:after="0" w:line="240" w:lineRule="auto"/>
        <w:rPr>
          <w:rFonts w:ascii="Times New Roman" w:hAnsi="Times New Roman"/>
          <w:sz w:val="24"/>
          <w:szCs w:val="24"/>
        </w:rPr>
      </w:pPr>
    </w:p>
    <w:p w14:paraId="51580745"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391BB0D1" w14:textId="77777777" w:rsidR="00F0627E" w:rsidRPr="00F1537F" w:rsidRDefault="00F0627E" w:rsidP="007445A8">
      <w:pPr>
        <w:spacing w:after="0" w:line="240" w:lineRule="auto"/>
        <w:rPr>
          <w:rFonts w:ascii="Times New Roman" w:hAnsi="Times New Roman"/>
          <w:sz w:val="24"/>
          <w:szCs w:val="24"/>
        </w:rPr>
      </w:pPr>
    </w:p>
    <w:p w14:paraId="765B1817"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1FB82637" w14:textId="77777777" w:rsidR="00F0627E" w:rsidRPr="00F1537F" w:rsidRDefault="00F0627E" w:rsidP="007445A8">
      <w:pPr>
        <w:spacing w:after="0" w:line="240" w:lineRule="auto"/>
        <w:rPr>
          <w:rFonts w:ascii="Times New Roman" w:hAnsi="Times New Roman"/>
          <w:sz w:val="24"/>
          <w:szCs w:val="24"/>
        </w:rPr>
      </w:pPr>
    </w:p>
    <w:p w14:paraId="769EC932"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44996C5D" w14:textId="77777777" w:rsidR="00F0627E" w:rsidRPr="00F1537F" w:rsidRDefault="00F0627E" w:rsidP="007445A8">
      <w:pPr>
        <w:spacing w:after="0" w:line="240" w:lineRule="auto"/>
        <w:rPr>
          <w:rFonts w:ascii="Times New Roman" w:hAnsi="Times New Roman"/>
          <w:sz w:val="24"/>
          <w:szCs w:val="24"/>
        </w:rPr>
      </w:pPr>
    </w:p>
    <w:p w14:paraId="4CDF0686" w14:textId="77777777" w:rsidR="00590632" w:rsidRPr="00F1537F" w:rsidRDefault="00590632" w:rsidP="007445A8">
      <w:pPr>
        <w:spacing w:line="240" w:lineRule="auto"/>
        <w:rPr>
          <w:rFonts w:ascii="Times New Roman" w:hAnsi="Times New Roman"/>
          <w:sz w:val="24"/>
          <w:szCs w:val="24"/>
        </w:rPr>
      </w:pPr>
      <w:r w:rsidRPr="00F1537F">
        <w:rPr>
          <w:rFonts w:ascii="Times New Roman" w:hAnsi="Times New Roman"/>
          <w:sz w:val="24"/>
          <w:szCs w:val="24"/>
        </w:rPr>
        <w:t>In accordance with OMB requirements, the Commission published a 60-day notice</w:t>
      </w:r>
      <w:r w:rsidRPr="00F60F4E">
        <w:rPr>
          <w:rFonts w:ascii="Times New Roman" w:hAnsi="Times New Roman"/>
          <w:b/>
          <w:sz w:val="24"/>
          <w:szCs w:val="24"/>
          <w:vertAlign w:val="superscript"/>
        </w:rPr>
        <w:footnoteReference w:id="10"/>
      </w:r>
      <w:r w:rsidRPr="00F1537F">
        <w:rPr>
          <w:rFonts w:ascii="Times New Roman" w:hAnsi="Times New Roman"/>
          <w:sz w:val="24"/>
          <w:szCs w:val="24"/>
        </w:rPr>
        <w:t xml:space="preserve"> and a 30-day notice</w:t>
      </w:r>
      <w:r w:rsidRPr="00F60F4E">
        <w:rPr>
          <w:rFonts w:ascii="Times New Roman" w:hAnsi="Times New Roman"/>
          <w:b/>
          <w:sz w:val="24"/>
          <w:szCs w:val="24"/>
          <w:vertAlign w:val="superscript"/>
        </w:rPr>
        <w:footnoteReference w:id="11"/>
      </w:r>
      <w:r w:rsidRPr="00F60F4E">
        <w:rPr>
          <w:rFonts w:ascii="Times New Roman" w:hAnsi="Times New Roman"/>
          <w:b/>
          <w:sz w:val="24"/>
          <w:szCs w:val="24"/>
        </w:rPr>
        <w:t xml:space="preserve"> </w:t>
      </w:r>
      <w:r w:rsidRPr="00F1537F">
        <w:rPr>
          <w:rFonts w:ascii="Times New Roman" w:hAnsi="Times New Roman"/>
          <w:sz w:val="24"/>
          <w:szCs w:val="24"/>
        </w:rPr>
        <w:t xml:space="preserve">to the public regarding this information collection on </w:t>
      </w:r>
      <w:r w:rsidR="00395E45">
        <w:rPr>
          <w:rFonts w:ascii="Times New Roman" w:hAnsi="Times New Roman"/>
          <w:sz w:val="24"/>
          <w:szCs w:val="24"/>
        </w:rPr>
        <w:t xml:space="preserve">October 4, </w:t>
      </w:r>
      <w:r w:rsidRPr="00F1537F">
        <w:rPr>
          <w:rFonts w:ascii="Times New Roman" w:hAnsi="Times New Roman"/>
          <w:sz w:val="24"/>
          <w:szCs w:val="24"/>
        </w:rPr>
        <w:t xml:space="preserve">2017 and </w:t>
      </w:r>
      <w:r w:rsidR="00395E45">
        <w:rPr>
          <w:rFonts w:ascii="Times New Roman" w:hAnsi="Times New Roman"/>
          <w:sz w:val="24"/>
          <w:szCs w:val="24"/>
        </w:rPr>
        <w:t xml:space="preserve">December 26, </w:t>
      </w:r>
      <w:r w:rsidRPr="00F1537F">
        <w:rPr>
          <w:rFonts w:ascii="Times New Roman" w:hAnsi="Times New Roman"/>
          <w:sz w:val="24"/>
          <w:szCs w:val="24"/>
        </w:rPr>
        <w:t>2017</w:t>
      </w:r>
      <w:r w:rsidR="00395E45">
        <w:rPr>
          <w:rFonts w:ascii="Times New Roman" w:hAnsi="Times New Roman"/>
          <w:sz w:val="24"/>
          <w:szCs w:val="24"/>
        </w:rPr>
        <w:t>,</w:t>
      </w:r>
      <w:r w:rsidRPr="00F1537F">
        <w:rPr>
          <w:rFonts w:ascii="Times New Roman" w:hAnsi="Times New Roman"/>
          <w:sz w:val="24"/>
          <w:szCs w:val="24"/>
        </w:rPr>
        <w:t xml:space="preserve"> respectively.  Within the public notices, the Commission noted that it would be requesting a three-year extension of the public reporting burden.  </w:t>
      </w:r>
    </w:p>
    <w:p w14:paraId="230A1B3F" w14:textId="77777777" w:rsidR="00590632" w:rsidRPr="00F1537F" w:rsidRDefault="00590632" w:rsidP="007445A8">
      <w:pPr>
        <w:pStyle w:val="ListParagraph"/>
        <w:spacing w:after="0" w:line="240" w:lineRule="auto"/>
        <w:ind w:left="0"/>
        <w:rPr>
          <w:rFonts w:ascii="Times New Roman" w:hAnsi="Times New Roman"/>
          <w:sz w:val="24"/>
          <w:szCs w:val="24"/>
        </w:rPr>
      </w:pPr>
      <w:r w:rsidRPr="00F1537F">
        <w:rPr>
          <w:rFonts w:ascii="Times New Roman" w:hAnsi="Times New Roman"/>
          <w:sz w:val="24"/>
          <w:szCs w:val="24"/>
        </w:rPr>
        <w:t>The Commission received no comments in response to either of these notices.</w:t>
      </w:r>
    </w:p>
    <w:p w14:paraId="55C40E30" w14:textId="77777777" w:rsidR="00590632" w:rsidRPr="00F1537F" w:rsidRDefault="00590632" w:rsidP="007445A8">
      <w:pPr>
        <w:pStyle w:val="ListParagraph"/>
        <w:spacing w:after="0" w:line="240" w:lineRule="auto"/>
        <w:ind w:left="0"/>
        <w:rPr>
          <w:rFonts w:ascii="Times New Roman" w:hAnsi="Times New Roman"/>
          <w:b/>
          <w:sz w:val="24"/>
          <w:szCs w:val="24"/>
        </w:rPr>
      </w:pPr>
    </w:p>
    <w:p w14:paraId="5D611A28"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71355EC0" w14:textId="77777777" w:rsidR="00F0627E" w:rsidRPr="00F1537F" w:rsidRDefault="00F0627E" w:rsidP="007445A8">
      <w:pPr>
        <w:spacing w:after="0" w:line="240" w:lineRule="auto"/>
        <w:rPr>
          <w:rFonts w:ascii="Times New Roman" w:hAnsi="Times New Roman"/>
          <w:sz w:val="24"/>
          <w:szCs w:val="24"/>
        </w:rPr>
      </w:pPr>
    </w:p>
    <w:p w14:paraId="2780CD0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134596E1" w14:textId="77777777" w:rsidR="00F0627E" w:rsidRPr="00F1537F" w:rsidRDefault="00F0627E" w:rsidP="007445A8">
      <w:pPr>
        <w:spacing w:after="0" w:line="240" w:lineRule="auto"/>
        <w:rPr>
          <w:rFonts w:ascii="Times New Roman" w:hAnsi="Times New Roman"/>
          <w:sz w:val="24"/>
          <w:szCs w:val="24"/>
        </w:rPr>
      </w:pPr>
    </w:p>
    <w:p w14:paraId="6FB9DE59"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4893E768" w14:textId="77777777" w:rsidR="00F0627E" w:rsidRPr="00F1537F" w:rsidRDefault="00F0627E" w:rsidP="007445A8">
      <w:pPr>
        <w:spacing w:after="0" w:line="240" w:lineRule="auto"/>
        <w:rPr>
          <w:rFonts w:ascii="Times New Roman" w:hAnsi="Times New Roman"/>
          <w:sz w:val="24"/>
          <w:szCs w:val="24"/>
        </w:rPr>
      </w:pPr>
    </w:p>
    <w:p w14:paraId="6D2149FC"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2"/>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31203425" w14:textId="77777777" w:rsidR="00F0627E" w:rsidRPr="00F1537F" w:rsidRDefault="00F0627E" w:rsidP="007445A8">
      <w:pPr>
        <w:spacing w:after="0" w:line="240" w:lineRule="auto"/>
        <w:rPr>
          <w:rFonts w:ascii="Times New Roman" w:hAnsi="Times New Roman"/>
          <w:sz w:val="24"/>
          <w:szCs w:val="24"/>
        </w:rPr>
      </w:pPr>
    </w:p>
    <w:p w14:paraId="3B7D42FD" w14:textId="77777777" w:rsidR="00F0627E" w:rsidRPr="00F1537F" w:rsidRDefault="00F0627E" w:rsidP="007445A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4F7FABB1" w14:textId="77777777" w:rsidR="00F0627E" w:rsidRPr="00F1537F" w:rsidRDefault="00F0627E" w:rsidP="007445A8">
      <w:pPr>
        <w:spacing w:after="0" w:line="240" w:lineRule="auto"/>
        <w:rPr>
          <w:rFonts w:ascii="Times New Roman" w:hAnsi="Times New Roman"/>
          <w:sz w:val="24"/>
          <w:szCs w:val="24"/>
        </w:rPr>
      </w:pPr>
    </w:p>
    <w:p w14:paraId="6FEA7F96"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122D98FA" w14:textId="77777777" w:rsidR="00F0627E" w:rsidRPr="00F1537F" w:rsidRDefault="00F0627E" w:rsidP="007445A8">
      <w:pPr>
        <w:spacing w:after="0" w:line="240" w:lineRule="auto"/>
        <w:rPr>
          <w:rFonts w:ascii="Times New Roman" w:hAnsi="Times New Roman"/>
          <w:sz w:val="24"/>
          <w:szCs w:val="24"/>
        </w:rPr>
      </w:pPr>
    </w:p>
    <w:p w14:paraId="7A526F7B" w14:textId="77777777" w:rsidR="00F0627E" w:rsidRPr="00F1537F" w:rsidRDefault="00F0627E" w:rsidP="007445A8">
      <w:pPr>
        <w:pStyle w:val="ListParagraph"/>
        <w:numPr>
          <w:ilvl w:val="0"/>
          <w:numId w:val="1"/>
        </w:numPr>
        <w:spacing w:after="0" w:line="240" w:lineRule="auto"/>
        <w:ind w:left="0" w:firstLine="0"/>
        <w:rPr>
          <w:rFonts w:ascii="Times New Roman" w:hAnsi="Times New Roman"/>
          <w:sz w:val="24"/>
          <w:szCs w:val="24"/>
        </w:rPr>
      </w:pPr>
      <w:r w:rsidRPr="00F1537F">
        <w:rPr>
          <w:rFonts w:ascii="Times New Roman" w:hAnsi="Times New Roman"/>
          <w:b/>
          <w:sz w:val="24"/>
          <w:szCs w:val="24"/>
        </w:rPr>
        <w:t>ESTIMATED BURDEN OF COLLECTION OF INFORMATION</w:t>
      </w:r>
    </w:p>
    <w:p w14:paraId="478BB885" w14:textId="77777777" w:rsidR="00200CB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00CB5" w:rsidRPr="00F1537F" w14:paraId="6FB56A83" w14:textId="77777777" w:rsidTr="00E350A3">
        <w:trPr>
          <w:cantSplit/>
        </w:trPr>
        <w:tc>
          <w:tcPr>
            <w:tcW w:w="5000" w:type="pct"/>
            <w:gridSpan w:val="7"/>
            <w:tcBorders>
              <w:bottom w:val="single" w:sz="4" w:space="0" w:color="auto"/>
            </w:tcBorders>
            <w:shd w:val="clear" w:color="auto" w:fill="D9D9D9"/>
          </w:tcPr>
          <w:p w14:paraId="5632A374"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 (</w:t>
            </w:r>
            <w:r w:rsidRPr="00F1537F">
              <w:rPr>
                <w:rFonts w:ascii="Times New Roman" w:eastAsia="Times New Roman" w:hAnsi="Times New Roman"/>
                <w:b/>
                <w:sz w:val="24"/>
                <w:szCs w:val="24"/>
              </w:rPr>
              <w:t>Small Hydropower Projects and Conduit Facilities including License/Relicense, Exemption, and Qualifying Conduit Facility Determination</w:t>
            </w:r>
            <w:r w:rsidRPr="00F1537F">
              <w:rPr>
                <w:rFonts w:ascii="Times New Roman" w:hAnsi="Times New Roman"/>
                <w:b/>
                <w:sz w:val="24"/>
                <w:szCs w:val="24"/>
              </w:rPr>
              <w:t>)</w:t>
            </w:r>
          </w:p>
        </w:tc>
      </w:tr>
      <w:tr w:rsidR="00200CB5" w:rsidRPr="00F1537F" w14:paraId="2973F449" w14:textId="77777777" w:rsidTr="00E350A3">
        <w:trPr>
          <w:cantSplit/>
        </w:trPr>
        <w:tc>
          <w:tcPr>
            <w:tcW w:w="878" w:type="pct"/>
            <w:shd w:val="clear" w:color="auto" w:fill="D9D9D9"/>
          </w:tcPr>
          <w:p w14:paraId="1DC40779" w14:textId="77777777" w:rsidR="00200CB5" w:rsidRPr="00F1537F" w:rsidRDefault="00200CB5" w:rsidP="007445A8">
            <w:pPr>
              <w:spacing w:after="0" w:line="240" w:lineRule="auto"/>
              <w:jc w:val="center"/>
              <w:rPr>
                <w:rFonts w:ascii="Times New Roman" w:hAnsi="Times New Roman"/>
                <w:b/>
                <w:sz w:val="24"/>
                <w:szCs w:val="24"/>
              </w:rPr>
            </w:pPr>
          </w:p>
        </w:tc>
        <w:tc>
          <w:tcPr>
            <w:tcW w:w="746" w:type="pct"/>
            <w:shd w:val="clear" w:color="auto" w:fill="D9D9D9"/>
            <w:vAlign w:val="bottom"/>
          </w:tcPr>
          <w:p w14:paraId="045F6562"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Number of Respondents</w:t>
            </w:r>
            <w:r w:rsidRPr="00F1537F">
              <w:rPr>
                <w:rFonts w:ascii="Times New Roman" w:hAnsi="Times New Roman"/>
                <w:b/>
                <w:sz w:val="24"/>
                <w:szCs w:val="24"/>
              </w:rPr>
              <w:br/>
              <w:t>(1)</w:t>
            </w:r>
          </w:p>
        </w:tc>
        <w:tc>
          <w:tcPr>
            <w:tcW w:w="746" w:type="pct"/>
            <w:shd w:val="clear" w:color="auto" w:fill="D9D9D9"/>
            <w:vAlign w:val="bottom"/>
          </w:tcPr>
          <w:p w14:paraId="5AC10B76"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Annual Number of Responses per Respondent</w:t>
            </w:r>
          </w:p>
          <w:p w14:paraId="3AE183D0"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(2)</w:t>
            </w:r>
          </w:p>
        </w:tc>
        <w:tc>
          <w:tcPr>
            <w:tcW w:w="703" w:type="pct"/>
            <w:shd w:val="clear" w:color="auto" w:fill="D9D9D9"/>
            <w:vAlign w:val="bottom"/>
          </w:tcPr>
          <w:p w14:paraId="788A8326"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Number of Responses (1)*(2)=(3)</w:t>
            </w:r>
          </w:p>
        </w:tc>
        <w:tc>
          <w:tcPr>
            <w:tcW w:w="654" w:type="pct"/>
            <w:shd w:val="clear" w:color="auto" w:fill="D9D9D9"/>
            <w:vAlign w:val="bottom"/>
          </w:tcPr>
          <w:p w14:paraId="74D638AB"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Average Burden</w:t>
            </w:r>
            <w:r w:rsidR="003D08BB" w:rsidRPr="00F1537F">
              <w:rPr>
                <w:rStyle w:val="FootnoteReference"/>
                <w:rFonts w:ascii="Times New Roman" w:hAnsi="Times New Roman"/>
                <w:b/>
                <w:sz w:val="24"/>
                <w:szCs w:val="24"/>
                <w:vertAlign w:val="superscript"/>
              </w:rPr>
              <w:footnoteReference w:id="13"/>
            </w:r>
            <w:r w:rsidRPr="00F1537F">
              <w:rPr>
                <w:rFonts w:ascii="Times New Roman" w:hAnsi="Times New Roman"/>
                <w:b/>
                <w:sz w:val="24"/>
                <w:szCs w:val="24"/>
              </w:rPr>
              <w:t xml:space="preserve"> &amp; Cost Per Response</w:t>
            </w:r>
          </w:p>
          <w:p w14:paraId="5948FFAA"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(4)</w:t>
            </w:r>
          </w:p>
        </w:tc>
        <w:tc>
          <w:tcPr>
            <w:tcW w:w="657" w:type="pct"/>
            <w:shd w:val="clear" w:color="auto" w:fill="D9D9D9"/>
            <w:vAlign w:val="bottom"/>
          </w:tcPr>
          <w:p w14:paraId="60850D39"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Annual Burden &amp; Total Annual Cost</w:t>
            </w:r>
          </w:p>
          <w:p w14:paraId="6B593632"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(3)*(4)=(5)</w:t>
            </w:r>
          </w:p>
        </w:tc>
        <w:tc>
          <w:tcPr>
            <w:tcW w:w="616" w:type="pct"/>
            <w:shd w:val="clear" w:color="auto" w:fill="D9D9D9"/>
            <w:vAlign w:val="bottom"/>
          </w:tcPr>
          <w:p w14:paraId="58810AFB"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Cost per Respondent</w:t>
            </w:r>
          </w:p>
          <w:p w14:paraId="698F31E6"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 xml:space="preserve"> ($)</w:t>
            </w:r>
          </w:p>
          <w:p w14:paraId="357A21EB" w14:textId="77777777" w:rsidR="00200CB5" w:rsidRPr="00F1537F" w:rsidRDefault="00200CB5"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(5)÷(1)</w:t>
            </w:r>
          </w:p>
        </w:tc>
      </w:tr>
      <w:tr w:rsidR="00200CB5" w:rsidRPr="00F1537F" w14:paraId="793F8E34" w14:textId="77777777" w:rsidTr="00E350A3">
        <w:trPr>
          <w:cantSplit/>
        </w:trPr>
        <w:tc>
          <w:tcPr>
            <w:tcW w:w="878" w:type="pct"/>
          </w:tcPr>
          <w:p w14:paraId="606F6C09" w14:textId="77777777" w:rsidR="00200CB5" w:rsidRPr="00F1537F" w:rsidRDefault="00200CB5" w:rsidP="007445A8">
            <w:pPr>
              <w:spacing w:after="0" w:line="240" w:lineRule="auto"/>
              <w:rPr>
                <w:rFonts w:ascii="Times New Roman" w:hAnsi="Times New Roman"/>
                <w:sz w:val="24"/>
                <w:szCs w:val="24"/>
              </w:rPr>
            </w:pPr>
            <w:r w:rsidRPr="00F1537F">
              <w:rPr>
                <w:rFonts w:ascii="Times New Roman" w:hAnsi="Times New Roman"/>
                <w:sz w:val="24"/>
                <w:szCs w:val="24"/>
              </w:rPr>
              <w:t>FERC-505</w:t>
            </w:r>
          </w:p>
        </w:tc>
        <w:tc>
          <w:tcPr>
            <w:tcW w:w="746" w:type="pct"/>
          </w:tcPr>
          <w:p w14:paraId="2D90751B" w14:textId="77777777" w:rsidR="00200CB5" w:rsidRPr="00F60F4E" w:rsidRDefault="00AB42C6" w:rsidP="007445A8">
            <w:pPr>
              <w:spacing w:after="0" w:line="240" w:lineRule="auto"/>
              <w:jc w:val="right"/>
              <w:rPr>
                <w:rFonts w:ascii="Times New Roman" w:hAnsi="Times New Roman"/>
                <w:sz w:val="24"/>
                <w:szCs w:val="24"/>
              </w:rPr>
            </w:pPr>
            <w:r w:rsidRPr="00F60F4E">
              <w:rPr>
                <w:rFonts w:ascii="Times New Roman" w:hAnsi="Times New Roman"/>
                <w:sz w:val="24"/>
                <w:szCs w:val="24"/>
              </w:rPr>
              <w:t>33</w:t>
            </w:r>
          </w:p>
        </w:tc>
        <w:tc>
          <w:tcPr>
            <w:tcW w:w="746" w:type="pct"/>
          </w:tcPr>
          <w:p w14:paraId="19E94C80" w14:textId="77777777" w:rsidR="00200CB5" w:rsidRPr="00F60F4E" w:rsidRDefault="00200CB5" w:rsidP="007445A8">
            <w:pPr>
              <w:spacing w:after="0" w:line="240" w:lineRule="auto"/>
              <w:jc w:val="right"/>
              <w:rPr>
                <w:rFonts w:ascii="Times New Roman" w:hAnsi="Times New Roman"/>
                <w:sz w:val="24"/>
                <w:szCs w:val="24"/>
              </w:rPr>
            </w:pPr>
            <w:r w:rsidRPr="00F60F4E">
              <w:rPr>
                <w:rFonts w:ascii="Times New Roman" w:hAnsi="Times New Roman"/>
                <w:sz w:val="24"/>
                <w:szCs w:val="24"/>
              </w:rPr>
              <w:t>1</w:t>
            </w:r>
          </w:p>
        </w:tc>
        <w:tc>
          <w:tcPr>
            <w:tcW w:w="703" w:type="pct"/>
          </w:tcPr>
          <w:p w14:paraId="26288D1D" w14:textId="77777777" w:rsidR="00200CB5" w:rsidRPr="00F60F4E" w:rsidRDefault="00AB42C6" w:rsidP="007445A8">
            <w:pPr>
              <w:spacing w:after="0" w:line="240" w:lineRule="auto"/>
              <w:jc w:val="right"/>
              <w:rPr>
                <w:rFonts w:ascii="Times New Roman" w:hAnsi="Times New Roman"/>
                <w:sz w:val="24"/>
                <w:szCs w:val="24"/>
              </w:rPr>
            </w:pPr>
            <w:r w:rsidRPr="00F60F4E">
              <w:rPr>
                <w:rFonts w:ascii="Times New Roman" w:hAnsi="Times New Roman"/>
                <w:sz w:val="24"/>
                <w:szCs w:val="24"/>
              </w:rPr>
              <w:t>33</w:t>
            </w:r>
          </w:p>
        </w:tc>
        <w:tc>
          <w:tcPr>
            <w:tcW w:w="654" w:type="pct"/>
          </w:tcPr>
          <w:p w14:paraId="7CBA575D" w14:textId="77777777" w:rsidR="00200CB5" w:rsidRPr="00F60F4E" w:rsidRDefault="0026269A" w:rsidP="007445A8">
            <w:pPr>
              <w:spacing w:after="0" w:line="240" w:lineRule="auto"/>
              <w:jc w:val="right"/>
              <w:rPr>
                <w:rFonts w:ascii="Times New Roman" w:hAnsi="Times New Roman"/>
                <w:sz w:val="24"/>
                <w:szCs w:val="24"/>
              </w:rPr>
            </w:pPr>
            <w:r w:rsidRPr="00F60F4E">
              <w:rPr>
                <w:rFonts w:ascii="Times New Roman" w:hAnsi="Times New Roman"/>
                <w:sz w:val="24"/>
                <w:szCs w:val="24"/>
              </w:rPr>
              <w:t>737</w:t>
            </w:r>
            <w:r w:rsidR="00AB42C6" w:rsidRPr="00F60F4E">
              <w:rPr>
                <w:rFonts w:ascii="Times New Roman" w:hAnsi="Times New Roman"/>
                <w:sz w:val="24"/>
                <w:szCs w:val="24"/>
              </w:rPr>
              <w:t xml:space="preserve"> hours</w:t>
            </w:r>
            <w:r w:rsidR="00F60F4E">
              <w:rPr>
                <w:rFonts w:ascii="Times New Roman" w:hAnsi="Times New Roman"/>
                <w:sz w:val="24"/>
                <w:szCs w:val="24"/>
              </w:rPr>
              <w:t>,</w:t>
            </w:r>
            <w:r w:rsidRPr="00F60F4E">
              <w:rPr>
                <w:rFonts w:ascii="Times New Roman" w:hAnsi="Times New Roman"/>
                <w:sz w:val="24"/>
                <w:szCs w:val="24"/>
              </w:rPr>
              <w:t xml:space="preserve"> </w:t>
            </w:r>
            <w:r w:rsidR="00AB42C6" w:rsidRPr="00F60F4E">
              <w:rPr>
                <w:rFonts w:ascii="Times New Roman" w:hAnsi="Times New Roman"/>
                <w:sz w:val="24"/>
                <w:szCs w:val="24"/>
              </w:rPr>
              <w:br/>
              <w:t>$</w:t>
            </w:r>
            <w:r w:rsidRPr="00F60F4E">
              <w:rPr>
                <w:rFonts w:ascii="Times New Roman" w:hAnsi="Times New Roman"/>
                <w:sz w:val="24"/>
                <w:szCs w:val="24"/>
              </w:rPr>
              <w:t>56,381</w:t>
            </w:r>
          </w:p>
        </w:tc>
        <w:tc>
          <w:tcPr>
            <w:tcW w:w="657" w:type="pct"/>
          </w:tcPr>
          <w:p w14:paraId="13B69614" w14:textId="77777777" w:rsidR="00200CB5" w:rsidRPr="00F60F4E" w:rsidRDefault="0026269A" w:rsidP="007445A8">
            <w:pPr>
              <w:spacing w:after="0" w:line="240" w:lineRule="auto"/>
              <w:jc w:val="right"/>
              <w:rPr>
                <w:rFonts w:ascii="Times New Roman" w:hAnsi="Times New Roman"/>
                <w:sz w:val="24"/>
                <w:szCs w:val="24"/>
              </w:rPr>
            </w:pPr>
            <w:r w:rsidRPr="00F60F4E">
              <w:rPr>
                <w:rFonts w:ascii="Times New Roman" w:hAnsi="Times New Roman"/>
                <w:sz w:val="24"/>
                <w:szCs w:val="24"/>
              </w:rPr>
              <w:t>24,321 hours</w:t>
            </w:r>
            <w:r w:rsidR="00F60F4E">
              <w:rPr>
                <w:rFonts w:ascii="Times New Roman" w:hAnsi="Times New Roman"/>
                <w:sz w:val="24"/>
                <w:szCs w:val="24"/>
              </w:rPr>
              <w:t>,</w:t>
            </w:r>
            <w:r w:rsidRPr="00F60F4E">
              <w:rPr>
                <w:rFonts w:ascii="Times New Roman" w:hAnsi="Times New Roman"/>
                <w:sz w:val="24"/>
                <w:szCs w:val="24"/>
              </w:rPr>
              <w:t xml:space="preserve"> </w:t>
            </w:r>
            <w:r w:rsidR="00AB42C6" w:rsidRPr="00F60F4E">
              <w:rPr>
                <w:rFonts w:ascii="Times New Roman" w:hAnsi="Times New Roman"/>
                <w:sz w:val="24"/>
                <w:szCs w:val="24"/>
              </w:rPr>
              <w:t>$</w:t>
            </w:r>
            <w:r w:rsidRPr="00F60F4E">
              <w:rPr>
                <w:rFonts w:ascii="Times New Roman" w:hAnsi="Times New Roman"/>
                <w:sz w:val="24"/>
                <w:szCs w:val="24"/>
              </w:rPr>
              <w:t>1,860,573</w:t>
            </w:r>
          </w:p>
        </w:tc>
        <w:tc>
          <w:tcPr>
            <w:tcW w:w="616" w:type="pct"/>
          </w:tcPr>
          <w:p w14:paraId="5EA84A84" w14:textId="77777777" w:rsidR="00200CB5" w:rsidRPr="00F60F4E" w:rsidRDefault="0026269A" w:rsidP="007445A8">
            <w:pPr>
              <w:spacing w:after="0" w:line="240" w:lineRule="auto"/>
              <w:jc w:val="right"/>
              <w:rPr>
                <w:rFonts w:ascii="Times New Roman" w:hAnsi="Times New Roman"/>
                <w:sz w:val="24"/>
                <w:szCs w:val="24"/>
              </w:rPr>
            </w:pPr>
            <w:r w:rsidRPr="00F60F4E">
              <w:rPr>
                <w:rFonts w:ascii="Times New Roman" w:hAnsi="Times New Roman"/>
                <w:sz w:val="24"/>
                <w:szCs w:val="24"/>
              </w:rPr>
              <w:t>$56,381</w:t>
            </w:r>
          </w:p>
        </w:tc>
      </w:tr>
    </w:tbl>
    <w:p w14:paraId="163F6272" w14:textId="77777777" w:rsidR="00F0627E" w:rsidRPr="00F1537F" w:rsidRDefault="00F0627E" w:rsidP="007445A8">
      <w:pPr>
        <w:spacing w:after="0" w:line="240" w:lineRule="auto"/>
        <w:rPr>
          <w:rFonts w:ascii="Times New Roman" w:hAnsi="Times New Roman"/>
          <w:sz w:val="24"/>
          <w:szCs w:val="24"/>
        </w:rPr>
      </w:pPr>
    </w:p>
    <w:p w14:paraId="18B06524"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4224D29F" w14:textId="77777777" w:rsidR="00974AFC" w:rsidRPr="00F1537F" w:rsidRDefault="00974AFC" w:rsidP="007445A8">
      <w:pPr>
        <w:spacing w:after="0" w:line="240" w:lineRule="auto"/>
        <w:rPr>
          <w:rFonts w:ascii="Times New Roman" w:hAnsi="Times New Roman"/>
          <w:sz w:val="24"/>
          <w:szCs w:val="24"/>
        </w:rPr>
      </w:pPr>
    </w:p>
    <w:p w14:paraId="19B0EE9D"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There are no start-up or other non-labor costs.</w:t>
      </w:r>
    </w:p>
    <w:p w14:paraId="33BEB023" w14:textId="77777777" w:rsidR="004A36E5" w:rsidRPr="00F1537F" w:rsidRDefault="004A36E5" w:rsidP="007445A8">
      <w:pPr>
        <w:spacing w:after="0" w:line="240" w:lineRule="auto"/>
        <w:rPr>
          <w:rFonts w:ascii="Times New Roman" w:hAnsi="Times New Roman"/>
          <w:sz w:val="24"/>
          <w:szCs w:val="24"/>
        </w:rPr>
      </w:pPr>
    </w:p>
    <w:p w14:paraId="357803E9"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Total Capital and Start-up cost: $0</w:t>
      </w:r>
    </w:p>
    <w:p w14:paraId="583AC946"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Total Operation, Maintenance, and Purchase of Services: $0</w:t>
      </w:r>
    </w:p>
    <w:p w14:paraId="62487525" w14:textId="77777777" w:rsidR="004A36E5" w:rsidRPr="00F1537F" w:rsidRDefault="004A36E5" w:rsidP="007445A8">
      <w:pPr>
        <w:spacing w:after="0" w:line="240" w:lineRule="auto"/>
        <w:rPr>
          <w:rFonts w:ascii="Times New Roman" w:hAnsi="Times New Roman"/>
          <w:sz w:val="24"/>
          <w:szCs w:val="24"/>
        </w:rPr>
      </w:pPr>
    </w:p>
    <w:p w14:paraId="10C2E9CE"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 </w:t>
      </w:r>
      <w:r w:rsidRPr="00F1537F">
        <w:rPr>
          <w:rFonts w:ascii="Times New Roman" w:hAnsi="Times New Roman"/>
          <w:sz w:val="24"/>
          <w:szCs w:val="24"/>
        </w:rPr>
        <w:t xml:space="preserve">are associated with burden hours (labor) and </w:t>
      </w:r>
      <w:r w:rsidR="009C7060" w:rsidRPr="00F1537F">
        <w:rPr>
          <w:rFonts w:ascii="Times New Roman" w:hAnsi="Times New Roman"/>
          <w:sz w:val="24"/>
          <w:szCs w:val="24"/>
        </w:rPr>
        <w:t>accounted for</w:t>
      </w:r>
      <w:r w:rsidRPr="00F1537F">
        <w:rPr>
          <w:rFonts w:ascii="Times New Roman" w:hAnsi="Times New Roman"/>
          <w:sz w:val="24"/>
          <w:szCs w:val="24"/>
        </w:rPr>
        <w:t xml:space="preserve"> in Questions #12 and #15.</w:t>
      </w:r>
    </w:p>
    <w:p w14:paraId="209043C1" w14:textId="77777777" w:rsidR="00F0627E" w:rsidRPr="00F1537F" w:rsidRDefault="00F0627E" w:rsidP="007445A8">
      <w:pPr>
        <w:spacing w:after="0" w:line="240" w:lineRule="auto"/>
        <w:rPr>
          <w:rFonts w:ascii="Times New Roman" w:hAnsi="Times New Roman"/>
          <w:sz w:val="24"/>
          <w:szCs w:val="24"/>
        </w:rPr>
      </w:pPr>
    </w:p>
    <w:p w14:paraId="5983F444" w14:textId="77777777" w:rsidR="00F0627E" w:rsidRPr="00F1537F" w:rsidRDefault="00F0627E" w:rsidP="007445A8">
      <w:pPr>
        <w:spacing w:after="0" w:line="240" w:lineRule="auto"/>
        <w:rPr>
          <w:rFonts w:ascii="Times New Roman" w:hAnsi="Times New Roman"/>
          <w:sz w:val="24"/>
          <w:szCs w:val="24"/>
        </w:rPr>
      </w:pPr>
    </w:p>
    <w:p w14:paraId="363EB48A"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1EA0D1D3" w14:textId="77777777" w:rsidR="00BF3095" w:rsidRPr="00F1537F" w:rsidRDefault="00BF3095" w:rsidP="007445A8">
      <w:pPr>
        <w:pStyle w:val="ListParagraph"/>
        <w:spacing w:after="0" w:line="240" w:lineRule="auto"/>
        <w:ind w:left="0"/>
        <w:rPr>
          <w:rFonts w:ascii="Times New Roman" w:hAnsi="Times New Roman"/>
          <w:sz w:val="24"/>
          <w:szCs w:val="24"/>
        </w:rPr>
      </w:pPr>
    </w:p>
    <w:p w14:paraId="1A9E4E44"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 for FERC-505 is:</w:t>
      </w:r>
      <w:r w:rsidRPr="00F1537F">
        <w:rPr>
          <w:rFonts w:ascii="Times New Roman" w:hAnsi="Times New Roman"/>
          <w:sz w:val="24"/>
          <w:szCs w:val="24"/>
        </w:rPr>
        <w:t xml:space="preserve"> </w:t>
      </w:r>
    </w:p>
    <w:p w14:paraId="462D4C89"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95"/>
        <w:gridCol w:w="3250"/>
        <w:gridCol w:w="3420"/>
      </w:tblGrid>
      <w:tr w:rsidR="00F60F4E" w:rsidRPr="00F1537F" w14:paraId="22576DA9" w14:textId="77777777" w:rsidTr="007445A8">
        <w:tc>
          <w:tcPr>
            <w:tcW w:w="2595" w:type="dxa"/>
            <w:shd w:val="clear" w:color="auto" w:fill="FFFFFF"/>
          </w:tcPr>
          <w:p w14:paraId="52DE08B2" w14:textId="77777777" w:rsidR="00F60F4E" w:rsidRPr="00F1537F" w:rsidRDefault="00F60F4E" w:rsidP="007445A8">
            <w:pPr>
              <w:spacing w:after="0" w:line="240" w:lineRule="auto"/>
              <w:jc w:val="center"/>
              <w:rPr>
                <w:rFonts w:ascii="Times New Roman" w:hAnsi="Times New Roman"/>
                <w:sz w:val="24"/>
                <w:szCs w:val="24"/>
              </w:rPr>
            </w:pPr>
            <w:r w:rsidRPr="00F1537F">
              <w:rPr>
                <w:rFonts w:ascii="Times New Roman" w:hAnsi="Times New Roman"/>
                <w:b/>
                <w:sz w:val="24"/>
                <w:szCs w:val="24"/>
              </w:rPr>
              <w:t>FERC-505</w:t>
            </w:r>
          </w:p>
        </w:tc>
        <w:tc>
          <w:tcPr>
            <w:tcW w:w="3250" w:type="dxa"/>
            <w:shd w:val="clear" w:color="auto" w:fill="D9D9D9"/>
          </w:tcPr>
          <w:p w14:paraId="2B008835" w14:textId="77777777" w:rsidR="00F60F4E" w:rsidRPr="00F1537F" w:rsidRDefault="00F60F4E" w:rsidP="007445A8">
            <w:pPr>
              <w:spacing w:after="0" w:line="240" w:lineRule="auto"/>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tcPr>
          <w:p w14:paraId="4E76102D" w14:textId="77777777" w:rsidR="00F60F4E" w:rsidRPr="00F1537F" w:rsidRDefault="00F60F4E" w:rsidP="007445A8">
            <w:pPr>
              <w:spacing w:after="0" w:line="240" w:lineRule="auto"/>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F1537F" w14:paraId="567917E5" w14:textId="77777777" w:rsidTr="007445A8">
        <w:tc>
          <w:tcPr>
            <w:tcW w:w="2595" w:type="dxa"/>
            <w:shd w:val="clear" w:color="auto" w:fill="FFFFFF"/>
            <w:vAlign w:val="bottom"/>
          </w:tcPr>
          <w:p w14:paraId="0F16A1AC" w14:textId="77777777" w:rsidR="00F60F4E" w:rsidRPr="006B48FF" w:rsidRDefault="00F60F4E" w:rsidP="007445A8">
            <w:pPr>
              <w:spacing w:after="0" w:line="240" w:lineRule="auto"/>
              <w:rPr>
                <w:rFonts w:ascii="Times New Roman" w:hAnsi="Times New Roman"/>
                <w:sz w:val="24"/>
                <w:szCs w:val="24"/>
              </w:rPr>
            </w:pPr>
            <w:r w:rsidRPr="006B48FF">
              <w:rPr>
                <w:rFonts w:ascii="Times New Roman" w:hAnsi="Times New Roman"/>
                <w:sz w:val="24"/>
                <w:szCs w:val="24"/>
              </w:rPr>
              <w:t>Analysis and Processing of filings</w:t>
            </w:r>
            <w:r w:rsidRPr="006B48FF">
              <w:rPr>
                <w:rFonts w:ascii="Times New Roman" w:hAnsi="Times New Roman"/>
                <w:b/>
                <w:sz w:val="24"/>
                <w:szCs w:val="24"/>
                <w:vertAlign w:val="superscript"/>
              </w:rPr>
              <w:footnoteReference w:id="14"/>
            </w:r>
          </w:p>
        </w:tc>
        <w:tc>
          <w:tcPr>
            <w:tcW w:w="3250" w:type="dxa"/>
            <w:shd w:val="clear" w:color="auto" w:fill="FFFFFF"/>
            <w:vAlign w:val="center"/>
          </w:tcPr>
          <w:p w14:paraId="7244FC94" w14:textId="77777777" w:rsidR="00F60F4E" w:rsidRPr="006B48FF" w:rsidRDefault="006B48FF" w:rsidP="007445A8">
            <w:pPr>
              <w:spacing w:after="0" w:line="240" w:lineRule="auto"/>
              <w:jc w:val="right"/>
              <w:rPr>
                <w:rFonts w:ascii="Times New Roman" w:hAnsi="Times New Roman"/>
                <w:sz w:val="24"/>
                <w:szCs w:val="24"/>
              </w:rPr>
            </w:pPr>
            <w:r>
              <w:rPr>
                <w:rFonts w:ascii="Times New Roman" w:hAnsi="Times New Roman"/>
                <w:sz w:val="24"/>
                <w:szCs w:val="24"/>
              </w:rPr>
              <w:t>8.5</w:t>
            </w:r>
          </w:p>
        </w:tc>
        <w:tc>
          <w:tcPr>
            <w:tcW w:w="3420" w:type="dxa"/>
            <w:shd w:val="clear" w:color="auto" w:fill="FFFFFF"/>
            <w:vAlign w:val="center"/>
          </w:tcPr>
          <w:p w14:paraId="5B9AA357" w14:textId="77777777" w:rsidR="00F60F4E" w:rsidRPr="006B48FF" w:rsidRDefault="00F60F4E" w:rsidP="006B48FF">
            <w:pPr>
              <w:spacing w:after="0" w:line="240" w:lineRule="auto"/>
              <w:jc w:val="right"/>
              <w:rPr>
                <w:rFonts w:ascii="Times New Roman" w:hAnsi="Times New Roman"/>
                <w:sz w:val="24"/>
                <w:szCs w:val="24"/>
              </w:rPr>
            </w:pPr>
            <w:r w:rsidRPr="006B48FF">
              <w:rPr>
                <w:rFonts w:ascii="Times New Roman" w:hAnsi="Times New Roman"/>
                <w:sz w:val="24"/>
                <w:szCs w:val="24"/>
              </w:rPr>
              <w:t>$</w:t>
            </w:r>
            <w:r w:rsidR="006B48FF">
              <w:rPr>
                <w:rFonts w:ascii="Times New Roman" w:hAnsi="Times New Roman"/>
                <w:sz w:val="24"/>
                <w:szCs w:val="24"/>
              </w:rPr>
              <w:t>1,349,408</w:t>
            </w:r>
          </w:p>
        </w:tc>
      </w:tr>
      <w:tr w:rsidR="00F60F4E" w:rsidRPr="00F1537F" w14:paraId="48BD092B" w14:textId="77777777" w:rsidTr="007445A8">
        <w:tc>
          <w:tcPr>
            <w:tcW w:w="2595" w:type="dxa"/>
            <w:shd w:val="clear" w:color="auto" w:fill="FFFFFF"/>
            <w:vAlign w:val="bottom"/>
          </w:tcPr>
          <w:p w14:paraId="7E969D7B" w14:textId="77777777" w:rsidR="00F60F4E" w:rsidRPr="00F1537F" w:rsidRDefault="00F60F4E" w:rsidP="007445A8">
            <w:pPr>
              <w:spacing w:line="240" w:lineRule="auto"/>
              <w:rPr>
                <w:rFonts w:ascii="Times New Roman" w:hAnsi="Times New Roman"/>
                <w:sz w:val="24"/>
                <w:szCs w:val="24"/>
              </w:rPr>
            </w:pPr>
            <w:r w:rsidRPr="00F1537F">
              <w:rPr>
                <w:rFonts w:ascii="Times New Roman" w:hAnsi="Times New Roman"/>
                <w:sz w:val="24"/>
                <w:szCs w:val="24"/>
              </w:rPr>
              <w:t>PRA</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Administrative Cost</w:t>
            </w:r>
            <w:r w:rsidRPr="00F1537F">
              <w:rPr>
                <w:rFonts w:ascii="Times New Roman" w:hAnsi="Times New Roman"/>
                <w:b/>
                <w:sz w:val="24"/>
                <w:szCs w:val="24"/>
                <w:vertAlign w:val="superscript"/>
              </w:rPr>
              <w:footnoteReference w:id="16"/>
            </w:r>
            <w:r w:rsidRPr="00F1537F">
              <w:rPr>
                <w:rFonts w:ascii="Times New Roman" w:hAnsi="Times New Roman"/>
                <w:b/>
                <w:sz w:val="24"/>
                <w:szCs w:val="24"/>
              </w:rPr>
              <w:t xml:space="preserve"> </w:t>
            </w:r>
          </w:p>
        </w:tc>
        <w:tc>
          <w:tcPr>
            <w:tcW w:w="3250" w:type="dxa"/>
            <w:shd w:val="clear" w:color="auto" w:fill="FFFFFF"/>
            <w:vAlign w:val="center"/>
          </w:tcPr>
          <w:p w14:paraId="73246A19" w14:textId="77777777" w:rsidR="00F60F4E" w:rsidRPr="00F60F4E" w:rsidRDefault="00F60F4E" w:rsidP="007445A8">
            <w:pPr>
              <w:spacing w:after="0" w:line="240" w:lineRule="auto"/>
              <w:jc w:val="right"/>
              <w:rPr>
                <w:rFonts w:ascii="Times New Roman" w:hAnsi="Times New Roman"/>
                <w:sz w:val="24"/>
                <w:szCs w:val="24"/>
              </w:rPr>
            </w:pPr>
          </w:p>
        </w:tc>
        <w:tc>
          <w:tcPr>
            <w:tcW w:w="3420" w:type="dxa"/>
            <w:shd w:val="clear" w:color="auto" w:fill="FFFFFF"/>
            <w:vAlign w:val="center"/>
          </w:tcPr>
          <w:p w14:paraId="57072902" w14:textId="77777777" w:rsidR="00F60F4E" w:rsidRPr="00F60F4E" w:rsidRDefault="00F60F4E" w:rsidP="007445A8">
            <w:pPr>
              <w:spacing w:after="0" w:line="240" w:lineRule="auto"/>
              <w:jc w:val="right"/>
              <w:rPr>
                <w:rFonts w:ascii="Times New Roman" w:hAnsi="Times New Roman"/>
                <w:sz w:val="24"/>
                <w:szCs w:val="24"/>
              </w:rPr>
            </w:pPr>
            <w:r w:rsidRPr="00F60F4E">
              <w:rPr>
                <w:rFonts w:ascii="Times New Roman" w:hAnsi="Times New Roman"/>
                <w:sz w:val="24"/>
                <w:szCs w:val="24"/>
              </w:rPr>
              <w:t>$5,723</w:t>
            </w:r>
          </w:p>
        </w:tc>
      </w:tr>
      <w:tr w:rsidR="00F60F4E" w:rsidRPr="00F1537F" w14:paraId="10D72B46" w14:textId="77777777" w:rsidTr="007445A8">
        <w:tc>
          <w:tcPr>
            <w:tcW w:w="2595" w:type="dxa"/>
            <w:shd w:val="clear" w:color="auto" w:fill="FFFFFF"/>
            <w:vAlign w:val="bottom"/>
          </w:tcPr>
          <w:p w14:paraId="17158F7D" w14:textId="77777777" w:rsidR="00F60F4E" w:rsidRPr="00F1537F" w:rsidRDefault="00F60F4E" w:rsidP="007445A8">
            <w:pPr>
              <w:spacing w:after="0" w:line="240" w:lineRule="auto"/>
              <w:rPr>
                <w:rFonts w:ascii="Times New Roman" w:hAnsi="Times New Roman"/>
                <w:b/>
                <w:sz w:val="24"/>
                <w:szCs w:val="24"/>
              </w:rPr>
            </w:pPr>
            <w:r w:rsidRPr="00F1537F">
              <w:rPr>
                <w:rFonts w:ascii="Times New Roman" w:hAnsi="Times New Roman"/>
                <w:b/>
                <w:sz w:val="24"/>
                <w:szCs w:val="24"/>
              </w:rPr>
              <w:t>FERC-505 Total</w:t>
            </w:r>
          </w:p>
        </w:tc>
        <w:tc>
          <w:tcPr>
            <w:tcW w:w="3250" w:type="dxa"/>
            <w:shd w:val="clear" w:color="auto" w:fill="FFFFFF"/>
            <w:vAlign w:val="center"/>
          </w:tcPr>
          <w:p w14:paraId="312E7239" w14:textId="77777777" w:rsidR="00F60F4E" w:rsidRPr="00F60F4E" w:rsidRDefault="00F60F4E" w:rsidP="007445A8">
            <w:pPr>
              <w:spacing w:after="0" w:line="240" w:lineRule="auto"/>
              <w:jc w:val="right"/>
              <w:rPr>
                <w:rFonts w:ascii="Times New Roman" w:hAnsi="Times New Roman"/>
                <w:sz w:val="24"/>
                <w:szCs w:val="24"/>
              </w:rPr>
            </w:pPr>
          </w:p>
        </w:tc>
        <w:tc>
          <w:tcPr>
            <w:tcW w:w="3420" w:type="dxa"/>
            <w:shd w:val="clear" w:color="auto" w:fill="FFFFFF"/>
            <w:vAlign w:val="center"/>
          </w:tcPr>
          <w:p w14:paraId="5DE0B6F1" w14:textId="77777777" w:rsidR="00F60F4E" w:rsidRPr="00F60F4E" w:rsidRDefault="00F60F4E" w:rsidP="006B48FF">
            <w:pPr>
              <w:spacing w:after="0" w:line="240" w:lineRule="auto"/>
              <w:jc w:val="right"/>
              <w:rPr>
                <w:rFonts w:ascii="Times New Roman" w:hAnsi="Times New Roman"/>
                <w:sz w:val="24"/>
                <w:szCs w:val="24"/>
              </w:rPr>
            </w:pPr>
            <w:r w:rsidRPr="00F60F4E">
              <w:rPr>
                <w:rFonts w:ascii="Times New Roman" w:hAnsi="Times New Roman"/>
                <w:sz w:val="24"/>
                <w:szCs w:val="24"/>
              </w:rPr>
              <w:t>$</w:t>
            </w:r>
            <w:r w:rsidR="006B48FF">
              <w:rPr>
                <w:rFonts w:ascii="Times New Roman" w:hAnsi="Times New Roman"/>
                <w:sz w:val="24"/>
                <w:szCs w:val="24"/>
              </w:rPr>
              <w:t>1,355,132</w:t>
            </w:r>
          </w:p>
        </w:tc>
      </w:tr>
    </w:tbl>
    <w:p w14:paraId="29A3C93D" w14:textId="77777777" w:rsidR="00F20B97" w:rsidRPr="00F1537F" w:rsidRDefault="00F20B97" w:rsidP="007445A8">
      <w:pPr>
        <w:spacing w:after="0" w:line="240" w:lineRule="auto"/>
        <w:rPr>
          <w:rFonts w:ascii="Times New Roman" w:hAnsi="Times New Roman"/>
          <w:sz w:val="24"/>
          <w:szCs w:val="24"/>
        </w:rPr>
      </w:pPr>
    </w:p>
    <w:p w14:paraId="0B6BF477" w14:textId="77777777" w:rsidR="00F20B97"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15. REASONS FOR CHANGES IN BURDEN INCLUDING THE NEED FOR ANY INCREASE</w:t>
      </w:r>
    </w:p>
    <w:p w14:paraId="478E41C3" w14:textId="77777777" w:rsidR="00F20B97" w:rsidRPr="00F1537F" w:rsidRDefault="00F20B97" w:rsidP="007445A8">
      <w:pPr>
        <w:spacing w:after="0" w:line="240" w:lineRule="auto"/>
        <w:rPr>
          <w:rFonts w:ascii="Times New Roman" w:hAnsi="Times New Roman"/>
          <w:sz w:val="24"/>
          <w:szCs w:val="24"/>
        </w:rPr>
      </w:pPr>
    </w:p>
    <w:p w14:paraId="377DA916" w14:textId="77777777" w:rsidR="00413C13" w:rsidRPr="00413C13" w:rsidRDefault="00221430" w:rsidP="00413C13">
      <w:pPr>
        <w:rPr>
          <w:rFonts w:ascii="Times New Roman" w:hAnsi="Times New Roman"/>
          <w:sz w:val="24"/>
          <w:szCs w:val="24"/>
        </w:rPr>
      </w:pPr>
      <w:r w:rsidRPr="00F1537F">
        <w:rPr>
          <w:rFonts w:ascii="Times New Roman" w:hAnsi="Times New Roman"/>
          <w:sz w:val="24"/>
          <w:szCs w:val="24"/>
        </w:rPr>
        <w:t xml:space="preserve">The total annual burden for </w:t>
      </w:r>
      <w:r w:rsidR="00F958BA" w:rsidRPr="00F1537F">
        <w:rPr>
          <w:rFonts w:ascii="Times New Roman" w:hAnsi="Times New Roman"/>
          <w:sz w:val="24"/>
          <w:szCs w:val="24"/>
        </w:rPr>
        <w:t>FERC-505</w:t>
      </w:r>
      <w:r w:rsidRPr="00F1537F">
        <w:rPr>
          <w:rFonts w:ascii="Times New Roman" w:hAnsi="Times New Roman"/>
          <w:sz w:val="24"/>
          <w:szCs w:val="24"/>
        </w:rPr>
        <w:t xml:space="preserve"> information collection </w:t>
      </w:r>
      <w:r w:rsidR="00AC66B6">
        <w:rPr>
          <w:rFonts w:ascii="Times New Roman" w:hAnsi="Times New Roman"/>
          <w:sz w:val="24"/>
          <w:szCs w:val="24"/>
        </w:rPr>
        <w:t>increased by 5</w:t>
      </w:r>
      <w:r w:rsidRPr="00F1537F">
        <w:rPr>
          <w:rFonts w:ascii="Times New Roman" w:hAnsi="Times New Roman"/>
          <w:sz w:val="24"/>
          <w:szCs w:val="24"/>
        </w:rPr>
        <w:t xml:space="preserve"> responses </w:t>
      </w:r>
      <w:r w:rsidR="0026269A">
        <w:rPr>
          <w:rFonts w:ascii="Times New Roman" w:hAnsi="Times New Roman"/>
          <w:sz w:val="24"/>
          <w:szCs w:val="24"/>
        </w:rPr>
        <w:t>but decreased by 35,018</w:t>
      </w:r>
      <w:r w:rsidR="00C47938" w:rsidRPr="00F1537F">
        <w:rPr>
          <w:rFonts w:ascii="Times New Roman" w:hAnsi="Times New Roman"/>
          <w:sz w:val="24"/>
          <w:szCs w:val="24"/>
        </w:rPr>
        <w:t xml:space="preserve"> hours from previously approved burden</w:t>
      </w:r>
      <w:r w:rsidR="00AC60DF" w:rsidRPr="007445A8">
        <w:rPr>
          <w:rFonts w:ascii="Times New Roman" w:hAnsi="Times New Roman"/>
          <w:sz w:val="24"/>
          <w:szCs w:val="24"/>
        </w:rPr>
        <w:t xml:space="preserve">. </w:t>
      </w:r>
      <w:r w:rsidR="00C47938" w:rsidRPr="007445A8">
        <w:rPr>
          <w:rFonts w:ascii="Times New Roman" w:hAnsi="Times New Roman"/>
          <w:sz w:val="24"/>
          <w:szCs w:val="24"/>
        </w:rPr>
        <w:t xml:space="preserve">The </w:t>
      </w:r>
      <w:r w:rsidR="000D1D54" w:rsidRPr="007445A8">
        <w:rPr>
          <w:rFonts w:ascii="Times New Roman" w:hAnsi="Times New Roman"/>
          <w:sz w:val="24"/>
          <w:szCs w:val="24"/>
        </w:rPr>
        <w:t xml:space="preserve">increase in the number of responses and the </w:t>
      </w:r>
      <w:r w:rsidR="0026269A" w:rsidRPr="007445A8">
        <w:rPr>
          <w:rFonts w:ascii="Times New Roman" w:hAnsi="Times New Roman"/>
          <w:sz w:val="24"/>
          <w:szCs w:val="24"/>
        </w:rPr>
        <w:t xml:space="preserve">decrease in </w:t>
      </w:r>
      <w:r w:rsidR="000D1D54" w:rsidRPr="007445A8">
        <w:rPr>
          <w:rFonts w:ascii="Times New Roman" w:hAnsi="Times New Roman"/>
          <w:sz w:val="24"/>
          <w:szCs w:val="24"/>
        </w:rPr>
        <w:t xml:space="preserve">total </w:t>
      </w:r>
      <w:r w:rsidR="0026269A" w:rsidRPr="007445A8">
        <w:rPr>
          <w:rFonts w:ascii="Times New Roman" w:hAnsi="Times New Roman"/>
          <w:sz w:val="24"/>
          <w:szCs w:val="24"/>
        </w:rPr>
        <w:t>hours</w:t>
      </w:r>
      <w:r w:rsidR="00C47938" w:rsidRPr="007445A8">
        <w:rPr>
          <w:rFonts w:ascii="Times New Roman" w:hAnsi="Times New Roman"/>
          <w:sz w:val="24"/>
          <w:szCs w:val="24"/>
        </w:rPr>
        <w:t xml:space="preserve"> is </w:t>
      </w:r>
      <w:r w:rsidR="0026269A" w:rsidRPr="007445A8">
        <w:rPr>
          <w:rFonts w:ascii="Times New Roman" w:hAnsi="Times New Roman"/>
          <w:sz w:val="24"/>
          <w:szCs w:val="24"/>
        </w:rPr>
        <w:t>related</w:t>
      </w:r>
      <w:r w:rsidR="00C47938" w:rsidRPr="007445A8">
        <w:rPr>
          <w:rFonts w:ascii="Times New Roman" w:hAnsi="Times New Roman"/>
          <w:sz w:val="24"/>
          <w:szCs w:val="24"/>
        </w:rPr>
        <w:t xml:space="preserve"> to </w:t>
      </w:r>
      <w:r w:rsidR="00AC66B6" w:rsidRPr="007445A8">
        <w:rPr>
          <w:rFonts w:ascii="Times New Roman" w:hAnsi="Times New Roman"/>
          <w:sz w:val="24"/>
          <w:szCs w:val="24"/>
        </w:rPr>
        <w:t>Congress</w:t>
      </w:r>
      <w:r w:rsidR="0026269A" w:rsidRPr="007445A8">
        <w:rPr>
          <w:rFonts w:ascii="Times New Roman" w:hAnsi="Times New Roman"/>
          <w:sz w:val="24"/>
          <w:szCs w:val="24"/>
        </w:rPr>
        <w:t>’</w:t>
      </w:r>
      <w:r w:rsidR="00AC66B6" w:rsidRPr="007445A8">
        <w:rPr>
          <w:rFonts w:ascii="Times New Roman" w:hAnsi="Times New Roman"/>
          <w:sz w:val="24"/>
          <w:szCs w:val="24"/>
        </w:rPr>
        <w:t xml:space="preserve"> enact</w:t>
      </w:r>
      <w:r w:rsidR="0026269A" w:rsidRPr="007445A8">
        <w:rPr>
          <w:rFonts w:ascii="Times New Roman" w:hAnsi="Times New Roman"/>
          <w:sz w:val="24"/>
          <w:szCs w:val="24"/>
        </w:rPr>
        <w:t>ment of</w:t>
      </w:r>
      <w:r w:rsidR="00AC66B6" w:rsidRPr="007445A8">
        <w:rPr>
          <w:rFonts w:ascii="Times New Roman" w:hAnsi="Times New Roman"/>
          <w:sz w:val="24"/>
          <w:szCs w:val="24"/>
        </w:rPr>
        <w:t xml:space="preserve"> the Hydropower Regulatory Efficiency Act in August 2013</w:t>
      </w:r>
      <w:r w:rsidR="000D1D54" w:rsidRPr="007445A8">
        <w:rPr>
          <w:rFonts w:ascii="Times New Roman" w:hAnsi="Times New Roman"/>
          <w:sz w:val="24"/>
          <w:szCs w:val="24"/>
        </w:rPr>
        <w:t>,</w:t>
      </w:r>
      <w:r w:rsidR="00AC66B6" w:rsidRPr="007445A8">
        <w:rPr>
          <w:rFonts w:ascii="Times New Roman" w:hAnsi="Times New Roman"/>
          <w:sz w:val="24"/>
          <w:szCs w:val="24"/>
        </w:rPr>
        <w:t xml:space="preserve"> which in part</w:t>
      </w:r>
      <w:r w:rsidR="000D1D54" w:rsidRPr="007445A8">
        <w:rPr>
          <w:rFonts w:ascii="Times New Roman" w:hAnsi="Times New Roman"/>
          <w:sz w:val="24"/>
          <w:szCs w:val="24"/>
        </w:rPr>
        <w:t>,</w:t>
      </w:r>
      <w:r w:rsidR="00AC66B6" w:rsidRPr="007445A8">
        <w:rPr>
          <w:rFonts w:ascii="Times New Roman" w:hAnsi="Times New Roman"/>
          <w:sz w:val="24"/>
          <w:szCs w:val="24"/>
        </w:rPr>
        <w:t xml:space="preserve"> authorized the Commission to </w:t>
      </w:r>
      <w:r w:rsidR="000D1D54" w:rsidRPr="007445A8">
        <w:rPr>
          <w:rFonts w:ascii="Times New Roman" w:hAnsi="Times New Roman"/>
          <w:sz w:val="24"/>
          <w:szCs w:val="24"/>
        </w:rPr>
        <w:t>issue</w:t>
      </w:r>
      <w:r w:rsidR="00AC66B6" w:rsidRPr="007445A8">
        <w:rPr>
          <w:rFonts w:ascii="Times New Roman" w:hAnsi="Times New Roman"/>
          <w:sz w:val="24"/>
          <w:szCs w:val="24"/>
        </w:rPr>
        <w:t xml:space="preserve"> qualifying conduit exemptions. </w:t>
      </w:r>
      <w:r w:rsidR="00C740BC" w:rsidRPr="007445A8">
        <w:rPr>
          <w:rFonts w:ascii="Times New Roman" w:hAnsi="Times New Roman"/>
          <w:sz w:val="24"/>
          <w:szCs w:val="24"/>
        </w:rPr>
        <w:t xml:space="preserve">The 28 previous responses </w:t>
      </w:r>
      <w:r w:rsidR="000D1D54" w:rsidRPr="007445A8">
        <w:rPr>
          <w:rFonts w:ascii="Times New Roman" w:hAnsi="Times New Roman"/>
          <w:sz w:val="24"/>
          <w:szCs w:val="24"/>
        </w:rPr>
        <w:t xml:space="preserve">that were requested and approved did not </w:t>
      </w:r>
      <w:r w:rsidR="00C740BC" w:rsidRPr="007445A8">
        <w:rPr>
          <w:rFonts w:ascii="Times New Roman" w:hAnsi="Times New Roman"/>
          <w:sz w:val="24"/>
          <w:szCs w:val="24"/>
        </w:rPr>
        <w:t xml:space="preserve">include qualifying </w:t>
      </w:r>
      <w:r w:rsidR="000D1D54" w:rsidRPr="007445A8">
        <w:rPr>
          <w:rFonts w:ascii="Times New Roman" w:hAnsi="Times New Roman"/>
          <w:sz w:val="24"/>
          <w:szCs w:val="24"/>
        </w:rPr>
        <w:t xml:space="preserve">conduit </w:t>
      </w:r>
      <w:r w:rsidR="00C740BC" w:rsidRPr="007445A8">
        <w:rPr>
          <w:rFonts w:ascii="Times New Roman" w:hAnsi="Times New Roman"/>
          <w:sz w:val="24"/>
          <w:szCs w:val="24"/>
        </w:rPr>
        <w:t>exemption applications</w:t>
      </w:r>
      <w:r w:rsidR="0026269A" w:rsidRPr="007445A8">
        <w:rPr>
          <w:rFonts w:ascii="Times New Roman" w:hAnsi="Times New Roman"/>
          <w:sz w:val="24"/>
          <w:szCs w:val="24"/>
        </w:rPr>
        <w:t xml:space="preserve">, </w:t>
      </w:r>
      <w:r w:rsidR="000D1D54" w:rsidRPr="007445A8">
        <w:rPr>
          <w:rFonts w:ascii="Times New Roman" w:hAnsi="Times New Roman"/>
          <w:sz w:val="24"/>
          <w:szCs w:val="24"/>
        </w:rPr>
        <w:t>which at the time, did not exist</w:t>
      </w:r>
      <w:r w:rsidR="00C740BC" w:rsidRPr="007445A8">
        <w:rPr>
          <w:rFonts w:ascii="Times New Roman" w:hAnsi="Times New Roman"/>
          <w:sz w:val="24"/>
          <w:szCs w:val="24"/>
        </w:rPr>
        <w:t>.</w:t>
      </w:r>
      <w:r w:rsidR="000D1D54" w:rsidRPr="007445A8">
        <w:rPr>
          <w:rFonts w:ascii="Times New Roman" w:hAnsi="Times New Roman"/>
          <w:sz w:val="24"/>
          <w:szCs w:val="24"/>
        </w:rPr>
        <w:t xml:space="preserve">  Qualifying conduit exemption applications are much less burdensome to prepare than the other applications reported.  </w:t>
      </w:r>
      <w:r w:rsidR="00413C13" w:rsidRPr="00413C13">
        <w:rPr>
          <w:rFonts w:ascii="Times New Roman" w:hAnsi="Times New Roman"/>
          <w:sz w:val="24"/>
          <w:szCs w:val="24"/>
        </w:rPr>
        <w:t>Upon reviewing the report over the last few months, we calculated the amount of burden per response to be 2,120 hours.  That amount of time sounds reasonable to FERC  – our regulations show that it takes 2-3 years for a developer to navigate the pre-filing consultation process and prepare a standard license or exemption application.</w:t>
      </w:r>
    </w:p>
    <w:p w14:paraId="6ACC8343" w14:textId="77777777" w:rsidR="00413C13" w:rsidRPr="00413C13" w:rsidRDefault="00413C13" w:rsidP="00413C13">
      <w:pPr>
        <w:rPr>
          <w:rFonts w:ascii="Times New Roman" w:hAnsi="Times New Roman"/>
          <w:sz w:val="24"/>
          <w:szCs w:val="24"/>
        </w:rPr>
      </w:pPr>
      <w:r w:rsidRPr="00413C13">
        <w:rPr>
          <w:rFonts w:ascii="Times New Roman" w:hAnsi="Times New Roman"/>
          <w:sz w:val="24"/>
          <w:szCs w:val="24"/>
        </w:rPr>
        <w:t>In 2013, it appears to me that the reported “response” was either preparation of license application, preparation of small hydro exemption application, or preparation of a conduit exemption application.  It looks like we estimated 28 “responses” in 2013 based on the number of applications we were receiving per year at that time.  When you multiply 28 responses times 2,120 hours per response, you get 59,339 hours of burden reported in 2013.</w:t>
      </w:r>
    </w:p>
    <w:p w14:paraId="42D48C1D" w14:textId="77777777" w:rsidR="00413C13" w:rsidRPr="00413C13" w:rsidRDefault="00413C13" w:rsidP="00413C13">
      <w:pPr>
        <w:rPr>
          <w:rFonts w:ascii="Times New Roman" w:hAnsi="Times New Roman"/>
          <w:sz w:val="24"/>
          <w:szCs w:val="24"/>
        </w:rPr>
      </w:pPr>
      <w:r w:rsidRPr="00413C13">
        <w:rPr>
          <w:rFonts w:ascii="Times New Roman" w:hAnsi="Times New Roman"/>
          <w:sz w:val="24"/>
          <w:szCs w:val="24"/>
        </w:rPr>
        <w:t>In 2018, a “response” is all the small hydropower application types covered in 2013, plus something new - preparation of a “qualifying conduit exemption application.”  Congress authorized us to approve such an application in August 2013.  What appears to be happening today is that more respondents are pursuing a “qualifying conduit exemption” than the other small hydropower authorizations that were available prior to August 2013,</w:t>
      </w:r>
      <w:r>
        <w:rPr>
          <w:rFonts w:ascii="Times New Roman" w:hAnsi="Times New Roman"/>
          <w:sz w:val="24"/>
          <w:szCs w:val="24"/>
        </w:rPr>
        <w:t xml:space="preserve"> </w:t>
      </w:r>
      <w:r w:rsidRPr="00413C13">
        <w:rPr>
          <w:rFonts w:ascii="Times New Roman" w:hAnsi="Times New Roman"/>
          <w:sz w:val="24"/>
          <w:szCs w:val="24"/>
        </w:rPr>
        <w:t>that again, can take 2-3 years to complete.  This is no surprise to us, because Congress precisely authorized the “qualifying conduit exemption” to reduce the burden on hydropower developers.  It takes nowhere near 2,120 hours for a person to prepare a “qualifying conduit exemption” application.  Rather, we estimate it only takes about 46 hours of a developer’s time.  In other words, FERC estimated that a developer can essentially prepare the application in 1 week.  Therefore, it makes no sense to FERC to apply the 2,120-hour burden representing 2-3 years of work to the qualifying conduit exemption applications which can be prepared in a week or two (i.e., 46 hours).</w:t>
      </w:r>
    </w:p>
    <w:p w14:paraId="6F10083A" w14:textId="77777777" w:rsidR="00C47938" w:rsidRPr="00F1537F" w:rsidRDefault="00413C13" w:rsidP="00413C13">
      <w:pPr>
        <w:rPr>
          <w:rFonts w:ascii="Times New Roman" w:hAnsi="Times New Roman"/>
          <w:sz w:val="24"/>
          <w:szCs w:val="24"/>
        </w:rPr>
      </w:pPr>
      <w:r w:rsidRPr="00413C13">
        <w:rPr>
          <w:rFonts w:ascii="Times New Roman" w:hAnsi="Times New Roman"/>
          <w:sz w:val="24"/>
          <w:szCs w:val="24"/>
        </w:rPr>
        <w:t>Our solution to properly portray the burden that exists today for our small hydropower applications was to come up with a weighted average burden to account for the drastically reduced burden of preparing a “qualifying conduit exemption” application.  We did it like this.  We estimate going forward in 2018 that there will be 11 small hydropower license, small hydropower exemption, and conduit exemption applications combined – this is based on the number of filings of such applications over the last 3-5 years.  We estimated 22 qualifying conduit exemption applications again, based on what developers have actually filed over the last 3-5 years.  11+22=33 total responses to report in 2018.  It’s just a best estimate.  It could be more, or it could be less.  The weighted average burden for the 33 responses is as follows:</w:t>
      </w:r>
      <w:r>
        <w:rPr>
          <w:rFonts w:ascii="Times New Roman" w:hAnsi="Times New Roman"/>
          <w:sz w:val="24"/>
          <w:szCs w:val="24"/>
        </w:rPr>
        <w:t xml:space="preserve"> </w:t>
      </w:r>
      <w:r w:rsidRPr="00413C13">
        <w:rPr>
          <w:rFonts w:ascii="Times New Roman" w:hAnsi="Times New Roman"/>
          <w:sz w:val="24"/>
          <w:szCs w:val="24"/>
        </w:rPr>
        <w:t xml:space="preserve">[(11/33) x 2,120 hours] + [(22/33) x 46 hours] = 737.33 hours. 737 hours times 33 responses = 24,321 hours of burden to report in 2018. This is precisely why we reported a “59 percent” less burden this time around.  The “market” conditions didn’t change the burden – the August 2013 law did.  FERC concludes, of the 33 responses currently requested, 22 are attributed to the much less burdensome qualifying exemption applications.  Therefore, although the number of responses slightly increased, the total burden decreased.  </w:t>
      </w:r>
    </w:p>
    <w:p w14:paraId="55189527" w14:textId="77777777" w:rsidR="00F0627E" w:rsidRPr="00F1537F" w:rsidRDefault="00C4793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reporting requirements are not changing for FERC-505 information collection.  There is no change in the average burden per response for FERC-505 information collection. </w:t>
      </w:r>
    </w:p>
    <w:p w14:paraId="2B1ECB37" w14:textId="77777777" w:rsidR="00974AFC" w:rsidRPr="00F1537F" w:rsidRDefault="00974AFC" w:rsidP="007445A8">
      <w:pPr>
        <w:spacing w:after="0" w:line="240" w:lineRule="auto"/>
        <w:rPr>
          <w:rFonts w:ascii="Times New Roman" w:hAnsi="Times New Roman"/>
          <w:i/>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F0627E" w:rsidRPr="00F1537F" w14:paraId="24E61340" w14:textId="77777777" w:rsidTr="00E350A3">
        <w:trPr>
          <w:trHeight w:val="870"/>
        </w:trPr>
        <w:tc>
          <w:tcPr>
            <w:tcW w:w="2679" w:type="dxa"/>
            <w:shd w:val="clear" w:color="auto" w:fill="D9D9D9"/>
            <w:vAlign w:val="bottom"/>
          </w:tcPr>
          <w:p w14:paraId="5766D2D9"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p>
        </w:tc>
        <w:tc>
          <w:tcPr>
            <w:tcW w:w="1461" w:type="dxa"/>
            <w:shd w:val="clear" w:color="auto" w:fill="D9D9D9"/>
            <w:vAlign w:val="bottom"/>
          </w:tcPr>
          <w:p w14:paraId="1EB3AED1"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6E46558D"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1B4CE2F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6FAB97A9"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F0627E" w:rsidRPr="00F1537F" w14:paraId="01DD72A1" w14:textId="77777777" w:rsidTr="00E350A3">
        <w:trPr>
          <w:trHeight w:val="746"/>
        </w:trPr>
        <w:tc>
          <w:tcPr>
            <w:tcW w:w="2679" w:type="dxa"/>
            <w:shd w:val="clear" w:color="auto" w:fill="auto"/>
            <w:vAlign w:val="bottom"/>
          </w:tcPr>
          <w:p w14:paraId="297D449C"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45BDDDA7" w14:textId="77777777" w:rsidR="00F0627E" w:rsidRPr="007445A8" w:rsidRDefault="00AC66B6" w:rsidP="007445A8">
            <w:pPr>
              <w:spacing w:after="0" w:line="240" w:lineRule="auto"/>
              <w:jc w:val="right"/>
              <w:rPr>
                <w:rFonts w:ascii="Times New Roman" w:hAnsi="Times New Roman"/>
                <w:sz w:val="24"/>
                <w:szCs w:val="24"/>
              </w:rPr>
            </w:pPr>
            <w:r w:rsidRPr="007445A8">
              <w:rPr>
                <w:rFonts w:ascii="Times New Roman" w:hAnsi="Times New Roman"/>
                <w:sz w:val="24"/>
                <w:szCs w:val="24"/>
              </w:rPr>
              <w:t>33</w:t>
            </w:r>
          </w:p>
        </w:tc>
        <w:tc>
          <w:tcPr>
            <w:tcW w:w="1620" w:type="dxa"/>
            <w:shd w:val="clear" w:color="auto" w:fill="auto"/>
            <w:vAlign w:val="bottom"/>
          </w:tcPr>
          <w:p w14:paraId="1FED265D" w14:textId="77777777" w:rsidR="00F0627E" w:rsidRPr="007445A8" w:rsidRDefault="00AC60DF" w:rsidP="007445A8">
            <w:pPr>
              <w:spacing w:after="0" w:line="240" w:lineRule="auto"/>
              <w:jc w:val="right"/>
              <w:rPr>
                <w:rFonts w:ascii="Times New Roman" w:hAnsi="Times New Roman"/>
                <w:sz w:val="24"/>
                <w:szCs w:val="24"/>
              </w:rPr>
            </w:pPr>
            <w:r w:rsidRPr="007445A8">
              <w:rPr>
                <w:rFonts w:ascii="Times New Roman" w:hAnsi="Times New Roman"/>
                <w:sz w:val="24"/>
                <w:szCs w:val="24"/>
              </w:rPr>
              <w:t>28</w:t>
            </w:r>
          </w:p>
        </w:tc>
        <w:tc>
          <w:tcPr>
            <w:tcW w:w="1800" w:type="dxa"/>
            <w:shd w:val="clear" w:color="auto" w:fill="auto"/>
            <w:vAlign w:val="bottom"/>
          </w:tcPr>
          <w:p w14:paraId="67E57754" w14:textId="77777777" w:rsidR="00F0627E" w:rsidRPr="007445A8" w:rsidRDefault="00AC66B6" w:rsidP="007445A8">
            <w:pPr>
              <w:spacing w:after="0" w:line="240" w:lineRule="auto"/>
              <w:jc w:val="right"/>
              <w:rPr>
                <w:rFonts w:ascii="Times New Roman" w:hAnsi="Times New Roman"/>
                <w:sz w:val="24"/>
                <w:szCs w:val="24"/>
              </w:rPr>
            </w:pPr>
            <w:r w:rsidRPr="007445A8">
              <w:rPr>
                <w:rFonts w:ascii="Times New Roman" w:hAnsi="Times New Roman"/>
                <w:sz w:val="24"/>
                <w:szCs w:val="24"/>
              </w:rPr>
              <w:t>+5</w:t>
            </w:r>
          </w:p>
        </w:tc>
        <w:tc>
          <w:tcPr>
            <w:tcW w:w="1800" w:type="dxa"/>
            <w:shd w:val="clear" w:color="auto" w:fill="auto"/>
            <w:vAlign w:val="bottom"/>
          </w:tcPr>
          <w:p w14:paraId="691FBE89" w14:textId="77777777" w:rsidR="00F0627E" w:rsidRPr="00F1537F" w:rsidRDefault="006377D8" w:rsidP="007445A8">
            <w:pPr>
              <w:spacing w:after="0" w:line="240" w:lineRule="auto"/>
              <w:jc w:val="right"/>
              <w:rPr>
                <w:rFonts w:ascii="Times New Roman" w:hAnsi="Times New Roman"/>
                <w:sz w:val="24"/>
                <w:szCs w:val="24"/>
              </w:rPr>
            </w:pPr>
            <w:r w:rsidRPr="00F1537F">
              <w:rPr>
                <w:rFonts w:ascii="Times New Roman" w:hAnsi="Times New Roman"/>
                <w:sz w:val="24"/>
                <w:szCs w:val="24"/>
              </w:rPr>
              <w:t>0</w:t>
            </w:r>
          </w:p>
        </w:tc>
      </w:tr>
      <w:tr w:rsidR="00F0627E" w:rsidRPr="00F1537F" w14:paraId="60AB1F29" w14:textId="77777777" w:rsidTr="00E350A3">
        <w:trPr>
          <w:trHeight w:val="602"/>
        </w:trPr>
        <w:tc>
          <w:tcPr>
            <w:tcW w:w="2679" w:type="dxa"/>
            <w:shd w:val="clear" w:color="auto" w:fill="auto"/>
            <w:vAlign w:val="bottom"/>
          </w:tcPr>
          <w:p w14:paraId="27832A56"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6DFBE049" w14:textId="77777777" w:rsidR="00F0627E" w:rsidRPr="007445A8" w:rsidRDefault="0026269A" w:rsidP="007445A8">
            <w:pPr>
              <w:spacing w:after="0" w:line="240" w:lineRule="auto"/>
              <w:jc w:val="right"/>
              <w:rPr>
                <w:rFonts w:ascii="Times New Roman" w:hAnsi="Times New Roman"/>
                <w:sz w:val="24"/>
                <w:szCs w:val="24"/>
              </w:rPr>
            </w:pPr>
            <w:r w:rsidRPr="007445A8">
              <w:rPr>
                <w:rFonts w:ascii="Times New Roman" w:hAnsi="Times New Roman"/>
                <w:sz w:val="24"/>
                <w:szCs w:val="24"/>
              </w:rPr>
              <w:t>24,321</w:t>
            </w:r>
          </w:p>
        </w:tc>
        <w:tc>
          <w:tcPr>
            <w:tcW w:w="1620" w:type="dxa"/>
            <w:shd w:val="clear" w:color="auto" w:fill="auto"/>
            <w:vAlign w:val="bottom"/>
          </w:tcPr>
          <w:p w14:paraId="72D84674" w14:textId="77777777" w:rsidR="00F0627E" w:rsidRPr="007445A8" w:rsidRDefault="00AC60DF" w:rsidP="007445A8">
            <w:pPr>
              <w:spacing w:after="0" w:line="240" w:lineRule="auto"/>
              <w:jc w:val="right"/>
              <w:rPr>
                <w:rFonts w:ascii="Times New Roman" w:hAnsi="Times New Roman"/>
                <w:b/>
                <w:sz w:val="24"/>
                <w:szCs w:val="24"/>
              </w:rPr>
            </w:pPr>
            <w:r w:rsidRPr="007445A8">
              <w:rPr>
                <w:rFonts w:ascii="Times New Roman" w:hAnsi="Times New Roman"/>
                <w:sz w:val="24"/>
                <w:szCs w:val="24"/>
              </w:rPr>
              <w:t>59,339</w:t>
            </w:r>
          </w:p>
        </w:tc>
        <w:tc>
          <w:tcPr>
            <w:tcW w:w="1800" w:type="dxa"/>
            <w:shd w:val="clear" w:color="auto" w:fill="auto"/>
            <w:vAlign w:val="bottom"/>
          </w:tcPr>
          <w:p w14:paraId="6E13CCBE" w14:textId="77777777" w:rsidR="00F0627E" w:rsidRPr="007445A8" w:rsidRDefault="0026269A" w:rsidP="007445A8">
            <w:pPr>
              <w:spacing w:after="0" w:line="240" w:lineRule="auto"/>
              <w:jc w:val="right"/>
              <w:rPr>
                <w:rFonts w:ascii="Times New Roman" w:hAnsi="Times New Roman"/>
                <w:sz w:val="24"/>
                <w:szCs w:val="24"/>
              </w:rPr>
            </w:pPr>
            <w:r w:rsidRPr="007445A8">
              <w:rPr>
                <w:rFonts w:ascii="Times New Roman" w:hAnsi="Times New Roman"/>
                <w:sz w:val="24"/>
                <w:szCs w:val="24"/>
              </w:rPr>
              <w:t>-35,018</w:t>
            </w:r>
          </w:p>
        </w:tc>
        <w:tc>
          <w:tcPr>
            <w:tcW w:w="1800" w:type="dxa"/>
            <w:shd w:val="clear" w:color="auto" w:fill="auto"/>
            <w:vAlign w:val="bottom"/>
          </w:tcPr>
          <w:p w14:paraId="08A297ED" w14:textId="77777777" w:rsidR="00F0627E" w:rsidRPr="00F1537F" w:rsidRDefault="00AC60DF" w:rsidP="007445A8">
            <w:pPr>
              <w:spacing w:after="0" w:line="240" w:lineRule="auto"/>
              <w:jc w:val="right"/>
              <w:rPr>
                <w:rFonts w:ascii="Times New Roman" w:hAnsi="Times New Roman"/>
                <w:sz w:val="24"/>
                <w:szCs w:val="24"/>
              </w:rPr>
            </w:pPr>
            <w:r w:rsidRPr="00F1537F">
              <w:rPr>
                <w:rFonts w:ascii="Times New Roman" w:hAnsi="Times New Roman"/>
                <w:sz w:val="24"/>
                <w:szCs w:val="24"/>
              </w:rPr>
              <w:t>0</w:t>
            </w:r>
          </w:p>
        </w:tc>
      </w:tr>
      <w:tr w:rsidR="00F0627E" w:rsidRPr="00F1537F" w14:paraId="2B9C628D" w14:textId="77777777" w:rsidTr="00E350A3">
        <w:trPr>
          <w:trHeight w:val="467"/>
        </w:trPr>
        <w:tc>
          <w:tcPr>
            <w:tcW w:w="2679" w:type="dxa"/>
            <w:shd w:val="clear" w:color="auto" w:fill="auto"/>
            <w:vAlign w:val="bottom"/>
          </w:tcPr>
          <w:p w14:paraId="1FD74D5A"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21BF26ED"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3D451289"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1DE4F3B4"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73660360"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297D8B9F" w14:textId="77777777" w:rsidR="00471F97" w:rsidRPr="00F1537F" w:rsidRDefault="00471F97" w:rsidP="007445A8">
      <w:pPr>
        <w:spacing w:line="240" w:lineRule="auto"/>
        <w:rPr>
          <w:rFonts w:ascii="Times New Roman" w:hAnsi="Times New Roman"/>
          <w:sz w:val="24"/>
          <w:szCs w:val="24"/>
        </w:rPr>
      </w:pPr>
    </w:p>
    <w:p w14:paraId="506228C7"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60C34836" w14:textId="77777777" w:rsidR="00F0627E" w:rsidRPr="00F1537F" w:rsidRDefault="00F0627E" w:rsidP="007445A8">
      <w:pPr>
        <w:spacing w:after="0" w:line="240" w:lineRule="auto"/>
        <w:rPr>
          <w:rFonts w:ascii="Times New Roman" w:hAnsi="Times New Roman"/>
          <w:sz w:val="24"/>
          <w:szCs w:val="24"/>
        </w:rPr>
      </w:pPr>
    </w:p>
    <w:p w14:paraId="3EB62B5D"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There is no publication of data associated with FERC-</w:t>
      </w:r>
      <w:r w:rsidR="000201FB" w:rsidRPr="00F1537F">
        <w:rPr>
          <w:rFonts w:ascii="Times New Roman" w:hAnsi="Times New Roman"/>
          <w:sz w:val="24"/>
          <w:szCs w:val="24"/>
        </w:rPr>
        <w:t>505</w:t>
      </w:r>
      <w:r w:rsidRPr="00F1537F">
        <w:rPr>
          <w:rFonts w:ascii="Times New Roman" w:hAnsi="Times New Roman"/>
          <w:sz w:val="24"/>
          <w:szCs w:val="24"/>
        </w:rPr>
        <w:t xml:space="preserve"> collection of information. </w:t>
      </w:r>
    </w:p>
    <w:p w14:paraId="6DAA7044" w14:textId="77777777" w:rsidR="00F0627E" w:rsidRPr="00F1537F" w:rsidRDefault="00F0627E" w:rsidP="007445A8">
      <w:pPr>
        <w:spacing w:after="0" w:line="240" w:lineRule="auto"/>
        <w:rPr>
          <w:rFonts w:ascii="Times New Roman" w:hAnsi="Times New Roman"/>
          <w:sz w:val="24"/>
          <w:szCs w:val="24"/>
        </w:rPr>
      </w:pPr>
    </w:p>
    <w:p w14:paraId="3EA1C69B" w14:textId="77777777" w:rsidR="00F20B97" w:rsidRPr="00F1537F" w:rsidRDefault="00F20B97" w:rsidP="007445A8">
      <w:pPr>
        <w:spacing w:after="0" w:line="240" w:lineRule="auto"/>
        <w:rPr>
          <w:rFonts w:ascii="Times New Roman" w:hAnsi="Times New Roman"/>
          <w:sz w:val="24"/>
          <w:szCs w:val="24"/>
        </w:rPr>
      </w:pPr>
    </w:p>
    <w:p w14:paraId="5F4D0358"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28863B69" w14:textId="77777777" w:rsidR="00F0627E" w:rsidRPr="00F1537F" w:rsidRDefault="00F0627E" w:rsidP="007445A8">
      <w:pPr>
        <w:spacing w:after="0" w:line="240" w:lineRule="auto"/>
        <w:rPr>
          <w:rFonts w:ascii="Times New Roman" w:hAnsi="Times New Roman"/>
          <w:sz w:val="24"/>
          <w:szCs w:val="24"/>
        </w:rPr>
      </w:pPr>
    </w:p>
    <w:p w14:paraId="40A1E8F6"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4"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1E72F997" w14:textId="77777777" w:rsidR="00027DC9" w:rsidRPr="00F1537F" w:rsidRDefault="00027DC9" w:rsidP="007445A8">
      <w:pPr>
        <w:spacing w:after="0" w:line="240" w:lineRule="auto"/>
        <w:rPr>
          <w:rFonts w:ascii="Times New Roman" w:hAnsi="Times New Roman"/>
          <w:sz w:val="24"/>
          <w:szCs w:val="24"/>
        </w:rPr>
      </w:pPr>
    </w:p>
    <w:p w14:paraId="3BDDCFA0"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477308B0" w14:textId="77777777" w:rsidR="001D289D" w:rsidRPr="00F1537F" w:rsidRDefault="001D289D" w:rsidP="007445A8">
      <w:pPr>
        <w:spacing w:after="0" w:line="240" w:lineRule="auto"/>
        <w:rPr>
          <w:rFonts w:ascii="Times New Roman" w:hAnsi="Times New Roman"/>
          <w:b/>
          <w:sz w:val="24"/>
          <w:szCs w:val="24"/>
        </w:rPr>
      </w:pPr>
    </w:p>
    <w:p w14:paraId="2321206E"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 for FERC-505. </w:t>
      </w:r>
      <w:r w:rsidR="00F0627E" w:rsidRPr="00F1537F">
        <w:rPr>
          <w:rFonts w:ascii="Times New Roman" w:hAnsi="Times New Roman"/>
          <w:sz w:val="24"/>
          <w:szCs w:val="24"/>
        </w:rPr>
        <w:br w:type="page"/>
      </w:r>
    </w:p>
    <w:p w14:paraId="48E5E34B" w14:textId="77777777" w:rsidR="00F0627E" w:rsidRPr="00F1537F" w:rsidRDefault="00F0627E" w:rsidP="007445A8">
      <w:pPr>
        <w:spacing w:after="0" w:line="240" w:lineRule="auto"/>
        <w:jc w:val="center"/>
        <w:rPr>
          <w:rFonts w:ascii="Times New Roman" w:hAnsi="Times New Roman"/>
          <w:sz w:val="24"/>
          <w:szCs w:val="24"/>
        </w:rPr>
      </w:pPr>
      <w:r w:rsidRPr="00F1537F">
        <w:rPr>
          <w:rFonts w:ascii="Times New Roman" w:eastAsia="Times New Roman" w:hAnsi="Times New Roman"/>
          <w:b/>
          <w:sz w:val="24"/>
          <w:szCs w:val="24"/>
        </w:rPr>
        <w:t>Attachment A</w:t>
      </w:r>
    </w:p>
    <w:p w14:paraId="364D8B17"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FERC-505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57DDB8D6" w14:textId="77777777" w:rsidR="00CB2F25" w:rsidRPr="00F1537F" w:rsidRDefault="00CB2F25" w:rsidP="007445A8">
      <w:pPr>
        <w:spacing w:after="0" w:line="240" w:lineRule="auto"/>
        <w:rPr>
          <w:rFonts w:ascii="Times New Roman" w:hAnsi="Times New Roman"/>
          <w:sz w:val="24"/>
          <w:szCs w:val="24"/>
        </w:rPr>
      </w:pPr>
    </w:p>
    <w:p w14:paraId="7008CE8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1CE7A9E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7E6E81E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707A331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1B07C25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13B85A1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22657C0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2A52DCB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47E98A8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6575470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5F32780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2E34D13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3B4ABE7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3D79976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7CB1F86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5294354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ACDC4B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63011A2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3C54B99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19616A0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492DEFB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02519FB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1068E25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22C0A3B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355681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0E88091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13D06D3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3DFA14D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3DFD873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42393B6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p w14:paraId="28A8798B" w14:textId="77777777" w:rsidR="00F0627E" w:rsidRPr="00F1537F" w:rsidRDefault="00F0627E" w:rsidP="007445A8">
      <w:pPr>
        <w:spacing w:after="0" w:line="240" w:lineRule="auto"/>
        <w:rPr>
          <w:rFonts w:ascii="Times New Roman" w:hAnsi="Times New Roman"/>
          <w:sz w:val="24"/>
          <w:szCs w:val="24"/>
        </w:rPr>
      </w:pPr>
    </w:p>
    <w:p w14:paraId="624B99E4" w14:textId="77777777" w:rsidR="00471F97" w:rsidRPr="00F1537F" w:rsidRDefault="00471F97" w:rsidP="007445A8">
      <w:pPr>
        <w:spacing w:line="240" w:lineRule="auto"/>
        <w:rPr>
          <w:rFonts w:ascii="Times New Roman" w:hAnsi="Times New Roman"/>
          <w:sz w:val="24"/>
          <w:szCs w:val="24"/>
        </w:rPr>
      </w:pPr>
    </w:p>
    <w:sectPr w:rsidR="00471F97" w:rsidRPr="00F1537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D0B0" w14:textId="77777777" w:rsidR="00A06841" w:rsidRDefault="00A06841" w:rsidP="009C7F55">
      <w:pPr>
        <w:spacing w:after="0" w:line="240" w:lineRule="auto"/>
      </w:pPr>
      <w:r>
        <w:separator/>
      </w:r>
    </w:p>
  </w:endnote>
  <w:endnote w:type="continuationSeparator" w:id="0">
    <w:p w14:paraId="27B49524" w14:textId="77777777" w:rsidR="00A06841" w:rsidRDefault="00A06841" w:rsidP="009C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41E551C7" w14:textId="77777777" w:rsidR="00471F97" w:rsidRDefault="00471F97">
        <w:pPr>
          <w:pStyle w:val="Footer"/>
          <w:jc w:val="right"/>
        </w:pPr>
        <w:r>
          <w:fldChar w:fldCharType="begin"/>
        </w:r>
        <w:r>
          <w:instrText xml:space="preserve"> PAGE   \* MERGEFORMAT </w:instrText>
        </w:r>
        <w:r>
          <w:fldChar w:fldCharType="separate"/>
        </w:r>
        <w:r w:rsidR="00BD1E81">
          <w:rPr>
            <w:noProof/>
          </w:rPr>
          <w:t>1</w:t>
        </w:r>
        <w:r>
          <w:rPr>
            <w:noProof/>
          </w:rPr>
          <w:fldChar w:fldCharType="end"/>
        </w:r>
      </w:p>
    </w:sdtContent>
  </w:sdt>
  <w:p w14:paraId="157F27E5" w14:textId="77777777" w:rsidR="00471F97" w:rsidRDefault="0047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E505D" w14:textId="77777777" w:rsidR="00A06841" w:rsidRDefault="00A06841" w:rsidP="009C7F55">
      <w:pPr>
        <w:spacing w:after="0" w:line="240" w:lineRule="auto"/>
      </w:pPr>
      <w:r>
        <w:separator/>
      </w:r>
    </w:p>
  </w:footnote>
  <w:footnote w:type="continuationSeparator" w:id="0">
    <w:p w14:paraId="6AA7FADD" w14:textId="77777777" w:rsidR="00A06841" w:rsidRDefault="00A06841" w:rsidP="009C7F55">
      <w:pPr>
        <w:spacing w:after="0" w:line="240" w:lineRule="auto"/>
      </w:pPr>
      <w:r>
        <w:continuationSeparator/>
      </w:r>
    </w:p>
  </w:footnote>
  <w:footnote w:id="1">
    <w:p w14:paraId="660B0135" w14:textId="77777777" w:rsidR="00F0627E" w:rsidRPr="00F1537F" w:rsidRDefault="00F0627E" w:rsidP="00F0627E">
      <w:pPr>
        <w:pStyle w:val="FootnoteText"/>
        <w:rPr>
          <w:sz w:val="24"/>
          <w:szCs w:val="24"/>
        </w:rPr>
      </w:pPr>
      <w:r w:rsidRPr="00A27B71">
        <w:rPr>
          <w:rStyle w:val="FootnoteReference"/>
          <w:b/>
          <w:sz w:val="26"/>
          <w:szCs w:val="26"/>
          <w:vertAlign w:val="superscript"/>
        </w:rPr>
        <w:footnoteRef/>
      </w:r>
      <w:r w:rsidRPr="00F20B97">
        <w:rPr>
          <w:sz w:val="26"/>
          <w:szCs w:val="26"/>
        </w:rPr>
        <w:t xml:space="preserve"> </w:t>
      </w:r>
      <w:r w:rsidRPr="00F1537F">
        <w:rPr>
          <w:sz w:val="24"/>
          <w:szCs w:val="24"/>
        </w:rPr>
        <w:t>Information collection requirements for FERC-505 are listed in Attachment A.</w:t>
      </w:r>
    </w:p>
  </w:footnote>
  <w:footnote w:id="2">
    <w:p w14:paraId="4F3A3D26" w14:textId="77777777" w:rsidR="007E0D8A" w:rsidRPr="00F1537F" w:rsidRDefault="007E0D8A" w:rsidP="007E0D8A">
      <w:pPr>
        <w:pStyle w:val="FootnoteText"/>
        <w:rPr>
          <w:sz w:val="24"/>
          <w:szCs w:val="24"/>
        </w:rPr>
      </w:pPr>
      <w:r w:rsidRPr="00F1537F">
        <w:rPr>
          <w:rStyle w:val="FootnoteReference"/>
          <w:b/>
          <w:sz w:val="24"/>
          <w:szCs w:val="24"/>
          <w:vertAlign w:val="superscript"/>
        </w:rPr>
        <w:footnoteRef/>
      </w:r>
      <w:r w:rsidRPr="00F1537F">
        <w:rPr>
          <w:sz w:val="24"/>
          <w:szCs w:val="24"/>
        </w:rPr>
        <w:t xml:space="preserve"> 16 U.S.C. §§791a-825r (2012).</w:t>
      </w:r>
    </w:p>
  </w:footnote>
  <w:footnote w:id="3">
    <w:p w14:paraId="0848AE0E" w14:textId="77777777" w:rsidR="00F0627E" w:rsidRPr="00F1537F" w:rsidRDefault="00F0627E" w:rsidP="00F0627E">
      <w:pPr>
        <w:pStyle w:val="FootnoteText"/>
        <w:rPr>
          <w:sz w:val="24"/>
          <w:szCs w:val="24"/>
        </w:rPr>
      </w:pPr>
      <w:r w:rsidRPr="00F1537F">
        <w:rPr>
          <w:rStyle w:val="FootnoteReference"/>
          <w:b/>
          <w:sz w:val="24"/>
          <w:szCs w:val="24"/>
          <w:vertAlign w:val="superscript"/>
        </w:rPr>
        <w:footnoteRef/>
      </w:r>
      <w:r w:rsidRPr="00F1537F">
        <w:rPr>
          <w:sz w:val="24"/>
          <w:szCs w:val="24"/>
        </w:rPr>
        <w:t xml:space="preserve"> Public Law 99-495, 100 Stat. 1243 (10/16/1986)</w:t>
      </w:r>
    </w:p>
  </w:footnote>
  <w:footnote w:id="4">
    <w:p w14:paraId="6749FAFE" w14:textId="77777777" w:rsidR="004C3C5F" w:rsidRPr="00F1537F" w:rsidRDefault="004C3C5F" w:rsidP="004C3C5F">
      <w:pPr>
        <w:pStyle w:val="FootnoteText"/>
        <w:tabs>
          <w:tab w:val="left" w:pos="2760"/>
        </w:tabs>
        <w:rPr>
          <w:sz w:val="24"/>
          <w:szCs w:val="24"/>
        </w:rPr>
      </w:pPr>
      <w:r w:rsidRPr="00F1537F">
        <w:rPr>
          <w:rStyle w:val="FootnoteReference"/>
          <w:b/>
          <w:sz w:val="24"/>
          <w:szCs w:val="24"/>
          <w:vertAlign w:val="superscript"/>
        </w:rPr>
        <w:footnoteRef/>
      </w:r>
      <w:r w:rsidRPr="00F1537F">
        <w:rPr>
          <w:sz w:val="24"/>
          <w:szCs w:val="24"/>
        </w:rPr>
        <w:t xml:space="preserve"> 16 USC 797(e)</w:t>
      </w:r>
      <w:r w:rsidRPr="00F1537F">
        <w:rPr>
          <w:sz w:val="24"/>
          <w:szCs w:val="24"/>
        </w:rPr>
        <w:tab/>
      </w:r>
    </w:p>
  </w:footnote>
  <w:footnote w:id="5">
    <w:p w14:paraId="1C2ECD0C" w14:textId="77777777" w:rsidR="00471F97" w:rsidRPr="00F1537F" w:rsidRDefault="00471F97" w:rsidP="00471F97">
      <w:pPr>
        <w:pStyle w:val="FootnoteText"/>
        <w:rPr>
          <w:sz w:val="24"/>
          <w:szCs w:val="24"/>
        </w:rPr>
      </w:pPr>
      <w:r w:rsidRPr="00F1537F">
        <w:rPr>
          <w:rStyle w:val="FootnoteReference"/>
          <w:b/>
          <w:sz w:val="24"/>
          <w:szCs w:val="24"/>
          <w:vertAlign w:val="superscript"/>
        </w:rPr>
        <w:footnoteRef/>
      </w:r>
      <w:r w:rsidRPr="00F1537F">
        <w:rPr>
          <w:sz w:val="24"/>
          <w:szCs w:val="24"/>
        </w:rPr>
        <w:t xml:space="preserve"> Minor water power projects are those that have a total installed capacity of 1.5 megawatts (MW) or less.  Major water power projects have a total installed capacity of greater than 1.5 MW.   </w:t>
      </w:r>
    </w:p>
  </w:footnote>
  <w:footnote w:id="6">
    <w:p w14:paraId="4A7D18FB" w14:textId="77777777" w:rsidR="00471F97" w:rsidRPr="00F1537F" w:rsidRDefault="00471F97" w:rsidP="00471F97">
      <w:pPr>
        <w:pStyle w:val="FootnoteText"/>
        <w:rPr>
          <w:sz w:val="24"/>
          <w:szCs w:val="24"/>
        </w:rPr>
      </w:pPr>
      <w:r w:rsidRPr="00F1537F">
        <w:rPr>
          <w:rStyle w:val="FootnoteReference"/>
          <w:b/>
          <w:sz w:val="24"/>
          <w:szCs w:val="24"/>
          <w:vertAlign w:val="superscript"/>
        </w:rPr>
        <w:footnoteRef/>
      </w:r>
      <w:r w:rsidRPr="00F1537F">
        <w:rPr>
          <w:sz w:val="24"/>
          <w:szCs w:val="24"/>
        </w:rPr>
        <w:t xml:space="preserve"> 16 U.S.C. 823a (2012), amended by, Hydropower Regulatory Efficiency Act of</w:t>
      </w:r>
    </w:p>
    <w:p w14:paraId="3C3423EF" w14:textId="77777777" w:rsidR="00471F97" w:rsidRPr="00F1537F" w:rsidRDefault="00471F97" w:rsidP="00471F97">
      <w:pPr>
        <w:pStyle w:val="FootnoteText"/>
        <w:rPr>
          <w:sz w:val="24"/>
          <w:szCs w:val="24"/>
        </w:rPr>
      </w:pPr>
      <w:r w:rsidRPr="00F1537F">
        <w:rPr>
          <w:sz w:val="24"/>
          <w:szCs w:val="24"/>
        </w:rPr>
        <w:t>2013, Pub. L. No. 113-23, 4, 127 Stat. 493 (2013).</w:t>
      </w:r>
    </w:p>
  </w:footnote>
  <w:footnote w:id="7">
    <w:p w14:paraId="37535DFE" w14:textId="77777777" w:rsidR="00471F97" w:rsidRPr="00F1537F" w:rsidRDefault="00471F97" w:rsidP="00471F97">
      <w:pPr>
        <w:pStyle w:val="FootnoteText"/>
        <w:rPr>
          <w:sz w:val="24"/>
          <w:szCs w:val="24"/>
        </w:rPr>
      </w:pPr>
      <w:r w:rsidRPr="00F1537F">
        <w:rPr>
          <w:rStyle w:val="FootnoteReference"/>
          <w:b/>
          <w:sz w:val="24"/>
          <w:szCs w:val="24"/>
          <w:vertAlign w:val="superscript"/>
        </w:rPr>
        <w:footnoteRef/>
      </w:r>
      <w:r w:rsidRPr="00F1537F">
        <w:rPr>
          <w:sz w:val="24"/>
          <w:szCs w:val="24"/>
        </w:rPr>
        <w:t xml:space="preserve"> 16 U.S.C. 2708 (2012).</w:t>
      </w:r>
    </w:p>
  </w:footnote>
  <w:footnote w:id="8">
    <w:p w14:paraId="1449AEC5" w14:textId="77777777" w:rsidR="00471F97" w:rsidRPr="00F1537F" w:rsidRDefault="00471F97" w:rsidP="00471F97">
      <w:pPr>
        <w:pStyle w:val="FootnoteText"/>
        <w:rPr>
          <w:sz w:val="24"/>
          <w:szCs w:val="24"/>
        </w:rPr>
      </w:pPr>
      <w:r w:rsidRPr="00F1537F">
        <w:rPr>
          <w:rStyle w:val="FootnoteReference"/>
          <w:b/>
          <w:sz w:val="24"/>
          <w:szCs w:val="24"/>
          <w:vertAlign w:val="superscript"/>
        </w:rPr>
        <w:footnoteRef/>
      </w:r>
      <w:r w:rsidRPr="00F1537F">
        <w:rPr>
          <w:sz w:val="24"/>
          <w:szCs w:val="24"/>
          <w:vertAlign w:val="superscript"/>
        </w:rPr>
        <w:t xml:space="preserve"> </w:t>
      </w:r>
      <w:r w:rsidRPr="00F1537F">
        <w:rPr>
          <w:sz w:val="24"/>
          <w:szCs w:val="24"/>
        </w:rPr>
        <w:t>Conduit exemptions are categorically exempt from NEPA.</w:t>
      </w:r>
    </w:p>
  </w:footnote>
  <w:footnote w:id="9">
    <w:p w14:paraId="69C278B5" w14:textId="77777777" w:rsidR="00471F97" w:rsidRPr="00F1537F" w:rsidRDefault="00471F97" w:rsidP="00471F97">
      <w:pPr>
        <w:pStyle w:val="FootnoteText"/>
        <w:rPr>
          <w:sz w:val="24"/>
          <w:szCs w:val="24"/>
        </w:rPr>
      </w:pPr>
      <w:r w:rsidRPr="00F1537F">
        <w:rPr>
          <w:rStyle w:val="FootnoteReference"/>
          <w:b/>
          <w:sz w:val="24"/>
          <w:szCs w:val="24"/>
          <w:vertAlign w:val="superscript"/>
        </w:rPr>
        <w:footnoteRef/>
      </w:r>
      <w:r w:rsidRPr="00F1537F">
        <w:rPr>
          <w:sz w:val="24"/>
          <w:szCs w:val="24"/>
        </w:rPr>
        <w:t xml:space="preserve"> The Commission does not perform environmental reviews of qualifying conduits.</w:t>
      </w:r>
    </w:p>
  </w:footnote>
  <w:footnote w:id="10">
    <w:p w14:paraId="649D99FC" w14:textId="77777777" w:rsidR="00590632" w:rsidRPr="00F1537F" w:rsidRDefault="00590632" w:rsidP="00590632">
      <w:pPr>
        <w:pStyle w:val="FootnoteText"/>
        <w:rPr>
          <w:sz w:val="24"/>
          <w:szCs w:val="24"/>
        </w:rPr>
      </w:pPr>
      <w:r w:rsidRPr="007445A8">
        <w:rPr>
          <w:rStyle w:val="FootnoteReference"/>
          <w:b/>
          <w:sz w:val="24"/>
          <w:szCs w:val="24"/>
          <w:vertAlign w:val="superscript"/>
        </w:rPr>
        <w:footnoteRef/>
      </w:r>
      <w:r w:rsidRPr="00F1537F">
        <w:rPr>
          <w:sz w:val="24"/>
          <w:szCs w:val="24"/>
        </w:rPr>
        <w:t xml:space="preserve"> 82 FR 46231, 10/4/2017</w:t>
      </w:r>
    </w:p>
  </w:footnote>
  <w:footnote w:id="11">
    <w:p w14:paraId="0D293769" w14:textId="77777777" w:rsidR="00590632" w:rsidRPr="00590632" w:rsidRDefault="00590632" w:rsidP="00590632">
      <w:pPr>
        <w:pStyle w:val="FootnoteText"/>
        <w:rPr>
          <w:sz w:val="24"/>
          <w:szCs w:val="24"/>
        </w:rPr>
      </w:pPr>
      <w:r w:rsidRPr="007445A8">
        <w:rPr>
          <w:rStyle w:val="FootnoteReference"/>
          <w:b/>
          <w:sz w:val="24"/>
          <w:szCs w:val="24"/>
          <w:vertAlign w:val="superscript"/>
        </w:rPr>
        <w:footnoteRef/>
      </w:r>
      <w:r w:rsidRPr="00F1537F">
        <w:rPr>
          <w:sz w:val="24"/>
          <w:szCs w:val="24"/>
        </w:rPr>
        <w:t xml:space="preserve"> 82 FR 60978, 12/26/2017</w:t>
      </w:r>
    </w:p>
  </w:footnote>
  <w:footnote w:id="12">
    <w:p w14:paraId="013F68FA" w14:textId="77777777" w:rsidR="00F0627E" w:rsidRPr="00F1537F" w:rsidRDefault="00F0627E" w:rsidP="00F0627E">
      <w:pPr>
        <w:pStyle w:val="FootnoteText"/>
        <w:rPr>
          <w:sz w:val="24"/>
          <w:szCs w:val="24"/>
        </w:rPr>
      </w:pPr>
      <w:r w:rsidRPr="00F1537F">
        <w:rPr>
          <w:rStyle w:val="FootnoteReference"/>
          <w:b/>
          <w:sz w:val="24"/>
          <w:szCs w:val="24"/>
          <w:vertAlign w:val="superscript"/>
        </w:rPr>
        <w:footnoteRef/>
      </w:r>
      <w:r w:rsidRPr="00F1537F">
        <w:rPr>
          <w:sz w:val="24"/>
          <w:szCs w:val="24"/>
        </w:rPr>
        <w:t xml:space="preserve"> 18 C</w:t>
      </w:r>
      <w:r w:rsidR="004C3C5F" w:rsidRPr="00F1537F">
        <w:rPr>
          <w:sz w:val="24"/>
          <w:szCs w:val="24"/>
        </w:rPr>
        <w:t>.</w:t>
      </w:r>
      <w:r w:rsidRPr="00F1537F">
        <w:rPr>
          <w:sz w:val="24"/>
          <w:szCs w:val="24"/>
        </w:rPr>
        <w:t>F</w:t>
      </w:r>
      <w:r w:rsidR="004C3C5F" w:rsidRPr="00F1537F">
        <w:rPr>
          <w:sz w:val="24"/>
          <w:szCs w:val="24"/>
        </w:rPr>
        <w:t>.</w:t>
      </w:r>
      <w:r w:rsidRPr="00F1537F">
        <w:rPr>
          <w:sz w:val="24"/>
          <w:szCs w:val="24"/>
        </w:rPr>
        <w:t>R</w:t>
      </w:r>
      <w:r w:rsidR="004C3C5F" w:rsidRPr="00F1537F">
        <w:rPr>
          <w:sz w:val="24"/>
          <w:szCs w:val="24"/>
        </w:rPr>
        <w:t>.</w:t>
      </w:r>
      <w:r w:rsidRPr="00F1537F">
        <w:rPr>
          <w:sz w:val="24"/>
          <w:szCs w:val="24"/>
        </w:rPr>
        <w:t xml:space="preserve"> 388.112</w:t>
      </w:r>
    </w:p>
  </w:footnote>
  <w:footnote w:id="13">
    <w:p w14:paraId="78AAEA47" w14:textId="77777777" w:rsidR="003D08BB" w:rsidRPr="00F1537F" w:rsidRDefault="003D08BB">
      <w:pPr>
        <w:pStyle w:val="FootnoteText"/>
        <w:rPr>
          <w:sz w:val="24"/>
          <w:szCs w:val="24"/>
          <w:vertAlign w:val="superscript"/>
        </w:rPr>
      </w:pPr>
      <w:r w:rsidRPr="00F1537F">
        <w:rPr>
          <w:rStyle w:val="FootnoteReference"/>
          <w:b/>
          <w:sz w:val="24"/>
          <w:szCs w:val="24"/>
          <w:vertAlign w:val="superscript"/>
        </w:rPr>
        <w:footnoteRef/>
      </w:r>
      <w:r w:rsidRPr="00F1537F">
        <w:rPr>
          <w:sz w:val="24"/>
          <w:szCs w:val="24"/>
        </w:rPr>
        <w:t xml:space="preserve"> </w:t>
      </w:r>
      <w:r w:rsidR="00BD7A22" w:rsidRPr="00F1537F">
        <w:rPr>
          <w:sz w:val="24"/>
          <w:szCs w:val="24"/>
        </w:rPr>
        <w:t>Burden is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14">
    <w:p w14:paraId="4FEA8D1F" w14:textId="77777777" w:rsidR="00F60F4E" w:rsidRPr="00F1537F" w:rsidRDefault="00F60F4E" w:rsidP="00F0627E">
      <w:pPr>
        <w:pStyle w:val="FootnoteText"/>
        <w:rPr>
          <w:sz w:val="24"/>
          <w:szCs w:val="24"/>
        </w:rPr>
      </w:pPr>
      <w:r w:rsidRPr="00F1537F">
        <w:rPr>
          <w:rStyle w:val="FootnoteReference"/>
          <w:b/>
          <w:sz w:val="24"/>
          <w:szCs w:val="24"/>
          <w:vertAlign w:val="superscript"/>
        </w:rPr>
        <w:footnoteRef/>
      </w:r>
      <w:r w:rsidRPr="00F1537F">
        <w:rPr>
          <w:sz w:val="24"/>
          <w:szCs w:val="24"/>
        </w:rPr>
        <w:t xml:space="preserve"> The “Estimated Annual Federal Cost” uses the FERC’s 2017 average annual salary plus benefits of one FERC FTE (full-time equivalent) is $158,754 (or $76.50 per hour).</w:t>
      </w:r>
      <w:r w:rsidR="008143EC" w:rsidRPr="008143EC">
        <w:t xml:space="preserve"> </w:t>
      </w:r>
      <w:r w:rsidR="008143EC" w:rsidRPr="008143EC">
        <w:rPr>
          <w:sz w:val="24"/>
          <w:szCs w:val="24"/>
        </w:rPr>
        <w:t>Salary is approximately 76.3% of the $158,754; benefits comprise approximately 23.7%.</w:t>
      </w:r>
    </w:p>
  </w:footnote>
  <w:footnote w:id="15">
    <w:p w14:paraId="7434AFDB" w14:textId="77777777" w:rsidR="00F60F4E" w:rsidRPr="00F1537F" w:rsidRDefault="00F60F4E" w:rsidP="00F0627E">
      <w:pPr>
        <w:pStyle w:val="FootnoteText"/>
        <w:rPr>
          <w:sz w:val="24"/>
          <w:szCs w:val="24"/>
        </w:rPr>
      </w:pPr>
      <w:r w:rsidRPr="00F1537F">
        <w:rPr>
          <w:rStyle w:val="FootnoteReference"/>
          <w:b/>
          <w:sz w:val="24"/>
          <w:szCs w:val="24"/>
          <w:vertAlign w:val="superscript"/>
        </w:rPr>
        <w:footnoteRef/>
      </w:r>
      <w:r w:rsidRPr="00F1537F">
        <w:rPr>
          <w:sz w:val="24"/>
          <w:szCs w:val="24"/>
        </w:rPr>
        <w:t xml:space="preserve"> Paperwork Reduction Act of 1995, 44 U.S.C. 3501-3520 (2012).</w:t>
      </w:r>
    </w:p>
  </w:footnote>
  <w:footnote w:id="16">
    <w:p w14:paraId="244B5D58" w14:textId="77777777" w:rsidR="00F60F4E" w:rsidRPr="00F1537F" w:rsidRDefault="00F60F4E" w:rsidP="00F0627E">
      <w:pPr>
        <w:pStyle w:val="FootnoteText"/>
        <w:rPr>
          <w:sz w:val="24"/>
          <w:szCs w:val="24"/>
        </w:rPr>
      </w:pPr>
      <w:r w:rsidRPr="00F1537F">
        <w:rPr>
          <w:rStyle w:val="FootnoteReference"/>
          <w:b/>
          <w:sz w:val="24"/>
          <w:szCs w:val="24"/>
          <w:vertAlign w:val="superscript"/>
        </w:rPr>
        <w:footnoteRef/>
      </w:r>
      <w:r w:rsidRPr="00F1537F">
        <w:rPr>
          <w:sz w:val="24"/>
          <w:szCs w:val="24"/>
        </w:rPr>
        <w:t xml:space="preserve"> The Paperwork Reduction Act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1D0F" w14:textId="77777777" w:rsidR="00471F97" w:rsidRDefault="00471F97">
    <w:pPr>
      <w:pStyle w:val="Header"/>
    </w:pPr>
    <w:r>
      <w:t>FERC-505 (OMB Control No.: 1902-0115)</w:t>
    </w:r>
  </w:p>
  <w:p w14:paraId="7FA096D2" w14:textId="77777777" w:rsidR="00D66E7C" w:rsidRDefault="008143EC">
    <w:pPr>
      <w:pStyle w:val="Header"/>
    </w:pPr>
    <w:r>
      <w:t>(u</w:t>
    </w:r>
    <w:r w:rsidR="00D66E7C">
      <w:t>pdated</w:t>
    </w:r>
    <w:r>
      <w:t xml:space="preserve"> 4/10</w:t>
    </w:r>
    <w:r w:rsidR="00D66E7C">
      <w:t>/2018</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1"/>
  </w:num>
  <w:num w:numId="5">
    <w:abstractNumId w:val="2"/>
  </w:num>
  <w:num w:numId="6">
    <w:abstractNumId w:val="12"/>
  </w:num>
  <w:num w:numId="7">
    <w:abstractNumId w:val="3"/>
  </w:num>
  <w:num w:numId="8">
    <w:abstractNumId w:val="0"/>
  </w:num>
  <w:num w:numId="9">
    <w:abstractNumId w:val="6"/>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201FB"/>
    <w:rsid w:val="00027DC9"/>
    <w:rsid w:val="000762E1"/>
    <w:rsid w:val="00084A7F"/>
    <w:rsid w:val="000930CB"/>
    <w:rsid w:val="000B51EA"/>
    <w:rsid w:val="000D1D54"/>
    <w:rsid w:val="000F1377"/>
    <w:rsid w:val="0010332E"/>
    <w:rsid w:val="001072E3"/>
    <w:rsid w:val="00107DA8"/>
    <w:rsid w:val="00116CF2"/>
    <w:rsid w:val="001263E8"/>
    <w:rsid w:val="0013718A"/>
    <w:rsid w:val="00163942"/>
    <w:rsid w:val="001A450A"/>
    <w:rsid w:val="001D289D"/>
    <w:rsid w:val="001E55A1"/>
    <w:rsid w:val="00200CB5"/>
    <w:rsid w:val="002213AA"/>
    <w:rsid w:val="00221430"/>
    <w:rsid w:val="00227F0E"/>
    <w:rsid w:val="00233478"/>
    <w:rsid w:val="0026269A"/>
    <w:rsid w:val="002F641C"/>
    <w:rsid w:val="00395E45"/>
    <w:rsid w:val="003A23FA"/>
    <w:rsid w:val="003D08BB"/>
    <w:rsid w:val="003E6B4D"/>
    <w:rsid w:val="00413C13"/>
    <w:rsid w:val="00414464"/>
    <w:rsid w:val="00471F97"/>
    <w:rsid w:val="00480D2F"/>
    <w:rsid w:val="004A36E5"/>
    <w:rsid w:val="004B7E8E"/>
    <w:rsid w:val="004C3C5F"/>
    <w:rsid w:val="004E2A6E"/>
    <w:rsid w:val="004F4BCE"/>
    <w:rsid w:val="00515F5E"/>
    <w:rsid w:val="005513D0"/>
    <w:rsid w:val="00590632"/>
    <w:rsid w:val="0059069E"/>
    <w:rsid w:val="005A33F0"/>
    <w:rsid w:val="005C5DAB"/>
    <w:rsid w:val="005E77C1"/>
    <w:rsid w:val="005F1EFB"/>
    <w:rsid w:val="00600BD2"/>
    <w:rsid w:val="006377D8"/>
    <w:rsid w:val="006B48FF"/>
    <w:rsid w:val="006E1DFD"/>
    <w:rsid w:val="00736C27"/>
    <w:rsid w:val="007445A8"/>
    <w:rsid w:val="00782DCD"/>
    <w:rsid w:val="007B529B"/>
    <w:rsid w:val="007E0D8A"/>
    <w:rsid w:val="007F1D30"/>
    <w:rsid w:val="008143EC"/>
    <w:rsid w:val="00820173"/>
    <w:rsid w:val="00883041"/>
    <w:rsid w:val="008C6BC7"/>
    <w:rsid w:val="00932D78"/>
    <w:rsid w:val="00973E82"/>
    <w:rsid w:val="00974AFC"/>
    <w:rsid w:val="009A1489"/>
    <w:rsid w:val="009C7060"/>
    <w:rsid w:val="009C7F55"/>
    <w:rsid w:val="00A06841"/>
    <w:rsid w:val="00A27B71"/>
    <w:rsid w:val="00AB3680"/>
    <w:rsid w:val="00AB42C6"/>
    <w:rsid w:val="00AC60DF"/>
    <w:rsid w:val="00AC66B6"/>
    <w:rsid w:val="00AF2AA1"/>
    <w:rsid w:val="00AF3755"/>
    <w:rsid w:val="00AF7046"/>
    <w:rsid w:val="00B05CEF"/>
    <w:rsid w:val="00BA0479"/>
    <w:rsid w:val="00BA7959"/>
    <w:rsid w:val="00BD1E81"/>
    <w:rsid w:val="00BD7A22"/>
    <w:rsid w:val="00BE264B"/>
    <w:rsid w:val="00BF3095"/>
    <w:rsid w:val="00C47938"/>
    <w:rsid w:val="00C532EB"/>
    <w:rsid w:val="00C740BC"/>
    <w:rsid w:val="00CA6D90"/>
    <w:rsid w:val="00CA7B4A"/>
    <w:rsid w:val="00CB2F25"/>
    <w:rsid w:val="00D36922"/>
    <w:rsid w:val="00D52E91"/>
    <w:rsid w:val="00D62D87"/>
    <w:rsid w:val="00D66E7C"/>
    <w:rsid w:val="00DE2213"/>
    <w:rsid w:val="00DE45F5"/>
    <w:rsid w:val="00E25E23"/>
    <w:rsid w:val="00E41507"/>
    <w:rsid w:val="00E83743"/>
    <w:rsid w:val="00EB1F54"/>
    <w:rsid w:val="00F0627E"/>
    <w:rsid w:val="00F1537F"/>
    <w:rsid w:val="00F20B97"/>
    <w:rsid w:val="00F22C78"/>
    <w:rsid w:val="00F24965"/>
    <w:rsid w:val="00F33D5A"/>
    <w:rsid w:val="00F35B01"/>
    <w:rsid w:val="00F60F4E"/>
    <w:rsid w:val="00F958BA"/>
    <w:rsid w:val="00F97AD7"/>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505</_x0031__x002e__x0020_Collection_x0020_Number>
    <Date xmlns="d6eefc7d-9817-4fa6-84d5-3bc009be21b8">2018-04-10T00:00:00-04:00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IC17-15</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79B-9990-4A52-AA42-16EB34D5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ED7EE-9C12-4451-90E6-78FC3BEDFA35}">
  <ds:schemaRefs>
    <ds:schemaRef ds:uri="http://schemas.microsoft.com/office/2006/metadata/customXsn"/>
  </ds:schemaRefs>
</ds:datastoreItem>
</file>

<file path=customXml/itemProps3.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4.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5.xml><?xml version="1.0" encoding="utf-8"?>
<ds:datastoreItem xmlns:ds="http://schemas.openxmlformats.org/officeDocument/2006/customXml" ds:itemID="{9DF57017-6D35-4700-942D-9BCDC1A55FC4}">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6eefc7d-9817-4fa6-84d5-3bc009be21b8"/>
    <ds:schemaRef ds:uri="http://purl.org/dc/terms/"/>
    <ds:schemaRef ds:uri="http://purl.org/dc/dcmitype/"/>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504F0585-8F95-4FCD-A89A-1FEC9E98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2018-01-23T15:21:00Z</cp:lastPrinted>
  <dcterms:created xsi:type="dcterms:W3CDTF">2018-04-10T18:17:00Z</dcterms:created>
  <dcterms:modified xsi:type="dcterms:W3CDTF">2018-04-10T18:17:00Z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